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D789" w14:textId="77777777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8E0DE9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55781C8" wp14:editId="591A8981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6678D" w14:textId="77777777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9B5F990" w14:textId="77777777" w:rsidR="005678CC" w:rsidRPr="008E0DE9" w:rsidRDefault="005678CC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8655416" w14:textId="03F72A56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LAMPIRAN </w:t>
      </w:r>
      <w:r w:rsidR="001174BF"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>I</w:t>
      </w:r>
    </w:p>
    <w:p w14:paraId="025781AC" w14:textId="77777777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>RANCANGAN</w:t>
      </w:r>
    </w:p>
    <w:p w14:paraId="7216675E" w14:textId="77777777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600A29C8" w14:textId="0BD67516" w:rsidR="00C0151B" w:rsidRPr="008E0DE9" w:rsidRDefault="00C0151B" w:rsidP="00C0151B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8"/>
          <w:szCs w:val="28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>REPUBLIK INDONESIA</w:t>
      </w:r>
    </w:p>
    <w:p w14:paraId="608870B8" w14:textId="240C3919" w:rsidR="00C03229" w:rsidRPr="00F073E3" w:rsidRDefault="00C03229" w:rsidP="001174BF">
      <w:pPr>
        <w:pStyle w:val="Style1"/>
        <w:snapToGrid w:val="0"/>
        <w:spacing w:line="240" w:lineRule="auto"/>
        <w:rPr>
          <w:color w:val="000000" w:themeColor="text1"/>
          <w:lang w:val="en-GB"/>
        </w:rPr>
      </w:pPr>
      <w:r w:rsidRPr="00F073E3">
        <w:rPr>
          <w:rStyle w:val="FontStyle29"/>
          <w:color w:val="000000" w:themeColor="text1"/>
          <w:sz w:val="24"/>
          <w:szCs w:val="24"/>
          <w:lang w:val="id-ID" w:eastAsia="id-ID"/>
        </w:rPr>
        <w:t>NOMOR .../SEOJK.06/</w:t>
      </w:r>
      <w:r w:rsidRPr="00F073E3">
        <w:rPr>
          <w:rStyle w:val="FontStyle18"/>
          <w:color w:val="000000" w:themeColor="text1"/>
          <w:sz w:val="24"/>
          <w:szCs w:val="24"/>
          <w:lang w:val="id-ID" w:eastAsia="id-ID"/>
        </w:rPr>
        <w:t>20</w:t>
      </w:r>
      <w:r w:rsidR="00F073E3">
        <w:rPr>
          <w:rStyle w:val="FontStyle18"/>
          <w:color w:val="000000" w:themeColor="text1"/>
          <w:sz w:val="24"/>
          <w:szCs w:val="24"/>
          <w:lang w:val="en-GB" w:eastAsia="id-ID"/>
        </w:rPr>
        <w:t>…</w:t>
      </w:r>
    </w:p>
    <w:p w14:paraId="6D591F14" w14:textId="77777777" w:rsidR="00C03229" w:rsidRPr="008E0DE9" w:rsidRDefault="00C03229" w:rsidP="001174BF">
      <w:pPr>
        <w:pStyle w:val="Style1"/>
        <w:snapToGrid w:val="0"/>
        <w:spacing w:line="240" w:lineRule="auto"/>
        <w:rPr>
          <w:rFonts w:cs="Bookman Old Style"/>
          <w:color w:val="000000" w:themeColor="text1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F0A331C" w14:textId="77777777" w:rsidR="00C03229" w:rsidRPr="008E0DE9" w:rsidRDefault="00C03229" w:rsidP="001174BF">
      <w:pPr>
        <w:pStyle w:val="Style1"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8E0DE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Pr="008E0DE9">
        <w:rPr>
          <w:rFonts w:cs="Bookman Old Style"/>
          <w:color w:val="000000" w:themeColor="text1"/>
          <w:lang w:val="id-ID" w:eastAsia="id-ID"/>
        </w:rPr>
        <w:t>PERGADAIAN</w:t>
      </w:r>
    </w:p>
    <w:p w14:paraId="2C105EC9" w14:textId="77777777" w:rsidR="00026674" w:rsidRPr="008E0DE9" w:rsidRDefault="0002667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0B1114E6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295B60CC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319D3027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764D0AED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04A9203C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67465445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101BB6EF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12459677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12AA0A15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2051799C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6251603E" w14:textId="77777777" w:rsidR="00564A30" w:rsidRPr="008E0DE9" w:rsidRDefault="00564A30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  <w:sectPr w:rsidR="00564A30" w:rsidRPr="008E0DE9" w:rsidSect="00A44392">
          <w:headerReference w:type="even" r:id="rId7"/>
          <w:headerReference w:type="default" r:id="rId8"/>
          <w:pgSz w:w="12240" w:h="15840"/>
          <w:pgMar w:top="1418" w:right="1418" w:bottom="1418" w:left="1418" w:header="720" w:footer="720" w:gutter="0"/>
          <w:pgNumType w:fmt="numberInDash" w:start="0"/>
          <w:cols w:space="720"/>
          <w:titlePg/>
          <w:docGrid w:linePitch="360"/>
        </w:sectPr>
      </w:pPr>
    </w:p>
    <w:p w14:paraId="2B3C1929" w14:textId="0D9752F7" w:rsidR="001E7684" w:rsidRPr="008E0DE9" w:rsidRDefault="00547D3D" w:rsidP="00A44392">
      <w:pPr>
        <w:pStyle w:val="Default"/>
        <w:widowControl w:val="0"/>
        <w:snapToGrid w:val="0"/>
        <w:jc w:val="center"/>
        <w:rPr>
          <w:rFonts w:cstheme="minorBidi"/>
          <w:color w:val="000000" w:themeColor="text1"/>
        </w:rPr>
      </w:pPr>
      <w:r w:rsidRPr="008E0DE9">
        <w:rPr>
          <w:rFonts w:cstheme="minorBidi"/>
          <w:color w:val="000000" w:themeColor="text1"/>
        </w:rPr>
        <w:lastRenderedPageBreak/>
        <w:t xml:space="preserve">PEDOMAN PENETAPAN PERINGKAT KOMPOSIT TINGKAT KESEHATAN </w:t>
      </w:r>
      <w:r w:rsidR="00370823" w:rsidRPr="008E0DE9">
        <w:rPr>
          <w:rFonts w:cstheme="minorBidi"/>
          <w:color w:val="000000" w:themeColor="text1"/>
          <w:lang w:val="en-US"/>
        </w:rPr>
        <w:t>PERGADAIAN</w:t>
      </w:r>
      <w:r w:rsidRPr="008E0DE9">
        <w:rPr>
          <w:rFonts w:cstheme="minorBidi"/>
          <w:color w:val="000000" w:themeColor="text1"/>
          <w:lang w:val="en-US"/>
        </w:rPr>
        <w:t xml:space="preserve"> </w:t>
      </w:r>
    </w:p>
    <w:p w14:paraId="3B9E0559" w14:textId="77777777" w:rsidR="001E7684" w:rsidRPr="008E0DE9" w:rsidRDefault="001E7684" w:rsidP="001174BF">
      <w:pPr>
        <w:pStyle w:val="Default"/>
        <w:widowControl w:val="0"/>
        <w:snapToGrid w:val="0"/>
        <w:rPr>
          <w:rFonts w:cstheme="minorBidi"/>
          <w:color w:val="000000" w:themeColor="text1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30"/>
        <w:gridCol w:w="1843"/>
        <w:gridCol w:w="8221"/>
      </w:tblGrid>
      <w:tr w:rsidR="008E0DE9" w:rsidRPr="008E0DE9" w14:paraId="1A665758" w14:textId="77777777" w:rsidTr="00BE0A87">
        <w:trPr>
          <w:trHeight w:val="469"/>
          <w:tblHeader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3FFDCD" w14:textId="77777777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Peringkat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A970AAF" w14:textId="248B4879" w:rsidR="00050F2B" w:rsidRPr="008E0DE9" w:rsidRDefault="00425052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Total Nilai Setelah Pembobotan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90E755" w14:textId="68281D68" w:rsidR="00050F2B" w:rsidRPr="008E0DE9" w:rsidRDefault="004959C7" w:rsidP="00425052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Kondisi Perusahaan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09F86C7B" w14:textId="3549355C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Penjelasan</w:t>
            </w:r>
          </w:p>
        </w:tc>
      </w:tr>
      <w:tr w:rsidR="008E0DE9" w:rsidRPr="008E0DE9" w14:paraId="343D1EAB" w14:textId="77777777" w:rsidTr="00BE0A87">
        <w:trPr>
          <w:trHeight w:val="1212"/>
        </w:trPr>
        <w:tc>
          <w:tcPr>
            <w:tcW w:w="1384" w:type="dxa"/>
            <w:vAlign w:val="center"/>
          </w:tcPr>
          <w:p w14:paraId="7E481C03" w14:textId="5C7E1E56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PK-1</w:t>
            </w:r>
          </w:p>
        </w:tc>
        <w:tc>
          <w:tcPr>
            <w:tcW w:w="1730" w:type="dxa"/>
            <w:vAlign w:val="center"/>
          </w:tcPr>
          <w:p w14:paraId="7F10446C" w14:textId="316B5A45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1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00 – 1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14:paraId="78181C99" w14:textId="20BD46BB" w:rsidR="00050F2B" w:rsidRPr="008E0DE9" w:rsidRDefault="004959C7" w:rsidP="004959C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Sangat Sehat</w:t>
            </w:r>
          </w:p>
        </w:tc>
        <w:tc>
          <w:tcPr>
            <w:tcW w:w="8221" w:type="dxa"/>
          </w:tcPr>
          <w:p w14:paraId="2F6797F3" w14:textId="7DC7E138" w:rsidR="00050F2B" w:rsidRPr="008E0DE9" w:rsidRDefault="00050F2B" w:rsidP="001174BF">
            <w:pPr>
              <w:pStyle w:val="Default"/>
              <w:widowControl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8E0DE9">
              <w:rPr>
                <w:color w:val="000000" w:themeColor="text1"/>
              </w:rPr>
              <w:t xml:space="preserve">Mencerminkan kondisi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 yang secara umum sangat sehat sehingga dinilai sangat mampu menghadapi pengaruh negatif yang signifikan dari perubahan kondisi bisnis dan faktor eksternal lainnya, tercermin dari peringkat faktor penilaian antara lain </w:t>
            </w:r>
            <w:r w:rsidRPr="008E0DE9">
              <w:rPr>
                <w:color w:val="000000" w:themeColor="text1"/>
                <w:lang w:val="en-US"/>
              </w:rPr>
              <w:t>permodalan, kualitas piutang Pinjaman, rentabilitas, likuiditas, dan manajemen</w:t>
            </w:r>
            <w:r w:rsidRPr="008E0DE9">
              <w:rPr>
                <w:color w:val="000000" w:themeColor="text1"/>
              </w:rPr>
              <w:t xml:space="preserve"> yang secara umum sangat baik. Dalam hal terdapat kelemahan maka secara umum kelemahan tersebut tidak signifikan. </w:t>
            </w:r>
            <w:r w:rsidRPr="008E0DE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E0DE9" w:rsidRPr="008E0DE9" w14:paraId="159E65F9" w14:textId="77777777" w:rsidTr="00BE0A87">
        <w:trPr>
          <w:trHeight w:val="1028"/>
        </w:trPr>
        <w:tc>
          <w:tcPr>
            <w:tcW w:w="1384" w:type="dxa"/>
            <w:vAlign w:val="center"/>
          </w:tcPr>
          <w:p w14:paraId="27CE5459" w14:textId="77777777" w:rsidR="00050F2B" w:rsidRPr="008E0DE9" w:rsidRDefault="00050F2B" w:rsidP="001174BF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PK-2</w:t>
            </w:r>
          </w:p>
        </w:tc>
        <w:tc>
          <w:tcPr>
            <w:tcW w:w="1730" w:type="dxa"/>
            <w:vAlign w:val="center"/>
          </w:tcPr>
          <w:p w14:paraId="64487168" w14:textId="7EFBF345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1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51 – 2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vAlign w:val="center"/>
          </w:tcPr>
          <w:p w14:paraId="352239BC" w14:textId="235CD7D4" w:rsidR="00050F2B" w:rsidRPr="008E0DE9" w:rsidRDefault="004959C7" w:rsidP="004959C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Sehat</w:t>
            </w:r>
          </w:p>
        </w:tc>
        <w:tc>
          <w:tcPr>
            <w:tcW w:w="8221" w:type="dxa"/>
          </w:tcPr>
          <w:p w14:paraId="3186A616" w14:textId="53DBDFB6" w:rsidR="00050F2B" w:rsidRPr="008E0DE9" w:rsidRDefault="00050F2B" w:rsidP="001174BF">
            <w:pPr>
              <w:pStyle w:val="Default"/>
              <w:widowControl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8E0DE9">
              <w:rPr>
                <w:color w:val="000000" w:themeColor="text1"/>
              </w:rPr>
              <w:t xml:space="preserve">Mencerminkan kondisi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 yang secara umum sehat sehingga dinilai mampu menghadapi pengaruh negatif yang signifikan dari perubahan kondisi bisnis dan faktor eksternal lainnya, tercermin dari peringkat faktor penilaian antara lain </w:t>
            </w:r>
            <w:r w:rsidRPr="008E0DE9">
              <w:rPr>
                <w:color w:val="000000" w:themeColor="text1"/>
                <w:lang w:val="en-US"/>
              </w:rPr>
              <w:t>permodalan, kualitas piutang Pinjaman, rentabilitas, likuiditas, dan manajemen</w:t>
            </w:r>
            <w:r w:rsidRPr="008E0DE9">
              <w:rPr>
                <w:color w:val="000000" w:themeColor="text1"/>
              </w:rPr>
              <w:t xml:space="preserve"> yang secara umum baik. Dalam hal terdapat kelemahan maka secara umum kelemahan tersebut kurang signifikan. </w:t>
            </w:r>
            <w:r w:rsidRPr="008E0DE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8E0DE9" w:rsidRPr="008E0DE9" w14:paraId="1F2CF140" w14:textId="77777777" w:rsidTr="00BE0A87">
        <w:trPr>
          <w:trHeight w:val="1395"/>
        </w:trPr>
        <w:tc>
          <w:tcPr>
            <w:tcW w:w="1384" w:type="dxa"/>
            <w:vAlign w:val="center"/>
          </w:tcPr>
          <w:p w14:paraId="78BABBF9" w14:textId="77777777" w:rsidR="00050F2B" w:rsidRPr="008E0DE9" w:rsidRDefault="00050F2B" w:rsidP="001174BF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PK-3</w:t>
            </w:r>
          </w:p>
        </w:tc>
        <w:tc>
          <w:tcPr>
            <w:tcW w:w="1730" w:type="dxa"/>
            <w:vAlign w:val="center"/>
          </w:tcPr>
          <w:p w14:paraId="5F1095BF" w14:textId="36F52F0A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2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61 – 3</w:t>
            </w:r>
            <w:r w:rsidR="003C4F87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40</w:t>
            </w:r>
          </w:p>
        </w:tc>
        <w:tc>
          <w:tcPr>
            <w:tcW w:w="1843" w:type="dxa"/>
            <w:vAlign w:val="center"/>
          </w:tcPr>
          <w:p w14:paraId="6D660BC3" w14:textId="6B39E419" w:rsidR="00050F2B" w:rsidRPr="008E0DE9" w:rsidRDefault="004959C7" w:rsidP="004959C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Cukup Sehat</w:t>
            </w:r>
          </w:p>
        </w:tc>
        <w:tc>
          <w:tcPr>
            <w:tcW w:w="8221" w:type="dxa"/>
          </w:tcPr>
          <w:p w14:paraId="2ECA3A57" w14:textId="41B5901A" w:rsidR="00050F2B" w:rsidRPr="008E0DE9" w:rsidRDefault="00050F2B" w:rsidP="001174BF">
            <w:pPr>
              <w:pStyle w:val="Default"/>
              <w:widowControl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8E0DE9">
              <w:rPr>
                <w:color w:val="000000" w:themeColor="text1"/>
              </w:rPr>
              <w:t xml:space="preserve">Mencerminkan kondisi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 yang secara umum cukup sehat sehingga dinilai cukup mampu menghadapi pengaruh negatif yang signifikan dari perubahan kondisi bisnis dan faktor eksternal lainnya, tercermin dari peringkat faktor penilaian antara lain </w:t>
            </w:r>
            <w:r w:rsidRPr="008E0DE9">
              <w:rPr>
                <w:color w:val="000000" w:themeColor="text1"/>
                <w:lang w:val="en-US"/>
              </w:rPr>
              <w:t>permodalan, kualitas piutang Pinjaman, rentabilitas, likuiditas, dan manajemen</w:t>
            </w:r>
            <w:r w:rsidRPr="008E0DE9">
              <w:rPr>
                <w:color w:val="000000" w:themeColor="text1"/>
              </w:rPr>
              <w:t xml:space="preserve"> yang secara umum cukup baik. Dalam hal terdapat kelemahan maka secara umum kelemahan tersebut cukup signifikan dan apabila tidak berhasil diatasi dengan baik oleh manajemen dapat mengganggu kelangsungan usaha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. </w:t>
            </w:r>
          </w:p>
        </w:tc>
      </w:tr>
      <w:tr w:rsidR="008E0DE9" w:rsidRPr="008E0DE9" w14:paraId="7E138B78" w14:textId="77777777" w:rsidTr="00BE0A87">
        <w:trPr>
          <w:trHeight w:val="781"/>
        </w:trPr>
        <w:tc>
          <w:tcPr>
            <w:tcW w:w="1384" w:type="dxa"/>
            <w:vAlign w:val="center"/>
          </w:tcPr>
          <w:p w14:paraId="1A2FEF55" w14:textId="77777777" w:rsidR="00050F2B" w:rsidRPr="008E0DE9" w:rsidRDefault="00050F2B" w:rsidP="001174BF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PK-4</w:t>
            </w:r>
          </w:p>
        </w:tc>
        <w:tc>
          <w:tcPr>
            <w:tcW w:w="1730" w:type="dxa"/>
            <w:vAlign w:val="center"/>
          </w:tcPr>
          <w:p w14:paraId="0009994D" w14:textId="1543FCC9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3</w:t>
            </w:r>
            <w:r w:rsidR="00696ADA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41 – 4</w:t>
            </w:r>
            <w:r w:rsidR="00696ADA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Align w:val="center"/>
          </w:tcPr>
          <w:p w14:paraId="1D2EE7B7" w14:textId="07B9C59E" w:rsidR="00050F2B" w:rsidRPr="008E0DE9" w:rsidRDefault="004959C7" w:rsidP="004959C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Kurang Sehat</w:t>
            </w:r>
          </w:p>
        </w:tc>
        <w:tc>
          <w:tcPr>
            <w:tcW w:w="8221" w:type="dxa"/>
          </w:tcPr>
          <w:p w14:paraId="3BFD4381" w14:textId="1F47B672" w:rsidR="00050F2B" w:rsidRPr="008E0DE9" w:rsidRDefault="00050F2B" w:rsidP="001174BF">
            <w:pPr>
              <w:pStyle w:val="Default"/>
              <w:widowControl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8E0DE9">
              <w:rPr>
                <w:color w:val="000000" w:themeColor="text1"/>
              </w:rPr>
              <w:t xml:space="preserve">Mencerminkan kondisi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 yang secara umum kurang sehat sehingga dinilai kurang mampu menghadapi pengaruh negatif yang signifikan dari perubahan kondisi bisnis dan faktor eksternal lainnya, tercermin dari peringkat faktor penilaian antara lain </w:t>
            </w:r>
            <w:r w:rsidRPr="008E0DE9">
              <w:rPr>
                <w:color w:val="000000" w:themeColor="text1"/>
                <w:lang w:val="en-US"/>
              </w:rPr>
              <w:t xml:space="preserve">permodalan, kualitas piutang Pinjaman, rentabilitas, likuiditas, dan </w:t>
            </w:r>
            <w:r w:rsidRPr="008E0DE9">
              <w:rPr>
                <w:color w:val="000000" w:themeColor="text1"/>
                <w:lang w:val="en-US"/>
              </w:rPr>
              <w:lastRenderedPageBreak/>
              <w:t>manajemen</w:t>
            </w:r>
            <w:r w:rsidRPr="008E0DE9">
              <w:rPr>
                <w:color w:val="000000" w:themeColor="text1"/>
              </w:rPr>
              <w:t xml:space="preserve"> yang secara umum kurang baik. Terdapat kelemahan yang secara umum signifikan dan tidak dapat diatasi dengan baik oleh manajemen serta mengganggu kelangsungan usaha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. </w:t>
            </w:r>
            <w:r w:rsidRPr="008E0DE9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050F2B" w:rsidRPr="008E0DE9" w14:paraId="2E56779A" w14:textId="77777777" w:rsidTr="00BE0A87">
        <w:trPr>
          <w:trHeight w:val="478"/>
        </w:trPr>
        <w:tc>
          <w:tcPr>
            <w:tcW w:w="1384" w:type="dxa"/>
            <w:vAlign w:val="center"/>
          </w:tcPr>
          <w:p w14:paraId="4EDA721B" w14:textId="77777777" w:rsidR="00050F2B" w:rsidRPr="008E0DE9" w:rsidRDefault="00050F2B" w:rsidP="001174BF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lastRenderedPageBreak/>
              <w:t>PK-5</w:t>
            </w:r>
          </w:p>
        </w:tc>
        <w:tc>
          <w:tcPr>
            <w:tcW w:w="1730" w:type="dxa"/>
            <w:vAlign w:val="center"/>
          </w:tcPr>
          <w:p w14:paraId="46F71780" w14:textId="486D84CA" w:rsidR="00050F2B" w:rsidRPr="008E0DE9" w:rsidRDefault="00050F2B" w:rsidP="00564A30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</w:rPr>
            </w:pPr>
            <w:r w:rsidRPr="008E0DE9">
              <w:rPr>
                <w:color w:val="000000" w:themeColor="text1"/>
              </w:rPr>
              <w:t>4</w:t>
            </w:r>
            <w:r w:rsidR="00B17402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21 – 5</w:t>
            </w:r>
            <w:r w:rsidR="00B17402" w:rsidRPr="008E0DE9">
              <w:rPr>
                <w:color w:val="000000" w:themeColor="text1"/>
                <w:lang w:val="en-GB"/>
              </w:rPr>
              <w:t>,</w:t>
            </w:r>
            <w:r w:rsidRPr="008E0DE9">
              <w:rPr>
                <w:color w:val="000000" w:themeColor="text1"/>
              </w:rPr>
              <w:t>00</w:t>
            </w:r>
          </w:p>
        </w:tc>
        <w:tc>
          <w:tcPr>
            <w:tcW w:w="1843" w:type="dxa"/>
            <w:vAlign w:val="center"/>
          </w:tcPr>
          <w:p w14:paraId="49EDCBE6" w14:textId="27925FBE" w:rsidR="00050F2B" w:rsidRPr="008E0DE9" w:rsidRDefault="004959C7" w:rsidP="004959C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lang w:val="en-GB"/>
              </w:rPr>
            </w:pPr>
            <w:r w:rsidRPr="008E0DE9">
              <w:rPr>
                <w:color w:val="000000" w:themeColor="text1"/>
                <w:lang w:val="en-GB"/>
              </w:rPr>
              <w:t>Tidak Sehat</w:t>
            </w:r>
          </w:p>
        </w:tc>
        <w:tc>
          <w:tcPr>
            <w:tcW w:w="8221" w:type="dxa"/>
          </w:tcPr>
          <w:p w14:paraId="2D5844DC" w14:textId="2EAD5049" w:rsidR="00050F2B" w:rsidRPr="008E0DE9" w:rsidRDefault="00050F2B" w:rsidP="001174BF">
            <w:pPr>
              <w:pStyle w:val="Default"/>
              <w:widowControl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8E0DE9">
              <w:rPr>
                <w:color w:val="000000" w:themeColor="text1"/>
              </w:rPr>
              <w:t xml:space="preserve">Mencerminkan kondisi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 xml:space="preserve"> yang secara umum tidak sehat sehingga dinilai tidak mampu menghadapi pengaruh negatif yang signifikan dari perubahan kondisi bisnis dan faktor eksternal lainnya, tercermin dari peringkat faktor penilaian antara lain </w:t>
            </w:r>
            <w:r w:rsidRPr="008E0DE9">
              <w:rPr>
                <w:color w:val="000000" w:themeColor="text1"/>
                <w:lang w:val="en-US"/>
              </w:rPr>
              <w:t>permodalan, kualitas piutang Pinjaman, rentabilitas, likuiditas, dan manajemen</w:t>
            </w:r>
            <w:r w:rsidRPr="008E0DE9">
              <w:rPr>
                <w:color w:val="000000" w:themeColor="text1"/>
              </w:rPr>
              <w:t xml:space="preserve"> yang secara umum tidak baik. Terdapat kelemahan yang secara umum sangat signifikan sehingga untuk mengatasinya diperlukan dukungan dana dari </w:t>
            </w:r>
            <w:r w:rsidRPr="008E0DE9">
              <w:rPr>
                <w:color w:val="000000" w:themeColor="text1"/>
                <w:lang w:val="en-US"/>
              </w:rPr>
              <w:t>pemilik</w:t>
            </w:r>
            <w:r w:rsidRPr="008E0DE9">
              <w:rPr>
                <w:color w:val="000000" w:themeColor="text1"/>
              </w:rPr>
              <w:t xml:space="preserve"> atau sumber dana dari pihak lain untuk </w:t>
            </w:r>
            <w:r w:rsidRPr="008E0DE9">
              <w:rPr>
                <w:color w:val="000000" w:themeColor="text1"/>
                <w:lang w:val="en-US"/>
              </w:rPr>
              <w:t>memperbaiki</w:t>
            </w:r>
            <w:r w:rsidRPr="008E0DE9">
              <w:rPr>
                <w:color w:val="000000" w:themeColor="text1"/>
              </w:rPr>
              <w:t xml:space="preserve"> kondisi keuangan </w:t>
            </w:r>
            <w:r w:rsidRPr="008E0DE9">
              <w:rPr>
                <w:color w:val="000000" w:themeColor="text1"/>
                <w:lang w:val="en-US"/>
              </w:rPr>
              <w:t>Perusahaan</w:t>
            </w:r>
            <w:r w:rsidRPr="008E0DE9">
              <w:rPr>
                <w:color w:val="000000" w:themeColor="text1"/>
              </w:rPr>
              <w:t>.</w:t>
            </w:r>
            <w:r w:rsidRPr="008E0DE9">
              <w:rPr>
                <w:color w:val="000000" w:themeColor="text1"/>
                <w:lang w:val="en-US"/>
              </w:rPr>
              <w:t xml:space="preserve">    </w:t>
            </w:r>
          </w:p>
        </w:tc>
      </w:tr>
    </w:tbl>
    <w:p w14:paraId="463713F4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4A055CA5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p w14:paraId="4ABFFA16" w14:textId="77777777" w:rsidR="007B5966" w:rsidRPr="008E0DE9" w:rsidRDefault="007B5966" w:rsidP="00513251">
      <w:pPr>
        <w:pStyle w:val="Default"/>
        <w:widowControl w:val="0"/>
        <w:snapToGrid w:val="0"/>
        <w:ind w:left="8364"/>
        <w:jc w:val="both"/>
        <w:rPr>
          <w:color w:val="000000" w:themeColor="text1"/>
        </w:rPr>
      </w:pPr>
      <w:r w:rsidRPr="008E0DE9">
        <w:rPr>
          <w:color w:val="000000" w:themeColor="text1"/>
        </w:rPr>
        <w:t xml:space="preserve">Ditetapkan di Jakarta </w:t>
      </w:r>
    </w:p>
    <w:p w14:paraId="41E9F728" w14:textId="0F19E047" w:rsidR="007B5966" w:rsidRPr="00DE7FA8" w:rsidRDefault="007B5966" w:rsidP="00513251">
      <w:pPr>
        <w:pStyle w:val="Default"/>
        <w:widowControl w:val="0"/>
        <w:snapToGrid w:val="0"/>
        <w:ind w:left="8364"/>
        <w:jc w:val="both"/>
        <w:rPr>
          <w:color w:val="000000" w:themeColor="text1"/>
          <w:lang w:val="en-GB"/>
        </w:rPr>
      </w:pPr>
      <w:r w:rsidRPr="008E0DE9">
        <w:rPr>
          <w:color w:val="000000" w:themeColor="text1"/>
        </w:rPr>
        <w:t xml:space="preserve">pada tanggal      </w:t>
      </w:r>
      <w:r w:rsidR="00DE7FA8">
        <w:rPr>
          <w:color w:val="000000" w:themeColor="text1"/>
          <w:lang w:val="en-GB"/>
        </w:rPr>
        <w:t>….</w:t>
      </w:r>
    </w:p>
    <w:p w14:paraId="47BB9937" w14:textId="77777777" w:rsidR="007B5966" w:rsidRPr="008E0DE9" w:rsidRDefault="007B5966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02F1AB1A" w14:textId="77777777" w:rsidR="007B5966" w:rsidRPr="008E0DE9" w:rsidRDefault="007B5966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</w:rPr>
        <w:t>OTORITAS JASA KEUANGAN REPUBLIK INDONESIA</w:t>
      </w:r>
      <w:r w:rsidRPr="008E0DE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,  </w:t>
      </w:r>
    </w:p>
    <w:p w14:paraId="0C3DA8F0" w14:textId="77777777" w:rsidR="007B5966" w:rsidRPr="008E0DE9" w:rsidRDefault="007B5966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3486C446" w14:textId="77777777" w:rsidR="007B5966" w:rsidRPr="008E0DE9" w:rsidRDefault="00C24D0E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</w:t>
      </w:r>
    </w:p>
    <w:p w14:paraId="31248E08" w14:textId="77777777" w:rsidR="007B5966" w:rsidRPr="008E0DE9" w:rsidRDefault="007B5966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</w:t>
      </w:r>
    </w:p>
    <w:p w14:paraId="6269A6FA" w14:textId="77777777" w:rsidR="007B5966" w:rsidRPr="008E0DE9" w:rsidRDefault="007B5966" w:rsidP="00513251">
      <w:pPr>
        <w:pStyle w:val="ListParagraph"/>
        <w:widowControl w:val="0"/>
        <w:adjustRightInd w:val="0"/>
        <w:snapToGrid w:val="0"/>
        <w:spacing w:after="0" w:line="240" w:lineRule="auto"/>
        <w:ind w:left="8364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</w:t>
      </w:r>
    </w:p>
    <w:p w14:paraId="0A37B3C1" w14:textId="77777777" w:rsidR="001E7684" w:rsidRPr="008E0DE9" w:rsidRDefault="007B5966" w:rsidP="00513251">
      <w:pPr>
        <w:widowControl w:val="0"/>
        <w:adjustRightInd w:val="0"/>
        <w:snapToGrid w:val="0"/>
        <w:spacing w:after="0" w:line="240" w:lineRule="auto"/>
        <w:ind w:left="8364"/>
        <w:rPr>
          <w:color w:val="000000" w:themeColor="text1"/>
        </w:rPr>
      </w:pPr>
      <w:r w:rsidRPr="008E0DE9">
        <w:rPr>
          <w:rFonts w:ascii="Bookman Old Style" w:hAnsi="Bookman Old Style"/>
          <w:color w:val="000000" w:themeColor="text1"/>
          <w:sz w:val="24"/>
          <w:szCs w:val="24"/>
        </w:rPr>
        <w:t xml:space="preserve">AGUSMAN  </w:t>
      </w:r>
    </w:p>
    <w:p w14:paraId="15F7B6B4" w14:textId="77777777" w:rsidR="001E7684" w:rsidRPr="008E0DE9" w:rsidRDefault="001E7684" w:rsidP="001174BF">
      <w:pPr>
        <w:widowControl w:val="0"/>
        <w:adjustRightInd w:val="0"/>
        <w:snapToGrid w:val="0"/>
        <w:spacing w:after="0" w:line="240" w:lineRule="auto"/>
        <w:rPr>
          <w:color w:val="000000" w:themeColor="text1"/>
        </w:rPr>
      </w:pPr>
    </w:p>
    <w:sectPr w:rsidR="001E7684" w:rsidRPr="008E0DE9" w:rsidSect="00947BE2">
      <w:headerReference w:type="first" r:id="rId9"/>
      <w:pgSz w:w="15840" w:h="12240" w:orient="landscape"/>
      <w:pgMar w:top="1418" w:right="1418" w:bottom="1418" w:left="1418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38C2" w14:textId="77777777" w:rsidR="00312A64" w:rsidRDefault="00312A64" w:rsidP="001174BF">
      <w:pPr>
        <w:spacing w:after="0" w:line="240" w:lineRule="auto"/>
      </w:pPr>
      <w:r>
        <w:separator/>
      </w:r>
    </w:p>
  </w:endnote>
  <w:endnote w:type="continuationSeparator" w:id="0">
    <w:p w14:paraId="78176CF9" w14:textId="77777777" w:rsidR="00312A64" w:rsidRDefault="00312A64" w:rsidP="0011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8B4A" w14:textId="77777777" w:rsidR="00312A64" w:rsidRDefault="00312A64" w:rsidP="001174BF">
      <w:pPr>
        <w:spacing w:after="0" w:line="240" w:lineRule="auto"/>
      </w:pPr>
      <w:r>
        <w:separator/>
      </w:r>
    </w:p>
  </w:footnote>
  <w:footnote w:type="continuationSeparator" w:id="0">
    <w:p w14:paraId="41731B17" w14:textId="77777777" w:rsidR="00312A64" w:rsidRDefault="00312A64" w:rsidP="0011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544318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7EBBA44" w14:textId="21D3EFA8" w:rsidR="00A44392" w:rsidRDefault="00A44392" w:rsidP="006A05A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79900B" w14:textId="77777777" w:rsidR="00A44392" w:rsidRDefault="00A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ookman Old Style" w:hAnsi="Bookman Old Style"/>
        <w:sz w:val="24"/>
        <w:szCs w:val="24"/>
      </w:rPr>
      <w:id w:val="7409883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D5390C" w14:textId="528B6E5B" w:rsidR="00A44392" w:rsidRPr="00A44392" w:rsidRDefault="00A44392" w:rsidP="006A05AE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A44392">
          <w:rPr>
            <w:rStyle w:val="PageNumber"/>
            <w:rFonts w:ascii="Bookman Old Style" w:hAnsi="Bookman Old Style"/>
            <w:noProof/>
            <w:sz w:val="24"/>
            <w:szCs w:val="24"/>
          </w:rPr>
          <w:t>- 0 -</w:t>
        </w:r>
        <w:r w:rsidRPr="00A44392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4F769827" w14:textId="77777777" w:rsidR="00A44392" w:rsidRDefault="00A44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2815485"/>
      <w:docPartObj>
        <w:docPartGallery w:val="Page Numbers (Top of Page)"/>
        <w:docPartUnique/>
      </w:docPartObj>
    </w:sdtPr>
    <w:sdtEndPr>
      <w:rPr>
        <w:rStyle w:val="PageNumber"/>
        <w:rFonts w:ascii="Bookman Old Style" w:hAnsi="Bookman Old Style"/>
        <w:sz w:val="24"/>
        <w:szCs w:val="24"/>
      </w:rPr>
    </w:sdtEndPr>
    <w:sdtContent>
      <w:p w14:paraId="75EB45CA" w14:textId="177DCE02" w:rsidR="00CF3701" w:rsidRPr="00CF3701" w:rsidRDefault="00CF3701" w:rsidP="007D7454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CF3701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CF3701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CF3701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CF3701">
          <w:rPr>
            <w:rStyle w:val="PageNumber"/>
            <w:rFonts w:ascii="Bookman Old Style" w:hAnsi="Bookman Old Style"/>
            <w:noProof/>
            <w:sz w:val="24"/>
            <w:szCs w:val="24"/>
          </w:rPr>
          <w:t>- 1 -</w:t>
        </w:r>
        <w:r w:rsidRPr="00CF3701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5E180547" w14:textId="77777777" w:rsidR="00CF3701" w:rsidRDefault="00CF3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36"/>
    <w:rsid w:val="00026674"/>
    <w:rsid w:val="00026736"/>
    <w:rsid w:val="000465A4"/>
    <w:rsid w:val="00050F2B"/>
    <w:rsid w:val="000F4284"/>
    <w:rsid w:val="001106A3"/>
    <w:rsid w:val="001174BF"/>
    <w:rsid w:val="00124ACC"/>
    <w:rsid w:val="001E7684"/>
    <w:rsid w:val="002005C5"/>
    <w:rsid w:val="00220869"/>
    <w:rsid w:val="00230DB9"/>
    <w:rsid w:val="0025507B"/>
    <w:rsid w:val="00261A04"/>
    <w:rsid w:val="0028460F"/>
    <w:rsid w:val="00312A64"/>
    <w:rsid w:val="00370823"/>
    <w:rsid w:val="003B62B9"/>
    <w:rsid w:val="003C4F87"/>
    <w:rsid w:val="00425052"/>
    <w:rsid w:val="004959C7"/>
    <w:rsid w:val="00513251"/>
    <w:rsid w:val="005264EC"/>
    <w:rsid w:val="00547D3D"/>
    <w:rsid w:val="00564A30"/>
    <w:rsid w:val="005678CC"/>
    <w:rsid w:val="005C03EC"/>
    <w:rsid w:val="00696ADA"/>
    <w:rsid w:val="006B459D"/>
    <w:rsid w:val="00722415"/>
    <w:rsid w:val="00725FE5"/>
    <w:rsid w:val="007A423E"/>
    <w:rsid w:val="007B5966"/>
    <w:rsid w:val="008D3F24"/>
    <w:rsid w:val="008E0DE9"/>
    <w:rsid w:val="00904C81"/>
    <w:rsid w:val="00926619"/>
    <w:rsid w:val="00943CC6"/>
    <w:rsid w:val="00947BE2"/>
    <w:rsid w:val="00A44392"/>
    <w:rsid w:val="00A54721"/>
    <w:rsid w:val="00A56A56"/>
    <w:rsid w:val="00A839E7"/>
    <w:rsid w:val="00B17402"/>
    <w:rsid w:val="00B44583"/>
    <w:rsid w:val="00BE0A87"/>
    <w:rsid w:val="00C0151B"/>
    <w:rsid w:val="00C03229"/>
    <w:rsid w:val="00C24D0E"/>
    <w:rsid w:val="00C8433E"/>
    <w:rsid w:val="00CA3115"/>
    <w:rsid w:val="00CF3701"/>
    <w:rsid w:val="00CF4C57"/>
    <w:rsid w:val="00DE7FA8"/>
    <w:rsid w:val="00E56FA4"/>
    <w:rsid w:val="00E743F5"/>
    <w:rsid w:val="00F05EA4"/>
    <w:rsid w:val="00F073E3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ABB7"/>
  <w15:chartTrackingRefBased/>
  <w15:docId w15:val="{29561BE2-75AA-4156-9E1C-3F718C2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C8433E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Normal"/>
    <w:uiPriority w:val="99"/>
    <w:rsid w:val="00C8433E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C8433E"/>
    <w:rPr>
      <w:rFonts w:ascii="Bookman Old Style" w:hAnsi="Bookman Old Style" w:cs="Bookman Old Style"/>
      <w:sz w:val="22"/>
      <w:szCs w:val="22"/>
    </w:rPr>
  </w:style>
  <w:style w:type="paragraph" w:customStyle="1" w:styleId="Default">
    <w:name w:val="Default"/>
    <w:rsid w:val="001E768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FontStyle22">
    <w:name w:val="Font Style22"/>
    <w:basedOn w:val="DefaultParagraphFont"/>
    <w:uiPriority w:val="99"/>
    <w:rsid w:val="001E7684"/>
    <w:rPr>
      <w:rFonts w:ascii="Bookman Old Style" w:hAnsi="Bookman Old Style" w:cs="Bookman Old Style" w:hint="default"/>
      <w:sz w:val="22"/>
      <w:szCs w:val="22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7B5966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7B5966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BF"/>
  </w:style>
  <w:style w:type="paragraph" w:styleId="Footer">
    <w:name w:val="footer"/>
    <w:basedOn w:val="Normal"/>
    <w:link w:val="FooterChar"/>
    <w:uiPriority w:val="99"/>
    <w:unhideWhenUsed/>
    <w:rsid w:val="0011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BF"/>
  </w:style>
  <w:style w:type="character" w:styleId="PageNumber">
    <w:name w:val="page number"/>
    <w:basedOn w:val="DefaultParagraphFont"/>
    <w:uiPriority w:val="99"/>
    <w:semiHidden/>
    <w:unhideWhenUsed/>
    <w:rsid w:val="00A4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81F872-2B8C-460C-9D7C-B2809E8CDC16}"/>
</file>

<file path=customXml/itemProps2.xml><?xml version="1.0" encoding="utf-8"?>
<ds:datastoreItem xmlns:ds="http://schemas.openxmlformats.org/officeDocument/2006/customXml" ds:itemID="{B3820625-2CDF-4C12-9F64-EA2D0C146F0B}"/>
</file>

<file path=customXml/itemProps3.xml><?xml version="1.0" encoding="utf-8"?>
<ds:datastoreItem xmlns:ds="http://schemas.openxmlformats.org/officeDocument/2006/customXml" ds:itemID="{05D2F6A2-DCA9-4AD1-BFAE-EE5C014DD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Elsa Ryan Ramdhani</cp:lastModifiedBy>
  <cp:revision>8</cp:revision>
  <dcterms:created xsi:type="dcterms:W3CDTF">2025-08-04T03:39:00Z</dcterms:created>
  <dcterms:modified xsi:type="dcterms:W3CDTF">2025-08-05T03:51:00Z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