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B768B" w14:textId="77777777" w:rsidR="00754D3B" w:rsidRPr="0055007D" w:rsidRDefault="00754D3B" w:rsidP="007136B3">
      <w:pPr>
        <w:spacing w:before="60" w:after="60" w:line="276" w:lineRule="auto"/>
        <w:rPr>
          <w:color w:val="000000" w:themeColor="text1"/>
        </w:rPr>
      </w:pPr>
    </w:p>
    <w:p w14:paraId="415F7841" w14:textId="77777777" w:rsidR="007136B3" w:rsidRPr="0055007D" w:rsidRDefault="007136B3" w:rsidP="007136B3">
      <w:pPr>
        <w:pStyle w:val="Style1"/>
        <w:widowControl/>
        <w:spacing w:before="60" w:after="60" w:line="276" w:lineRule="auto"/>
        <w:rPr>
          <w:rStyle w:val="FontStyle29"/>
          <w:color w:val="000000" w:themeColor="text1"/>
          <w:sz w:val="24"/>
          <w:szCs w:val="24"/>
          <w:lang w:val="id-ID" w:eastAsia="id-ID"/>
        </w:rPr>
      </w:pPr>
    </w:p>
    <w:p w14:paraId="06953394" w14:textId="77777777" w:rsidR="0004768E" w:rsidRPr="0055007D" w:rsidRDefault="0004768E" w:rsidP="007136B3">
      <w:pPr>
        <w:pStyle w:val="Style1"/>
        <w:widowControl/>
        <w:spacing w:before="60" w:after="60" w:line="276" w:lineRule="auto"/>
        <w:rPr>
          <w:rStyle w:val="FontStyle29"/>
          <w:sz w:val="24"/>
          <w:szCs w:val="24"/>
          <w:lang w:val="id-ID" w:eastAsia="id-ID"/>
        </w:rPr>
      </w:pPr>
      <w:r w:rsidRPr="0055007D">
        <w:rPr>
          <w:rStyle w:val="FontStyle29"/>
          <w:sz w:val="24"/>
          <w:szCs w:val="24"/>
          <w:lang w:val="id-ID" w:eastAsia="id-ID"/>
        </w:rPr>
        <w:t xml:space="preserve">LAMPIRAN </w:t>
      </w:r>
      <w:r w:rsidR="009526F4" w:rsidRPr="0055007D">
        <w:rPr>
          <w:rStyle w:val="FontStyle29"/>
          <w:sz w:val="24"/>
          <w:szCs w:val="24"/>
          <w:lang w:val="id-ID" w:eastAsia="id-ID"/>
        </w:rPr>
        <w:t>IV</w:t>
      </w:r>
    </w:p>
    <w:p w14:paraId="24E85FB4" w14:textId="77777777" w:rsidR="007136B3" w:rsidRPr="0055007D" w:rsidRDefault="0004768E" w:rsidP="007136B3">
      <w:pPr>
        <w:pStyle w:val="Style1"/>
        <w:widowControl/>
        <w:spacing w:before="60" w:after="60" w:line="276" w:lineRule="auto"/>
        <w:jc w:val="left"/>
        <w:rPr>
          <w:rStyle w:val="FontStyle29"/>
          <w:sz w:val="24"/>
          <w:szCs w:val="24"/>
          <w:lang w:val="id-ID" w:eastAsia="id-ID"/>
        </w:rPr>
      </w:pPr>
      <w:r w:rsidRPr="0055007D">
        <w:rPr>
          <w:rStyle w:val="FontStyle29"/>
          <w:sz w:val="24"/>
          <w:szCs w:val="24"/>
          <w:lang w:val="id-ID" w:eastAsia="id-ID"/>
        </w:rPr>
        <w:t xml:space="preserve">SURAT EDARAN OTORITAS JASA KEUANGAN </w:t>
      </w:r>
    </w:p>
    <w:p w14:paraId="01AC32F1" w14:textId="65FB41FE" w:rsidR="008776E4" w:rsidRPr="0055007D" w:rsidRDefault="0004768E" w:rsidP="007136B3">
      <w:pPr>
        <w:pStyle w:val="Style1"/>
        <w:widowControl/>
        <w:spacing w:before="60" w:after="60" w:line="276" w:lineRule="auto"/>
        <w:jc w:val="left"/>
      </w:pPr>
      <w:r w:rsidRPr="0055007D">
        <w:rPr>
          <w:rStyle w:val="FontStyle29"/>
          <w:sz w:val="24"/>
          <w:szCs w:val="24"/>
          <w:lang w:val="id-ID" w:eastAsia="id-ID"/>
        </w:rPr>
        <w:t xml:space="preserve">NOMOR </w:t>
      </w:r>
      <w:r w:rsidR="009526F4" w:rsidRPr="0055007D">
        <w:rPr>
          <w:rStyle w:val="FontStyle29"/>
          <w:sz w:val="24"/>
          <w:szCs w:val="24"/>
          <w:lang w:val="id-ID" w:eastAsia="id-ID"/>
        </w:rPr>
        <w:t>...</w:t>
      </w:r>
      <w:r w:rsidRPr="0055007D">
        <w:rPr>
          <w:rStyle w:val="FontStyle29"/>
          <w:sz w:val="24"/>
          <w:szCs w:val="24"/>
          <w:lang w:val="id-ID" w:eastAsia="id-ID"/>
        </w:rPr>
        <w:t xml:space="preserve"> /SEOJK.05/20</w:t>
      </w:r>
      <w:r w:rsidR="0009249C" w:rsidRPr="0055007D">
        <w:rPr>
          <w:rStyle w:val="FontStyle29"/>
          <w:sz w:val="24"/>
          <w:szCs w:val="24"/>
          <w:lang w:eastAsia="id-ID"/>
        </w:rPr>
        <w:t>20</w:t>
      </w:r>
    </w:p>
    <w:p w14:paraId="462B0405" w14:textId="77777777" w:rsidR="008776E4" w:rsidRPr="0055007D" w:rsidRDefault="008776E4" w:rsidP="007136B3">
      <w:pPr>
        <w:pStyle w:val="Style1"/>
        <w:widowControl/>
        <w:spacing w:before="60" w:after="60" w:line="276" w:lineRule="auto"/>
        <w:jc w:val="left"/>
      </w:pPr>
    </w:p>
    <w:p w14:paraId="7B45FDB2" w14:textId="77777777" w:rsidR="008776E4" w:rsidRPr="0055007D" w:rsidRDefault="008776E4" w:rsidP="007136B3">
      <w:pPr>
        <w:pStyle w:val="Style1"/>
        <w:widowControl/>
        <w:spacing w:before="60" w:after="60" w:line="276" w:lineRule="auto"/>
        <w:jc w:val="left"/>
        <w:rPr>
          <w:rFonts w:cs="Bookman Old Style"/>
          <w:lang w:val="id-ID" w:eastAsia="id-ID"/>
        </w:rPr>
      </w:pPr>
      <w:r w:rsidRPr="0055007D">
        <w:rPr>
          <w:rStyle w:val="FontStyle29"/>
          <w:sz w:val="24"/>
          <w:szCs w:val="24"/>
          <w:lang w:val="id-ID" w:eastAsia="id-ID"/>
        </w:rPr>
        <w:t>TENTANG</w:t>
      </w:r>
    </w:p>
    <w:p w14:paraId="47228A41" w14:textId="77777777" w:rsidR="008776E4" w:rsidRPr="0055007D" w:rsidRDefault="00EB4638" w:rsidP="007136B3">
      <w:pPr>
        <w:pStyle w:val="Style1"/>
        <w:widowControl/>
        <w:spacing w:before="60" w:after="60" w:line="276" w:lineRule="auto"/>
        <w:rPr>
          <w:rStyle w:val="FontStyle29"/>
          <w:sz w:val="24"/>
          <w:szCs w:val="24"/>
          <w:lang w:val="id-ID" w:eastAsia="id-ID"/>
        </w:rPr>
      </w:pPr>
      <w:r w:rsidRPr="0055007D">
        <w:rPr>
          <w:rStyle w:val="FontStyle29"/>
          <w:sz w:val="24"/>
          <w:szCs w:val="24"/>
          <w:lang w:val="id-ID" w:eastAsia="id-ID"/>
        </w:rPr>
        <w:t xml:space="preserve">PENILAIAN TINGKAT KESEHATAN </w:t>
      </w:r>
      <w:r w:rsidR="00087CB1" w:rsidRPr="0055007D">
        <w:rPr>
          <w:rStyle w:val="FontStyle29"/>
          <w:sz w:val="24"/>
          <w:szCs w:val="24"/>
          <w:lang w:val="id-ID" w:eastAsia="id-ID"/>
        </w:rPr>
        <w:t xml:space="preserve">PERUSAHAAN </w:t>
      </w:r>
      <w:r w:rsidR="00087CB1" w:rsidRPr="0055007D">
        <w:rPr>
          <w:rStyle w:val="FontStyle29"/>
          <w:sz w:val="24"/>
          <w:szCs w:val="24"/>
          <w:lang w:eastAsia="id-ID"/>
        </w:rPr>
        <w:t xml:space="preserve">ASURANSI, PERUSAHAAN REASURANSI, </w:t>
      </w:r>
      <w:r w:rsidR="00087CB1" w:rsidRPr="0055007D">
        <w:rPr>
          <w:rStyle w:val="FontStyle29"/>
          <w:sz w:val="24"/>
          <w:szCs w:val="24"/>
          <w:lang w:val="id-ID" w:eastAsia="id-ID"/>
        </w:rPr>
        <w:t xml:space="preserve">PERUSAHAAN </w:t>
      </w:r>
      <w:r w:rsidR="00087CB1" w:rsidRPr="0055007D">
        <w:rPr>
          <w:rStyle w:val="FontStyle29"/>
          <w:sz w:val="24"/>
          <w:szCs w:val="24"/>
          <w:lang w:eastAsia="id-ID"/>
        </w:rPr>
        <w:t>ASURANSI SYARIAH, DAN PERUSAHAAN REASURANSI SYARIAH</w:t>
      </w:r>
    </w:p>
    <w:p w14:paraId="131EAB5E" w14:textId="77777777" w:rsidR="00EB4638" w:rsidRPr="0055007D" w:rsidRDefault="00EB4638" w:rsidP="007136B3">
      <w:pPr>
        <w:pStyle w:val="Style1"/>
        <w:widowControl/>
        <w:spacing w:before="60" w:after="60" w:line="276" w:lineRule="auto"/>
        <w:rPr>
          <w:rStyle w:val="FontStyle29"/>
          <w:sz w:val="24"/>
          <w:szCs w:val="24"/>
          <w:lang w:val="id-ID" w:eastAsia="id-ID"/>
        </w:rPr>
        <w:sectPr w:rsidR="00EB4638" w:rsidRPr="0055007D" w:rsidSect="00FB1729">
          <w:headerReference w:type="even" r:id="rId8"/>
          <w:headerReference w:type="default" r:id="rId9"/>
          <w:headerReference w:type="first" r:id="rId10"/>
          <w:pgSz w:w="12242" w:h="18711" w:code="5"/>
          <w:pgMar w:top="1701" w:right="1418" w:bottom="1418" w:left="1418" w:header="720" w:footer="720" w:gutter="0"/>
          <w:cols w:space="60"/>
          <w:noEndnote/>
          <w:titlePg/>
        </w:sectPr>
      </w:pPr>
    </w:p>
    <w:p w14:paraId="1AA10121" w14:textId="77777777" w:rsidR="0081087A" w:rsidRPr="0055007D" w:rsidRDefault="0081087A" w:rsidP="0081087A">
      <w:pPr>
        <w:pStyle w:val="Style3"/>
        <w:widowControl/>
        <w:spacing w:before="60" w:after="60" w:line="276" w:lineRule="auto"/>
        <w:ind w:left="-142"/>
        <w:rPr>
          <w:rFonts w:cs="Bookman Old Style"/>
          <w:color w:val="000000" w:themeColor="text1"/>
          <w:lang w:eastAsia="id-ID"/>
        </w:rPr>
      </w:pPr>
      <w:r w:rsidRPr="0055007D">
        <w:rPr>
          <w:rStyle w:val="FontStyle29"/>
          <w:color w:val="000000" w:themeColor="text1"/>
          <w:sz w:val="24"/>
          <w:szCs w:val="24"/>
          <w:lang w:val="id-ID" w:eastAsia="id-ID"/>
        </w:rPr>
        <w:lastRenderedPageBreak/>
        <w:t xml:space="preserve">PENILAIAN FAKTOR PERMODALAN </w:t>
      </w:r>
      <w:r w:rsidRPr="0055007D">
        <w:rPr>
          <w:color w:val="000000" w:themeColor="text1"/>
        </w:rPr>
        <w:t xml:space="preserve">TINGKAT KESEHATAN </w:t>
      </w:r>
      <w:r w:rsidR="004B42E2" w:rsidRPr="0055007D">
        <w:rPr>
          <w:rFonts w:cs="Bookman Old Style"/>
          <w:color w:val="000000" w:themeColor="text1"/>
          <w:lang w:val="id-ID" w:eastAsia="id-ID"/>
        </w:rPr>
        <w:t xml:space="preserve">PERUSAHAAN </w:t>
      </w:r>
      <w:r w:rsidR="004B42E2" w:rsidRPr="0055007D">
        <w:rPr>
          <w:rFonts w:cs="Bookman Old Style"/>
          <w:color w:val="000000" w:themeColor="text1"/>
          <w:lang w:eastAsia="id-ID"/>
        </w:rPr>
        <w:t>ASURANSI DAN PERUSAHAAN REASURANSI</w:t>
      </w:r>
    </w:p>
    <w:p w14:paraId="2DB50982" w14:textId="77777777" w:rsidR="004B42E2" w:rsidRPr="0055007D" w:rsidRDefault="004B42E2" w:rsidP="0081087A">
      <w:pPr>
        <w:pStyle w:val="Style3"/>
        <w:widowControl/>
        <w:spacing w:before="60" w:after="60" w:line="276" w:lineRule="auto"/>
        <w:ind w:left="-142"/>
        <w:rPr>
          <w:rStyle w:val="FontStyle29"/>
          <w:b/>
          <w:color w:val="000000" w:themeColor="text1"/>
          <w:sz w:val="24"/>
          <w:szCs w:val="24"/>
          <w:lang w:val="id-ID" w:eastAsia="id-ID"/>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339"/>
        <w:gridCol w:w="5526"/>
        <w:gridCol w:w="661"/>
      </w:tblGrid>
      <w:tr w:rsidR="009A7043" w:rsidRPr="0055007D" w14:paraId="152D3275" w14:textId="77777777" w:rsidTr="00E90081">
        <w:tc>
          <w:tcPr>
            <w:tcW w:w="2214" w:type="dxa"/>
          </w:tcPr>
          <w:p w14:paraId="153A94C0" w14:textId="77777777" w:rsidR="00E90081" w:rsidRPr="0055007D" w:rsidRDefault="00374D13" w:rsidP="00A659FD">
            <w:pPr>
              <w:pStyle w:val="Style4"/>
              <w:widowControl/>
              <w:spacing w:before="60" w:after="60" w:line="276" w:lineRule="auto"/>
              <w:rPr>
                <w:rStyle w:val="FontStyle29"/>
                <w:color w:val="000000" w:themeColor="text1"/>
                <w:sz w:val="24"/>
                <w:szCs w:val="24"/>
                <w:lang w:val="id-ID" w:eastAsia="id-ID"/>
              </w:rPr>
            </w:pPr>
            <w:r w:rsidRPr="0055007D">
              <w:rPr>
                <w:rStyle w:val="FontStyle29"/>
                <w:color w:val="000000" w:themeColor="text1"/>
                <w:sz w:val="24"/>
                <w:szCs w:val="24"/>
                <w:lang w:val="id-ID" w:eastAsia="id-ID"/>
              </w:rPr>
              <w:t>Tabel</w:t>
            </w:r>
            <w:r w:rsidR="00E90081" w:rsidRPr="0055007D">
              <w:rPr>
                <w:rStyle w:val="FontStyle29"/>
                <w:color w:val="000000" w:themeColor="text1"/>
                <w:sz w:val="24"/>
                <w:szCs w:val="24"/>
                <w:lang w:val="id-ID" w:eastAsia="id-ID"/>
              </w:rPr>
              <w:t xml:space="preserve"> IV.A</w:t>
            </w:r>
          </w:p>
        </w:tc>
        <w:tc>
          <w:tcPr>
            <w:tcW w:w="339" w:type="dxa"/>
          </w:tcPr>
          <w:p w14:paraId="03693909" w14:textId="77777777" w:rsidR="00E90081" w:rsidRPr="0055007D" w:rsidRDefault="00E90081" w:rsidP="00A659FD">
            <w:pPr>
              <w:spacing w:before="60" w:after="60" w:line="276" w:lineRule="auto"/>
              <w:rPr>
                <w:color w:val="000000" w:themeColor="text1"/>
              </w:rPr>
            </w:pPr>
            <w:r w:rsidRPr="0055007D">
              <w:rPr>
                <w:rStyle w:val="FontStyle29"/>
                <w:color w:val="000000" w:themeColor="text1"/>
                <w:sz w:val="24"/>
                <w:szCs w:val="24"/>
                <w:lang w:val="id-ID" w:eastAsia="id-ID"/>
              </w:rPr>
              <w:t>:</w:t>
            </w:r>
          </w:p>
        </w:tc>
        <w:tc>
          <w:tcPr>
            <w:tcW w:w="5526" w:type="dxa"/>
          </w:tcPr>
          <w:p w14:paraId="76BDB2FB" w14:textId="77777777" w:rsidR="00E90081" w:rsidRPr="0055007D" w:rsidRDefault="00E90081" w:rsidP="0081087A">
            <w:pPr>
              <w:pStyle w:val="Style1"/>
              <w:widowControl/>
              <w:spacing w:before="60" w:after="60" w:line="276" w:lineRule="auto"/>
              <w:jc w:val="left"/>
              <w:rPr>
                <w:rStyle w:val="FontStyle29"/>
                <w:color w:val="000000" w:themeColor="text1"/>
                <w:sz w:val="24"/>
                <w:szCs w:val="24"/>
                <w:lang w:val="id-ID" w:eastAsia="id-ID"/>
              </w:rPr>
            </w:pPr>
            <w:r w:rsidRPr="0055007D">
              <w:rPr>
                <w:rStyle w:val="FontStyle33"/>
                <w:color w:val="000000" w:themeColor="text1"/>
                <w:sz w:val="24"/>
                <w:szCs w:val="24"/>
                <w:lang w:val="id-ID" w:eastAsia="id-ID"/>
              </w:rPr>
              <w:t xml:space="preserve">Matriks Parameter atau </w:t>
            </w:r>
            <w:r w:rsidRPr="0055007D">
              <w:rPr>
                <w:rStyle w:val="FontStyle29"/>
                <w:color w:val="000000" w:themeColor="text1"/>
                <w:sz w:val="24"/>
                <w:szCs w:val="24"/>
                <w:lang w:val="id-ID" w:eastAsia="id-ID"/>
              </w:rPr>
              <w:t>Indikator Penilaian Faktor Permodalan</w:t>
            </w:r>
          </w:p>
        </w:tc>
        <w:tc>
          <w:tcPr>
            <w:tcW w:w="661" w:type="dxa"/>
          </w:tcPr>
          <w:p w14:paraId="66884789" w14:textId="77777777" w:rsidR="00E90081" w:rsidRPr="0055007D" w:rsidRDefault="00E90081" w:rsidP="0081087A">
            <w:pPr>
              <w:pStyle w:val="Style1"/>
              <w:widowControl/>
              <w:spacing w:before="60" w:after="60" w:line="276" w:lineRule="auto"/>
              <w:jc w:val="left"/>
              <w:rPr>
                <w:rStyle w:val="FontStyle33"/>
                <w:color w:val="000000" w:themeColor="text1"/>
                <w:sz w:val="24"/>
                <w:szCs w:val="24"/>
                <w:lang w:val="id-ID" w:eastAsia="id-ID"/>
              </w:rPr>
            </w:pPr>
          </w:p>
        </w:tc>
      </w:tr>
      <w:tr w:rsidR="009A7043" w:rsidRPr="0055007D" w14:paraId="2D4AABF6" w14:textId="77777777" w:rsidTr="00E90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4" w:type="dxa"/>
            <w:tcBorders>
              <w:top w:val="nil"/>
              <w:left w:val="nil"/>
              <w:bottom w:val="nil"/>
              <w:right w:val="nil"/>
            </w:tcBorders>
          </w:tcPr>
          <w:p w14:paraId="01F56443" w14:textId="77777777" w:rsidR="00E90081" w:rsidRPr="0055007D" w:rsidRDefault="00374D13" w:rsidP="00A659FD">
            <w:pPr>
              <w:pStyle w:val="Style4"/>
              <w:widowControl/>
              <w:spacing w:before="60" w:after="60" w:line="276" w:lineRule="auto"/>
              <w:rPr>
                <w:rStyle w:val="FontStyle29"/>
                <w:color w:val="000000" w:themeColor="text1"/>
                <w:sz w:val="24"/>
                <w:szCs w:val="24"/>
                <w:lang w:val="id-ID" w:eastAsia="id-ID"/>
              </w:rPr>
            </w:pPr>
            <w:r w:rsidRPr="0055007D">
              <w:rPr>
                <w:rStyle w:val="FontStyle29"/>
                <w:color w:val="000000" w:themeColor="text1"/>
                <w:sz w:val="24"/>
                <w:szCs w:val="24"/>
                <w:lang w:val="id-ID" w:eastAsia="id-ID"/>
              </w:rPr>
              <w:t xml:space="preserve">Tabel </w:t>
            </w:r>
            <w:r w:rsidR="00E90081" w:rsidRPr="0055007D">
              <w:rPr>
                <w:rStyle w:val="FontStyle29"/>
                <w:color w:val="000000" w:themeColor="text1"/>
                <w:sz w:val="24"/>
                <w:szCs w:val="24"/>
                <w:lang w:val="id-ID" w:eastAsia="id-ID"/>
              </w:rPr>
              <w:t>IV.B</w:t>
            </w:r>
          </w:p>
        </w:tc>
        <w:tc>
          <w:tcPr>
            <w:tcW w:w="339" w:type="dxa"/>
            <w:tcBorders>
              <w:top w:val="nil"/>
              <w:left w:val="nil"/>
              <w:bottom w:val="nil"/>
              <w:right w:val="nil"/>
            </w:tcBorders>
          </w:tcPr>
          <w:p w14:paraId="3E1402D5" w14:textId="77777777" w:rsidR="00E90081" w:rsidRPr="0055007D" w:rsidRDefault="00E90081" w:rsidP="00A659FD">
            <w:pPr>
              <w:spacing w:before="60" w:after="60" w:line="276" w:lineRule="auto"/>
              <w:rPr>
                <w:color w:val="000000" w:themeColor="text1"/>
              </w:rPr>
            </w:pPr>
            <w:r w:rsidRPr="0055007D">
              <w:rPr>
                <w:rStyle w:val="FontStyle29"/>
                <w:color w:val="000000" w:themeColor="text1"/>
                <w:sz w:val="24"/>
                <w:szCs w:val="24"/>
                <w:lang w:val="id-ID" w:eastAsia="id-ID"/>
              </w:rPr>
              <w:t>:</w:t>
            </w:r>
          </w:p>
        </w:tc>
        <w:tc>
          <w:tcPr>
            <w:tcW w:w="5526" w:type="dxa"/>
            <w:tcBorders>
              <w:top w:val="nil"/>
              <w:left w:val="nil"/>
              <w:bottom w:val="nil"/>
              <w:right w:val="nil"/>
            </w:tcBorders>
          </w:tcPr>
          <w:p w14:paraId="20BD6A78" w14:textId="77777777" w:rsidR="00E90081" w:rsidRPr="0055007D" w:rsidRDefault="00E90081" w:rsidP="00A659FD">
            <w:pPr>
              <w:pStyle w:val="Style1"/>
              <w:widowControl/>
              <w:spacing w:before="60" w:after="60" w:line="276" w:lineRule="auto"/>
              <w:jc w:val="left"/>
              <w:rPr>
                <w:rStyle w:val="FontStyle29"/>
                <w:color w:val="000000" w:themeColor="text1"/>
                <w:sz w:val="24"/>
                <w:szCs w:val="24"/>
                <w:lang w:val="id-ID" w:eastAsia="id-ID"/>
              </w:rPr>
            </w:pPr>
            <w:r w:rsidRPr="0055007D">
              <w:rPr>
                <w:rStyle w:val="FontStyle29"/>
                <w:color w:val="000000" w:themeColor="text1"/>
                <w:sz w:val="24"/>
                <w:szCs w:val="24"/>
                <w:lang w:val="id-ID" w:eastAsia="id-ID"/>
              </w:rPr>
              <w:t>Matriks Peringkat Faktor Permodalan</w:t>
            </w:r>
          </w:p>
          <w:p w14:paraId="1DAA33D8" w14:textId="77777777" w:rsidR="00E90081" w:rsidRPr="0055007D" w:rsidRDefault="00E90081" w:rsidP="00A659FD">
            <w:pPr>
              <w:pStyle w:val="Style1"/>
              <w:widowControl/>
              <w:spacing w:before="60" w:after="60" w:line="276" w:lineRule="auto"/>
              <w:jc w:val="left"/>
              <w:rPr>
                <w:rStyle w:val="FontStyle29"/>
                <w:color w:val="000000" w:themeColor="text1"/>
                <w:sz w:val="24"/>
                <w:szCs w:val="24"/>
                <w:lang w:val="id-ID" w:eastAsia="id-ID"/>
              </w:rPr>
            </w:pPr>
          </w:p>
        </w:tc>
        <w:tc>
          <w:tcPr>
            <w:tcW w:w="661" w:type="dxa"/>
            <w:tcBorders>
              <w:top w:val="nil"/>
              <w:left w:val="nil"/>
              <w:bottom w:val="nil"/>
              <w:right w:val="nil"/>
            </w:tcBorders>
          </w:tcPr>
          <w:p w14:paraId="2593AC6E" w14:textId="77777777" w:rsidR="00E90081" w:rsidRPr="0055007D" w:rsidRDefault="00E90081" w:rsidP="00A659FD">
            <w:pPr>
              <w:pStyle w:val="Style1"/>
              <w:widowControl/>
              <w:spacing w:before="60" w:after="60" w:line="276" w:lineRule="auto"/>
              <w:jc w:val="left"/>
              <w:rPr>
                <w:rStyle w:val="FontStyle29"/>
                <w:color w:val="000000" w:themeColor="text1"/>
                <w:sz w:val="24"/>
                <w:szCs w:val="24"/>
                <w:lang w:val="id-ID" w:eastAsia="id-ID"/>
              </w:rPr>
            </w:pPr>
          </w:p>
        </w:tc>
      </w:tr>
    </w:tbl>
    <w:p w14:paraId="24B3D875" w14:textId="77777777" w:rsidR="00AF5E37" w:rsidRPr="0055007D" w:rsidRDefault="00AF5E37" w:rsidP="00A659FD">
      <w:pPr>
        <w:pStyle w:val="Style4"/>
        <w:widowControl/>
        <w:spacing w:before="60" w:after="60" w:line="276" w:lineRule="auto"/>
        <w:rPr>
          <w:rStyle w:val="FontStyle29"/>
          <w:color w:val="000000" w:themeColor="text1"/>
          <w:sz w:val="24"/>
          <w:szCs w:val="24"/>
          <w:lang w:val="id-ID" w:eastAsia="id-ID"/>
        </w:rPr>
      </w:pPr>
    </w:p>
    <w:p w14:paraId="2283BD0C"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32F84635"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79AA38B7"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124EC00A"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722A0756"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516867ED"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2D67C857"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017D71E6"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44873230"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119D26AB"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54E13B25"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5FA6F027"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2257EFB9"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229440BC"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2C842C70"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65A98ABE"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343C94DC"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13277CBD"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6CE916B4"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4518F27F"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691BDCC2"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6CF0EA85"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7161EDAB"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54E7B4FA"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5816BE66"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7B933840"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59E1F05A"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4BCE8556"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4CDE0983"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7D1FB530"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4476E108"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1FA3CDA5"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p w14:paraId="6A14EF55"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pPr>
    </w:p>
    <w:tbl>
      <w:tblPr>
        <w:tblStyle w:val="TableGrid"/>
        <w:tblW w:w="0" w:type="auto"/>
        <w:jc w:val="right"/>
        <w:tblLook w:val="04A0" w:firstRow="1" w:lastRow="0" w:firstColumn="1" w:lastColumn="0" w:noHBand="0" w:noVBand="1"/>
      </w:tblPr>
      <w:tblGrid>
        <w:gridCol w:w="9396"/>
      </w:tblGrid>
      <w:tr w:rsidR="009A7043" w:rsidRPr="0055007D" w14:paraId="51EAAEE0" w14:textId="77777777" w:rsidTr="00765266">
        <w:trPr>
          <w:jc w:val="right"/>
        </w:trPr>
        <w:tc>
          <w:tcPr>
            <w:tcW w:w="9578" w:type="dxa"/>
            <w:shd w:val="clear" w:color="auto" w:fill="D9D9D9" w:themeFill="background1" w:themeFillShade="D9"/>
          </w:tcPr>
          <w:p w14:paraId="402E7927" w14:textId="77777777" w:rsidR="00996CFC" w:rsidRPr="0055007D" w:rsidRDefault="00996CFC" w:rsidP="00765266">
            <w:pPr>
              <w:pStyle w:val="Style1"/>
              <w:widowControl/>
              <w:spacing w:before="60" w:after="60" w:line="276" w:lineRule="auto"/>
              <w:ind w:right="100"/>
              <w:jc w:val="left"/>
              <w:rPr>
                <w:rFonts w:cs="Bookman Old Style"/>
                <w:color w:val="000000" w:themeColor="text1"/>
                <w:lang w:val="id-ID" w:eastAsia="id-ID"/>
              </w:rPr>
            </w:pPr>
            <w:r w:rsidRPr="0055007D">
              <w:rPr>
                <w:rFonts w:cs="Bookman Old Style"/>
                <w:color w:val="000000" w:themeColor="text1"/>
                <w:lang w:val="id-ID" w:eastAsia="id-ID"/>
              </w:rPr>
              <w:t>Petunjuk Pengisian:</w:t>
            </w:r>
          </w:p>
        </w:tc>
      </w:tr>
      <w:tr w:rsidR="009A7043" w:rsidRPr="0055007D" w14:paraId="3D8B7B08" w14:textId="77777777" w:rsidTr="00765266">
        <w:trPr>
          <w:jc w:val="right"/>
        </w:trPr>
        <w:tc>
          <w:tcPr>
            <w:tcW w:w="9578" w:type="dxa"/>
          </w:tcPr>
          <w:p w14:paraId="33439BD2" w14:textId="77777777" w:rsidR="00087CB1" w:rsidRPr="0055007D" w:rsidRDefault="00087CB1" w:rsidP="00213689">
            <w:pPr>
              <w:pStyle w:val="Style1"/>
              <w:widowControl/>
              <w:numPr>
                <w:ilvl w:val="0"/>
                <w:numId w:val="1"/>
              </w:numPr>
              <w:spacing w:before="60" w:after="60" w:line="276" w:lineRule="auto"/>
              <w:rPr>
                <w:rFonts w:cs="Bookman Old Style"/>
                <w:lang w:val="id-ID" w:eastAsia="id-ID"/>
              </w:rPr>
            </w:pPr>
            <w:r w:rsidRPr="0055007D">
              <w:rPr>
                <w:rFonts w:cs="Bookman Old Style"/>
                <w:lang w:val="id-ID" w:eastAsia="id-ID"/>
              </w:rPr>
              <w:t>Parameter atau indikator penilaian faktor permodalan dalam Lampiran IV, merupakan standar minimum yang harus digunakan dalam melakukan penilaian faktor permodalan.</w:t>
            </w:r>
          </w:p>
          <w:p w14:paraId="43BD95F7" w14:textId="77777777" w:rsidR="00087CB1" w:rsidRPr="0055007D" w:rsidRDefault="00087CB1" w:rsidP="00213689">
            <w:pPr>
              <w:pStyle w:val="Style1"/>
              <w:widowControl/>
              <w:numPr>
                <w:ilvl w:val="0"/>
                <w:numId w:val="1"/>
              </w:numPr>
              <w:spacing w:before="60" w:after="60" w:line="276" w:lineRule="auto"/>
              <w:rPr>
                <w:rFonts w:cs="Bookman Old Style"/>
                <w:lang w:val="id-ID" w:eastAsia="id-ID"/>
              </w:rPr>
            </w:pPr>
            <w:r w:rsidRPr="0055007D">
              <w:rPr>
                <w:rFonts w:cs="Bookman Old Style"/>
                <w:lang w:val="id-ID" w:eastAsia="id-ID"/>
              </w:rPr>
              <w:t xml:space="preserve">Perusahaan dapat menambah parameter atau indikator lainnya sesuai dengan karakteristik dan kompleksitas usaha Perusahaan. </w:t>
            </w:r>
          </w:p>
          <w:p w14:paraId="5B2EF3EE" w14:textId="77777777" w:rsidR="00087CB1" w:rsidRPr="0055007D" w:rsidRDefault="00087CB1" w:rsidP="00213689">
            <w:pPr>
              <w:pStyle w:val="Style1"/>
              <w:widowControl/>
              <w:numPr>
                <w:ilvl w:val="0"/>
                <w:numId w:val="1"/>
              </w:numPr>
              <w:spacing w:before="60" w:after="60" w:line="276" w:lineRule="auto"/>
              <w:rPr>
                <w:rFonts w:cs="Bookman Old Style"/>
                <w:lang w:val="id-ID" w:eastAsia="id-ID"/>
              </w:rPr>
            </w:pPr>
            <w:r w:rsidRPr="0055007D">
              <w:rPr>
                <w:rFonts w:cs="Bookman Old Style"/>
                <w:lang w:val="id-ID" w:eastAsia="id-ID"/>
              </w:rPr>
              <w:t>Penilaian dilakukan per posisi dan tren selama 12 (dua belas) bulan terakhir untuk parameter atau indikator yang bersifat kuantitatif.</w:t>
            </w:r>
          </w:p>
          <w:p w14:paraId="3350CB14" w14:textId="77777777" w:rsidR="00996CFC" w:rsidRPr="0055007D" w:rsidRDefault="00087CB1" w:rsidP="00213689">
            <w:pPr>
              <w:pStyle w:val="Style1"/>
              <w:widowControl/>
              <w:numPr>
                <w:ilvl w:val="0"/>
                <w:numId w:val="1"/>
              </w:numPr>
              <w:spacing w:before="60" w:after="60" w:line="276" w:lineRule="auto"/>
              <w:rPr>
                <w:rFonts w:cs="Bookman Old Style"/>
                <w:color w:val="000000" w:themeColor="text1"/>
                <w:lang w:val="id-ID" w:eastAsia="id-ID"/>
              </w:rPr>
            </w:pPr>
            <w:r w:rsidRPr="0055007D">
              <w:rPr>
                <w:rFonts w:cs="Bookman Old Style"/>
                <w:lang w:val="id-ID" w:eastAsia="id-ID"/>
              </w:rPr>
              <w:t>Dalam menilai Tingkat Kesehatan Perusahaan secara konsolidasi dapat menggunakan parameter atau indikator penilaian Tingkat Kesehatan Perusahaan secara individual, yang disesuaikan dengan skala, karakteristik dan kompleksitas usaha Perusahaan Anak</w:t>
            </w:r>
            <w:r w:rsidR="00996CFC" w:rsidRPr="0055007D">
              <w:rPr>
                <w:rFonts w:cs="Bookman Old Style"/>
                <w:color w:val="000000" w:themeColor="text1"/>
                <w:lang w:val="id-ID" w:eastAsia="id-ID"/>
              </w:rPr>
              <w:t>.</w:t>
            </w:r>
          </w:p>
        </w:tc>
      </w:tr>
    </w:tbl>
    <w:p w14:paraId="2AFBC7A9" w14:textId="77777777" w:rsidR="00996CFC" w:rsidRPr="0055007D" w:rsidRDefault="00996CFC" w:rsidP="00A659FD">
      <w:pPr>
        <w:pStyle w:val="Style4"/>
        <w:widowControl/>
        <w:spacing w:before="60" w:after="60" w:line="276" w:lineRule="auto"/>
        <w:rPr>
          <w:rStyle w:val="FontStyle29"/>
          <w:color w:val="000000" w:themeColor="text1"/>
          <w:sz w:val="24"/>
          <w:szCs w:val="24"/>
          <w:lang w:val="id-ID" w:eastAsia="id-ID"/>
        </w:rPr>
        <w:sectPr w:rsidR="00996CFC" w:rsidRPr="0055007D" w:rsidSect="00FB1729">
          <w:pgSz w:w="12242" w:h="18711" w:code="5"/>
          <w:pgMar w:top="1701" w:right="1418" w:bottom="1418" w:left="1418" w:header="709" w:footer="709" w:gutter="0"/>
          <w:cols w:space="708"/>
          <w:docGrid w:linePitch="360"/>
        </w:sectPr>
      </w:pPr>
    </w:p>
    <w:p w14:paraId="18276B80" w14:textId="77777777" w:rsidR="00AF5E37" w:rsidRPr="0055007D" w:rsidRDefault="00041BDB" w:rsidP="004D3D02">
      <w:pPr>
        <w:pStyle w:val="Style3"/>
        <w:widowControl/>
        <w:spacing w:before="60" w:after="60"/>
        <w:jc w:val="left"/>
        <w:rPr>
          <w:rStyle w:val="FontStyle33"/>
          <w:sz w:val="24"/>
          <w:szCs w:val="24"/>
          <w:lang w:val="id-ID" w:eastAsia="id-ID"/>
        </w:rPr>
      </w:pPr>
      <w:r w:rsidRPr="0055007D">
        <w:rPr>
          <w:rStyle w:val="FontStyle33"/>
          <w:color w:val="000000" w:themeColor="text1"/>
          <w:sz w:val="24"/>
          <w:szCs w:val="24"/>
          <w:lang w:val="id-ID" w:eastAsia="id-ID"/>
        </w:rPr>
        <w:lastRenderedPageBreak/>
        <w:t xml:space="preserve">Tabel IV.A: </w:t>
      </w:r>
      <w:r w:rsidR="00AF5E37" w:rsidRPr="0055007D">
        <w:rPr>
          <w:rStyle w:val="FontStyle33"/>
          <w:color w:val="000000" w:themeColor="text1"/>
          <w:sz w:val="24"/>
          <w:szCs w:val="24"/>
          <w:lang w:val="id-ID" w:eastAsia="id-ID"/>
        </w:rPr>
        <w:t>Matriks Parameter</w:t>
      </w:r>
      <w:r w:rsidR="00FA48BD" w:rsidRPr="0055007D">
        <w:rPr>
          <w:rStyle w:val="FontStyle33"/>
          <w:color w:val="000000" w:themeColor="text1"/>
          <w:sz w:val="24"/>
          <w:szCs w:val="24"/>
          <w:lang w:eastAsia="id-ID"/>
        </w:rPr>
        <w:t xml:space="preserve"> </w:t>
      </w:r>
      <w:r w:rsidR="00FA48BD" w:rsidRPr="0055007D">
        <w:rPr>
          <w:rStyle w:val="FontStyle33"/>
          <w:sz w:val="24"/>
          <w:szCs w:val="24"/>
          <w:lang w:val="id-ID" w:eastAsia="id-ID"/>
        </w:rPr>
        <w:t>atau Indikator Penilaian Faktor Permodalan</w:t>
      </w:r>
      <w:r w:rsidR="00AF5E37" w:rsidRPr="0055007D">
        <w:rPr>
          <w:rStyle w:val="FontStyle33"/>
          <w:sz w:val="24"/>
          <w:szCs w:val="24"/>
          <w:lang w:val="id-ID" w:eastAsia="id-ID"/>
        </w:rPr>
        <w:t xml:space="preserve"> </w:t>
      </w:r>
    </w:p>
    <w:p w14:paraId="3B53BD74" w14:textId="77777777" w:rsidR="00CA0C60" w:rsidRPr="0055007D" w:rsidRDefault="00CA0C60" w:rsidP="00AF5E37">
      <w:pPr>
        <w:pStyle w:val="Style7"/>
        <w:widowControl/>
        <w:spacing w:before="60" w:after="60" w:line="278" w:lineRule="exact"/>
        <w:ind w:firstLine="0"/>
        <w:rPr>
          <w:rStyle w:val="FontStyle33"/>
          <w:color w:val="000000" w:themeColor="text1"/>
          <w:sz w:val="24"/>
          <w:szCs w:val="24"/>
          <w:lang w:val="id-ID" w:eastAsia="id-ID"/>
        </w:rPr>
      </w:pPr>
    </w:p>
    <w:tbl>
      <w:tblPr>
        <w:tblW w:w="16058" w:type="dxa"/>
        <w:tblLayout w:type="fixed"/>
        <w:tblCellMar>
          <w:left w:w="40" w:type="dxa"/>
          <w:right w:w="40" w:type="dxa"/>
        </w:tblCellMar>
        <w:tblLook w:val="0000" w:firstRow="0" w:lastRow="0" w:firstColumn="0" w:lastColumn="0" w:noHBand="0" w:noVBand="0"/>
      </w:tblPr>
      <w:tblGrid>
        <w:gridCol w:w="2835"/>
        <w:gridCol w:w="6088"/>
        <w:gridCol w:w="7135"/>
      </w:tblGrid>
      <w:tr w:rsidR="00335FD5" w:rsidRPr="0055007D" w14:paraId="189E96F5" w14:textId="77777777" w:rsidTr="000726F3">
        <w:trPr>
          <w:tblHeader/>
        </w:trPr>
        <w:tc>
          <w:tcPr>
            <w:tcW w:w="8923"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697EE93" w14:textId="77777777" w:rsidR="0088794C" w:rsidRPr="0055007D" w:rsidRDefault="0088794C" w:rsidP="00387C46">
            <w:pPr>
              <w:pStyle w:val="Style16"/>
              <w:widowControl/>
              <w:spacing w:before="60" w:after="60" w:line="276" w:lineRule="auto"/>
              <w:ind w:right="90"/>
              <w:jc w:val="center"/>
              <w:rPr>
                <w:rStyle w:val="FontStyle33"/>
                <w:sz w:val="24"/>
                <w:szCs w:val="24"/>
                <w:lang w:val="id-ID" w:eastAsia="id-ID"/>
              </w:rPr>
            </w:pPr>
            <w:r w:rsidRPr="0055007D">
              <w:rPr>
                <w:rStyle w:val="FontStyle33"/>
                <w:sz w:val="24"/>
                <w:szCs w:val="24"/>
                <w:lang w:val="id-ID" w:eastAsia="id-ID"/>
              </w:rPr>
              <w:t>Parameter atau Indikator*)</w:t>
            </w:r>
          </w:p>
        </w:tc>
        <w:tc>
          <w:tcPr>
            <w:tcW w:w="713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DA8324D" w14:textId="77777777" w:rsidR="0088794C" w:rsidRPr="0055007D" w:rsidRDefault="0088794C" w:rsidP="00387C46">
            <w:pPr>
              <w:pStyle w:val="Style13"/>
              <w:widowControl/>
              <w:tabs>
                <w:tab w:val="left" w:pos="475"/>
              </w:tabs>
              <w:spacing w:before="60" w:after="60" w:line="276" w:lineRule="auto"/>
              <w:ind w:left="360" w:hanging="360"/>
              <w:jc w:val="center"/>
              <w:rPr>
                <w:rStyle w:val="FontStyle33"/>
                <w:sz w:val="24"/>
                <w:szCs w:val="24"/>
                <w:lang w:val="id-ID" w:eastAsia="id-ID"/>
              </w:rPr>
            </w:pPr>
            <w:r w:rsidRPr="0055007D">
              <w:rPr>
                <w:rStyle w:val="FontStyle33"/>
                <w:sz w:val="24"/>
                <w:szCs w:val="24"/>
                <w:lang w:val="id-ID" w:eastAsia="id-ID"/>
              </w:rPr>
              <w:t>Keterangan</w:t>
            </w:r>
          </w:p>
        </w:tc>
      </w:tr>
      <w:tr w:rsidR="002674AE" w:rsidRPr="0055007D" w14:paraId="4ADB521E" w14:textId="77777777" w:rsidTr="005A54C4">
        <w:tc>
          <w:tcPr>
            <w:tcW w:w="2835" w:type="dxa"/>
            <w:vMerge w:val="restart"/>
            <w:tcBorders>
              <w:top w:val="single" w:sz="6" w:space="0" w:color="auto"/>
              <w:left w:val="single" w:sz="6" w:space="0" w:color="auto"/>
              <w:right w:val="single" w:sz="4" w:space="0" w:color="auto"/>
            </w:tcBorders>
          </w:tcPr>
          <w:p w14:paraId="18795119" w14:textId="72F3BA31" w:rsidR="002674AE" w:rsidRPr="0055007D" w:rsidRDefault="002674AE" w:rsidP="00213689">
            <w:pPr>
              <w:pStyle w:val="Style16"/>
              <w:numPr>
                <w:ilvl w:val="0"/>
                <w:numId w:val="3"/>
              </w:numPr>
              <w:spacing w:before="60" w:after="60" w:line="276" w:lineRule="auto"/>
              <w:jc w:val="left"/>
              <w:rPr>
                <w:rStyle w:val="FontStyle33"/>
                <w:sz w:val="24"/>
                <w:szCs w:val="24"/>
                <w:lang w:val="id-ID" w:eastAsia="id-ID"/>
              </w:rPr>
            </w:pPr>
            <w:r w:rsidRPr="0055007D">
              <w:rPr>
                <w:rStyle w:val="FontStyle33"/>
                <w:sz w:val="24"/>
                <w:szCs w:val="24"/>
                <w:lang w:val="id-ID" w:eastAsia="id-ID"/>
              </w:rPr>
              <w:t>Kecukupan Modal</w:t>
            </w:r>
            <w:bookmarkStart w:id="0" w:name="_GoBack"/>
            <w:bookmarkEnd w:id="0"/>
          </w:p>
        </w:tc>
        <w:tc>
          <w:tcPr>
            <w:tcW w:w="13223" w:type="dxa"/>
            <w:gridSpan w:val="2"/>
            <w:tcBorders>
              <w:top w:val="single" w:sz="4" w:space="0" w:color="auto"/>
              <w:left w:val="single" w:sz="4" w:space="0" w:color="auto"/>
              <w:bottom w:val="single" w:sz="4" w:space="0" w:color="auto"/>
              <w:right w:val="single" w:sz="4" w:space="0" w:color="auto"/>
            </w:tcBorders>
          </w:tcPr>
          <w:p w14:paraId="1C177474" w14:textId="77D49EBF" w:rsidR="002674AE" w:rsidRPr="0055007D" w:rsidRDefault="002674AE" w:rsidP="002674AE">
            <w:pPr>
              <w:pStyle w:val="Style16"/>
              <w:widowControl/>
              <w:numPr>
                <w:ilvl w:val="0"/>
                <w:numId w:val="12"/>
              </w:numPr>
              <w:spacing w:before="60" w:after="60" w:line="276" w:lineRule="auto"/>
              <w:ind w:left="378" w:right="90"/>
              <w:rPr>
                <w:rStyle w:val="FontStyle33"/>
                <w:b/>
                <w:sz w:val="24"/>
                <w:szCs w:val="24"/>
              </w:rPr>
            </w:pPr>
            <w:r w:rsidRPr="0055007D">
              <w:rPr>
                <w:rFonts w:cs="Bookman Old Style"/>
                <w:b/>
              </w:rPr>
              <w:t xml:space="preserve">Bagi Perusahaan Asuransi dan Reasuransi </w:t>
            </w:r>
          </w:p>
        </w:tc>
      </w:tr>
      <w:tr w:rsidR="002674AE" w:rsidRPr="0055007D" w14:paraId="4C65E127" w14:textId="77777777" w:rsidTr="001425BA">
        <w:tc>
          <w:tcPr>
            <w:tcW w:w="2835" w:type="dxa"/>
            <w:vMerge/>
            <w:tcBorders>
              <w:left w:val="single" w:sz="6" w:space="0" w:color="auto"/>
              <w:right w:val="single" w:sz="4" w:space="0" w:color="auto"/>
            </w:tcBorders>
          </w:tcPr>
          <w:p w14:paraId="1711E676" w14:textId="58EF649D" w:rsidR="002674AE" w:rsidRPr="0055007D" w:rsidRDefault="002674AE" w:rsidP="00213689">
            <w:pPr>
              <w:pStyle w:val="Style16"/>
              <w:numPr>
                <w:ilvl w:val="0"/>
                <w:numId w:val="3"/>
              </w:numPr>
              <w:spacing w:before="60" w:after="60" w:line="276" w:lineRule="auto"/>
              <w:jc w:val="left"/>
              <w:rPr>
                <w:rStyle w:val="FontStyle33"/>
                <w:sz w:val="24"/>
                <w:szCs w:val="24"/>
                <w:lang w:val="id-ID" w:eastAsia="id-ID"/>
              </w:rPr>
            </w:pPr>
          </w:p>
        </w:tc>
        <w:tc>
          <w:tcPr>
            <w:tcW w:w="6088" w:type="dxa"/>
            <w:tcBorders>
              <w:top w:val="single" w:sz="4" w:space="0" w:color="auto"/>
              <w:left w:val="single" w:sz="4" w:space="0" w:color="auto"/>
              <w:bottom w:val="single" w:sz="4" w:space="0" w:color="auto"/>
              <w:right w:val="single" w:sz="4" w:space="0" w:color="auto"/>
            </w:tcBorders>
          </w:tcPr>
          <w:p w14:paraId="24C2EBD9" w14:textId="165293A6" w:rsidR="002674AE" w:rsidRPr="0055007D" w:rsidRDefault="00F8623E" w:rsidP="00F8623E">
            <w:pPr>
              <w:pStyle w:val="Style16"/>
              <w:widowControl/>
              <w:numPr>
                <w:ilvl w:val="0"/>
                <w:numId w:val="4"/>
              </w:numPr>
              <w:spacing w:before="60" w:after="60" w:line="276" w:lineRule="auto"/>
              <w:ind w:right="90"/>
              <w:rPr>
                <w:rFonts w:cs="Bookman Old Style"/>
                <w:lang w:eastAsia="id-ID"/>
              </w:rPr>
            </w:pPr>
            <w:r>
              <w:t>Penilaian level (posisi), tren, dan komposisi aset yang diperkenankan (</w:t>
            </w:r>
            <w:r w:rsidRPr="00F8623E">
              <w:rPr>
                <w:i/>
              </w:rPr>
              <w:t>admitted assets</w:t>
            </w:r>
            <w:r>
              <w:t xml:space="preserve">) perusahaan </w:t>
            </w:r>
          </w:p>
        </w:tc>
        <w:tc>
          <w:tcPr>
            <w:tcW w:w="7135" w:type="dxa"/>
            <w:tcBorders>
              <w:top w:val="single" w:sz="4" w:space="0" w:color="auto"/>
              <w:left w:val="single" w:sz="4" w:space="0" w:color="auto"/>
              <w:bottom w:val="single" w:sz="4" w:space="0" w:color="auto"/>
              <w:right w:val="single" w:sz="4" w:space="0" w:color="auto"/>
            </w:tcBorders>
          </w:tcPr>
          <w:p w14:paraId="64DEB966" w14:textId="371F3A16" w:rsidR="002674AE" w:rsidRPr="0055007D" w:rsidRDefault="00F8623E" w:rsidP="00213689">
            <w:pPr>
              <w:pStyle w:val="Style13"/>
              <w:numPr>
                <w:ilvl w:val="0"/>
                <w:numId w:val="11"/>
              </w:numPr>
              <w:spacing w:before="60" w:after="60" w:line="276" w:lineRule="auto"/>
              <w:ind w:left="385"/>
              <w:rPr>
                <w:rStyle w:val="FontStyle33"/>
                <w:sz w:val="24"/>
                <w:szCs w:val="24"/>
                <w:lang w:val="id-ID" w:eastAsia="id-ID"/>
              </w:rPr>
            </w:pPr>
            <w:r>
              <w:t>Penilaian Akurasi Laporan Perhitungan Tingkat Solvabilitas (LPTS)</w:t>
            </w:r>
            <w:r>
              <w:rPr>
                <w:rStyle w:val="FontStyle33"/>
                <w:sz w:val="24"/>
                <w:szCs w:val="24"/>
                <w:lang w:val="id-ID" w:eastAsia="id-ID"/>
              </w:rPr>
              <w:t xml:space="preserve">, yaitu </w:t>
            </w:r>
            <w:r>
              <w:t>penyajian lapo</w:t>
            </w:r>
            <w:r w:rsidR="00C23FCA">
              <w:t>ran, analisis batasan investasi, kecukupan dana jaminan, kecukupan investasi.</w:t>
            </w:r>
          </w:p>
          <w:p w14:paraId="3265DB9D" w14:textId="77777777" w:rsidR="002674AE" w:rsidRPr="00C23FCA" w:rsidRDefault="00C23FCA" w:rsidP="00213689">
            <w:pPr>
              <w:pStyle w:val="Style13"/>
              <w:numPr>
                <w:ilvl w:val="0"/>
                <w:numId w:val="11"/>
              </w:numPr>
              <w:spacing w:before="60" w:after="60" w:line="276" w:lineRule="auto"/>
              <w:ind w:left="385"/>
              <w:rPr>
                <w:rStyle w:val="FontStyle33"/>
                <w:sz w:val="24"/>
                <w:szCs w:val="24"/>
                <w:lang w:val="id-ID" w:eastAsia="id-ID"/>
              </w:rPr>
            </w:pPr>
            <w:r>
              <w:rPr>
                <w:rStyle w:val="FontStyle33"/>
                <w:sz w:val="24"/>
                <w:szCs w:val="24"/>
                <w:lang w:eastAsia="id-ID"/>
              </w:rPr>
              <w:t>Perubahan modal.</w:t>
            </w:r>
          </w:p>
          <w:p w14:paraId="4F7B6887" w14:textId="4158F33B" w:rsidR="00C23FCA" w:rsidRPr="0055007D" w:rsidRDefault="00C23FCA" w:rsidP="00C23FCA">
            <w:pPr>
              <w:pStyle w:val="Style13"/>
              <w:numPr>
                <w:ilvl w:val="0"/>
                <w:numId w:val="11"/>
              </w:numPr>
              <w:spacing w:before="60" w:after="60" w:line="276" w:lineRule="auto"/>
              <w:ind w:left="385"/>
              <w:rPr>
                <w:rStyle w:val="FontStyle33"/>
                <w:sz w:val="24"/>
                <w:szCs w:val="24"/>
                <w:lang w:val="id-ID" w:eastAsia="id-ID"/>
              </w:rPr>
            </w:pPr>
            <w:r>
              <w:t>Kebutuhan komposisi aset yang dimiliki oleh perusahaan baik dalam bentuk investasi maupun bukan investasi. Semakin besar jumlah aset perusahaan yang termasuk dalam kelompok aset yang diperkenankan baik jenis maupun batasannya menunjukan bahwa pengelolaan aset yang dimiliki perusahaan cukup baik.</w:t>
            </w:r>
          </w:p>
        </w:tc>
      </w:tr>
      <w:tr w:rsidR="0055007D" w:rsidRPr="0055007D" w14:paraId="66FA2236" w14:textId="77777777" w:rsidTr="0055007D">
        <w:tc>
          <w:tcPr>
            <w:tcW w:w="2835" w:type="dxa"/>
            <w:vMerge/>
            <w:tcBorders>
              <w:top w:val="single" w:sz="4" w:space="0" w:color="auto"/>
              <w:left w:val="single" w:sz="6" w:space="0" w:color="auto"/>
              <w:right w:val="single" w:sz="4" w:space="0" w:color="auto"/>
            </w:tcBorders>
          </w:tcPr>
          <w:p w14:paraId="22D567E2" w14:textId="77777777" w:rsidR="0055007D" w:rsidRPr="0055007D" w:rsidRDefault="0055007D" w:rsidP="0055007D">
            <w:pPr>
              <w:pStyle w:val="Style16"/>
              <w:numPr>
                <w:ilvl w:val="0"/>
                <w:numId w:val="3"/>
              </w:numPr>
              <w:spacing w:before="60" w:after="60" w:line="276" w:lineRule="auto"/>
              <w:jc w:val="left"/>
              <w:rPr>
                <w:rStyle w:val="FontStyle33"/>
                <w:sz w:val="24"/>
                <w:szCs w:val="24"/>
                <w:lang w:val="id-ID" w:eastAsia="id-ID"/>
              </w:rPr>
            </w:pPr>
          </w:p>
        </w:tc>
        <w:tc>
          <w:tcPr>
            <w:tcW w:w="6088" w:type="dxa"/>
            <w:tcBorders>
              <w:top w:val="single" w:sz="4" w:space="0" w:color="auto"/>
              <w:left w:val="single" w:sz="4" w:space="0" w:color="auto"/>
              <w:bottom w:val="single" w:sz="4" w:space="0" w:color="auto"/>
              <w:right w:val="single" w:sz="4" w:space="0" w:color="auto"/>
            </w:tcBorders>
          </w:tcPr>
          <w:p w14:paraId="6FFF1B5F" w14:textId="071454B5" w:rsidR="0055007D" w:rsidRPr="0055007D" w:rsidRDefault="0055007D" w:rsidP="0055007D">
            <w:pPr>
              <w:pStyle w:val="Style16"/>
              <w:widowControl/>
              <w:numPr>
                <w:ilvl w:val="0"/>
                <w:numId w:val="4"/>
              </w:numPr>
              <w:spacing w:before="60" w:after="60" w:line="276" w:lineRule="auto"/>
              <w:ind w:right="90"/>
              <w:rPr>
                <w:rFonts w:cs="Bookman Old Style"/>
                <w:b/>
              </w:rPr>
            </w:pPr>
            <w:r w:rsidRPr="0055007D">
              <w:rPr>
                <w:rFonts w:cs="Bookman Old Style"/>
                <w:lang w:eastAsia="id-ID"/>
              </w:rPr>
              <w:t>Penilaian Kecukupan Modal dengan Memperhitungkan Risiko-risiko pada perusahaan asuransi/reasuransi</w:t>
            </w:r>
            <w:r w:rsidRPr="0055007D">
              <w:t xml:space="preserve"> </w:t>
            </w:r>
          </w:p>
        </w:tc>
        <w:tc>
          <w:tcPr>
            <w:tcW w:w="7135" w:type="dxa"/>
            <w:tcBorders>
              <w:top w:val="single" w:sz="4" w:space="0" w:color="auto"/>
              <w:left w:val="single" w:sz="4" w:space="0" w:color="auto"/>
              <w:bottom w:val="single" w:sz="4" w:space="0" w:color="auto"/>
              <w:right w:val="single" w:sz="4" w:space="0" w:color="auto"/>
            </w:tcBorders>
          </w:tcPr>
          <w:p w14:paraId="28C9F649" w14:textId="320261B9" w:rsidR="0055007D" w:rsidRPr="0055007D" w:rsidRDefault="0055007D" w:rsidP="0055007D">
            <w:pPr>
              <w:pStyle w:val="Style13"/>
              <w:spacing w:before="60" w:after="60" w:line="276" w:lineRule="auto"/>
              <w:rPr>
                <w:rStyle w:val="FontStyle33"/>
                <w:sz w:val="24"/>
                <w:szCs w:val="24"/>
                <w:lang w:eastAsia="id-ID"/>
              </w:rPr>
            </w:pPr>
            <w:r w:rsidRPr="0055007D">
              <w:rPr>
                <w:rStyle w:val="FontStyle33"/>
                <w:sz w:val="24"/>
                <w:szCs w:val="24"/>
                <w:lang w:eastAsia="id-ID"/>
              </w:rPr>
              <w:t xml:space="preserve">Penilaian dengan memperhitungkan modal minimum berbasis risiko untuk risiko kredit, risiko pasar, dan risiko operasional, risiko likuiditas, risko asuransi untuk menilai apakah terdapat risiko yang </w:t>
            </w:r>
            <w:r w:rsidRPr="0055007D">
              <w:rPr>
                <w:rStyle w:val="FontStyle33"/>
                <w:i/>
                <w:sz w:val="24"/>
                <w:szCs w:val="24"/>
                <w:lang w:eastAsia="id-ID"/>
              </w:rPr>
              <w:t>underestimated</w:t>
            </w:r>
            <w:r w:rsidRPr="0055007D">
              <w:rPr>
                <w:rStyle w:val="FontStyle33"/>
                <w:sz w:val="24"/>
                <w:szCs w:val="24"/>
                <w:lang w:eastAsia="id-ID"/>
              </w:rPr>
              <w:t xml:space="preserve"> karena inakurasi dalam pendefinisian komponen minimum modal berbasis risiko, kesalahan dalam perhitungan modal minimum berbasis risiko, kekurangan pembentukan cadangan diakibatkan asumsi-asumsi aktuaris. </w:t>
            </w:r>
          </w:p>
        </w:tc>
      </w:tr>
      <w:tr w:rsidR="0055007D" w:rsidRPr="0055007D" w14:paraId="002C94D1" w14:textId="77777777" w:rsidTr="000726F3">
        <w:tc>
          <w:tcPr>
            <w:tcW w:w="2835" w:type="dxa"/>
            <w:vMerge/>
            <w:tcBorders>
              <w:left w:val="single" w:sz="6" w:space="0" w:color="auto"/>
              <w:right w:val="single" w:sz="4" w:space="0" w:color="auto"/>
            </w:tcBorders>
          </w:tcPr>
          <w:p w14:paraId="26246CAA" w14:textId="77777777" w:rsidR="0055007D" w:rsidRPr="0055007D" w:rsidRDefault="0055007D" w:rsidP="0055007D">
            <w:pPr>
              <w:pStyle w:val="Style16"/>
              <w:numPr>
                <w:ilvl w:val="0"/>
                <w:numId w:val="3"/>
              </w:numPr>
              <w:spacing w:before="60" w:after="60" w:line="276" w:lineRule="auto"/>
              <w:jc w:val="left"/>
              <w:rPr>
                <w:rStyle w:val="FontStyle33"/>
                <w:sz w:val="24"/>
                <w:szCs w:val="24"/>
                <w:lang w:val="id-ID" w:eastAsia="id-ID"/>
              </w:rPr>
            </w:pPr>
          </w:p>
        </w:tc>
        <w:tc>
          <w:tcPr>
            <w:tcW w:w="6088" w:type="dxa"/>
            <w:tcBorders>
              <w:top w:val="single" w:sz="4" w:space="0" w:color="auto"/>
              <w:left w:val="single" w:sz="4" w:space="0" w:color="auto"/>
              <w:bottom w:val="single" w:sz="4" w:space="0" w:color="auto"/>
              <w:right w:val="single" w:sz="4" w:space="0" w:color="auto"/>
            </w:tcBorders>
          </w:tcPr>
          <w:p w14:paraId="5E698781" w14:textId="300FDA84" w:rsidR="0055007D" w:rsidRPr="0055007D" w:rsidRDefault="0055007D" w:rsidP="0055007D">
            <w:pPr>
              <w:pStyle w:val="Style16"/>
              <w:widowControl/>
              <w:numPr>
                <w:ilvl w:val="0"/>
                <w:numId w:val="4"/>
              </w:numPr>
              <w:spacing w:before="60" w:after="60" w:line="276" w:lineRule="auto"/>
              <w:ind w:right="90"/>
              <w:rPr>
                <w:rFonts w:cs="Bookman Old Style"/>
                <w:lang w:eastAsia="id-ID"/>
              </w:rPr>
            </w:pPr>
            <w:r w:rsidRPr="0055007D">
              <w:rPr>
                <w:rFonts w:cs="Bookman Old Style"/>
                <w:lang w:eastAsia="id-ID"/>
              </w:rPr>
              <w:t>Penentuan Kecukupan Modal Minimum Menurut Profil Risiko</w:t>
            </w:r>
          </w:p>
        </w:tc>
        <w:tc>
          <w:tcPr>
            <w:tcW w:w="7135" w:type="dxa"/>
            <w:tcBorders>
              <w:top w:val="single" w:sz="4" w:space="0" w:color="auto"/>
              <w:left w:val="single" w:sz="4" w:space="0" w:color="auto"/>
              <w:bottom w:val="single" w:sz="4" w:space="0" w:color="auto"/>
              <w:right w:val="single" w:sz="4" w:space="0" w:color="auto"/>
            </w:tcBorders>
          </w:tcPr>
          <w:p w14:paraId="6B3EBDFC" w14:textId="77777777" w:rsidR="0055007D" w:rsidRPr="0055007D" w:rsidRDefault="0055007D" w:rsidP="0055007D">
            <w:pPr>
              <w:pStyle w:val="Style13"/>
              <w:spacing w:before="60" w:after="60" w:line="276" w:lineRule="auto"/>
              <w:rPr>
                <w:rStyle w:val="FontStyle33"/>
                <w:sz w:val="24"/>
                <w:szCs w:val="24"/>
                <w:lang w:eastAsia="id-ID"/>
              </w:rPr>
            </w:pPr>
            <w:r w:rsidRPr="0055007D">
              <w:rPr>
                <w:rStyle w:val="FontStyle33"/>
                <w:sz w:val="24"/>
                <w:szCs w:val="24"/>
                <w:lang w:eastAsia="id-ID"/>
              </w:rPr>
              <w:t xml:space="preserve">Penilaian untuk menilai apakah modal perusahaan memadai untuk menutup risiko-risiko yang bukan </w:t>
            </w:r>
            <w:r w:rsidRPr="0055007D">
              <w:rPr>
                <w:rStyle w:val="FontStyle33"/>
                <w:sz w:val="24"/>
                <w:szCs w:val="24"/>
                <w:lang w:eastAsia="id-ID"/>
              </w:rPr>
              <w:lastRenderedPageBreak/>
              <w:t xml:space="preserve">merupakan cakupan ketentuan modal minimum berbasis risiko sesuai dengan ketentuan, antara lain risiko konsentrasi investasi, risiko likuiditas, risiko stratejik, risiko reputasi, risiko hukum dan risiko kepatuhan. </w:t>
            </w:r>
          </w:p>
          <w:p w14:paraId="11804039" w14:textId="610B6A0D" w:rsidR="0055007D" w:rsidRPr="0055007D" w:rsidRDefault="0055007D" w:rsidP="0055007D">
            <w:pPr>
              <w:pStyle w:val="Style13"/>
              <w:spacing w:before="60" w:after="60" w:line="276" w:lineRule="auto"/>
              <w:rPr>
                <w:rStyle w:val="FontStyle33"/>
                <w:sz w:val="24"/>
                <w:szCs w:val="24"/>
                <w:lang w:eastAsia="id-ID"/>
              </w:rPr>
            </w:pPr>
            <w:r w:rsidRPr="0055007D">
              <w:rPr>
                <w:rStyle w:val="FontStyle33"/>
                <w:sz w:val="24"/>
                <w:szCs w:val="24"/>
                <w:lang w:eastAsia="id-ID"/>
              </w:rPr>
              <w:t>Tren modal minimum berbasis risiko adalah kenaikan (penurunan) jumlah dana yang dibutuhkan untuk mengantisipasi risiko kerugian yang mungkin timbul sebagai akibat dari deviasi dalam pengelolaan asset dan liabilitas dari dana perusahaan.</w:t>
            </w:r>
          </w:p>
        </w:tc>
      </w:tr>
      <w:tr w:rsidR="0055007D" w:rsidRPr="0055007D" w14:paraId="634FD5B7" w14:textId="77777777" w:rsidTr="0055007D">
        <w:tc>
          <w:tcPr>
            <w:tcW w:w="2835" w:type="dxa"/>
            <w:vMerge/>
            <w:tcBorders>
              <w:left w:val="single" w:sz="6" w:space="0" w:color="auto"/>
              <w:right w:val="single" w:sz="4" w:space="0" w:color="auto"/>
            </w:tcBorders>
          </w:tcPr>
          <w:p w14:paraId="00175E5F" w14:textId="77777777" w:rsidR="0055007D" w:rsidRPr="0055007D" w:rsidRDefault="0055007D" w:rsidP="00213689">
            <w:pPr>
              <w:pStyle w:val="Style16"/>
              <w:numPr>
                <w:ilvl w:val="0"/>
                <w:numId w:val="3"/>
              </w:numPr>
              <w:spacing w:before="60" w:after="60" w:line="276" w:lineRule="auto"/>
              <w:jc w:val="left"/>
              <w:rPr>
                <w:rStyle w:val="FontStyle33"/>
                <w:sz w:val="24"/>
                <w:szCs w:val="24"/>
                <w:lang w:val="id-ID" w:eastAsia="id-ID"/>
              </w:rPr>
            </w:pPr>
          </w:p>
        </w:tc>
        <w:tc>
          <w:tcPr>
            <w:tcW w:w="13223" w:type="dxa"/>
            <w:gridSpan w:val="2"/>
            <w:tcBorders>
              <w:top w:val="single" w:sz="4" w:space="0" w:color="auto"/>
              <w:left w:val="single" w:sz="4" w:space="0" w:color="auto"/>
              <w:bottom w:val="single" w:sz="4" w:space="0" w:color="auto"/>
              <w:right w:val="single" w:sz="4" w:space="0" w:color="auto"/>
            </w:tcBorders>
          </w:tcPr>
          <w:p w14:paraId="6787E457" w14:textId="6712A93F" w:rsidR="0055007D" w:rsidRPr="0055007D" w:rsidRDefault="0055007D" w:rsidP="0055007D">
            <w:pPr>
              <w:pStyle w:val="Style16"/>
              <w:widowControl/>
              <w:numPr>
                <w:ilvl w:val="0"/>
                <w:numId w:val="12"/>
              </w:numPr>
              <w:spacing w:before="60" w:after="60" w:line="276" w:lineRule="auto"/>
              <w:ind w:left="378" w:right="90"/>
              <w:rPr>
                <w:rStyle w:val="FontStyle33"/>
                <w:sz w:val="24"/>
                <w:szCs w:val="24"/>
                <w:lang w:eastAsia="id-ID"/>
              </w:rPr>
            </w:pPr>
            <w:r w:rsidRPr="0055007D">
              <w:rPr>
                <w:rFonts w:cs="Bookman Old Style"/>
                <w:b/>
              </w:rPr>
              <w:t>Bagi Perusahaan Asuransi Syariah dan Reasuransi Syariah</w:t>
            </w:r>
          </w:p>
        </w:tc>
      </w:tr>
      <w:tr w:rsidR="002674AE" w:rsidRPr="0055007D" w14:paraId="2AF02CD9" w14:textId="77777777" w:rsidTr="0055007D">
        <w:tc>
          <w:tcPr>
            <w:tcW w:w="2835" w:type="dxa"/>
            <w:vMerge/>
            <w:tcBorders>
              <w:left w:val="single" w:sz="6" w:space="0" w:color="auto"/>
              <w:right w:val="single" w:sz="4" w:space="0" w:color="auto"/>
            </w:tcBorders>
          </w:tcPr>
          <w:p w14:paraId="59415A69" w14:textId="77777777" w:rsidR="002674AE" w:rsidRPr="0055007D" w:rsidRDefault="002674AE" w:rsidP="00213689">
            <w:pPr>
              <w:pStyle w:val="Style16"/>
              <w:numPr>
                <w:ilvl w:val="0"/>
                <w:numId w:val="3"/>
              </w:numPr>
              <w:spacing w:before="60" w:after="60" w:line="276" w:lineRule="auto"/>
              <w:jc w:val="left"/>
              <w:rPr>
                <w:rStyle w:val="FontStyle33"/>
                <w:sz w:val="24"/>
                <w:szCs w:val="24"/>
                <w:lang w:val="id-ID" w:eastAsia="id-ID"/>
              </w:rPr>
            </w:pPr>
          </w:p>
        </w:tc>
        <w:tc>
          <w:tcPr>
            <w:tcW w:w="6088" w:type="dxa"/>
            <w:tcBorders>
              <w:top w:val="single" w:sz="4" w:space="0" w:color="auto"/>
              <w:left w:val="single" w:sz="4" w:space="0" w:color="auto"/>
              <w:bottom w:val="single" w:sz="4" w:space="0" w:color="auto"/>
              <w:right w:val="single" w:sz="4" w:space="0" w:color="auto"/>
            </w:tcBorders>
          </w:tcPr>
          <w:p w14:paraId="20A08C30" w14:textId="77777777" w:rsidR="002674AE" w:rsidRPr="0055007D" w:rsidRDefault="002674AE" w:rsidP="0055007D">
            <w:pPr>
              <w:pStyle w:val="Style16"/>
              <w:widowControl/>
              <w:numPr>
                <w:ilvl w:val="0"/>
                <w:numId w:val="13"/>
              </w:numPr>
              <w:spacing w:before="60" w:after="60" w:line="276" w:lineRule="auto"/>
              <w:ind w:right="90"/>
              <w:rPr>
                <w:rFonts w:cs="Bookman Old Style"/>
              </w:rPr>
            </w:pPr>
            <w:r w:rsidRPr="0055007D">
              <w:rPr>
                <w:rFonts w:cs="Bookman Old Style"/>
              </w:rPr>
              <w:t>Modal disetor/modal kerja/ekuitas minimum yang dipersyaratkan</w:t>
            </w:r>
          </w:p>
          <w:p w14:paraId="3B364CB4" w14:textId="77777777" w:rsidR="002674AE" w:rsidRPr="0055007D" w:rsidRDefault="002674AE" w:rsidP="006E5DC4">
            <w:pPr>
              <w:pStyle w:val="Default"/>
              <w:jc w:val="both"/>
              <w:rPr>
                <w:rFonts w:cstheme="minorBidi"/>
                <w:color w:val="auto"/>
              </w:rPr>
            </w:pPr>
          </w:p>
        </w:tc>
        <w:tc>
          <w:tcPr>
            <w:tcW w:w="7135" w:type="dxa"/>
            <w:tcBorders>
              <w:top w:val="single" w:sz="4" w:space="0" w:color="auto"/>
              <w:left w:val="single" w:sz="4" w:space="0" w:color="auto"/>
              <w:bottom w:val="single" w:sz="4" w:space="0" w:color="auto"/>
              <w:right w:val="single" w:sz="4" w:space="0" w:color="auto"/>
            </w:tcBorders>
          </w:tcPr>
          <w:p w14:paraId="2D297813" w14:textId="4A2EC8B5" w:rsidR="002674AE" w:rsidRPr="0055007D" w:rsidRDefault="002674AE" w:rsidP="006E5DC4">
            <w:pPr>
              <w:pStyle w:val="Style13"/>
              <w:spacing w:before="60" w:after="60" w:line="276" w:lineRule="auto"/>
              <w:rPr>
                <w:rStyle w:val="FontStyle33"/>
                <w:sz w:val="24"/>
                <w:szCs w:val="24"/>
                <w:lang w:eastAsia="id-ID"/>
              </w:rPr>
            </w:pPr>
            <w:r w:rsidRPr="0055007D">
              <w:rPr>
                <w:rStyle w:val="FontStyle33"/>
                <w:sz w:val="24"/>
                <w:szCs w:val="24"/>
                <w:lang w:eastAsia="id-ID"/>
              </w:rPr>
              <w:t>Perusahaan harus memenuhi ketentuan modal disetor pada saat pendirian sesuai dengan POJK. Selanjutnya dalam hal terdapat perluasan usaha dan penambahan layanan Perusahaan harus menjaga kecukupan modal sendiri/ekuitas sebagaimana diatur dalam peraturan yang berlaku.</w:t>
            </w:r>
          </w:p>
        </w:tc>
      </w:tr>
      <w:tr w:rsidR="002674AE" w:rsidRPr="0055007D" w14:paraId="30A708BD" w14:textId="77777777" w:rsidTr="0055007D">
        <w:tc>
          <w:tcPr>
            <w:tcW w:w="2835" w:type="dxa"/>
            <w:vMerge/>
            <w:tcBorders>
              <w:left w:val="single" w:sz="6" w:space="0" w:color="auto"/>
              <w:bottom w:val="single" w:sz="4" w:space="0" w:color="auto"/>
              <w:right w:val="single" w:sz="4" w:space="0" w:color="auto"/>
            </w:tcBorders>
          </w:tcPr>
          <w:p w14:paraId="3EB21001" w14:textId="77777777" w:rsidR="002674AE" w:rsidRPr="0055007D" w:rsidRDefault="002674AE" w:rsidP="00387C46">
            <w:pPr>
              <w:pStyle w:val="Style17"/>
              <w:widowControl/>
              <w:spacing w:before="60" w:after="60" w:line="276" w:lineRule="auto"/>
            </w:pPr>
          </w:p>
        </w:tc>
        <w:tc>
          <w:tcPr>
            <w:tcW w:w="6088" w:type="dxa"/>
            <w:tcBorders>
              <w:top w:val="single" w:sz="4" w:space="0" w:color="auto"/>
              <w:left w:val="single" w:sz="4" w:space="0" w:color="auto"/>
              <w:bottom w:val="single" w:sz="4" w:space="0" w:color="auto"/>
              <w:right w:val="single" w:sz="4" w:space="0" w:color="auto"/>
            </w:tcBorders>
          </w:tcPr>
          <w:p w14:paraId="501CD5F9" w14:textId="77777777" w:rsidR="002674AE" w:rsidRPr="0055007D" w:rsidRDefault="002674AE" w:rsidP="0055007D">
            <w:pPr>
              <w:pStyle w:val="Style16"/>
              <w:widowControl/>
              <w:numPr>
                <w:ilvl w:val="0"/>
                <w:numId w:val="13"/>
              </w:numPr>
              <w:spacing w:before="60" w:after="60" w:line="276" w:lineRule="auto"/>
              <w:ind w:right="90"/>
              <w:rPr>
                <w:rStyle w:val="FontStyle33"/>
                <w:sz w:val="24"/>
                <w:szCs w:val="24"/>
                <w:lang w:val="id-ID" w:eastAsia="id-ID"/>
              </w:rPr>
            </w:pPr>
            <w:r w:rsidRPr="0055007D">
              <w:rPr>
                <w:rFonts w:cs="Bookman Old Style"/>
                <w:lang w:eastAsia="id-ID"/>
              </w:rPr>
              <w:t>Penentuan Kecukupan Modal Minimum Menurut Profil Risiko</w:t>
            </w:r>
          </w:p>
        </w:tc>
        <w:tc>
          <w:tcPr>
            <w:tcW w:w="7135" w:type="dxa"/>
            <w:tcBorders>
              <w:top w:val="single" w:sz="4" w:space="0" w:color="auto"/>
              <w:left w:val="single" w:sz="4" w:space="0" w:color="auto"/>
              <w:bottom w:val="single" w:sz="4" w:space="0" w:color="auto"/>
              <w:right w:val="single" w:sz="4" w:space="0" w:color="auto"/>
            </w:tcBorders>
          </w:tcPr>
          <w:p w14:paraId="7D49999B" w14:textId="77777777" w:rsidR="002674AE" w:rsidRPr="0055007D" w:rsidRDefault="002674AE" w:rsidP="000726F3">
            <w:pPr>
              <w:pStyle w:val="Style13"/>
              <w:spacing w:before="60" w:after="60" w:line="276" w:lineRule="auto"/>
              <w:rPr>
                <w:rStyle w:val="FontStyle33"/>
                <w:sz w:val="24"/>
                <w:szCs w:val="24"/>
                <w:lang w:eastAsia="id-ID"/>
              </w:rPr>
            </w:pPr>
            <w:r w:rsidRPr="0055007D">
              <w:rPr>
                <w:rStyle w:val="FontStyle33"/>
                <w:sz w:val="24"/>
                <w:szCs w:val="24"/>
                <w:lang w:eastAsia="id-ID"/>
              </w:rPr>
              <w:t xml:space="preserve">Penilaian untuk menilai apakah modal perusahaan memadai untuk menutup risiko-risiko yang bukan merupakan cakupan ketentuan modal minimum berbasis risiko sesuai dengan ketentuan, antara lain risiko konsentrasi investasi, risiko likuiditas, risiko stratejik, risiko reputasi, risiko hukum dan risiko kepatuhan. </w:t>
            </w:r>
          </w:p>
          <w:p w14:paraId="0B96BB95" w14:textId="77777777" w:rsidR="002674AE" w:rsidRPr="0055007D" w:rsidRDefault="002674AE" w:rsidP="000726F3">
            <w:pPr>
              <w:pStyle w:val="Style13"/>
              <w:spacing w:before="60" w:after="60" w:line="276" w:lineRule="auto"/>
              <w:rPr>
                <w:rStyle w:val="FontStyle33"/>
                <w:sz w:val="24"/>
                <w:szCs w:val="24"/>
                <w:lang w:eastAsia="id-ID"/>
              </w:rPr>
            </w:pPr>
            <w:r w:rsidRPr="0055007D">
              <w:rPr>
                <w:rStyle w:val="FontStyle33"/>
                <w:sz w:val="24"/>
                <w:szCs w:val="24"/>
                <w:lang w:eastAsia="id-ID"/>
              </w:rPr>
              <w:t xml:space="preserve">Tren modal minimum berbasis risiko adalah kenaikan (penurunan) jumlah dana yang dibutuhkan untuk mengantisipasi risiko kerugian yang mungkin timbul </w:t>
            </w:r>
            <w:r w:rsidRPr="0055007D">
              <w:rPr>
                <w:rStyle w:val="FontStyle33"/>
                <w:sz w:val="24"/>
                <w:szCs w:val="24"/>
                <w:lang w:eastAsia="id-ID"/>
              </w:rPr>
              <w:lastRenderedPageBreak/>
              <w:t>sebagai akibat dari deviasi dalam pengelolaan asset dan liabilitas dari dana perusahaan.</w:t>
            </w:r>
          </w:p>
        </w:tc>
      </w:tr>
      <w:tr w:rsidR="00335FD5" w:rsidRPr="0055007D" w14:paraId="2C67135F" w14:textId="77777777" w:rsidTr="004050A9">
        <w:tc>
          <w:tcPr>
            <w:tcW w:w="2835" w:type="dxa"/>
            <w:vMerge w:val="restart"/>
            <w:tcBorders>
              <w:top w:val="single" w:sz="4" w:space="0" w:color="auto"/>
              <w:left w:val="single" w:sz="4" w:space="0" w:color="auto"/>
              <w:bottom w:val="single" w:sz="4" w:space="0" w:color="auto"/>
              <w:right w:val="single" w:sz="4" w:space="0" w:color="auto"/>
            </w:tcBorders>
          </w:tcPr>
          <w:p w14:paraId="13070AB0" w14:textId="77777777" w:rsidR="009C1356" w:rsidRPr="0055007D" w:rsidRDefault="009C1356" w:rsidP="00213689">
            <w:pPr>
              <w:pStyle w:val="Style16"/>
              <w:widowControl/>
              <w:numPr>
                <w:ilvl w:val="0"/>
                <w:numId w:val="3"/>
              </w:numPr>
              <w:spacing w:before="60" w:after="60" w:line="276" w:lineRule="auto"/>
              <w:ind w:left="357" w:hanging="357"/>
              <w:jc w:val="left"/>
              <w:rPr>
                <w:rFonts w:cs="Bookman Old Style"/>
                <w:lang w:val="id-ID" w:eastAsia="id-ID"/>
              </w:rPr>
            </w:pPr>
            <w:r w:rsidRPr="0055007D">
              <w:rPr>
                <w:rFonts w:cs="Bookman Old Style"/>
                <w:lang w:eastAsia="id-ID"/>
              </w:rPr>
              <w:lastRenderedPageBreak/>
              <w:t>Pengelolaan Permodalan</w:t>
            </w:r>
          </w:p>
          <w:p w14:paraId="1031B51E" w14:textId="77777777" w:rsidR="004050A9" w:rsidRPr="0055007D" w:rsidRDefault="004050A9" w:rsidP="004050A9">
            <w:pPr>
              <w:pStyle w:val="Style16"/>
              <w:widowControl/>
              <w:spacing w:before="60" w:after="60" w:line="276" w:lineRule="auto"/>
              <w:jc w:val="left"/>
            </w:pPr>
          </w:p>
          <w:p w14:paraId="5DFDF5B2" w14:textId="77777777" w:rsidR="004050A9" w:rsidRPr="0055007D" w:rsidRDefault="004050A9" w:rsidP="004050A9">
            <w:pPr>
              <w:pStyle w:val="Style16"/>
              <w:widowControl/>
              <w:spacing w:before="60" w:after="60" w:line="276" w:lineRule="auto"/>
              <w:jc w:val="left"/>
            </w:pPr>
          </w:p>
          <w:p w14:paraId="72C79789" w14:textId="77777777" w:rsidR="004050A9" w:rsidRPr="0055007D" w:rsidRDefault="004050A9" w:rsidP="004050A9">
            <w:pPr>
              <w:pStyle w:val="Style16"/>
              <w:widowControl/>
              <w:spacing w:before="60" w:after="60" w:line="276" w:lineRule="auto"/>
              <w:jc w:val="left"/>
            </w:pPr>
          </w:p>
          <w:p w14:paraId="6E0D55DB" w14:textId="77777777" w:rsidR="004050A9" w:rsidRPr="0055007D" w:rsidRDefault="004050A9" w:rsidP="004050A9">
            <w:pPr>
              <w:pStyle w:val="Style16"/>
              <w:widowControl/>
              <w:spacing w:before="60" w:after="60" w:line="276" w:lineRule="auto"/>
              <w:jc w:val="left"/>
            </w:pPr>
          </w:p>
          <w:p w14:paraId="10A3B2C4" w14:textId="77777777" w:rsidR="004050A9" w:rsidRPr="0055007D" w:rsidRDefault="004050A9" w:rsidP="004050A9">
            <w:pPr>
              <w:pStyle w:val="Style16"/>
              <w:widowControl/>
              <w:spacing w:before="60" w:after="60" w:line="276" w:lineRule="auto"/>
              <w:jc w:val="left"/>
            </w:pPr>
          </w:p>
          <w:p w14:paraId="730DB495" w14:textId="77777777" w:rsidR="004050A9" w:rsidRPr="0055007D" w:rsidRDefault="004050A9" w:rsidP="004050A9">
            <w:pPr>
              <w:pStyle w:val="Style16"/>
              <w:widowControl/>
              <w:spacing w:before="60" w:after="60" w:line="276" w:lineRule="auto"/>
              <w:jc w:val="left"/>
            </w:pPr>
          </w:p>
          <w:p w14:paraId="6FD5BED9" w14:textId="77777777" w:rsidR="004050A9" w:rsidRPr="0055007D" w:rsidRDefault="004050A9" w:rsidP="004050A9">
            <w:pPr>
              <w:pStyle w:val="Style16"/>
              <w:widowControl/>
              <w:spacing w:before="60" w:after="60" w:line="276" w:lineRule="auto"/>
              <w:jc w:val="left"/>
            </w:pPr>
          </w:p>
          <w:p w14:paraId="76077B72" w14:textId="77777777" w:rsidR="004050A9" w:rsidRPr="0055007D" w:rsidRDefault="004050A9" w:rsidP="004050A9">
            <w:pPr>
              <w:pStyle w:val="Style16"/>
              <w:widowControl/>
              <w:spacing w:before="60" w:after="60" w:line="276" w:lineRule="auto"/>
              <w:jc w:val="left"/>
            </w:pPr>
          </w:p>
          <w:p w14:paraId="1817C4EB" w14:textId="77777777" w:rsidR="004050A9" w:rsidRPr="0055007D" w:rsidRDefault="004050A9" w:rsidP="004050A9">
            <w:pPr>
              <w:pStyle w:val="Style16"/>
              <w:widowControl/>
              <w:spacing w:before="60" w:after="60" w:line="276" w:lineRule="auto"/>
              <w:jc w:val="left"/>
              <w:rPr>
                <w:rStyle w:val="FontStyle33"/>
                <w:sz w:val="24"/>
                <w:szCs w:val="24"/>
                <w:lang w:val="id-ID" w:eastAsia="id-ID"/>
              </w:rPr>
            </w:pPr>
          </w:p>
        </w:tc>
        <w:tc>
          <w:tcPr>
            <w:tcW w:w="6088" w:type="dxa"/>
            <w:tcBorders>
              <w:top w:val="single" w:sz="4" w:space="0" w:color="auto"/>
              <w:left w:val="single" w:sz="4" w:space="0" w:color="auto"/>
              <w:bottom w:val="single" w:sz="4" w:space="0" w:color="auto"/>
              <w:right w:val="single" w:sz="4" w:space="0" w:color="auto"/>
            </w:tcBorders>
          </w:tcPr>
          <w:p w14:paraId="62EA32A0" w14:textId="77777777" w:rsidR="009C1356" w:rsidRPr="0055007D" w:rsidRDefault="009C1356" w:rsidP="00213689">
            <w:pPr>
              <w:pStyle w:val="Style16"/>
              <w:widowControl/>
              <w:numPr>
                <w:ilvl w:val="0"/>
                <w:numId w:val="5"/>
              </w:numPr>
              <w:spacing w:before="60" w:after="60" w:line="276" w:lineRule="auto"/>
              <w:rPr>
                <w:rStyle w:val="FontStyle33"/>
                <w:sz w:val="24"/>
                <w:szCs w:val="24"/>
                <w:lang w:val="id-ID" w:eastAsia="id-ID"/>
              </w:rPr>
            </w:pPr>
            <w:r w:rsidRPr="0055007D">
              <w:rPr>
                <w:rStyle w:val="FontStyle33"/>
                <w:sz w:val="24"/>
                <w:szCs w:val="24"/>
                <w:lang w:eastAsia="id-ID"/>
              </w:rPr>
              <w:t>Manajemen permodalan Perusahaan</w:t>
            </w:r>
            <w:r w:rsidRPr="0055007D">
              <w:rPr>
                <w:rStyle w:val="FontStyle33"/>
                <w:sz w:val="24"/>
                <w:szCs w:val="24"/>
                <w:lang w:val="id-ID" w:eastAsia="id-ID"/>
              </w:rPr>
              <w:t>.</w:t>
            </w:r>
          </w:p>
        </w:tc>
        <w:tc>
          <w:tcPr>
            <w:tcW w:w="7135" w:type="dxa"/>
            <w:tcBorders>
              <w:top w:val="single" w:sz="4" w:space="0" w:color="auto"/>
              <w:left w:val="single" w:sz="4" w:space="0" w:color="auto"/>
              <w:bottom w:val="single" w:sz="4" w:space="0" w:color="auto"/>
              <w:right w:val="single" w:sz="4" w:space="0" w:color="auto"/>
            </w:tcBorders>
          </w:tcPr>
          <w:p w14:paraId="4DA51A5D" w14:textId="77777777" w:rsidR="00A46EB2" w:rsidRPr="0055007D" w:rsidRDefault="00A46EB2" w:rsidP="000726F3">
            <w:pPr>
              <w:pStyle w:val="Style13"/>
              <w:spacing w:before="60" w:after="60" w:line="276" w:lineRule="auto"/>
              <w:rPr>
                <w:rStyle w:val="FontStyle33"/>
                <w:sz w:val="24"/>
                <w:szCs w:val="24"/>
                <w:lang w:eastAsia="id-ID"/>
              </w:rPr>
            </w:pPr>
            <w:r w:rsidRPr="0055007D">
              <w:rPr>
                <w:rStyle w:val="FontStyle33"/>
                <w:sz w:val="24"/>
                <w:szCs w:val="24"/>
                <w:lang w:eastAsia="id-ID"/>
              </w:rPr>
              <w:t>Penilaian terhadap pengelolaan modal asuransi/reasuransi meliputi pengawasan aktif Dewan Komisaris dan Direks</w:t>
            </w:r>
            <w:r w:rsidR="000726F3" w:rsidRPr="0055007D">
              <w:rPr>
                <w:rStyle w:val="FontStyle33"/>
                <w:sz w:val="24"/>
                <w:szCs w:val="24"/>
                <w:lang w:val="id-ID" w:eastAsia="id-ID"/>
              </w:rPr>
              <w:t>i,</w:t>
            </w:r>
            <w:r w:rsidRPr="0055007D">
              <w:rPr>
                <w:rStyle w:val="FontStyle33"/>
                <w:sz w:val="24"/>
                <w:szCs w:val="24"/>
                <w:lang w:eastAsia="id-ID"/>
              </w:rPr>
              <w:t xml:space="preserve"> kebijakan</w:t>
            </w:r>
            <w:r w:rsidR="000726F3" w:rsidRPr="0055007D">
              <w:rPr>
                <w:rStyle w:val="FontStyle33"/>
                <w:sz w:val="24"/>
                <w:szCs w:val="24"/>
                <w:lang w:eastAsia="id-ID"/>
              </w:rPr>
              <w:t xml:space="preserve"> dan prosedur pengelolaan modal,</w:t>
            </w:r>
            <w:r w:rsidRPr="0055007D">
              <w:rPr>
                <w:rStyle w:val="FontStyle33"/>
                <w:sz w:val="24"/>
                <w:szCs w:val="24"/>
                <w:lang w:eastAsia="id-ID"/>
              </w:rPr>
              <w:t xml:space="preserve"> dan perencanaan modal, sistem pengendalian intern </w:t>
            </w:r>
          </w:p>
          <w:p w14:paraId="51F12D63" w14:textId="77777777" w:rsidR="009C1356" w:rsidRPr="0055007D" w:rsidRDefault="009C1356" w:rsidP="00E62270">
            <w:pPr>
              <w:pStyle w:val="Style16"/>
              <w:widowControl/>
              <w:spacing w:before="60" w:after="60" w:line="276" w:lineRule="auto"/>
              <w:rPr>
                <w:rStyle w:val="FontStyle33"/>
                <w:sz w:val="24"/>
                <w:szCs w:val="24"/>
                <w:lang w:val="id-ID" w:eastAsia="id-ID"/>
              </w:rPr>
            </w:pPr>
            <w:r w:rsidRPr="0055007D">
              <w:rPr>
                <w:rStyle w:val="FontStyle33"/>
                <w:sz w:val="24"/>
                <w:szCs w:val="24"/>
                <w:lang w:eastAsia="id-ID"/>
              </w:rPr>
              <w:t>Hal ini meliputi pengelolaan modal, perencanaan modal, penilaian kecukupan modal, kaji ulang independen</w:t>
            </w:r>
            <w:r w:rsidR="00E62270" w:rsidRPr="0055007D">
              <w:rPr>
                <w:rStyle w:val="FontStyle33"/>
                <w:sz w:val="24"/>
                <w:szCs w:val="24"/>
                <w:lang w:val="id-ID" w:eastAsia="id-ID"/>
              </w:rPr>
              <w:t xml:space="preserve">, </w:t>
            </w:r>
            <w:r w:rsidR="00E62270" w:rsidRPr="0055007D">
              <w:rPr>
                <w:rStyle w:val="FontStyle33"/>
                <w:sz w:val="24"/>
                <w:szCs w:val="24"/>
                <w:lang w:eastAsia="id-ID"/>
              </w:rPr>
              <w:t>pengawasan aktif Dewan Komisaris dan DireksI; kebijakan dan prosedur pengelolaan modal; dan perencanaan modal, sistem pengendalian intern.</w:t>
            </w:r>
          </w:p>
        </w:tc>
      </w:tr>
      <w:tr w:rsidR="00335FD5" w:rsidRPr="0055007D" w14:paraId="4D8D3D86" w14:textId="77777777" w:rsidTr="004050A9">
        <w:tc>
          <w:tcPr>
            <w:tcW w:w="2835" w:type="dxa"/>
            <w:vMerge/>
            <w:tcBorders>
              <w:top w:val="single" w:sz="4" w:space="0" w:color="auto"/>
              <w:left w:val="single" w:sz="4" w:space="0" w:color="auto"/>
              <w:bottom w:val="single" w:sz="4" w:space="0" w:color="auto"/>
              <w:right w:val="single" w:sz="4" w:space="0" w:color="auto"/>
            </w:tcBorders>
          </w:tcPr>
          <w:p w14:paraId="095EE647" w14:textId="77777777" w:rsidR="009C1356" w:rsidRPr="0055007D" w:rsidRDefault="009C1356" w:rsidP="00387C46">
            <w:pPr>
              <w:pStyle w:val="Style17"/>
              <w:widowControl/>
              <w:spacing w:before="60" w:after="60" w:line="276" w:lineRule="auto"/>
            </w:pPr>
          </w:p>
        </w:tc>
        <w:tc>
          <w:tcPr>
            <w:tcW w:w="6088" w:type="dxa"/>
            <w:tcBorders>
              <w:top w:val="single" w:sz="4" w:space="0" w:color="auto"/>
              <w:left w:val="single" w:sz="4" w:space="0" w:color="auto"/>
              <w:bottom w:val="single" w:sz="4" w:space="0" w:color="auto"/>
              <w:right w:val="single" w:sz="4" w:space="0" w:color="auto"/>
            </w:tcBorders>
          </w:tcPr>
          <w:p w14:paraId="18B4DF34" w14:textId="77777777" w:rsidR="009C1356" w:rsidRPr="0055007D" w:rsidRDefault="009C1356" w:rsidP="00213689">
            <w:pPr>
              <w:pStyle w:val="Style16"/>
              <w:widowControl/>
              <w:numPr>
                <w:ilvl w:val="0"/>
                <w:numId w:val="5"/>
              </w:numPr>
              <w:spacing w:before="60" w:after="60" w:line="276" w:lineRule="auto"/>
              <w:rPr>
                <w:rStyle w:val="FontStyle33"/>
                <w:sz w:val="24"/>
                <w:szCs w:val="24"/>
                <w:lang w:val="id-ID" w:eastAsia="id-ID"/>
              </w:rPr>
            </w:pPr>
            <w:r w:rsidRPr="0055007D">
              <w:rPr>
                <w:rStyle w:val="FontStyle33"/>
                <w:sz w:val="24"/>
                <w:szCs w:val="24"/>
                <w:lang w:eastAsia="id-ID"/>
              </w:rPr>
              <w:t>Kemampuan akses permodalan yang dilihat dari sumber internal dan sumber eksternal</w:t>
            </w:r>
            <w:r w:rsidRPr="0055007D">
              <w:rPr>
                <w:rStyle w:val="FontStyle33"/>
                <w:sz w:val="24"/>
                <w:szCs w:val="24"/>
                <w:lang w:val="id-ID" w:eastAsia="id-ID"/>
              </w:rPr>
              <w:t>.</w:t>
            </w:r>
          </w:p>
        </w:tc>
        <w:tc>
          <w:tcPr>
            <w:tcW w:w="7135" w:type="dxa"/>
            <w:tcBorders>
              <w:top w:val="single" w:sz="4" w:space="0" w:color="auto"/>
              <w:left w:val="single" w:sz="4" w:space="0" w:color="auto"/>
              <w:bottom w:val="single" w:sz="4" w:space="0" w:color="auto"/>
              <w:right w:val="single" w:sz="4" w:space="0" w:color="auto"/>
            </w:tcBorders>
          </w:tcPr>
          <w:p w14:paraId="6DE38436" w14:textId="77777777" w:rsidR="00A46EB2" w:rsidRPr="0055007D" w:rsidRDefault="00A46EB2" w:rsidP="00213689">
            <w:pPr>
              <w:pStyle w:val="Style16"/>
              <w:widowControl/>
              <w:numPr>
                <w:ilvl w:val="0"/>
                <w:numId w:val="6"/>
              </w:numPr>
              <w:spacing w:before="60" w:after="60" w:line="276" w:lineRule="auto"/>
              <w:ind w:left="385"/>
              <w:rPr>
                <w:rStyle w:val="FontStyle33"/>
                <w:sz w:val="24"/>
                <w:szCs w:val="24"/>
                <w:lang w:eastAsia="id-ID"/>
              </w:rPr>
            </w:pPr>
            <w:r w:rsidRPr="0055007D">
              <w:rPr>
                <w:rStyle w:val="FontStyle33"/>
                <w:sz w:val="24"/>
                <w:szCs w:val="24"/>
                <w:lang w:eastAsia="id-ID"/>
              </w:rPr>
              <w:t xml:space="preserve">Penilaian terhadap rentabilitas perusahaan dan peranannya terhadap pemupukan modal secara internal, dan kewajaran kebijakan pembagian dividen/bonus. </w:t>
            </w:r>
          </w:p>
          <w:p w14:paraId="4C53FFE8" w14:textId="77777777" w:rsidR="009C1356" w:rsidRPr="0055007D" w:rsidRDefault="00A46EB2" w:rsidP="00213689">
            <w:pPr>
              <w:pStyle w:val="Style16"/>
              <w:widowControl/>
              <w:numPr>
                <w:ilvl w:val="0"/>
                <w:numId w:val="6"/>
              </w:numPr>
              <w:spacing w:before="60" w:after="60" w:line="276" w:lineRule="auto"/>
              <w:ind w:left="385"/>
              <w:rPr>
                <w:rStyle w:val="FontStyle33"/>
                <w:sz w:val="24"/>
                <w:szCs w:val="24"/>
                <w:lang w:eastAsia="id-ID"/>
              </w:rPr>
            </w:pPr>
            <w:r w:rsidRPr="0055007D">
              <w:rPr>
                <w:rStyle w:val="FontStyle33"/>
                <w:sz w:val="24"/>
                <w:szCs w:val="24"/>
                <w:lang w:eastAsia="id-ID"/>
              </w:rPr>
              <w:t xml:space="preserve">Penilaian terhadap kemampuan perusahaan untuk mengakses modal baik dari pemegang </w:t>
            </w:r>
            <w:r w:rsidR="000726F3" w:rsidRPr="0055007D">
              <w:rPr>
                <w:rStyle w:val="FontStyle33"/>
                <w:sz w:val="24"/>
                <w:szCs w:val="24"/>
                <w:lang w:eastAsia="id-ID"/>
              </w:rPr>
              <w:t xml:space="preserve">saham maupun dari pasar modal. </w:t>
            </w:r>
          </w:p>
        </w:tc>
      </w:tr>
    </w:tbl>
    <w:p w14:paraId="2A697BC1" w14:textId="77777777" w:rsidR="007B772E" w:rsidRPr="0055007D" w:rsidRDefault="00EB388B" w:rsidP="00AF5E37">
      <w:pPr>
        <w:widowControl/>
        <w:autoSpaceDE/>
        <w:autoSpaceDN/>
        <w:adjustRightInd/>
        <w:spacing w:before="60" w:after="60" w:line="276" w:lineRule="auto"/>
        <w:ind w:left="-2268"/>
        <w:rPr>
          <w:color w:val="000000" w:themeColor="text1"/>
        </w:rPr>
        <w:sectPr w:rsidR="007B772E" w:rsidRPr="0055007D" w:rsidSect="00FB1729">
          <w:pgSz w:w="18711" w:h="12242" w:orient="landscape" w:code="5"/>
          <w:pgMar w:top="1701" w:right="1418" w:bottom="1418" w:left="1418" w:header="709" w:footer="709" w:gutter="0"/>
          <w:cols w:space="708"/>
          <w:docGrid w:linePitch="360"/>
        </w:sectPr>
      </w:pPr>
      <w:r w:rsidRPr="0055007D">
        <w:rPr>
          <w:color w:val="000000" w:themeColor="text1"/>
        </w:rPr>
        <w:br w:type="page"/>
      </w:r>
    </w:p>
    <w:p w14:paraId="2BBD775A" w14:textId="77777777" w:rsidR="00EB388B" w:rsidRPr="0055007D" w:rsidRDefault="00EB388B" w:rsidP="00AF5E37">
      <w:pPr>
        <w:widowControl/>
        <w:autoSpaceDE/>
        <w:autoSpaceDN/>
        <w:adjustRightInd/>
        <w:spacing w:before="60" w:after="60" w:line="276" w:lineRule="auto"/>
        <w:ind w:left="-2268"/>
        <w:rPr>
          <w:rFonts w:eastAsiaTheme="minorHAnsi"/>
          <w:color w:val="000000" w:themeColor="text1"/>
          <w:lang w:val="id-ID"/>
        </w:rPr>
      </w:pPr>
    </w:p>
    <w:p w14:paraId="1E98822D" w14:textId="77777777" w:rsidR="007B772E" w:rsidRPr="0055007D" w:rsidRDefault="00C51B96" w:rsidP="00C51B96">
      <w:pPr>
        <w:widowControl/>
        <w:spacing w:before="60" w:after="60" w:line="276" w:lineRule="auto"/>
        <w:ind w:left="-100" w:right="100"/>
        <w:rPr>
          <w:color w:val="000000" w:themeColor="text1"/>
          <w:lang w:val="id-ID"/>
        </w:rPr>
      </w:pPr>
      <w:r w:rsidRPr="0055007D">
        <w:rPr>
          <w:color w:val="000000" w:themeColor="text1"/>
          <w:lang w:val="id-ID"/>
        </w:rPr>
        <w:t xml:space="preserve">Tabel IV.B: </w:t>
      </w:r>
      <w:r w:rsidR="007B772E" w:rsidRPr="0055007D">
        <w:rPr>
          <w:color w:val="000000" w:themeColor="text1"/>
        </w:rPr>
        <w:t>Matriks Peringkat Faktor Permodalan</w:t>
      </w:r>
    </w:p>
    <w:tbl>
      <w:tblPr>
        <w:tblW w:w="0" w:type="auto"/>
        <w:tblLayout w:type="fixed"/>
        <w:tblCellMar>
          <w:left w:w="40" w:type="dxa"/>
          <w:right w:w="40" w:type="dxa"/>
        </w:tblCellMar>
        <w:tblLook w:val="0000" w:firstRow="0" w:lastRow="0" w:firstColumn="0" w:lastColumn="0" w:noHBand="0" w:noVBand="0"/>
      </w:tblPr>
      <w:tblGrid>
        <w:gridCol w:w="1814"/>
        <w:gridCol w:w="7517"/>
      </w:tblGrid>
      <w:tr w:rsidR="009A7043" w:rsidRPr="0055007D" w14:paraId="5CA9E1B5" w14:textId="77777777" w:rsidTr="00A659FD">
        <w:trPr>
          <w:tblHeader/>
        </w:trPr>
        <w:tc>
          <w:tcPr>
            <w:tcW w:w="18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BC6C0F4" w14:textId="77777777" w:rsidR="007B772E" w:rsidRPr="0055007D" w:rsidRDefault="007B772E" w:rsidP="002544FE">
            <w:pPr>
              <w:widowControl/>
              <w:spacing w:before="60" w:after="60" w:line="276" w:lineRule="auto"/>
              <w:ind w:left="57" w:right="113"/>
              <w:jc w:val="center"/>
              <w:rPr>
                <w:rFonts w:cs="Bookman Old Style"/>
                <w:color w:val="000000" w:themeColor="text1"/>
                <w:lang w:val="id-ID" w:eastAsia="id-ID"/>
              </w:rPr>
            </w:pPr>
            <w:r w:rsidRPr="0055007D">
              <w:rPr>
                <w:rFonts w:cs="Bookman Old Style"/>
                <w:color w:val="000000" w:themeColor="text1"/>
                <w:lang w:val="id-ID" w:eastAsia="id-ID"/>
              </w:rPr>
              <w:t>Peringkat</w:t>
            </w:r>
          </w:p>
        </w:tc>
        <w:tc>
          <w:tcPr>
            <w:tcW w:w="7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E52ADA" w14:textId="77777777" w:rsidR="007B772E" w:rsidRPr="0055007D" w:rsidRDefault="007B772E" w:rsidP="002544FE">
            <w:pPr>
              <w:widowControl/>
              <w:spacing w:before="60" w:after="60" w:line="276" w:lineRule="auto"/>
              <w:ind w:left="57" w:right="113"/>
              <w:jc w:val="center"/>
              <w:rPr>
                <w:rFonts w:cs="Bookman Old Style"/>
                <w:color w:val="000000" w:themeColor="text1"/>
                <w:lang w:val="id-ID" w:eastAsia="id-ID"/>
              </w:rPr>
            </w:pPr>
            <w:r w:rsidRPr="0055007D">
              <w:rPr>
                <w:rFonts w:cs="Bookman Old Style"/>
                <w:color w:val="000000" w:themeColor="text1"/>
                <w:lang w:val="id-ID" w:eastAsia="id-ID"/>
              </w:rPr>
              <w:t>Definisi</w:t>
            </w:r>
          </w:p>
        </w:tc>
      </w:tr>
      <w:tr w:rsidR="003A21E9" w:rsidRPr="0055007D" w14:paraId="0993B80C" w14:textId="77777777" w:rsidTr="00A659FD">
        <w:tc>
          <w:tcPr>
            <w:tcW w:w="1814" w:type="dxa"/>
            <w:tcBorders>
              <w:top w:val="single" w:sz="6" w:space="0" w:color="auto"/>
              <w:left w:val="single" w:sz="6" w:space="0" w:color="auto"/>
              <w:bottom w:val="single" w:sz="6" w:space="0" w:color="auto"/>
              <w:right w:val="single" w:sz="6" w:space="0" w:color="auto"/>
            </w:tcBorders>
          </w:tcPr>
          <w:p w14:paraId="7C44C7F9" w14:textId="77777777" w:rsidR="00087CB1" w:rsidRPr="0055007D" w:rsidRDefault="00087CB1" w:rsidP="00087CB1">
            <w:pPr>
              <w:widowControl/>
              <w:spacing w:before="60" w:after="60" w:line="276" w:lineRule="auto"/>
              <w:ind w:left="57" w:right="113"/>
              <w:jc w:val="center"/>
              <w:rPr>
                <w:rFonts w:cs="Bookman Old Style"/>
                <w:lang w:val="id-ID" w:eastAsia="id-ID"/>
              </w:rPr>
            </w:pPr>
            <w:r w:rsidRPr="0055007D">
              <w:rPr>
                <w:rFonts w:cs="Bookman Old Style"/>
                <w:lang w:val="id-ID" w:eastAsia="id-ID"/>
              </w:rPr>
              <w:t>Peringkat 1</w:t>
            </w:r>
          </w:p>
        </w:tc>
        <w:tc>
          <w:tcPr>
            <w:tcW w:w="7517" w:type="dxa"/>
            <w:tcBorders>
              <w:top w:val="single" w:sz="6" w:space="0" w:color="auto"/>
              <w:left w:val="single" w:sz="6" w:space="0" w:color="auto"/>
              <w:bottom w:val="single" w:sz="6" w:space="0" w:color="auto"/>
              <w:right w:val="single" w:sz="6" w:space="0" w:color="auto"/>
            </w:tcBorders>
          </w:tcPr>
          <w:p w14:paraId="75B898E2"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memiliki kualitas dan kecukupan permodalan yang sangat memadai relatif terhadap profil risiko yang disertai dengan pengelolaan permodalan yang sangat kuat sesuai dengan karakteristik, skala usaha, dan kompleksitas usaha Perusahaan.</w:t>
            </w:r>
          </w:p>
          <w:p w14:paraId="45CE1900"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yang termasuk dalam peringkat 1 memenuhi seluruh atau sebagian besar dari contoh karakteristik sebagai berikut:</w:t>
            </w:r>
          </w:p>
          <w:p w14:paraId="0EA1FB6E"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modal sendiri sama dengan atau lebih dari 2,5 kali nilai modal sendiri mínimum yang dipersyaratkan.</w:t>
            </w:r>
          </w:p>
          <w:p w14:paraId="77376A0C"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tingkat permodalan yang sangat memadai, sangat mampu mengantisipasi seluruh risiko yang dihadapi, dan mendukung ekspansi usaha ke depan. Rasio Pencapaian tingkat solvabilitas di atas 250%.</w:t>
            </w:r>
          </w:p>
          <w:p w14:paraId="23EC4C51"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Kualitas komponen permodalan pada umumnya sangat baik, permanen, dapat menyerap kerugian.</w:t>
            </w:r>
          </w:p>
          <w:p w14:paraId="3B387FF1"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Perusahaan telah melakukan stress test dengan hasil yang dapat menutup seluruh risiko yang dihadapi dengan sangat memadai.</w:t>
            </w:r>
          </w:p>
          <w:p w14:paraId="01910317"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manajemen permodalan yang sangat baik dan/atau memiliki proses penilaian kecukupan modal yang sangat baik sesuai dengan strategi dan tujuan bisnis serta kompleksitas usaha dan skala perusahaan.</w:t>
            </w:r>
          </w:p>
          <w:p w14:paraId="33304839"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akses sumber permodalan yang sangat baik dan/atau memiliki dukungan permodalan dari kelompok usaha atau perusahaan induk.</w:t>
            </w:r>
          </w:p>
          <w:p w14:paraId="5E4F7565"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Perusahaan menetapkan target Rasio Pencapaian Solvabilitas yang jauh lebih tinggi daripada rasio tingkat solvabilitas yang ditentukan oleh regulator dan dapat memenuhi target dengan baik</w:t>
            </w:r>
          </w:p>
          <w:p w14:paraId="29577BFF"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Laba perusahaan selama 3 tahun terakhir naik secara signifikan dan memiliki tren yang meningkat.</w:t>
            </w:r>
          </w:p>
          <w:p w14:paraId="1C3CAEC5" w14:textId="77777777" w:rsidR="00087CB1" w:rsidRPr="0055007D" w:rsidRDefault="00087CB1" w:rsidP="00213689">
            <w:pPr>
              <w:widowControl/>
              <w:numPr>
                <w:ilvl w:val="0"/>
                <w:numId w:val="2"/>
              </w:numPr>
              <w:spacing w:before="60" w:after="60" w:line="276" w:lineRule="auto"/>
              <w:ind w:left="548" w:hanging="502"/>
              <w:jc w:val="both"/>
              <w:rPr>
                <w:rFonts w:cs="Bookman Old Style"/>
                <w:lang w:val="id-ID" w:eastAsia="id-ID"/>
              </w:rPr>
            </w:pPr>
            <w:r w:rsidRPr="0055007D">
              <w:rPr>
                <w:rFonts w:cs="Bookman Old Style"/>
                <w:lang w:val="id-ID" w:eastAsia="id-ID"/>
              </w:rPr>
              <w:t>Pengalokasian dan pendistribusian keuntungan perusahaan telah dilakukan secara layak.</w:t>
            </w:r>
          </w:p>
          <w:p w14:paraId="5F0979D5" w14:textId="77777777" w:rsidR="00087CB1" w:rsidRPr="0055007D" w:rsidRDefault="00087CB1" w:rsidP="00213689">
            <w:pPr>
              <w:widowControl/>
              <w:numPr>
                <w:ilvl w:val="0"/>
                <w:numId w:val="2"/>
              </w:numPr>
              <w:spacing w:before="60" w:after="60" w:line="276" w:lineRule="auto"/>
              <w:ind w:left="548" w:hanging="502"/>
              <w:jc w:val="both"/>
              <w:rPr>
                <w:rFonts w:cs="Bookman Old Style"/>
                <w:lang w:eastAsia="id-ID"/>
              </w:rPr>
            </w:pPr>
            <w:r w:rsidRPr="0055007D">
              <w:rPr>
                <w:rFonts w:cs="Bookman Old Style"/>
                <w:lang w:val="id-ID" w:eastAsia="id-ID"/>
              </w:rPr>
              <w:t xml:space="preserve">Terdapat surplus </w:t>
            </w:r>
            <w:r w:rsidRPr="0055007D">
              <w:rPr>
                <w:rFonts w:cs="Bookman Old Style"/>
                <w:i/>
                <w:lang w:val="id-ID" w:eastAsia="id-ID"/>
              </w:rPr>
              <w:t>underwriting</w:t>
            </w:r>
          </w:p>
        </w:tc>
      </w:tr>
      <w:tr w:rsidR="003A21E9" w:rsidRPr="0055007D" w14:paraId="5FD57C19" w14:textId="77777777" w:rsidTr="00A659FD">
        <w:tc>
          <w:tcPr>
            <w:tcW w:w="1814" w:type="dxa"/>
            <w:tcBorders>
              <w:top w:val="single" w:sz="6" w:space="0" w:color="auto"/>
              <w:left w:val="single" w:sz="6" w:space="0" w:color="auto"/>
              <w:bottom w:val="single" w:sz="6" w:space="0" w:color="auto"/>
              <w:right w:val="single" w:sz="6" w:space="0" w:color="auto"/>
            </w:tcBorders>
          </w:tcPr>
          <w:p w14:paraId="03086BC5" w14:textId="77777777" w:rsidR="00087CB1" w:rsidRPr="0055007D" w:rsidRDefault="00087CB1" w:rsidP="00087CB1">
            <w:pPr>
              <w:widowControl/>
              <w:spacing w:before="60" w:after="60" w:line="276" w:lineRule="auto"/>
              <w:ind w:left="57" w:right="113"/>
              <w:jc w:val="center"/>
              <w:rPr>
                <w:rFonts w:cs="Bookman Old Style"/>
                <w:lang w:val="id-ID" w:eastAsia="id-ID"/>
              </w:rPr>
            </w:pPr>
            <w:r w:rsidRPr="0055007D">
              <w:rPr>
                <w:rFonts w:cs="Bookman Old Style"/>
                <w:lang w:val="id-ID" w:eastAsia="id-ID"/>
              </w:rPr>
              <w:t>Peringkat 2</w:t>
            </w:r>
          </w:p>
        </w:tc>
        <w:tc>
          <w:tcPr>
            <w:tcW w:w="7517" w:type="dxa"/>
            <w:tcBorders>
              <w:top w:val="single" w:sz="6" w:space="0" w:color="auto"/>
              <w:left w:val="single" w:sz="6" w:space="0" w:color="auto"/>
              <w:bottom w:val="single" w:sz="6" w:space="0" w:color="auto"/>
              <w:right w:val="single" w:sz="6" w:space="0" w:color="auto"/>
            </w:tcBorders>
          </w:tcPr>
          <w:p w14:paraId="751B1C03"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memiliki kualitas dan kecukupan permodalan yang memadai relatif terhadap profil risiko, yang disertai dengan pengelolaan yang kuat sesuai dengan karakteristik, skala usaha, dan kompleksitas usaha Perusahaan.</w:t>
            </w:r>
          </w:p>
          <w:p w14:paraId="2C0E88D1"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lastRenderedPageBreak/>
              <w:t>Perusahaan yang termasuk dalam peringkat 2 memenuhi seluruh atau sebagian besar dari contoh karakteristik sebagai berikut:</w:t>
            </w:r>
          </w:p>
          <w:p w14:paraId="44A38FB8"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modal sendiri sama dengan atau lebih dari 1,8 kali namun kurang dari 2,5 kali nilai modal sendiri mínimum yang dipersyaratkan</w:t>
            </w:r>
          </w:p>
          <w:p w14:paraId="51CD5EDC"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tingkat permodalan yang memadai dan dapat mengantisipasi hampir seluruh risiko yang dihadapi. Rasio Pencapaian tingkat solvabilits di atas 180 % namun dibawah 250%.</w:t>
            </w:r>
          </w:p>
          <w:p w14:paraId="4EBCEFAB"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Kualitas komponen permodalan pada umumnya baik, permanen, dapat menyerap kerugian.</w:t>
            </w:r>
          </w:p>
          <w:p w14:paraId="4143537B"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Perusahaan telah melakukan stress test dengan hasil yang dapat menutup seluruh risiko yang dihadapi dengan memadai.</w:t>
            </w:r>
          </w:p>
          <w:p w14:paraId="4EE65FC9"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manajemen permodalan yang baik dan/atau memiliki proses penilaian kecukupan modal yang baik.</w:t>
            </w:r>
          </w:p>
          <w:p w14:paraId="76F59482"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akses sumber permodalan yang baik dan/atau terdapat dukungan permodalan dari kelompok usaha atau perusahaan induk.</w:t>
            </w:r>
          </w:p>
          <w:p w14:paraId="464F2E0C"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Perusahaan menetapkan target Rasio Pencapaian Solvabilitas lebih tinggi daripada rasio tingkat solvabilitas yang ditentukan oleh regulator dan dapat memenuhi dengan baik.</w:t>
            </w:r>
          </w:p>
          <w:p w14:paraId="66A64EB6"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Laba perusahaan selama 3 tahun terakhir naik signifikan dan memiliki tren yang cukup meningkat</w:t>
            </w:r>
          </w:p>
          <w:p w14:paraId="1526797B" w14:textId="77777777" w:rsidR="00087CB1" w:rsidRPr="0055007D" w:rsidRDefault="00087CB1" w:rsidP="00213689">
            <w:pPr>
              <w:widowControl/>
              <w:numPr>
                <w:ilvl w:val="0"/>
                <w:numId w:val="7"/>
              </w:numPr>
              <w:spacing w:before="60" w:after="60" w:line="276" w:lineRule="auto"/>
              <w:ind w:left="548" w:hanging="502"/>
              <w:jc w:val="both"/>
              <w:rPr>
                <w:rFonts w:cs="Bookman Old Style"/>
                <w:lang w:val="id-ID" w:eastAsia="id-ID"/>
              </w:rPr>
            </w:pPr>
            <w:r w:rsidRPr="0055007D">
              <w:rPr>
                <w:rFonts w:cs="Bookman Old Style"/>
                <w:lang w:val="id-ID" w:eastAsia="id-ID"/>
              </w:rPr>
              <w:t>Pengalokasian dan pendistribusian keuntungan perusahaan dilakukan secara cukup layak.</w:t>
            </w:r>
          </w:p>
          <w:p w14:paraId="000F239A" w14:textId="77777777" w:rsidR="00087CB1" w:rsidRPr="0055007D" w:rsidRDefault="00087CB1" w:rsidP="00213689">
            <w:pPr>
              <w:widowControl/>
              <w:numPr>
                <w:ilvl w:val="0"/>
                <w:numId w:val="7"/>
              </w:numPr>
              <w:spacing w:before="60" w:after="60" w:line="276" w:lineRule="auto"/>
              <w:ind w:left="548" w:hanging="502"/>
              <w:jc w:val="both"/>
              <w:rPr>
                <w:rFonts w:cs="Bookman Old Style"/>
                <w:lang w:eastAsia="id-ID"/>
              </w:rPr>
            </w:pPr>
            <w:r w:rsidRPr="0055007D">
              <w:rPr>
                <w:rFonts w:cs="Bookman Old Style"/>
                <w:lang w:val="id-ID" w:eastAsia="id-ID"/>
              </w:rPr>
              <w:t xml:space="preserve">Defisit </w:t>
            </w:r>
            <w:r w:rsidRPr="0055007D">
              <w:rPr>
                <w:rFonts w:cs="Bookman Old Style"/>
                <w:i/>
                <w:lang w:val="id-ID" w:eastAsia="id-ID"/>
              </w:rPr>
              <w:t>underwriting</w:t>
            </w:r>
            <w:r w:rsidRPr="0055007D">
              <w:rPr>
                <w:rFonts w:cs="Bookman Old Style"/>
                <w:lang w:val="id-ID" w:eastAsia="id-ID"/>
              </w:rPr>
              <w:t xml:space="preserve"> dapat ditutup dengan hasil investasi</w:t>
            </w:r>
          </w:p>
        </w:tc>
      </w:tr>
      <w:tr w:rsidR="003A21E9" w:rsidRPr="0055007D" w14:paraId="7490074E" w14:textId="77777777" w:rsidTr="00A659FD">
        <w:tc>
          <w:tcPr>
            <w:tcW w:w="1814" w:type="dxa"/>
            <w:tcBorders>
              <w:top w:val="single" w:sz="6" w:space="0" w:color="auto"/>
              <w:left w:val="single" w:sz="6" w:space="0" w:color="auto"/>
              <w:bottom w:val="single" w:sz="6" w:space="0" w:color="auto"/>
              <w:right w:val="single" w:sz="6" w:space="0" w:color="auto"/>
            </w:tcBorders>
          </w:tcPr>
          <w:p w14:paraId="1C06AAEB" w14:textId="77777777" w:rsidR="00087CB1" w:rsidRPr="0055007D" w:rsidRDefault="00087CB1" w:rsidP="00087CB1">
            <w:pPr>
              <w:widowControl/>
              <w:spacing w:before="60" w:after="60" w:line="276" w:lineRule="auto"/>
              <w:ind w:left="57" w:right="113"/>
              <w:jc w:val="center"/>
              <w:rPr>
                <w:rFonts w:cs="Bookman Old Style"/>
                <w:lang w:val="id-ID" w:eastAsia="id-ID"/>
              </w:rPr>
            </w:pPr>
            <w:r w:rsidRPr="0055007D">
              <w:rPr>
                <w:rFonts w:cs="Bookman Old Style"/>
                <w:lang w:val="id-ID" w:eastAsia="id-ID"/>
              </w:rPr>
              <w:lastRenderedPageBreak/>
              <w:t>Peringkat 3</w:t>
            </w:r>
          </w:p>
        </w:tc>
        <w:tc>
          <w:tcPr>
            <w:tcW w:w="7517" w:type="dxa"/>
            <w:tcBorders>
              <w:top w:val="single" w:sz="6" w:space="0" w:color="auto"/>
              <w:left w:val="single" w:sz="6" w:space="0" w:color="auto"/>
              <w:bottom w:val="single" w:sz="6" w:space="0" w:color="auto"/>
              <w:right w:val="single" w:sz="6" w:space="0" w:color="auto"/>
            </w:tcBorders>
          </w:tcPr>
          <w:p w14:paraId="46D7C6B2"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memiliki kualitas dan kecukupan permodalan yang cukup memadai relatif terhadap profil risiko yang disertai dengan pengelolaan permodalan yang cukup kuat sesuai dengan karakteristik, skala usaha, dan kompleksitas usaha Perusahaan.</w:t>
            </w:r>
          </w:p>
          <w:p w14:paraId="5EEE85E3"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yang termasuk dalam peringkat 3 memenuhi seluruh atau sebagian besar dari contoh karakteristik sebagai berikut:</w:t>
            </w:r>
          </w:p>
          <w:p w14:paraId="7F932C87"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modal sendiri sama dengan atau lebih dari 1,1 kali namun kurang dari 1,8 kali nilai modal sendiri mínimum yang dipersyaratkan.</w:t>
            </w:r>
          </w:p>
          <w:p w14:paraId="4C2039CB"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 xml:space="preserve">Perusahaan memiliki tingkat permodalan yang cukup memadai, dan cukup mampu mengantisipasi risiko yang </w:t>
            </w:r>
            <w:r w:rsidRPr="0055007D">
              <w:rPr>
                <w:rFonts w:cs="Bookman Old Style"/>
                <w:lang w:val="id-ID" w:eastAsia="id-ID"/>
              </w:rPr>
              <w:lastRenderedPageBreak/>
              <w:t>dihadapi. Rasio Pencapaian tingkat solvabilits di atas 150% namun dibawah 180%.</w:t>
            </w:r>
          </w:p>
          <w:p w14:paraId="0B55F93D"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 xml:space="preserve">Kualitas komponen permodalan pada umumnya cukup baik, cukup permanen, dan cukup dapat menyerap kerugian. </w:t>
            </w:r>
          </w:p>
          <w:p w14:paraId="7C47607D"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Perusahaan telah melakukan stress test dengan hasil yang dapat menutup seluruh risiko yang dihadapi dengan cukup memadai.</w:t>
            </w:r>
          </w:p>
          <w:p w14:paraId="594D989D"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manajemen permodalan yang cukup baik dan/atau memiliki proses penilaian kecukupan modal yang cukup baik.</w:t>
            </w:r>
          </w:p>
          <w:p w14:paraId="10E4ACF5"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akses sumber permodalan yang cukup baik, namun dukungan dari grup usaha atau perusahaan induk dilakukan tidak secara eksplisit.</w:t>
            </w:r>
          </w:p>
          <w:p w14:paraId="2FCBF864"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Perusahaan menetapkan target Rasio Pencapaian Solvabilitas yang lebih tinggi daripada rasio tingkat solvabilitas yang ditentukan oleh regulator namun tidak dapat memenuhi dengan baik</w:t>
            </w:r>
          </w:p>
          <w:p w14:paraId="3F04CF72"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Laba perusahaan selama 2 tahun terakhir stabil dan memiliki tren tetap.</w:t>
            </w:r>
          </w:p>
          <w:p w14:paraId="36972E51" w14:textId="77777777" w:rsidR="00087CB1" w:rsidRPr="0055007D" w:rsidRDefault="00087CB1" w:rsidP="00213689">
            <w:pPr>
              <w:widowControl/>
              <w:numPr>
                <w:ilvl w:val="0"/>
                <w:numId w:val="8"/>
              </w:numPr>
              <w:spacing w:before="60" w:after="60" w:line="276" w:lineRule="auto"/>
              <w:ind w:left="548" w:hanging="502"/>
              <w:jc w:val="both"/>
              <w:rPr>
                <w:rFonts w:cs="Bookman Old Style"/>
                <w:lang w:val="id-ID" w:eastAsia="id-ID"/>
              </w:rPr>
            </w:pPr>
            <w:r w:rsidRPr="0055007D">
              <w:rPr>
                <w:rFonts w:cs="Bookman Old Style"/>
                <w:lang w:val="id-ID" w:eastAsia="id-ID"/>
              </w:rPr>
              <w:t>Pengalokasian dan pendistribusian keuntungan perusahaan dilakukan secara kurang layak.</w:t>
            </w:r>
          </w:p>
          <w:p w14:paraId="60D8B476" w14:textId="77777777" w:rsidR="00087CB1" w:rsidRPr="0055007D" w:rsidRDefault="00087CB1" w:rsidP="00213689">
            <w:pPr>
              <w:widowControl/>
              <w:numPr>
                <w:ilvl w:val="0"/>
                <w:numId w:val="8"/>
              </w:numPr>
              <w:spacing w:before="60" w:after="60" w:line="276" w:lineRule="auto"/>
              <w:ind w:left="548" w:hanging="502"/>
              <w:jc w:val="both"/>
              <w:rPr>
                <w:rFonts w:cs="Bookman Old Style"/>
                <w:lang w:eastAsia="id-ID"/>
              </w:rPr>
            </w:pPr>
            <w:r w:rsidRPr="0055007D">
              <w:rPr>
                <w:rFonts w:cs="Bookman Old Style"/>
                <w:lang w:val="id-ID" w:eastAsia="id-ID"/>
              </w:rPr>
              <w:t>Hasil investasi hanya dapat menutupi 50% defisit underwriting</w:t>
            </w:r>
          </w:p>
        </w:tc>
      </w:tr>
      <w:tr w:rsidR="003A21E9" w:rsidRPr="0055007D" w14:paraId="757FB689" w14:textId="77777777" w:rsidTr="00A659FD">
        <w:tc>
          <w:tcPr>
            <w:tcW w:w="1814" w:type="dxa"/>
            <w:tcBorders>
              <w:top w:val="single" w:sz="6" w:space="0" w:color="auto"/>
              <w:left w:val="single" w:sz="6" w:space="0" w:color="auto"/>
              <w:bottom w:val="single" w:sz="6" w:space="0" w:color="auto"/>
              <w:right w:val="single" w:sz="6" w:space="0" w:color="auto"/>
            </w:tcBorders>
          </w:tcPr>
          <w:p w14:paraId="54751F84" w14:textId="77777777" w:rsidR="00087CB1" w:rsidRPr="0055007D" w:rsidRDefault="00087CB1" w:rsidP="00087CB1">
            <w:pPr>
              <w:widowControl/>
              <w:spacing w:before="60" w:after="60" w:line="276" w:lineRule="auto"/>
              <w:ind w:left="57" w:right="113"/>
              <w:jc w:val="center"/>
              <w:rPr>
                <w:rFonts w:cs="Bookman Old Style"/>
                <w:lang w:val="id-ID" w:eastAsia="id-ID"/>
              </w:rPr>
            </w:pPr>
            <w:r w:rsidRPr="0055007D">
              <w:rPr>
                <w:rFonts w:cs="Bookman Old Style"/>
                <w:lang w:val="id-ID" w:eastAsia="id-ID"/>
              </w:rPr>
              <w:lastRenderedPageBreak/>
              <w:t>Peringkat 4</w:t>
            </w:r>
          </w:p>
        </w:tc>
        <w:tc>
          <w:tcPr>
            <w:tcW w:w="7517" w:type="dxa"/>
            <w:tcBorders>
              <w:top w:val="single" w:sz="6" w:space="0" w:color="auto"/>
              <w:left w:val="single" w:sz="6" w:space="0" w:color="auto"/>
              <w:bottom w:val="single" w:sz="6" w:space="0" w:color="auto"/>
              <w:right w:val="single" w:sz="6" w:space="0" w:color="auto"/>
            </w:tcBorders>
          </w:tcPr>
          <w:p w14:paraId="2C46DF40"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memiliki kualitas dan kecukupan permodalan yang kurang memadai relatif terhadap profil risiko, yang disertai dengan pengelolaan permodalan yang lemah dibandingkan dengan karakteristik, skala usaha, dan kompleksitas usaha Perusahaan.</w:t>
            </w:r>
          </w:p>
          <w:p w14:paraId="35EF5AFD"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yang termasuk dalam peringkat 4 memenuhi seluruh atau sebagian besar dari contoh karakteristik sebagai berikut:</w:t>
            </w:r>
          </w:p>
          <w:p w14:paraId="3A82735A"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modal sendiri sama dengan atau lebih dari 1 kali namun kurang dari 1,1 kali nilai modal sendiri mínimum yang dipersyaratkan</w:t>
            </w:r>
          </w:p>
          <w:p w14:paraId="39901C90"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tingkat permodalan yang kurang memadai dan tidak dapat mengantisipasi seluruh risiko yang dihadapi. Rasio Pencapaian tingkat solvabilitas di atas 120% namun dibawah 150%</w:t>
            </w:r>
          </w:p>
          <w:p w14:paraId="68A4841F"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 xml:space="preserve">Kualitas komponen permodalan pada umumnya kurang baik, kurang  permanen, dan kurang dapat menyerap kerugian. </w:t>
            </w:r>
          </w:p>
          <w:p w14:paraId="0A6D81DD"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lastRenderedPageBreak/>
              <w:t>Perusahaan telah melakukan stress test dengan hasil yang kurang dapat menutup seluruh risiko yang dihadapi.</w:t>
            </w:r>
          </w:p>
          <w:p w14:paraId="261BC4A4"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manajemen permodalan yang kurang baik dan/atau memiliki proses penilaian kecukupan modal yang kurang baik.</w:t>
            </w:r>
          </w:p>
          <w:p w14:paraId="12539AC0"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Perusahaan kurang mampu melakukan akses pada sumber-sumber permodalan, dan tidak terdapat dukungan dari grup usaha atau perusahaan induk.</w:t>
            </w:r>
          </w:p>
          <w:p w14:paraId="2C64830E"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Perusahaan tidak menetapkan target Rasio Pencapaian Solvabilitas yang lebih tinggi daripada rasio tingkat solvabilitas yang ditentukan oleh regulator.</w:t>
            </w:r>
          </w:p>
          <w:p w14:paraId="2704789E"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Laba perusahaan selama 2 tahun terakhir tidak stabil.</w:t>
            </w:r>
          </w:p>
          <w:p w14:paraId="719418A4" w14:textId="77777777" w:rsidR="00087CB1" w:rsidRPr="0055007D" w:rsidRDefault="00087CB1" w:rsidP="00213689">
            <w:pPr>
              <w:widowControl/>
              <w:numPr>
                <w:ilvl w:val="0"/>
                <w:numId w:val="9"/>
              </w:numPr>
              <w:spacing w:before="60" w:after="60" w:line="276" w:lineRule="auto"/>
              <w:ind w:left="548" w:hanging="502"/>
              <w:jc w:val="both"/>
              <w:rPr>
                <w:rFonts w:cs="Bookman Old Style"/>
                <w:lang w:val="id-ID" w:eastAsia="id-ID"/>
              </w:rPr>
            </w:pPr>
            <w:r w:rsidRPr="0055007D">
              <w:rPr>
                <w:rFonts w:cs="Bookman Old Style"/>
                <w:lang w:val="id-ID" w:eastAsia="id-ID"/>
              </w:rPr>
              <w:t>Pengalokasian dan pendistribusian keuntungan perusahaan tidak dilakukan secara layak.</w:t>
            </w:r>
          </w:p>
          <w:p w14:paraId="59824436" w14:textId="77777777" w:rsidR="00087CB1" w:rsidRPr="0055007D" w:rsidRDefault="00087CB1" w:rsidP="00213689">
            <w:pPr>
              <w:widowControl/>
              <w:numPr>
                <w:ilvl w:val="0"/>
                <w:numId w:val="9"/>
              </w:numPr>
              <w:spacing w:before="60" w:after="60" w:line="276" w:lineRule="auto"/>
              <w:ind w:left="548" w:hanging="502"/>
              <w:jc w:val="both"/>
              <w:rPr>
                <w:rFonts w:cs="Bookman Old Style"/>
                <w:lang w:eastAsia="id-ID"/>
              </w:rPr>
            </w:pPr>
            <w:r w:rsidRPr="0055007D">
              <w:rPr>
                <w:rFonts w:cs="Bookman Old Style"/>
                <w:lang w:val="id-ID" w:eastAsia="id-ID"/>
              </w:rPr>
              <w:t>Hasil investasi hanya dapat menutupi 25% defisit underwriting</w:t>
            </w:r>
          </w:p>
        </w:tc>
      </w:tr>
      <w:tr w:rsidR="00087CB1" w:rsidRPr="0055007D" w14:paraId="47121135" w14:textId="77777777" w:rsidTr="00A659FD">
        <w:tc>
          <w:tcPr>
            <w:tcW w:w="1814" w:type="dxa"/>
            <w:tcBorders>
              <w:top w:val="single" w:sz="6" w:space="0" w:color="auto"/>
              <w:left w:val="single" w:sz="6" w:space="0" w:color="auto"/>
              <w:bottom w:val="single" w:sz="6" w:space="0" w:color="auto"/>
              <w:right w:val="single" w:sz="6" w:space="0" w:color="auto"/>
            </w:tcBorders>
          </w:tcPr>
          <w:p w14:paraId="3F8AADB1" w14:textId="77777777" w:rsidR="00087CB1" w:rsidRPr="0055007D" w:rsidRDefault="00087CB1" w:rsidP="00087CB1">
            <w:pPr>
              <w:widowControl/>
              <w:spacing w:before="60" w:after="60" w:line="276" w:lineRule="auto"/>
              <w:ind w:left="57" w:right="113"/>
              <w:jc w:val="center"/>
              <w:rPr>
                <w:rFonts w:cs="Bookman Old Style"/>
                <w:lang w:val="id-ID" w:eastAsia="id-ID"/>
              </w:rPr>
            </w:pPr>
            <w:r w:rsidRPr="0055007D">
              <w:rPr>
                <w:rFonts w:cs="Bookman Old Style"/>
                <w:lang w:val="id-ID" w:eastAsia="id-ID"/>
              </w:rPr>
              <w:lastRenderedPageBreak/>
              <w:t>Peringkat 5</w:t>
            </w:r>
          </w:p>
        </w:tc>
        <w:tc>
          <w:tcPr>
            <w:tcW w:w="7517" w:type="dxa"/>
            <w:tcBorders>
              <w:top w:val="single" w:sz="6" w:space="0" w:color="auto"/>
              <w:left w:val="single" w:sz="6" w:space="0" w:color="auto"/>
              <w:bottom w:val="single" w:sz="6" w:space="0" w:color="auto"/>
              <w:right w:val="single" w:sz="6" w:space="0" w:color="auto"/>
            </w:tcBorders>
          </w:tcPr>
          <w:p w14:paraId="463625F5"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memiliki kualitas dan kecukupan permodalan yang tidak memadai relatif terhadap profil risiko, yang disertai dengan pengelolaan permodalan yang sangat lemah dibandingkan dengan karakteristik, skala usaha, dan kompleksitas usaha Perusahaan.</w:t>
            </w:r>
          </w:p>
          <w:p w14:paraId="265B0CDC" w14:textId="77777777" w:rsidR="00087CB1" w:rsidRPr="0055007D" w:rsidRDefault="00087CB1" w:rsidP="00087CB1">
            <w:pPr>
              <w:widowControl/>
              <w:spacing w:before="60" w:after="60" w:line="276" w:lineRule="auto"/>
              <w:jc w:val="both"/>
              <w:rPr>
                <w:rFonts w:cs="Bookman Old Style"/>
                <w:lang w:val="id-ID" w:eastAsia="id-ID"/>
              </w:rPr>
            </w:pPr>
            <w:r w:rsidRPr="0055007D">
              <w:rPr>
                <w:rFonts w:cs="Bookman Old Style"/>
                <w:lang w:val="id-ID" w:eastAsia="id-ID"/>
              </w:rPr>
              <w:t>Perusahaan yang termasuk dalam peringkat 5 memenuhi seluruh atau sebagian besar dari contoh karakteristik sebagai berikut:</w:t>
            </w:r>
          </w:p>
          <w:p w14:paraId="0E091A22"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modal sendiri kurang dari 1 kali nilai modal sendiri mínimum yang dipersyaratkan</w:t>
            </w:r>
          </w:p>
          <w:p w14:paraId="0E3C4566"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tingkat permodalan yang tidak memadai, sehingga perusahaan harus menambah modal untuk mengantisipasi seluruh risiko yang dihadapi saat kondisi normal dan krisis. Rasio Pencapaian tingkat solvabilits di dibawah 120%</w:t>
            </w:r>
          </w:p>
          <w:p w14:paraId="393F12A0"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 xml:space="preserve">Kualitas instrumen permodalan pada umumnya tidak baik, tidak permanen, dan tidak dapat menyerap kerugian. </w:t>
            </w:r>
          </w:p>
          <w:p w14:paraId="43BA6349"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Perusahaan telah melakukan stress test dengan hasil yang tidak dapat menutup seluruh risiko yang dihadapi.</w:t>
            </w:r>
          </w:p>
          <w:p w14:paraId="607FB538"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Perusahaan memiliki manajemen permodalan yang tidak baik dan/atau memiliki proses penilaian kecukupan modal yang tidak baik.</w:t>
            </w:r>
          </w:p>
          <w:p w14:paraId="1E580D0C"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Perusahaan tidak mampu melakukan akses pada sumber-sumber permodalan, dan tidak terdapat dukungan dari grup usaha atau perusahaan induk.</w:t>
            </w:r>
          </w:p>
          <w:p w14:paraId="32F947D2"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Perusahaan menetapkan target Rasio Pencapaian Solvabilitas yang ditentukan oleh regulator.</w:t>
            </w:r>
          </w:p>
          <w:p w14:paraId="2045218D"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lastRenderedPageBreak/>
              <w:t>Perusahaan selama 2 tahun terakhir cenderung rugi.</w:t>
            </w:r>
          </w:p>
          <w:p w14:paraId="1724E508" w14:textId="77777777" w:rsidR="00203A6F" w:rsidRPr="0055007D" w:rsidRDefault="00203A6F" w:rsidP="00213689">
            <w:pPr>
              <w:widowControl/>
              <w:numPr>
                <w:ilvl w:val="0"/>
                <w:numId w:val="10"/>
              </w:numPr>
              <w:spacing w:before="60" w:after="60" w:line="276" w:lineRule="auto"/>
              <w:ind w:left="548" w:hanging="502"/>
              <w:jc w:val="both"/>
              <w:rPr>
                <w:rFonts w:cs="Bookman Old Style"/>
                <w:lang w:val="id-ID" w:eastAsia="id-ID"/>
              </w:rPr>
            </w:pPr>
            <w:r w:rsidRPr="0055007D">
              <w:rPr>
                <w:rFonts w:cs="Bookman Old Style"/>
                <w:lang w:val="id-ID" w:eastAsia="id-ID"/>
              </w:rPr>
              <w:t>Tidak terdapat pengalokasian dan pendistribusian keuntungan.</w:t>
            </w:r>
          </w:p>
          <w:p w14:paraId="7D733054" w14:textId="77777777" w:rsidR="00203A6F" w:rsidRPr="0055007D" w:rsidRDefault="00203A6F" w:rsidP="00213689">
            <w:pPr>
              <w:widowControl/>
              <w:numPr>
                <w:ilvl w:val="0"/>
                <w:numId w:val="10"/>
              </w:numPr>
              <w:spacing w:before="60" w:after="60" w:line="276" w:lineRule="auto"/>
              <w:ind w:left="548" w:hanging="502"/>
              <w:jc w:val="both"/>
              <w:rPr>
                <w:rFonts w:cs="Bookman Old Style"/>
                <w:lang w:eastAsia="id-ID"/>
              </w:rPr>
            </w:pPr>
            <w:r w:rsidRPr="0055007D">
              <w:rPr>
                <w:rFonts w:cs="Bookman Old Style"/>
                <w:lang w:val="id-ID" w:eastAsia="id-ID"/>
              </w:rPr>
              <w:t>Hasil investasi hanya tidak dapat menutupi defisit underwriting.</w:t>
            </w:r>
          </w:p>
        </w:tc>
      </w:tr>
    </w:tbl>
    <w:p w14:paraId="1B2B007D" w14:textId="77777777" w:rsidR="007B772E" w:rsidRPr="0055007D" w:rsidRDefault="007B772E" w:rsidP="007136B3">
      <w:pPr>
        <w:widowControl/>
        <w:autoSpaceDE/>
        <w:autoSpaceDN/>
        <w:adjustRightInd/>
        <w:spacing w:before="60" w:after="60" w:line="276" w:lineRule="auto"/>
        <w:rPr>
          <w:lang w:val="id-ID"/>
        </w:rPr>
      </w:pPr>
    </w:p>
    <w:p w14:paraId="5BBE73E8" w14:textId="77777777" w:rsidR="00A56A3F" w:rsidRPr="0055007D" w:rsidRDefault="00A56A3F" w:rsidP="007136B3">
      <w:pPr>
        <w:pStyle w:val="Default"/>
        <w:spacing w:before="60" w:after="60" w:line="276" w:lineRule="auto"/>
        <w:ind w:left="4820"/>
        <w:rPr>
          <w:color w:val="auto"/>
        </w:rPr>
      </w:pPr>
      <w:r w:rsidRPr="0055007D">
        <w:rPr>
          <w:color w:val="auto"/>
        </w:rPr>
        <w:t xml:space="preserve">Ditetapkan di Jakarta </w:t>
      </w:r>
    </w:p>
    <w:p w14:paraId="34716379" w14:textId="77777777" w:rsidR="00A56A3F" w:rsidRPr="0055007D" w:rsidRDefault="00A56A3F" w:rsidP="007136B3">
      <w:pPr>
        <w:pStyle w:val="Default"/>
        <w:spacing w:before="60" w:after="60" w:line="276" w:lineRule="auto"/>
        <w:ind w:left="4820"/>
        <w:rPr>
          <w:color w:val="auto"/>
        </w:rPr>
      </w:pPr>
      <w:r w:rsidRPr="0055007D">
        <w:rPr>
          <w:color w:val="auto"/>
        </w:rPr>
        <w:t>pada tanggal</w:t>
      </w:r>
      <w:r w:rsidR="002544FE" w:rsidRPr="0055007D">
        <w:rPr>
          <w:color w:val="auto"/>
        </w:rPr>
        <w:t xml:space="preserve">     </w:t>
      </w:r>
      <w:r w:rsidRPr="0055007D">
        <w:rPr>
          <w:color w:val="auto"/>
        </w:rPr>
        <w:t xml:space="preserve"> </w:t>
      </w:r>
      <w:r w:rsidR="00F32892" w:rsidRPr="0055007D">
        <w:rPr>
          <w:color w:val="auto"/>
        </w:rPr>
        <w:t xml:space="preserve">             </w:t>
      </w:r>
      <w:r w:rsidR="00A66A6C" w:rsidRPr="0055007D">
        <w:rPr>
          <w:color w:val="auto"/>
        </w:rPr>
        <w:t>2020</w:t>
      </w:r>
      <w:r w:rsidRPr="0055007D">
        <w:rPr>
          <w:color w:val="auto"/>
        </w:rPr>
        <w:t xml:space="preserve"> </w:t>
      </w:r>
    </w:p>
    <w:p w14:paraId="7D01EAC6" w14:textId="77777777" w:rsidR="00A56A3F" w:rsidRPr="0055007D" w:rsidRDefault="00A56A3F" w:rsidP="007136B3">
      <w:pPr>
        <w:pStyle w:val="Default"/>
        <w:spacing w:before="60" w:after="60" w:line="276" w:lineRule="auto"/>
        <w:ind w:left="4820"/>
        <w:rPr>
          <w:color w:val="auto"/>
        </w:rPr>
      </w:pPr>
      <w:r w:rsidRPr="0055007D">
        <w:rPr>
          <w:color w:val="auto"/>
        </w:rPr>
        <w:t xml:space="preserve">KEPALA EKSEKUTIF PENGAWAS PERASURANSIAN, DANA PENSIUN, LEMBAGA PEMBIAYAAN DAN LEMBAGA KEUANGAN </w:t>
      </w:r>
      <w:r w:rsidR="00C95789" w:rsidRPr="0055007D">
        <w:rPr>
          <w:color w:val="auto"/>
        </w:rPr>
        <w:t>LAINNYA</w:t>
      </w:r>
      <w:r w:rsidRPr="0055007D">
        <w:rPr>
          <w:color w:val="auto"/>
        </w:rPr>
        <w:t xml:space="preserve"> OTORITAS JASA KEUANGAN, </w:t>
      </w:r>
    </w:p>
    <w:p w14:paraId="4D98BB9E" w14:textId="77777777" w:rsidR="00A56A3F" w:rsidRPr="0055007D" w:rsidRDefault="00A56A3F" w:rsidP="007136B3">
      <w:pPr>
        <w:pStyle w:val="Default"/>
        <w:spacing w:before="60" w:after="60" w:line="276" w:lineRule="auto"/>
        <w:ind w:left="4820"/>
        <w:rPr>
          <w:color w:val="auto"/>
        </w:rPr>
      </w:pPr>
    </w:p>
    <w:p w14:paraId="776288D1" w14:textId="77777777" w:rsidR="00A56A3F" w:rsidRPr="0055007D" w:rsidRDefault="00A56A3F" w:rsidP="007136B3">
      <w:pPr>
        <w:pStyle w:val="Default"/>
        <w:spacing w:before="60" w:after="60" w:line="276" w:lineRule="auto"/>
        <w:ind w:left="4820"/>
        <w:rPr>
          <w:color w:val="auto"/>
        </w:rPr>
      </w:pPr>
    </w:p>
    <w:p w14:paraId="1A27B3C3" w14:textId="77777777" w:rsidR="00A56A3F" w:rsidRPr="0055007D" w:rsidRDefault="00A56A3F" w:rsidP="007136B3">
      <w:pPr>
        <w:pStyle w:val="Default"/>
        <w:spacing w:before="60" w:after="60" w:line="276" w:lineRule="auto"/>
        <w:ind w:left="4820"/>
        <w:rPr>
          <w:color w:val="auto"/>
        </w:rPr>
      </w:pPr>
    </w:p>
    <w:p w14:paraId="002800CF" w14:textId="77777777" w:rsidR="00A56A3F" w:rsidRPr="0055007D" w:rsidRDefault="00A56A3F" w:rsidP="00FB1729">
      <w:pPr>
        <w:widowControl/>
        <w:autoSpaceDE/>
        <w:autoSpaceDN/>
        <w:adjustRightInd/>
        <w:spacing w:before="60" w:after="60" w:line="276" w:lineRule="auto"/>
        <w:ind w:left="4820"/>
        <w:rPr>
          <w:lang w:val="id-ID"/>
        </w:rPr>
      </w:pPr>
      <w:r w:rsidRPr="0055007D">
        <w:rPr>
          <w:lang w:val="id-ID"/>
        </w:rPr>
        <w:t>RISWINANDI</w:t>
      </w:r>
    </w:p>
    <w:sectPr w:rsidR="00A56A3F" w:rsidRPr="0055007D" w:rsidSect="00FB1729">
      <w:pgSz w:w="12242" w:h="18711" w:code="5"/>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D977" w16cex:dateUtc="2020-04-28T09:33:00Z"/>
  <w16cex:commentExtensible w16cex:durableId="2252D9E3" w16cex:dateUtc="2020-04-28T09:35:00Z"/>
  <w16cex:commentExtensible w16cex:durableId="2252D99F" w16cex:dateUtc="2020-04-28T09:34:00Z"/>
  <w16cex:commentExtensible w16cex:durableId="2252DA04" w16cex:dateUtc="2020-04-28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302662" w16cid:durableId="2252D977"/>
  <w16cid:commentId w16cid:paraId="6C03DA97" w16cid:durableId="2252D9E3"/>
  <w16cid:commentId w16cid:paraId="6F6FD7C8" w16cid:durableId="2252D99F"/>
  <w16cid:commentId w16cid:paraId="265ED7E1" w16cid:durableId="2252DA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87985" w14:textId="77777777" w:rsidR="004A677E" w:rsidRDefault="004A677E" w:rsidP="008776E4">
      <w:r>
        <w:separator/>
      </w:r>
    </w:p>
  </w:endnote>
  <w:endnote w:type="continuationSeparator" w:id="0">
    <w:p w14:paraId="1924BEB2" w14:textId="77777777" w:rsidR="004A677E" w:rsidRDefault="004A677E" w:rsidP="0087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42B0B" w14:textId="77777777" w:rsidR="004A677E" w:rsidRDefault="004A677E" w:rsidP="008776E4">
      <w:r>
        <w:separator/>
      </w:r>
    </w:p>
  </w:footnote>
  <w:footnote w:type="continuationSeparator" w:id="0">
    <w:p w14:paraId="15A3E443" w14:textId="77777777" w:rsidR="004A677E" w:rsidRDefault="004A677E" w:rsidP="0087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4E8F3" w14:textId="77777777" w:rsidR="0023585F" w:rsidRDefault="0023585F">
    <w:pPr>
      <w:pStyle w:val="Style2"/>
      <w:widowControl/>
      <w:ind w:left="3231" w:right="-2520"/>
      <w:jc w:val="both"/>
      <w:rPr>
        <w:rStyle w:val="FontStyle30"/>
        <w:lang w:val="id-ID" w:eastAsia="id-ID"/>
      </w:rPr>
    </w:pPr>
    <w:r>
      <w:rPr>
        <w:rStyle w:val="FontStyle30"/>
        <w:lang w:val="id-ID" w:eastAsia="id-ID"/>
      </w:rPr>
      <w:fldChar w:fldCharType="begin"/>
    </w:r>
    <w:r>
      <w:rPr>
        <w:rStyle w:val="FontStyle30"/>
        <w:lang w:val="id-ID" w:eastAsia="id-ID"/>
      </w:rPr>
      <w:instrText>PAGE</w:instrText>
    </w:r>
    <w:r>
      <w:rPr>
        <w:rStyle w:val="FontStyle30"/>
        <w:lang w:val="id-ID" w:eastAsia="id-ID"/>
      </w:rPr>
      <w:fldChar w:fldCharType="separate"/>
    </w:r>
    <w:r>
      <w:rPr>
        <w:rStyle w:val="FontStyle30"/>
        <w:lang w:val="id-ID" w:eastAsia="id-ID"/>
      </w:rPr>
      <w:t>1</w:t>
    </w:r>
    <w:r>
      <w:rPr>
        <w:rStyle w:val="FontStyle30"/>
        <w:lang w:val="id-ID" w:eastAsia="id-I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BEF5C" w14:textId="1B090F7C" w:rsidR="0023585F" w:rsidRPr="003C2701" w:rsidRDefault="003C2701" w:rsidP="008776E4">
    <w:pPr>
      <w:pStyle w:val="Style2"/>
      <w:widowControl/>
      <w:jc w:val="center"/>
      <w:rPr>
        <w:rStyle w:val="FontStyle30"/>
        <w:sz w:val="24"/>
        <w:szCs w:val="24"/>
        <w:lang w:val="id-ID" w:eastAsia="id-ID"/>
      </w:rPr>
    </w:pPr>
    <w:r w:rsidRPr="003C2701">
      <w:rPr>
        <w:rStyle w:val="FontStyle30"/>
        <w:sz w:val="24"/>
        <w:szCs w:val="24"/>
        <w:lang w:val="id-ID" w:eastAsia="id-ID"/>
      </w:rPr>
      <w:t xml:space="preserve">- </w:t>
    </w:r>
    <w:r w:rsidR="0023585F" w:rsidRPr="003C2701">
      <w:rPr>
        <w:rStyle w:val="FontStyle30"/>
        <w:sz w:val="24"/>
        <w:szCs w:val="24"/>
        <w:lang w:val="id-ID" w:eastAsia="id-ID"/>
      </w:rPr>
      <w:fldChar w:fldCharType="begin"/>
    </w:r>
    <w:r w:rsidR="0023585F" w:rsidRPr="003C2701">
      <w:rPr>
        <w:rStyle w:val="FontStyle30"/>
        <w:sz w:val="24"/>
        <w:szCs w:val="24"/>
        <w:lang w:val="id-ID" w:eastAsia="id-ID"/>
      </w:rPr>
      <w:instrText>PAGE</w:instrText>
    </w:r>
    <w:r w:rsidR="0023585F" w:rsidRPr="003C2701">
      <w:rPr>
        <w:rStyle w:val="FontStyle30"/>
        <w:sz w:val="24"/>
        <w:szCs w:val="24"/>
        <w:lang w:val="id-ID" w:eastAsia="id-ID"/>
      </w:rPr>
      <w:fldChar w:fldCharType="separate"/>
    </w:r>
    <w:r w:rsidR="00C344E6">
      <w:rPr>
        <w:rStyle w:val="FontStyle30"/>
        <w:noProof/>
        <w:sz w:val="24"/>
        <w:szCs w:val="24"/>
        <w:lang w:val="id-ID" w:eastAsia="id-ID"/>
      </w:rPr>
      <w:t>11</w:t>
    </w:r>
    <w:r w:rsidR="0023585F" w:rsidRPr="003C2701">
      <w:rPr>
        <w:rStyle w:val="FontStyle30"/>
        <w:sz w:val="24"/>
        <w:szCs w:val="24"/>
        <w:lang w:val="id-ID" w:eastAsia="id-ID"/>
      </w:rPr>
      <w:fldChar w:fldCharType="end"/>
    </w:r>
    <w:r w:rsidRPr="003C2701">
      <w:rPr>
        <w:rStyle w:val="FontStyle30"/>
        <w:sz w:val="24"/>
        <w:szCs w:val="24"/>
        <w:lang w:val="id-ID" w:eastAsia="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21A4" w14:textId="77777777" w:rsidR="0023585F" w:rsidRDefault="007136B3" w:rsidP="007136B3">
    <w:pPr>
      <w:widowControl/>
      <w:ind w:left="-993"/>
    </w:pPr>
    <w:r>
      <w:rPr>
        <w:noProof/>
        <w:lang w:val="id-ID" w:eastAsia="id-ID"/>
      </w:rPr>
      <w:drawing>
        <wp:inline distT="0" distB="0" distL="0" distR="0" wp14:anchorId="11E89785" wp14:editId="230989D5">
          <wp:extent cx="1933575" cy="838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707" cy="841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2F"/>
    <w:multiLevelType w:val="hybridMultilevel"/>
    <w:tmpl w:val="62CEEC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626633"/>
    <w:multiLevelType w:val="hybridMultilevel"/>
    <w:tmpl w:val="62CEEC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7228F5"/>
    <w:multiLevelType w:val="hybridMultilevel"/>
    <w:tmpl w:val="095444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BE6656"/>
    <w:multiLevelType w:val="hybridMultilevel"/>
    <w:tmpl w:val="62CEEC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4D680F"/>
    <w:multiLevelType w:val="hybridMultilevel"/>
    <w:tmpl w:val="DF6271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9082E1C"/>
    <w:multiLevelType w:val="hybridMultilevel"/>
    <w:tmpl w:val="AB4C14EC"/>
    <w:lvl w:ilvl="0" w:tplc="3D30BAEC">
      <w:start w:val="1"/>
      <w:numFmt w:val="decimal"/>
      <w:lvlText w:val="%1."/>
      <w:lvlJc w:val="left"/>
      <w:pPr>
        <w:ind w:left="720" w:hanging="360"/>
      </w:pPr>
      <w:rPr>
        <w:rFonts w:hint="default"/>
        <w:i w:val="0"/>
        <w:color w:val="auto"/>
      </w:rPr>
    </w:lvl>
    <w:lvl w:ilvl="1" w:tplc="1CF8D01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A140F"/>
    <w:multiLevelType w:val="hybridMultilevel"/>
    <w:tmpl w:val="1CE4A7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E42513"/>
    <w:multiLevelType w:val="hybridMultilevel"/>
    <w:tmpl w:val="37762456"/>
    <w:lvl w:ilvl="0" w:tplc="7D3833DA">
      <w:start w:val="1"/>
      <w:numFmt w:val="decimal"/>
      <w:lvlText w:val="%1)"/>
      <w:lvlJc w:val="left"/>
      <w:pPr>
        <w:ind w:left="360" w:hanging="360"/>
      </w:pPr>
      <w:rPr>
        <w:rFonts w:hint="default"/>
        <w:b w:val="0"/>
        <w:strike w:val="0"/>
      </w:rPr>
    </w:lvl>
    <w:lvl w:ilvl="1" w:tplc="2AEAD6D4">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152A2A"/>
    <w:multiLevelType w:val="hybridMultilevel"/>
    <w:tmpl w:val="62B2D85A"/>
    <w:lvl w:ilvl="0" w:tplc="79E0254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840ABB"/>
    <w:multiLevelType w:val="hybridMultilevel"/>
    <w:tmpl w:val="62CEEC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B5850C1"/>
    <w:multiLevelType w:val="hybridMultilevel"/>
    <w:tmpl w:val="62CEEC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1B1710E"/>
    <w:multiLevelType w:val="hybridMultilevel"/>
    <w:tmpl w:val="F168C0F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53B31A5"/>
    <w:multiLevelType w:val="hybridMultilevel"/>
    <w:tmpl w:val="37762456"/>
    <w:lvl w:ilvl="0" w:tplc="7D3833DA">
      <w:start w:val="1"/>
      <w:numFmt w:val="decimal"/>
      <w:lvlText w:val="%1)"/>
      <w:lvlJc w:val="left"/>
      <w:pPr>
        <w:ind w:left="360" w:hanging="360"/>
      </w:pPr>
      <w:rPr>
        <w:rFonts w:hint="default"/>
        <w:b w:val="0"/>
        <w:strike w:val="0"/>
      </w:rPr>
    </w:lvl>
    <w:lvl w:ilvl="1" w:tplc="2AEAD6D4">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12"/>
  </w:num>
  <w:num w:numId="5">
    <w:abstractNumId w:val="6"/>
  </w:num>
  <w:num w:numId="6">
    <w:abstractNumId w:val="11"/>
  </w:num>
  <w:num w:numId="7">
    <w:abstractNumId w:val="0"/>
  </w:num>
  <w:num w:numId="8">
    <w:abstractNumId w:val="9"/>
  </w:num>
  <w:num w:numId="9">
    <w:abstractNumId w:val="1"/>
  </w:num>
  <w:num w:numId="10">
    <w:abstractNumId w:val="10"/>
  </w:num>
  <w:num w:numId="11">
    <w:abstractNumId w:val="2"/>
  </w:num>
  <w:num w:numId="12">
    <w:abstractNumId w:val="8"/>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E4"/>
    <w:rsid w:val="00002564"/>
    <w:rsid w:val="000270D4"/>
    <w:rsid w:val="00031758"/>
    <w:rsid w:val="00041BDB"/>
    <w:rsid w:val="0004768E"/>
    <w:rsid w:val="00050B30"/>
    <w:rsid w:val="00065AFE"/>
    <w:rsid w:val="00070757"/>
    <w:rsid w:val="00071D31"/>
    <w:rsid w:val="000726F3"/>
    <w:rsid w:val="00087CB1"/>
    <w:rsid w:val="000913EF"/>
    <w:rsid w:val="0009247C"/>
    <w:rsid w:val="0009249C"/>
    <w:rsid w:val="00093CBD"/>
    <w:rsid w:val="000960A7"/>
    <w:rsid w:val="00096692"/>
    <w:rsid w:val="000A147B"/>
    <w:rsid w:val="000A53FA"/>
    <w:rsid w:val="000B0E98"/>
    <w:rsid w:val="000C0150"/>
    <w:rsid w:val="000C1404"/>
    <w:rsid w:val="000C282D"/>
    <w:rsid w:val="000E637E"/>
    <w:rsid w:val="00102651"/>
    <w:rsid w:val="00110B09"/>
    <w:rsid w:val="001174C1"/>
    <w:rsid w:val="0014680B"/>
    <w:rsid w:val="0014745B"/>
    <w:rsid w:val="001A7666"/>
    <w:rsid w:val="001C0192"/>
    <w:rsid w:val="001C0A3C"/>
    <w:rsid w:val="001C66CD"/>
    <w:rsid w:val="001D1CDA"/>
    <w:rsid w:val="001E0B32"/>
    <w:rsid w:val="001E33C6"/>
    <w:rsid w:val="001F1923"/>
    <w:rsid w:val="00203A6F"/>
    <w:rsid w:val="00213689"/>
    <w:rsid w:val="0023585F"/>
    <w:rsid w:val="002544FE"/>
    <w:rsid w:val="002674AE"/>
    <w:rsid w:val="00271138"/>
    <w:rsid w:val="002874D2"/>
    <w:rsid w:val="00293AC7"/>
    <w:rsid w:val="00294ECD"/>
    <w:rsid w:val="00296FA9"/>
    <w:rsid w:val="002B2F57"/>
    <w:rsid w:val="002B56B1"/>
    <w:rsid w:val="002D1788"/>
    <w:rsid w:val="002D5B92"/>
    <w:rsid w:val="002F1F3D"/>
    <w:rsid w:val="00321756"/>
    <w:rsid w:val="003254B4"/>
    <w:rsid w:val="003304BA"/>
    <w:rsid w:val="00335FD5"/>
    <w:rsid w:val="00346345"/>
    <w:rsid w:val="0035176A"/>
    <w:rsid w:val="00374D13"/>
    <w:rsid w:val="00375EB8"/>
    <w:rsid w:val="003806FA"/>
    <w:rsid w:val="00387C46"/>
    <w:rsid w:val="00397BF1"/>
    <w:rsid w:val="003A21E9"/>
    <w:rsid w:val="003B1FB8"/>
    <w:rsid w:val="003B4BF2"/>
    <w:rsid w:val="003C234E"/>
    <w:rsid w:val="003C2701"/>
    <w:rsid w:val="003C6F00"/>
    <w:rsid w:val="003D3639"/>
    <w:rsid w:val="003D47D8"/>
    <w:rsid w:val="003E7038"/>
    <w:rsid w:val="003F1524"/>
    <w:rsid w:val="003F38E8"/>
    <w:rsid w:val="00404E13"/>
    <w:rsid w:val="004050A9"/>
    <w:rsid w:val="00410F63"/>
    <w:rsid w:val="00421114"/>
    <w:rsid w:val="00421E22"/>
    <w:rsid w:val="004263E7"/>
    <w:rsid w:val="004268FF"/>
    <w:rsid w:val="0043024D"/>
    <w:rsid w:val="00432F06"/>
    <w:rsid w:val="004556FA"/>
    <w:rsid w:val="00471116"/>
    <w:rsid w:val="004A677E"/>
    <w:rsid w:val="004B42E2"/>
    <w:rsid w:val="004D0634"/>
    <w:rsid w:val="004D3D02"/>
    <w:rsid w:val="00531DF1"/>
    <w:rsid w:val="0055007D"/>
    <w:rsid w:val="00556CE0"/>
    <w:rsid w:val="0056083B"/>
    <w:rsid w:val="00564047"/>
    <w:rsid w:val="005859DC"/>
    <w:rsid w:val="005870A0"/>
    <w:rsid w:val="005A7BB9"/>
    <w:rsid w:val="005B30FD"/>
    <w:rsid w:val="005B5763"/>
    <w:rsid w:val="005B79BA"/>
    <w:rsid w:val="005E21DB"/>
    <w:rsid w:val="005F3CDF"/>
    <w:rsid w:val="00600132"/>
    <w:rsid w:val="0061466B"/>
    <w:rsid w:val="00626BF3"/>
    <w:rsid w:val="00634D18"/>
    <w:rsid w:val="00653F43"/>
    <w:rsid w:val="00656464"/>
    <w:rsid w:val="00666121"/>
    <w:rsid w:val="00683041"/>
    <w:rsid w:val="00692914"/>
    <w:rsid w:val="006E5DC4"/>
    <w:rsid w:val="006E7B50"/>
    <w:rsid w:val="007136B3"/>
    <w:rsid w:val="0071646D"/>
    <w:rsid w:val="00732175"/>
    <w:rsid w:val="00736E89"/>
    <w:rsid w:val="00754D3B"/>
    <w:rsid w:val="00772EAF"/>
    <w:rsid w:val="007A17F1"/>
    <w:rsid w:val="007B6F25"/>
    <w:rsid w:val="007B772E"/>
    <w:rsid w:val="007C1671"/>
    <w:rsid w:val="007E5242"/>
    <w:rsid w:val="007E7E9E"/>
    <w:rsid w:val="007F4572"/>
    <w:rsid w:val="00804C34"/>
    <w:rsid w:val="0081087A"/>
    <w:rsid w:val="008216A9"/>
    <w:rsid w:val="008263F8"/>
    <w:rsid w:val="00856555"/>
    <w:rsid w:val="008776E4"/>
    <w:rsid w:val="0088794C"/>
    <w:rsid w:val="008B285F"/>
    <w:rsid w:val="008D58EA"/>
    <w:rsid w:val="008F2C4F"/>
    <w:rsid w:val="00901906"/>
    <w:rsid w:val="009225CC"/>
    <w:rsid w:val="00932A7F"/>
    <w:rsid w:val="009340A4"/>
    <w:rsid w:val="00935A25"/>
    <w:rsid w:val="009526F4"/>
    <w:rsid w:val="0096551A"/>
    <w:rsid w:val="00974C4A"/>
    <w:rsid w:val="00996CFC"/>
    <w:rsid w:val="009A7043"/>
    <w:rsid w:val="009B7204"/>
    <w:rsid w:val="009C1356"/>
    <w:rsid w:val="009E5BDB"/>
    <w:rsid w:val="009E62AA"/>
    <w:rsid w:val="009F4CB9"/>
    <w:rsid w:val="00A051CE"/>
    <w:rsid w:val="00A23B33"/>
    <w:rsid w:val="00A4133E"/>
    <w:rsid w:val="00A46EB2"/>
    <w:rsid w:val="00A53FD0"/>
    <w:rsid w:val="00A55725"/>
    <w:rsid w:val="00A56A3F"/>
    <w:rsid w:val="00A641B2"/>
    <w:rsid w:val="00A659FD"/>
    <w:rsid w:val="00A66A6C"/>
    <w:rsid w:val="00A6774B"/>
    <w:rsid w:val="00A729C9"/>
    <w:rsid w:val="00A83C28"/>
    <w:rsid w:val="00AA675F"/>
    <w:rsid w:val="00AB14AB"/>
    <w:rsid w:val="00AB1F68"/>
    <w:rsid w:val="00AC562F"/>
    <w:rsid w:val="00AE5F8E"/>
    <w:rsid w:val="00AF5E37"/>
    <w:rsid w:val="00B0553E"/>
    <w:rsid w:val="00B05BDB"/>
    <w:rsid w:val="00B05C5C"/>
    <w:rsid w:val="00B10B7F"/>
    <w:rsid w:val="00B17733"/>
    <w:rsid w:val="00B240AB"/>
    <w:rsid w:val="00B30539"/>
    <w:rsid w:val="00B41D5E"/>
    <w:rsid w:val="00B43AF5"/>
    <w:rsid w:val="00B55045"/>
    <w:rsid w:val="00B55F6C"/>
    <w:rsid w:val="00B57993"/>
    <w:rsid w:val="00B700D5"/>
    <w:rsid w:val="00B83422"/>
    <w:rsid w:val="00BA3CB5"/>
    <w:rsid w:val="00BA7F27"/>
    <w:rsid w:val="00BB3F0E"/>
    <w:rsid w:val="00BD2466"/>
    <w:rsid w:val="00BD5F30"/>
    <w:rsid w:val="00BE6799"/>
    <w:rsid w:val="00BE6D34"/>
    <w:rsid w:val="00BF06EC"/>
    <w:rsid w:val="00BF7B5F"/>
    <w:rsid w:val="00C23BC1"/>
    <w:rsid w:val="00C23FCA"/>
    <w:rsid w:val="00C344E6"/>
    <w:rsid w:val="00C40A52"/>
    <w:rsid w:val="00C51B96"/>
    <w:rsid w:val="00C53626"/>
    <w:rsid w:val="00C54CF6"/>
    <w:rsid w:val="00C666E3"/>
    <w:rsid w:val="00C824DA"/>
    <w:rsid w:val="00C8316D"/>
    <w:rsid w:val="00C900EE"/>
    <w:rsid w:val="00C93008"/>
    <w:rsid w:val="00C95789"/>
    <w:rsid w:val="00CA01FB"/>
    <w:rsid w:val="00CA0C60"/>
    <w:rsid w:val="00CB1794"/>
    <w:rsid w:val="00CD1FB4"/>
    <w:rsid w:val="00CD4684"/>
    <w:rsid w:val="00CD6BE0"/>
    <w:rsid w:val="00CE634B"/>
    <w:rsid w:val="00CF1583"/>
    <w:rsid w:val="00D01C5B"/>
    <w:rsid w:val="00D04CC0"/>
    <w:rsid w:val="00D234E0"/>
    <w:rsid w:val="00D27B30"/>
    <w:rsid w:val="00D31D79"/>
    <w:rsid w:val="00D454BA"/>
    <w:rsid w:val="00D46294"/>
    <w:rsid w:val="00D749E9"/>
    <w:rsid w:val="00DA7F75"/>
    <w:rsid w:val="00DC18C3"/>
    <w:rsid w:val="00DF4BAF"/>
    <w:rsid w:val="00E055C1"/>
    <w:rsid w:val="00E44CB0"/>
    <w:rsid w:val="00E5318B"/>
    <w:rsid w:val="00E62270"/>
    <w:rsid w:val="00E90081"/>
    <w:rsid w:val="00E95A34"/>
    <w:rsid w:val="00EA6069"/>
    <w:rsid w:val="00EB388B"/>
    <w:rsid w:val="00EB4638"/>
    <w:rsid w:val="00EE11D8"/>
    <w:rsid w:val="00EE3FE0"/>
    <w:rsid w:val="00F0174F"/>
    <w:rsid w:val="00F0726D"/>
    <w:rsid w:val="00F2704C"/>
    <w:rsid w:val="00F32892"/>
    <w:rsid w:val="00F3541E"/>
    <w:rsid w:val="00F50B3A"/>
    <w:rsid w:val="00F60D1A"/>
    <w:rsid w:val="00F666B1"/>
    <w:rsid w:val="00F74B67"/>
    <w:rsid w:val="00F8623E"/>
    <w:rsid w:val="00F90198"/>
    <w:rsid w:val="00F96666"/>
    <w:rsid w:val="00FA48BD"/>
    <w:rsid w:val="00FB1729"/>
    <w:rsid w:val="00FB4C05"/>
    <w:rsid w:val="00FC1009"/>
    <w:rsid w:val="00FC2164"/>
    <w:rsid w:val="00FD4D8F"/>
    <w:rsid w:val="00FE6F91"/>
    <w:rsid w:val="00FF47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A603C"/>
  <w15:docId w15:val="{98BF7284-D4A2-42E7-8034-8FB5E8C0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E4"/>
    <w:pPr>
      <w:widowControl w:val="0"/>
      <w:autoSpaceDE w:val="0"/>
      <w:autoSpaceDN w:val="0"/>
      <w:adjustRightInd w:val="0"/>
      <w:spacing w:after="0" w:line="240" w:lineRule="auto"/>
    </w:pPr>
    <w:rPr>
      <w:rFonts w:ascii="Bookman Old Style" w:eastAsiaTheme="minorEastAsia" w:hAnsi="Bookman Old Styl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776E4"/>
    <w:pPr>
      <w:spacing w:line="422" w:lineRule="exact"/>
      <w:jc w:val="both"/>
    </w:pPr>
  </w:style>
  <w:style w:type="paragraph" w:customStyle="1" w:styleId="Style2">
    <w:name w:val="Style2"/>
    <w:basedOn w:val="Normal"/>
    <w:uiPriority w:val="99"/>
    <w:rsid w:val="008776E4"/>
  </w:style>
  <w:style w:type="paragraph" w:customStyle="1" w:styleId="Style3">
    <w:name w:val="Style3"/>
    <w:basedOn w:val="Normal"/>
    <w:uiPriority w:val="99"/>
    <w:rsid w:val="008776E4"/>
    <w:pPr>
      <w:jc w:val="center"/>
    </w:pPr>
  </w:style>
  <w:style w:type="character" w:customStyle="1" w:styleId="FontStyle29">
    <w:name w:val="Font Style29"/>
    <w:basedOn w:val="DefaultParagraphFont"/>
    <w:uiPriority w:val="99"/>
    <w:rsid w:val="008776E4"/>
    <w:rPr>
      <w:rFonts w:ascii="Bookman Old Style" w:hAnsi="Bookman Old Style" w:cs="Bookman Old Style"/>
      <w:sz w:val="22"/>
      <w:szCs w:val="22"/>
    </w:rPr>
  </w:style>
  <w:style w:type="character" w:customStyle="1" w:styleId="FontStyle30">
    <w:name w:val="Font Style30"/>
    <w:basedOn w:val="DefaultParagraphFont"/>
    <w:uiPriority w:val="99"/>
    <w:rsid w:val="008776E4"/>
    <w:rPr>
      <w:rFonts w:ascii="Bookman Old Style" w:hAnsi="Bookman Old Style" w:cs="Bookman Old Style"/>
      <w:sz w:val="22"/>
      <w:szCs w:val="22"/>
    </w:rPr>
  </w:style>
  <w:style w:type="paragraph" w:styleId="Footer">
    <w:name w:val="footer"/>
    <w:basedOn w:val="Normal"/>
    <w:link w:val="FooterChar"/>
    <w:uiPriority w:val="99"/>
    <w:unhideWhenUsed/>
    <w:rsid w:val="008776E4"/>
    <w:pPr>
      <w:tabs>
        <w:tab w:val="center" w:pos="4513"/>
        <w:tab w:val="right" w:pos="9026"/>
      </w:tabs>
    </w:pPr>
  </w:style>
  <w:style w:type="character" w:customStyle="1" w:styleId="FooterChar">
    <w:name w:val="Footer Char"/>
    <w:basedOn w:val="DefaultParagraphFont"/>
    <w:link w:val="Footer"/>
    <w:uiPriority w:val="99"/>
    <w:rsid w:val="008776E4"/>
    <w:rPr>
      <w:rFonts w:ascii="Bookman Old Style" w:eastAsiaTheme="minorEastAsia" w:hAnsi="Bookman Old Style"/>
      <w:sz w:val="24"/>
      <w:szCs w:val="24"/>
      <w:lang w:val="en-US"/>
    </w:rPr>
  </w:style>
  <w:style w:type="table" w:styleId="TableGrid">
    <w:name w:val="Table Grid"/>
    <w:basedOn w:val="TableNormal"/>
    <w:uiPriority w:val="59"/>
    <w:rsid w:val="0087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8776E4"/>
    <w:pPr>
      <w:spacing w:line="422" w:lineRule="exact"/>
    </w:pPr>
  </w:style>
  <w:style w:type="paragraph" w:customStyle="1" w:styleId="Default">
    <w:name w:val="Default"/>
    <w:rsid w:val="00CD6BE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Style9">
    <w:name w:val="Style9"/>
    <w:basedOn w:val="Normal"/>
    <w:uiPriority w:val="99"/>
    <w:rsid w:val="00375EB8"/>
  </w:style>
  <w:style w:type="paragraph" w:customStyle="1" w:styleId="Style17">
    <w:name w:val="Style17"/>
    <w:basedOn w:val="Normal"/>
    <w:uiPriority w:val="99"/>
    <w:rsid w:val="00375EB8"/>
  </w:style>
  <w:style w:type="paragraph" w:customStyle="1" w:styleId="Style22">
    <w:name w:val="Style22"/>
    <w:basedOn w:val="Normal"/>
    <w:uiPriority w:val="99"/>
    <w:rsid w:val="00375EB8"/>
    <w:pPr>
      <w:spacing w:line="278" w:lineRule="exact"/>
      <w:jc w:val="center"/>
    </w:pPr>
  </w:style>
  <w:style w:type="character" w:customStyle="1" w:styleId="FontStyle25">
    <w:name w:val="Font Style25"/>
    <w:basedOn w:val="DefaultParagraphFont"/>
    <w:uiPriority w:val="99"/>
    <w:rsid w:val="00375EB8"/>
    <w:rPr>
      <w:rFonts w:ascii="Bookman Old Style" w:hAnsi="Bookman Old Style" w:cs="Bookman Old Style"/>
      <w:b/>
      <w:bCs/>
      <w:sz w:val="8"/>
      <w:szCs w:val="8"/>
    </w:rPr>
  </w:style>
  <w:style w:type="paragraph" w:customStyle="1" w:styleId="Style15">
    <w:name w:val="Style15"/>
    <w:basedOn w:val="Normal"/>
    <w:uiPriority w:val="99"/>
    <w:rsid w:val="00375EB8"/>
    <w:pPr>
      <w:spacing w:line="336" w:lineRule="exact"/>
    </w:pPr>
  </w:style>
  <w:style w:type="paragraph" w:customStyle="1" w:styleId="Style21">
    <w:name w:val="Style21"/>
    <w:basedOn w:val="Normal"/>
    <w:uiPriority w:val="99"/>
    <w:rsid w:val="00375EB8"/>
    <w:pPr>
      <w:spacing w:line="339" w:lineRule="exact"/>
      <w:ind w:hanging="437"/>
    </w:pPr>
  </w:style>
  <w:style w:type="paragraph" w:customStyle="1" w:styleId="Style13">
    <w:name w:val="Style13"/>
    <w:basedOn w:val="Normal"/>
    <w:uiPriority w:val="99"/>
    <w:rsid w:val="00375EB8"/>
    <w:pPr>
      <w:spacing w:line="366" w:lineRule="exact"/>
      <w:jc w:val="both"/>
    </w:pPr>
  </w:style>
  <w:style w:type="paragraph" w:customStyle="1" w:styleId="Style5">
    <w:name w:val="Style5"/>
    <w:basedOn w:val="Normal"/>
    <w:uiPriority w:val="99"/>
    <w:rsid w:val="00375EB8"/>
  </w:style>
  <w:style w:type="paragraph" w:customStyle="1" w:styleId="Style8">
    <w:name w:val="Style8"/>
    <w:basedOn w:val="Normal"/>
    <w:uiPriority w:val="99"/>
    <w:rsid w:val="00375EB8"/>
    <w:pPr>
      <w:jc w:val="center"/>
    </w:pPr>
  </w:style>
  <w:style w:type="paragraph" w:customStyle="1" w:styleId="Style10">
    <w:name w:val="Style10"/>
    <w:basedOn w:val="Normal"/>
    <w:uiPriority w:val="99"/>
    <w:rsid w:val="00375EB8"/>
  </w:style>
  <w:style w:type="character" w:customStyle="1" w:styleId="FontStyle26">
    <w:name w:val="Font Style26"/>
    <w:basedOn w:val="DefaultParagraphFont"/>
    <w:uiPriority w:val="99"/>
    <w:rsid w:val="00375EB8"/>
    <w:rPr>
      <w:rFonts w:ascii="Bookman Old Style" w:hAnsi="Bookman Old Style" w:cs="Bookman Old Style"/>
      <w:w w:val="40"/>
      <w:sz w:val="80"/>
      <w:szCs w:val="80"/>
    </w:rPr>
  </w:style>
  <w:style w:type="character" w:customStyle="1" w:styleId="FontStyle27">
    <w:name w:val="Font Style27"/>
    <w:basedOn w:val="DefaultParagraphFont"/>
    <w:uiPriority w:val="99"/>
    <w:rsid w:val="00375EB8"/>
    <w:rPr>
      <w:rFonts w:ascii="Garamond" w:hAnsi="Garamond" w:cs="Garamond"/>
      <w:sz w:val="34"/>
      <w:szCs w:val="34"/>
    </w:rPr>
  </w:style>
  <w:style w:type="character" w:customStyle="1" w:styleId="FontStyle28">
    <w:name w:val="Font Style28"/>
    <w:basedOn w:val="DefaultParagraphFont"/>
    <w:uiPriority w:val="99"/>
    <w:rsid w:val="00375EB8"/>
    <w:rPr>
      <w:rFonts w:ascii="Bookman Old Style" w:hAnsi="Bookman Old Style" w:cs="Bookman Old Style"/>
      <w:i/>
      <w:iCs/>
      <w:sz w:val="22"/>
      <w:szCs w:val="22"/>
    </w:rPr>
  </w:style>
  <w:style w:type="paragraph" w:customStyle="1" w:styleId="Style14">
    <w:name w:val="Style14"/>
    <w:basedOn w:val="Normal"/>
    <w:uiPriority w:val="99"/>
    <w:rsid w:val="007A17F1"/>
    <w:pPr>
      <w:spacing w:line="370" w:lineRule="exact"/>
    </w:pPr>
  </w:style>
  <w:style w:type="paragraph" w:customStyle="1" w:styleId="Style18">
    <w:name w:val="Style18"/>
    <w:basedOn w:val="Normal"/>
    <w:uiPriority w:val="99"/>
    <w:rsid w:val="007A17F1"/>
    <w:pPr>
      <w:spacing w:line="365" w:lineRule="exact"/>
      <w:jc w:val="center"/>
    </w:pPr>
  </w:style>
  <w:style w:type="paragraph" w:customStyle="1" w:styleId="Style20">
    <w:name w:val="Style20"/>
    <w:basedOn w:val="Normal"/>
    <w:uiPriority w:val="99"/>
    <w:rsid w:val="007A17F1"/>
    <w:pPr>
      <w:spacing w:line="370" w:lineRule="exact"/>
      <w:ind w:hanging="346"/>
    </w:pPr>
  </w:style>
  <w:style w:type="paragraph" w:customStyle="1" w:styleId="Style16">
    <w:name w:val="Style16"/>
    <w:basedOn w:val="Normal"/>
    <w:uiPriority w:val="99"/>
    <w:rsid w:val="00FD4D8F"/>
    <w:pPr>
      <w:jc w:val="both"/>
    </w:pPr>
  </w:style>
  <w:style w:type="paragraph" w:customStyle="1" w:styleId="Style7">
    <w:name w:val="Style7"/>
    <w:basedOn w:val="Normal"/>
    <w:uiPriority w:val="99"/>
    <w:rsid w:val="00FD4D8F"/>
    <w:pPr>
      <w:spacing w:line="366" w:lineRule="exact"/>
      <w:ind w:hanging="365"/>
      <w:jc w:val="both"/>
    </w:pPr>
  </w:style>
  <w:style w:type="paragraph" w:customStyle="1" w:styleId="Style19">
    <w:name w:val="Style19"/>
    <w:basedOn w:val="Normal"/>
    <w:uiPriority w:val="99"/>
    <w:rsid w:val="00FD4D8F"/>
    <w:pPr>
      <w:jc w:val="center"/>
    </w:pPr>
  </w:style>
  <w:style w:type="character" w:styleId="CommentReference">
    <w:name w:val="annotation reference"/>
    <w:basedOn w:val="DefaultParagraphFont"/>
    <w:uiPriority w:val="99"/>
    <w:semiHidden/>
    <w:unhideWhenUsed/>
    <w:rsid w:val="001E33C6"/>
    <w:rPr>
      <w:sz w:val="16"/>
      <w:szCs w:val="16"/>
    </w:rPr>
  </w:style>
  <w:style w:type="paragraph" w:styleId="CommentText">
    <w:name w:val="annotation text"/>
    <w:basedOn w:val="Normal"/>
    <w:link w:val="CommentTextChar"/>
    <w:uiPriority w:val="99"/>
    <w:semiHidden/>
    <w:unhideWhenUsed/>
    <w:rsid w:val="001E33C6"/>
    <w:rPr>
      <w:sz w:val="20"/>
      <w:szCs w:val="20"/>
    </w:rPr>
  </w:style>
  <w:style w:type="character" w:customStyle="1" w:styleId="CommentTextChar">
    <w:name w:val="Comment Text Char"/>
    <w:basedOn w:val="DefaultParagraphFont"/>
    <w:link w:val="CommentText"/>
    <w:uiPriority w:val="99"/>
    <w:semiHidden/>
    <w:rsid w:val="001E33C6"/>
    <w:rPr>
      <w:rFonts w:ascii="Bookman Old Style" w:eastAsiaTheme="minorEastAsia" w:hAnsi="Bookman Old Style"/>
      <w:sz w:val="20"/>
      <w:szCs w:val="20"/>
      <w:lang w:val="en-US"/>
    </w:rPr>
  </w:style>
  <w:style w:type="paragraph" w:styleId="CommentSubject">
    <w:name w:val="annotation subject"/>
    <w:basedOn w:val="CommentText"/>
    <w:next w:val="CommentText"/>
    <w:link w:val="CommentSubjectChar"/>
    <w:uiPriority w:val="99"/>
    <w:semiHidden/>
    <w:unhideWhenUsed/>
    <w:rsid w:val="001E33C6"/>
    <w:rPr>
      <w:b/>
      <w:bCs/>
    </w:rPr>
  </w:style>
  <w:style w:type="character" w:customStyle="1" w:styleId="CommentSubjectChar">
    <w:name w:val="Comment Subject Char"/>
    <w:basedOn w:val="CommentTextChar"/>
    <w:link w:val="CommentSubject"/>
    <w:uiPriority w:val="99"/>
    <w:semiHidden/>
    <w:rsid w:val="001E33C6"/>
    <w:rPr>
      <w:rFonts w:ascii="Bookman Old Style" w:eastAsiaTheme="minorEastAsia" w:hAnsi="Bookman Old Style"/>
      <w:b/>
      <w:bCs/>
      <w:sz w:val="20"/>
      <w:szCs w:val="20"/>
      <w:lang w:val="en-US"/>
    </w:rPr>
  </w:style>
  <w:style w:type="paragraph" w:styleId="BalloonText">
    <w:name w:val="Balloon Text"/>
    <w:basedOn w:val="Normal"/>
    <w:link w:val="BalloonTextChar"/>
    <w:uiPriority w:val="99"/>
    <w:semiHidden/>
    <w:unhideWhenUsed/>
    <w:rsid w:val="001E33C6"/>
    <w:rPr>
      <w:rFonts w:ascii="Tahoma" w:hAnsi="Tahoma" w:cs="Tahoma"/>
      <w:sz w:val="16"/>
      <w:szCs w:val="16"/>
    </w:rPr>
  </w:style>
  <w:style w:type="character" w:customStyle="1" w:styleId="BalloonTextChar">
    <w:name w:val="Balloon Text Char"/>
    <w:basedOn w:val="DefaultParagraphFont"/>
    <w:link w:val="BalloonText"/>
    <w:uiPriority w:val="99"/>
    <w:semiHidden/>
    <w:rsid w:val="001E33C6"/>
    <w:rPr>
      <w:rFonts w:ascii="Tahoma" w:eastAsiaTheme="minorEastAsia" w:hAnsi="Tahoma" w:cs="Tahoma"/>
      <w:sz w:val="16"/>
      <w:szCs w:val="16"/>
      <w:lang w:val="en-US"/>
    </w:rPr>
  </w:style>
  <w:style w:type="paragraph" w:customStyle="1" w:styleId="Style12">
    <w:name w:val="Style12"/>
    <w:basedOn w:val="Normal"/>
    <w:uiPriority w:val="99"/>
    <w:rsid w:val="001E33C6"/>
    <w:pPr>
      <w:spacing w:line="365" w:lineRule="exact"/>
      <w:ind w:hanging="370"/>
      <w:jc w:val="both"/>
    </w:pPr>
  </w:style>
  <w:style w:type="paragraph" w:customStyle="1" w:styleId="Style11">
    <w:name w:val="Style11"/>
    <w:basedOn w:val="Normal"/>
    <w:uiPriority w:val="99"/>
    <w:rsid w:val="001C0192"/>
    <w:pPr>
      <w:spacing w:line="725" w:lineRule="exact"/>
      <w:ind w:firstLine="6446"/>
    </w:pPr>
  </w:style>
  <w:style w:type="paragraph" w:customStyle="1" w:styleId="Style23">
    <w:name w:val="Style23"/>
    <w:basedOn w:val="Normal"/>
    <w:uiPriority w:val="99"/>
    <w:rsid w:val="00B43AF5"/>
    <w:pPr>
      <w:spacing w:line="365" w:lineRule="exact"/>
      <w:ind w:hanging="235"/>
    </w:pPr>
  </w:style>
  <w:style w:type="paragraph" w:customStyle="1" w:styleId="Style6">
    <w:name w:val="Style6"/>
    <w:basedOn w:val="Normal"/>
    <w:uiPriority w:val="99"/>
    <w:rsid w:val="00EB4638"/>
    <w:rPr>
      <w:rFonts w:ascii="Arial Black" w:hAnsi="Arial Black"/>
    </w:rPr>
  </w:style>
  <w:style w:type="character" w:customStyle="1" w:styleId="FontStyle22">
    <w:name w:val="Font Style22"/>
    <w:basedOn w:val="DefaultParagraphFont"/>
    <w:uiPriority w:val="99"/>
    <w:rsid w:val="00EB4638"/>
    <w:rPr>
      <w:rFonts w:ascii="Bookman Old Style" w:hAnsi="Bookman Old Style" w:cs="Bookman Old Style" w:hint="default"/>
      <w:sz w:val="22"/>
      <w:szCs w:val="22"/>
    </w:rPr>
  </w:style>
  <w:style w:type="character" w:customStyle="1" w:styleId="FontStyle33">
    <w:name w:val="Font Style33"/>
    <w:basedOn w:val="DefaultParagraphFont"/>
    <w:uiPriority w:val="99"/>
    <w:rsid w:val="00AF5E37"/>
    <w:rPr>
      <w:rFonts w:ascii="Bookman Old Style" w:hAnsi="Bookman Old Style" w:cs="Bookman Old Style"/>
      <w:sz w:val="22"/>
      <w:szCs w:val="22"/>
    </w:rPr>
  </w:style>
  <w:style w:type="character" w:customStyle="1" w:styleId="FontStyle31">
    <w:name w:val="Font Style31"/>
    <w:basedOn w:val="DefaultParagraphFont"/>
    <w:uiPriority w:val="99"/>
    <w:rsid w:val="00AF5E37"/>
    <w:rPr>
      <w:rFonts w:ascii="Bookman Old Style" w:hAnsi="Bookman Old Style" w:cs="Bookman Old Style"/>
      <w:i/>
      <w:iCs/>
      <w:sz w:val="22"/>
      <w:szCs w:val="22"/>
    </w:rPr>
  </w:style>
  <w:style w:type="paragraph" w:styleId="ListParagraph">
    <w:name w:val="List Paragraph"/>
    <w:basedOn w:val="Normal"/>
    <w:uiPriority w:val="34"/>
    <w:qFormat/>
    <w:rsid w:val="00656464"/>
    <w:pPr>
      <w:widowControl/>
      <w:autoSpaceDE/>
      <w:autoSpaceDN/>
      <w:adjustRightInd/>
      <w:spacing w:after="160" w:line="259" w:lineRule="auto"/>
      <w:ind w:left="720"/>
      <w:contextualSpacing/>
    </w:pPr>
    <w:rPr>
      <w:rFonts w:asciiTheme="minorHAnsi" w:eastAsiaTheme="minorHAnsi" w:hAnsi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7793">
      <w:bodyDiv w:val="1"/>
      <w:marLeft w:val="0"/>
      <w:marRight w:val="0"/>
      <w:marTop w:val="0"/>
      <w:marBottom w:val="0"/>
      <w:divBdr>
        <w:top w:val="none" w:sz="0" w:space="0" w:color="auto"/>
        <w:left w:val="none" w:sz="0" w:space="0" w:color="auto"/>
        <w:bottom w:val="none" w:sz="0" w:space="0" w:color="auto"/>
        <w:right w:val="none" w:sz="0" w:space="0" w:color="auto"/>
      </w:divBdr>
    </w:div>
    <w:div w:id="325397780">
      <w:bodyDiv w:val="1"/>
      <w:marLeft w:val="0"/>
      <w:marRight w:val="0"/>
      <w:marTop w:val="0"/>
      <w:marBottom w:val="0"/>
      <w:divBdr>
        <w:top w:val="none" w:sz="0" w:space="0" w:color="auto"/>
        <w:left w:val="none" w:sz="0" w:space="0" w:color="auto"/>
        <w:bottom w:val="none" w:sz="0" w:space="0" w:color="auto"/>
        <w:right w:val="none" w:sz="0" w:space="0" w:color="auto"/>
      </w:divBdr>
    </w:div>
    <w:div w:id="1009674980">
      <w:bodyDiv w:val="1"/>
      <w:marLeft w:val="0"/>
      <w:marRight w:val="0"/>
      <w:marTop w:val="0"/>
      <w:marBottom w:val="0"/>
      <w:divBdr>
        <w:top w:val="none" w:sz="0" w:space="0" w:color="auto"/>
        <w:left w:val="none" w:sz="0" w:space="0" w:color="auto"/>
        <w:bottom w:val="none" w:sz="0" w:space="0" w:color="auto"/>
        <w:right w:val="none" w:sz="0" w:space="0" w:color="auto"/>
      </w:divBdr>
    </w:div>
    <w:div w:id="14437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845AB-FF47-48B6-A27F-A6F682F3935F}">
  <ds:schemaRefs>
    <ds:schemaRef ds:uri="http://schemas.openxmlformats.org/officeDocument/2006/bibliography"/>
  </ds:schemaRefs>
</ds:datastoreItem>
</file>

<file path=customXml/itemProps2.xml><?xml version="1.0" encoding="utf-8"?>
<ds:datastoreItem xmlns:ds="http://schemas.openxmlformats.org/officeDocument/2006/customXml" ds:itemID="{BADFC488-7D1E-4C20-B8CF-2B0A9D56A58C}"/>
</file>

<file path=customXml/itemProps3.xml><?xml version="1.0" encoding="utf-8"?>
<ds:datastoreItem xmlns:ds="http://schemas.openxmlformats.org/officeDocument/2006/customXml" ds:itemID="{431898EE-FFBA-4998-8D2A-5DC12E77DF34}"/>
</file>

<file path=customXml/itemProps4.xml><?xml version="1.0" encoding="utf-8"?>
<ds:datastoreItem xmlns:ds="http://schemas.openxmlformats.org/officeDocument/2006/customXml" ds:itemID="{913428BB-C30C-4C1C-95D8-8DC3FB16DBA6}"/>
</file>

<file path=docProps/app.xml><?xml version="1.0" encoding="utf-8"?>
<Properties xmlns="http://schemas.openxmlformats.org/officeDocument/2006/extended-properties" xmlns:vt="http://schemas.openxmlformats.org/officeDocument/2006/docPropsVTypes">
  <Template>Normal.dotm</Template>
  <TotalTime>0</TotalTime>
  <Pages>11</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Deus Levolt Sihombing</dc:creator>
  <cp:keywords/>
  <dc:description/>
  <cp:lastModifiedBy>Administrator</cp:lastModifiedBy>
  <cp:revision>2</cp:revision>
  <cp:lastPrinted>2019-06-25T07:59:00Z</cp:lastPrinted>
  <dcterms:created xsi:type="dcterms:W3CDTF">2020-04-29T14:40:00Z</dcterms:created>
  <dcterms:modified xsi:type="dcterms:W3CDTF">2020-04-29T14:40:00Z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