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5A91" w14:textId="77777777" w:rsidR="00127752" w:rsidRPr="00E95C50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E95C50">
        <w:rPr>
          <w:noProof/>
        </w:rPr>
        <w:drawing>
          <wp:anchor distT="0" distB="0" distL="114300" distR="114300" simplePos="0" relativeHeight="251659264" behindDoc="0" locked="0" layoutInCell="1" allowOverlap="1" wp14:anchorId="0E13CF0E" wp14:editId="28FB039C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EAA62" w14:textId="77777777" w:rsidR="00072BA3" w:rsidRDefault="00072BA3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557B32B8" w14:textId="77777777" w:rsidR="00072BA3" w:rsidRDefault="00072BA3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43CEDAEC" w14:textId="5606EEF4" w:rsidR="00127752" w:rsidRPr="00CC5C09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en-GB" w:eastAsia="id-ID"/>
        </w:rPr>
      </w:pPr>
      <w:r w:rsidRPr="00E95C50">
        <w:rPr>
          <w:rStyle w:val="FontStyle29"/>
          <w:sz w:val="24"/>
          <w:szCs w:val="24"/>
          <w:lang w:val="id-ID" w:eastAsia="id-ID"/>
        </w:rPr>
        <w:t>LAMPIRAN V</w:t>
      </w:r>
      <w:r w:rsidR="00CC5C09">
        <w:rPr>
          <w:rStyle w:val="FontStyle29"/>
          <w:sz w:val="24"/>
          <w:szCs w:val="24"/>
          <w:lang w:val="en-GB" w:eastAsia="id-ID"/>
        </w:rPr>
        <w:t>I</w:t>
      </w:r>
    </w:p>
    <w:p w14:paraId="71B177BA" w14:textId="77777777" w:rsidR="00127752" w:rsidRPr="00E95C50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E95C50">
        <w:rPr>
          <w:rStyle w:val="FontStyle29"/>
          <w:sz w:val="24"/>
          <w:szCs w:val="24"/>
          <w:lang w:val="id-ID" w:eastAsia="id-ID"/>
        </w:rPr>
        <w:t>RANCANGAN</w:t>
      </w:r>
    </w:p>
    <w:p w14:paraId="404B17A0" w14:textId="77777777" w:rsidR="00127752" w:rsidRPr="00CC5C09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E95C50">
        <w:rPr>
          <w:rStyle w:val="FontStyle29"/>
          <w:sz w:val="24"/>
          <w:szCs w:val="24"/>
          <w:lang w:val="id-ID" w:eastAsia="id-ID"/>
        </w:rPr>
        <w:t>SURAT EDARAN O</w:t>
      </w:r>
      <w:r w:rsidRPr="00CC5C09">
        <w:rPr>
          <w:rStyle w:val="FontStyle29"/>
          <w:sz w:val="24"/>
          <w:szCs w:val="24"/>
          <w:lang w:val="id-ID" w:eastAsia="id-ID"/>
        </w:rPr>
        <w:t xml:space="preserve">TORITAS JASA KEUANGAN </w:t>
      </w:r>
    </w:p>
    <w:p w14:paraId="6A7DEDFE" w14:textId="07E6ACD2" w:rsidR="003657EC" w:rsidRPr="00CC5C09" w:rsidRDefault="003657EC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CC5C09">
        <w:rPr>
          <w:rFonts w:cs="Bookman Old Style"/>
          <w:lang w:val="id-ID" w:eastAsia="id-ID"/>
        </w:rPr>
        <w:t>REPUBLIK INDONESIA</w:t>
      </w:r>
    </w:p>
    <w:p w14:paraId="1BD6351C" w14:textId="55C2A93C" w:rsidR="00127752" w:rsidRPr="00CC5C09" w:rsidRDefault="00127752" w:rsidP="00127752">
      <w:pPr>
        <w:pStyle w:val="Style1"/>
        <w:widowControl/>
        <w:snapToGrid w:val="0"/>
        <w:spacing w:line="240" w:lineRule="auto"/>
        <w:rPr>
          <w:lang w:val="en-GB"/>
        </w:rPr>
      </w:pPr>
      <w:r w:rsidRPr="00CC5C09">
        <w:rPr>
          <w:rStyle w:val="FontStyle29"/>
          <w:sz w:val="24"/>
          <w:szCs w:val="24"/>
          <w:lang w:val="id-ID" w:eastAsia="id-ID"/>
        </w:rPr>
        <w:t>NOMOR .../SEOJK.06/</w:t>
      </w:r>
      <w:r w:rsidRPr="00CC5C09">
        <w:rPr>
          <w:rStyle w:val="FontStyle18"/>
          <w:sz w:val="24"/>
          <w:szCs w:val="24"/>
          <w:lang w:val="id-ID" w:eastAsia="id-ID"/>
        </w:rPr>
        <w:t>20</w:t>
      </w:r>
      <w:r w:rsidR="00CC5C09" w:rsidRPr="00CC5C09">
        <w:rPr>
          <w:rStyle w:val="FontStyle18"/>
          <w:sz w:val="24"/>
          <w:szCs w:val="24"/>
          <w:lang w:val="en-GB" w:eastAsia="id-ID"/>
        </w:rPr>
        <w:t>..</w:t>
      </w:r>
    </w:p>
    <w:p w14:paraId="03C040CD" w14:textId="77777777" w:rsidR="00127752" w:rsidRPr="00E95C50" w:rsidRDefault="00127752" w:rsidP="00127752">
      <w:pPr>
        <w:pStyle w:val="Style1"/>
        <w:widowControl/>
        <w:snapToGrid w:val="0"/>
        <w:spacing w:line="240" w:lineRule="auto"/>
        <w:rPr>
          <w:rFonts w:cs="Bookman Old Style"/>
          <w:lang w:val="id-ID" w:eastAsia="id-ID"/>
        </w:rPr>
      </w:pPr>
      <w:r w:rsidRPr="00E95C50">
        <w:rPr>
          <w:rStyle w:val="FontStyle29"/>
          <w:sz w:val="24"/>
          <w:szCs w:val="24"/>
          <w:lang w:val="id-ID" w:eastAsia="id-ID"/>
        </w:rPr>
        <w:t>TENTANG</w:t>
      </w:r>
    </w:p>
    <w:p w14:paraId="0182B2D9" w14:textId="1278CDDB" w:rsidR="00127752" w:rsidRPr="00E95C50" w:rsidRDefault="00127752" w:rsidP="0012775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E95C50">
        <w:rPr>
          <w:rStyle w:val="FontStyle29"/>
          <w:sz w:val="24"/>
          <w:szCs w:val="24"/>
          <w:lang w:val="id-ID" w:eastAsia="id-ID"/>
        </w:rPr>
        <w:t xml:space="preserve">PENILAIAN TINGKAT KESEHATAN </w:t>
      </w:r>
      <w:r w:rsidRPr="00E95C50">
        <w:rPr>
          <w:rFonts w:cs="Bookman Old Style"/>
          <w:lang w:val="id-ID" w:eastAsia="id-ID"/>
        </w:rPr>
        <w:t>PERGADAIAN</w:t>
      </w:r>
    </w:p>
    <w:p w14:paraId="69953262" w14:textId="2252FFDA" w:rsidR="00E67AD3" w:rsidRPr="00E95C50" w:rsidRDefault="00E67AD3" w:rsidP="00E67AD3">
      <w:pPr>
        <w:pStyle w:val="Style3"/>
        <w:widowControl/>
        <w:ind w:left="-142"/>
        <w:rPr>
          <w:rStyle w:val="FontStyle29"/>
          <w:sz w:val="24"/>
          <w:szCs w:val="24"/>
          <w:lang w:val="id-ID" w:eastAsia="id-ID"/>
        </w:rPr>
      </w:pPr>
      <w:r w:rsidRPr="00E95C50">
        <w:rPr>
          <w:rStyle w:val="FontStyle29"/>
          <w:sz w:val="24"/>
          <w:szCs w:val="24"/>
          <w:lang w:val="id-ID" w:eastAsia="id-ID"/>
        </w:rPr>
        <w:br w:type="column"/>
      </w:r>
      <w:r w:rsidRPr="00E95C50">
        <w:rPr>
          <w:rStyle w:val="FontStyle29"/>
          <w:sz w:val="24"/>
          <w:szCs w:val="24"/>
          <w:lang w:val="id-ID" w:eastAsia="id-ID"/>
        </w:rPr>
        <w:lastRenderedPageBreak/>
        <w:t xml:space="preserve">PENILAIAN FAKTOR </w:t>
      </w:r>
      <w:r w:rsidRPr="00E95C50">
        <w:rPr>
          <w:rFonts w:cs="Bookman Old Style"/>
          <w:lang w:eastAsia="id-ID"/>
        </w:rPr>
        <w:t>LIKUIDITAS</w:t>
      </w:r>
    </w:p>
    <w:p w14:paraId="1BBAD443" w14:textId="2AA4EDE9" w:rsidR="00E67AD3" w:rsidRPr="00E95C50" w:rsidRDefault="00E67AD3" w:rsidP="00E67AD3">
      <w:pPr>
        <w:pStyle w:val="Style3"/>
        <w:widowControl/>
        <w:ind w:left="-142"/>
        <w:rPr>
          <w:rStyle w:val="FontStyle29"/>
          <w:sz w:val="24"/>
          <w:szCs w:val="24"/>
          <w:lang w:eastAsia="id-ID"/>
        </w:rPr>
      </w:pPr>
      <w:r w:rsidRPr="00E95C50">
        <w:t xml:space="preserve">TINGKAT KESEHATAN </w:t>
      </w:r>
      <w:r w:rsidR="00E428C7" w:rsidRPr="00E95C50">
        <w:rPr>
          <w:rFonts w:cs="Bookman Old Style"/>
          <w:lang w:val="id-ID" w:eastAsia="id-ID"/>
        </w:rPr>
        <w:t>PERGADAIAN</w:t>
      </w:r>
    </w:p>
    <w:p w14:paraId="696DCF13" w14:textId="77777777" w:rsidR="00E67AD3" w:rsidRPr="00E95C50" w:rsidRDefault="00E67AD3" w:rsidP="00E67AD3">
      <w:pPr>
        <w:pStyle w:val="Style3"/>
        <w:widowControl/>
        <w:ind w:left="-142"/>
        <w:jc w:val="both"/>
        <w:rPr>
          <w:rStyle w:val="FontStyle29"/>
          <w:b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3"/>
        <w:gridCol w:w="293"/>
        <w:gridCol w:w="6569"/>
        <w:gridCol w:w="661"/>
      </w:tblGrid>
      <w:tr w:rsidR="00E95C50" w:rsidRPr="00092956" w14:paraId="6E1021EE" w14:textId="77777777" w:rsidTr="00EF7A6F">
        <w:tc>
          <w:tcPr>
            <w:tcW w:w="1643" w:type="dxa"/>
          </w:tcPr>
          <w:p w14:paraId="34AE09B5" w14:textId="0BB96E96" w:rsidR="00E67AD3" w:rsidRPr="00092956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 xml:space="preserve">Tabel </w:t>
            </w:r>
            <w:r w:rsidR="00892072" w:rsidRPr="00092956">
              <w:rPr>
                <w:rStyle w:val="FontStyle29"/>
                <w:sz w:val="24"/>
                <w:szCs w:val="24"/>
                <w:lang w:eastAsia="id-ID"/>
              </w:rPr>
              <w:t>V</w:t>
            </w:r>
            <w:r w:rsidR="00CC5C09" w:rsidRPr="00092956">
              <w:rPr>
                <w:rStyle w:val="FontStyle29"/>
                <w:sz w:val="24"/>
                <w:szCs w:val="24"/>
                <w:lang w:val="en-GB" w:eastAsia="id-ID"/>
              </w:rPr>
              <w:t>I</w:t>
            </w:r>
            <w:r w:rsidRPr="00092956">
              <w:rPr>
                <w:rStyle w:val="FontStyle29"/>
                <w:sz w:val="24"/>
                <w:szCs w:val="24"/>
                <w:lang w:eastAsia="id-ID"/>
              </w:rPr>
              <w:t>.A</w:t>
            </w:r>
          </w:p>
        </w:tc>
        <w:tc>
          <w:tcPr>
            <w:tcW w:w="293" w:type="dxa"/>
          </w:tcPr>
          <w:p w14:paraId="13B73D9F" w14:textId="77777777" w:rsidR="00E67AD3" w:rsidRPr="00092956" w:rsidRDefault="00E67AD3" w:rsidP="00BC0F80">
            <w:pPr>
              <w:adjustRightInd w:val="0"/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77C3C092" w14:textId="7B4B67BA" w:rsidR="00E67AD3" w:rsidRPr="00092956" w:rsidRDefault="00E67AD3" w:rsidP="009736CB">
            <w:pPr>
              <w:pStyle w:val="Style1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33"/>
                <w:sz w:val="24"/>
                <w:szCs w:val="24"/>
                <w:lang w:eastAsia="id-ID"/>
              </w:rPr>
              <w:t xml:space="preserve">Parameter atau </w:t>
            </w:r>
            <w:r w:rsidRPr="00092956">
              <w:rPr>
                <w:rStyle w:val="FontStyle29"/>
                <w:sz w:val="24"/>
                <w:szCs w:val="24"/>
                <w:lang w:eastAsia="id-ID"/>
              </w:rPr>
              <w:t xml:space="preserve">Indikator Penilaian Faktor </w:t>
            </w:r>
            <w:proofErr w:type="spellStart"/>
            <w:r w:rsidR="002166F4" w:rsidRPr="00092956">
              <w:rPr>
                <w:lang w:val="en-ID"/>
              </w:rPr>
              <w:t>Likuiditas</w:t>
            </w:r>
            <w:proofErr w:type="spellEnd"/>
          </w:p>
        </w:tc>
        <w:tc>
          <w:tcPr>
            <w:tcW w:w="661" w:type="dxa"/>
            <w:vAlign w:val="center"/>
          </w:tcPr>
          <w:p w14:paraId="2BBF89A4" w14:textId="10E594A1" w:rsidR="00E67AD3" w:rsidRPr="00092956" w:rsidRDefault="00092956" w:rsidP="00EF7A6F">
            <w:pPr>
              <w:pStyle w:val="Style1"/>
              <w:snapToGrid w:val="0"/>
              <w:spacing w:line="240" w:lineRule="auto"/>
              <w:jc w:val="center"/>
              <w:rPr>
                <w:rStyle w:val="FontStyle33"/>
                <w:sz w:val="24"/>
                <w:szCs w:val="24"/>
                <w:lang w:eastAsia="id-ID"/>
              </w:rPr>
            </w:pPr>
            <w:r w:rsidRPr="00092956">
              <w:rPr>
                <w:rStyle w:val="FontStyle33"/>
                <w:sz w:val="24"/>
                <w:szCs w:val="24"/>
                <w:lang w:eastAsia="id-ID"/>
              </w:rPr>
              <w:t>3</w:t>
            </w:r>
          </w:p>
        </w:tc>
      </w:tr>
      <w:tr w:rsidR="00E95C50" w:rsidRPr="00092956" w14:paraId="2F93FCCE" w14:textId="77777777" w:rsidTr="00EF7A6F">
        <w:tc>
          <w:tcPr>
            <w:tcW w:w="1643" w:type="dxa"/>
          </w:tcPr>
          <w:p w14:paraId="51DEA2BF" w14:textId="70798586" w:rsidR="008C1955" w:rsidRPr="00092956" w:rsidRDefault="008C1955" w:rsidP="008C1955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 xml:space="preserve">Tabel </w:t>
            </w:r>
            <w:r w:rsidR="00CC5C09" w:rsidRPr="00092956">
              <w:rPr>
                <w:rStyle w:val="FontStyle29"/>
                <w:sz w:val="24"/>
                <w:szCs w:val="24"/>
                <w:lang w:eastAsia="id-ID"/>
              </w:rPr>
              <w:t>V</w:t>
            </w:r>
            <w:r w:rsidR="00CC5C09" w:rsidRPr="00092956">
              <w:rPr>
                <w:rStyle w:val="FontStyle29"/>
                <w:sz w:val="24"/>
                <w:szCs w:val="24"/>
                <w:lang w:val="en-GB" w:eastAsia="id-ID"/>
              </w:rPr>
              <w:t>I</w:t>
            </w:r>
            <w:r w:rsidRPr="00092956">
              <w:rPr>
                <w:rStyle w:val="FontStyle29"/>
                <w:sz w:val="24"/>
                <w:szCs w:val="24"/>
                <w:lang w:eastAsia="id-ID"/>
              </w:rPr>
              <w:t>.B</w:t>
            </w:r>
          </w:p>
        </w:tc>
        <w:tc>
          <w:tcPr>
            <w:tcW w:w="293" w:type="dxa"/>
          </w:tcPr>
          <w:p w14:paraId="6516655B" w14:textId="7C519145" w:rsidR="008C1955" w:rsidRPr="00092956" w:rsidRDefault="008C1955" w:rsidP="008C1955">
            <w:pPr>
              <w:adjustRightInd w:val="0"/>
              <w:snapToGrid w:val="0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273B4A72" w14:textId="58D74E32" w:rsidR="008C1955" w:rsidRPr="00092956" w:rsidRDefault="002166F4" w:rsidP="008C1955">
            <w:pPr>
              <w:pStyle w:val="Style1"/>
              <w:snapToGrid w:val="0"/>
              <w:spacing w:line="240" w:lineRule="auto"/>
              <w:rPr>
                <w:rStyle w:val="FontStyle29"/>
                <w:sz w:val="24"/>
                <w:szCs w:val="24"/>
                <w:lang w:val="en-GB"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 xml:space="preserve">Kertas Kerja Penilaian Faktor </w:t>
            </w:r>
            <w:proofErr w:type="spellStart"/>
            <w:r w:rsidRPr="00092956">
              <w:rPr>
                <w:rStyle w:val="FontStyle29"/>
                <w:sz w:val="24"/>
                <w:szCs w:val="24"/>
                <w:lang w:val="en-GB" w:eastAsia="id-ID"/>
              </w:rPr>
              <w:t>Likuiditas</w:t>
            </w:r>
            <w:proofErr w:type="spellEnd"/>
          </w:p>
        </w:tc>
        <w:tc>
          <w:tcPr>
            <w:tcW w:w="661" w:type="dxa"/>
            <w:vAlign w:val="center"/>
          </w:tcPr>
          <w:p w14:paraId="28A3D0F5" w14:textId="5283A616" w:rsidR="008C1955" w:rsidRPr="00092956" w:rsidRDefault="00092956" w:rsidP="00EF7A6F">
            <w:pPr>
              <w:pStyle w:val="Style1"/>
              <w:snapToGrid w:val="0"/>
              <w:spacing w:line="240" w:lineRule="auto"/>
              <w:jc w:val="center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>4</w:t>
            </w:r>
          </w:p>
        </w:tc>
      </w:tr>
      <w:tr w:rsidR="00E67AD3" w:rsidRPr="00092956" w14:paraId="5418C0F1" w14:textId="77777777" w:rsidTr="00EF7A6F">
        <w:tc>
          <w:tcPr>
            <w:tcW w:w="1643" w:type="dxa"/>
          </w:tcPr>
          <w:p w14:paraId="7BF2A0FE" w14:textId="1F2A5345" w:rsidR="00E67AD3" w:rsidRPr="00092956" w:rsidRDefault="00E67AD3" w:rsidP="00BC0F8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val="en-GB"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 xml:space="preserve">Tabel </w:t>
            </w:r>
            <w:r w:rsidR="00CC5C09" w:rsidRPr="00092956">
              <w:rPr>
                <w:rStyle w:val="FontStyle29"/>
                <w:sz w:val="24"/>
                <w:szCs w:val="24"/>
                <w:lang w:eastAsia="id-ID"/>
              </w:rPr>
              <w:t>V</w:t>
            </w:r>
            <w:r w:rsidR="00CC5C09" w:rsidRPr="00092956">
              <w:rPr>
                <w:rStyle w:val="FontStyle29"/>
                <w:sz w:val="24"/>
                <w:szCs w:val="24"/>
                <w:lang w:val="en-GB" w:eastAsia="id-ID"/>
              </w:rPr>
              <w:t>I</w:t>
            </w:r>
            <w:r w:rsidRPr="00092956">
              <w:rPr>
                <w:rStyle w:val="FontStyle29"/>
                <w:sz w:val="24"/>
                <w:szCs w:val="24"/>
                <w:lang w:eastAsia="id-ID"/>
              </w:rPr>
              <w:t>.</w:t>
            </w:r>
            <w:r w:rsidR="008C1955" w:rsidRPr="00092956">
              <w:rPr>
                <w:rStyle w:val="FontStyle29"/>
                <w:sz w:val="24"/>
                <w:szCs w:val="24"/>
                <w:lang w:val="en-GB" w:eastAsia="id-ID"/>
              </w:rPr>
              <w:t>C</w:t>
            </w:r>
          </w:p>
        </w:tc>
        <w:tc>
          <w:tcPr>
            <w:tcW w:w="293" w:type="dxa"/>
          </w:tcPr>
          <w:p w14:paraId="26172217" w14:textId="77777777" w:rsidR="00E67AD3" w:rsidRPr="00092956" w:rsidRDefault="00E67AD3" w:rsidP="00BC0F80">
            <w:pPr>
              <w:adjustRightInd w:val="0"/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6083A2E5" w14:textId="6B3739C7" w:rsidR="00E67AD3" w:rsidRPr="00092956" w:rsidRDefault="00E67AD3" w:rsidP="004D3FDB">
            <w:pPr>
              <w:pStyle w:val="Style1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 xml:space="preserve">Pedoman Penetapan Peringkat Faktor </w:t>
            </w:r>
            <w:proofErr w:type="spellStart"/>
            <w:r w:rsidR="002166F4" w:rsidRPr="00092956">
              <w:rPr>
                <w:rStyle w:val="FontStyle29"/>
                <w:sz w:val="24"/>
                <w:szCs w:val="24"/>
                <w:lang w:val="en-GB" w:eastAsia="id-ID"/>
              </w:rPr>
              <w:t>Likuiditas</w:t>
            </w:r>
            <w:proofErr w:type="spellEnd"/>
          </w:p>
        </w:tc>
        <w:tc>
          <w:tcPr>
            <w:tcW w:w="661" w:type="dxa"/>
            <w:vAlign w:val="center"/>
          </w:tcPr>
          <w:p w14:paraId="350D2387" w14:textId="2D7A313D" w:rsidR="00E67AD3" w:rsidRPr="00092956" w:rsidRDefault="00092956" w:rsidP="00EF7A6F">
            <w:pPr>
              <w:pStyle w:val="Style1"/>
              <w:snapToGrid w:val="0"/>
              <w:spacing w:line="240" w:lineRule="auto"/>
              <w:jc w:val="center"/>
              <w:rPr>
                <w:rStyle w:val="FontStyle29"/>
                <w:sz w:val="24"/>
                <w:szCs w:val="24"/>
                <w:lang w:eastAsia="id-ID"/>
              </w:rPr>
            </w:pPr>
            <w:r w:rsidRPr="00092956">
              <w:rPr>
                <w:rStyle w:val="FontStyle29"/>
                <w:sz w:val="24"/>
                <w:szCs w:val="24"/>
                <w:lang w:eastAsia="id-ID"/>
              </w:rPr>
              <w:t>5</w:t>
            </w:r>
          </w:p>
        </w:tc>
      </w:tr>
    </w:tbl>
    <w:p w14:paraId="722B4A95" w14:textId="77777777" w:rsidR="00FD6C6B" w:rsidRPr="00E95C50" w:rsidRDefault="00FD6C6B" w:rsidP="00FD6C6B">
      <w:pPr>
        <w:spacing w:line="276" w:lineRule="auto"/>
        <w:rPr>
          <w:rStyle w:val="FontStyle29"/>
          <w:rFonts w:eastAsiaTheme="minorEastAsia"/>
          <w:sz w:val="24"/>
          <w:szCs w:val="24"/>
          <w:lang w:val="id-ID" w:eastAsia="id-ID"/>
        </w:rPr>
      </w:pPr>
    </w:p>
    <w:p w14:paraId="028DC915" w14:textId="77777777" w:rsidR="00A53E0B" w:rsidRPr="00E95C50" w:rsidRDefault="00A53E0B" w:rsidP="00A53E0B">
      <w:pPr>
        <w:rPr>
          <w:rStyle w:val="FontStyle29"/>
          <w:rFonts w:eastAsiaTheme="minorEastAsia"/>
          <w:sz w:val="24"/>
          <w:szCs w:val="24"/>
          <w:lang w:val="id-ID" w:eastAsia="id-ID"/>
        </w:rPr>
      </w:pPr>
    </w:p>
    <w:p w14:paraId="6E9E478A" w14:textId="77777777" w:rsidR="00A53E0B" w:rsidRPr="00E95C50" w:rsidRDefault="00A53E0B" w:rsidP="00A53E0B">
      <w:pPr>
        <w:rPr>
          <w:rStyle w:val="FontStyle29"/>
          <w:rFonts w:eastAsiaTheme="minorEastAsia"/>
          <w:sz w:val="24"/>
          <w:szCs w:val="24"/>
          <w:lang w:val="id-ID" w:eastAsia="id-ID"/>
        </w:rPr>
      </w:pPr>
    </w:p>
    <w:p w14:paraId="534CB85E" w14:textId="77777777" w:rsidR="004D3FDB" w:rsidRPr="00E95C50" w:rsidRDefault="004D3FDB" w:rsidP="00A53E0B">
      <w:pPr>
        <w:rPr>
          <w:rFonts w:ascii="Bookman Old Style" w:eastAsiaTheme="minorEastAsia" w:hAnsi="Bookman Old Style" w:cs="Bookman Old Style"/>
          <w:sz w:val="24"/>
          <w:szCs w:val="24"/>
          <w:lang w:val="id-ID" w:eastAsia="id-ID"/>
        </w:rPr>
      </w:pPr>
      <w:r w:rsidRPr="00E95C50">
        <w:rPr>
          <w:rFonts w:ascii="Bookman Old Style" w:eastAsiaTheme="minorEastAsia" w:hAnsi="Bookman Old Style" w:cs="Bookman Old Style"/>
          <w:sz w:val="24"/>
          <w:szCs w:val="24"/>
          <w:lang w:val="id-ID" w:eastAsia="id-ID"/>
        </w:rPr>
        <w:br w:type="column"/>
      </w:r>
    </w:p>
    <w:tbl>
      <w:tblPr>
        <w:tblStyle w:val="TableGrid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95C50" w:rsidRPr="00E95C50" w14:paraId="49950389" w14:textId="77777777" w:rsidTr="00BC0F80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9DC4B" w14:textId="77777777" w:rsidR="004D3FDB" w:rsidRPr="00E95C50" w:rsidRDefault="004D3FDB" w:rsidP="00BC0F80">
            <w:pPr>
              <w:pStyle w:val="Style1"/>
              <w:spacing w:before="60" w:after="60" w:line="276" w:lineRule="auto"/>
              <w:ind w:right="100"/>
            </w:pPr>
            <w:r w:rsidRPr="00E95C50">
              <w:rPr>
                <w:rFonts w:cs="Bookman Old Style"/>
                <w:lang w:eastAsia="id-ID"/>
              </w:rPr>
              <w:t>Petunjuk Pengisian:</w:t>
            </w:r>
          </w:p>
        </w:tc>
      </w:tr>
      <w:tr w:rsidR="004D3FDB" w:rsidRPr="00E95C50" w14:paraId="576B5C52" w14:textId="77777777" w:rsidTr="00BC0F80">
        <w:trPr>
          <w:jc w:val="right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73E3" w14:textId="36EAA713" w:rsidR="004D3FDB" w:rsidRPr="00E95C50" w:rsidRDefault="004D3FDB" w:rsidP="00BC0F80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lang w:eastAsia="id-ID"/>
              </w:rPr>
            </w:pPr>
            <w:r w:rsidRPr="00E95C50">
              <w:rPr>
                <w:rFonts w:cs="Bookman Old Style"/>
                <w:lang w:eastAsia="id-ID"/>
              </w:rPr>
              <w:t xml:space="preserve">Parameter atau indikator penilaian faktor </w:t>
            </w:r>
            <w:proofErr w:type="spellStart"/>
            <w:r w:rsidRPr="00E95C50">
              <w:rPr>
                <w:rFonts w:cs="Bookman Old Style"/>
                <w:lang w:val="en-US" w:eastAsia="id-ID"/>
              </w:rPr>
              <w:t>likuiditas</w:t>
            </w:r>
            <w:proofErr w:type="spellEnd"/>
            <w:r w:rsidRPr="00E95C50">
              <w:rPr>
                <w:rFonts w:cs="Bookman Old Style"/>
                <w:lang w:eastAsia="id-ID"/>
              </w:rPr>
              <w:t xml:space="preserve"> dalam Lampiran </w:t>
            </w:r>
            <w:r w:rsidR="00134F54" w:rsidRPr="00E95C50">
              <w:rPr>
                <w:rStyle w:val="FontStyle29"/>
                <w:sz w:val="24"/>
                <w:szCs w:val="24"/>
                <w:lang w:eastAsia="id-ID"/>
              </w:rPr>
              <w:t>V</w:t>
            </w:r>
            <w:r w:rsidR="00134F54">
              <w:rPr>
                <w:rStyle w:val="FontStyle29"/>
                <w:sz w:val="24"/>
                <w:szCs w:val="24"/>
                <w:lang w:val="en-GB" w:eastAsia="id-ID"/>
              </w:rPr>
              <w:t>I</w:t>
            </w:r>
            <w:r w:rsidRPr="00E95C50">
              <w:rPr>
                <w:rFonts w:cs="Bookman Old Style"/>
                <w:lang w:eastAsia="id-ID"/>
              </w:rPr>
              <w:t xml:space="preserve">, merupakan standar minimum yang harus digunakan dalam melakukan penilaian faktor </w:t>
            </w:r>
            <w:proofErr w:type="spellStart"/>
            <w:r w:rsidRPr="00E95C50">
              <w:rPr>
                <w:rFonts w:cs="Bookman Old Style"/>
                <w:lang w:val="en-US" w:eastAsia="id-ID"/>
              </w:rPr>
              <w:t>likuiditas</w:t>
            </w:r>
            <w:proofErr w:type="spellEnd"/>
            <w:r w:rsidRPr="00E95C50">
              <w:rPr>
                <w:rFonts w:cs="Bookman Old Style"/>
                <w:lang w:eastAsia="id-ID"/>
              </w:rPr>
              <w:t>.</w:t>
            </w:r>
          </w:p>
          <w:p w14:paraId="702BB27D" w14:textId="77777777" w:rsidR="004D3FDB" w:rsidRPr="00E95C50" w:rsidRDefault="004D3FDB" w:rsidP="00BC0F80">
            <w:pPr>
              <w:pStyle w:val="Style1"/>
              <w:numPr>
                <w:ilvl w:val="0"/>
                <w:numId w:val="10"/>
              </w:numPr>
              <w:spacing w:before="60" w:after="60" w:line="276" w:lineRule="auto"/>
              <w:ind w:left="567" w:hanging="567"/>
              <w:rPr>
                <w:rFonts w:cs="Bookman Old Style"/>
                <w:lang w:eastAsia="id-ID"/>
              </w:rPr>
            </w:pPr>
            <w:r w:rsidRPr="00E95C50">
              <w:rPr>
                <w:rFonts w:cs="Bookman Old Style"/>
                <w:lang w:eastAsia="id-ID"/>
              </w:rPr>
              <w:t xml:space="preserve">Penilaian dilakukan per posisi dan periode selama 12 (dua belas) bulan terakhir untuk parameter atau indikator yang bersifat kuantitatif.   </w:t>
            </w:r>
          </w:p>
        </w:tc>
      </w:tr>
    </w:tbl>
    <w:p w14:paraId="3B537642" w14:textId="632053E9" w:rsidR="00EB5A8C" w:rsidRPr="00E95C50" w:rsidRDefault="00EB5A8C" w:rsidP="00A53E0B">
      <w:pPr>
        <w:rPr>
          <w:rFonts w:ascii="Bookman Old Style" w:eastAsiaTheme="minorEastAsia" w:hAnsi="Bookman Old Style" w:cs="Bookman Old Style"/>
          <w:sz w:val="24"/>
          <w:szCs w:val="24"/>
          <w:lang w:eastAsia="id-ID"/>
        </w:rPr>
      </w:pPr>
    </w:p>
    <w:p w14:paraId="6A3FED0E" w14:textId="18DD8AE1" w:rsidR="00EB5A8C" w:rsidRDefault="00EB5A8C" w:rsidP="00EB5A8C">
      <w:pPr>
        <w:pStyle w:val="Style3"/>
        <w:widowControl/>
        <w:snapToGrid w:val="0"/>
        <w:jc w:val="left"/>
        <w:rPr>
          <w:rFonts w:cs="Bookman Old Style"/>
          <w:lang w:val="pt-BR" w:eastAsia="id-ID"/>
        </w:rPr>
      </w:pPr>
      <w:r w:rsidRPr="00E95C50">
        <w:rPr>
          <w:rFonts w:cs="Bookman Old Style"/>
          <w:lang w:eastAsia="id-ID"/>
        </w:rPr>
        <w:br w:type="column"/>
      </w:r>
      <w:r w:rsidRPr="00E95C50">
        <w:rPr>
          <w:rStyle w:val="FontStyle33"/>
          <w:sz w:val="24"/>
          <w:szCs w:val="24"/>
          <w:lang w:val="id-ID" w:eastAsia="id-ID"/>
        </w:rPr>
        <w:lastRenderedPageBreak/>
        <w:t>Tabel</w:t>
      </w:r>
      <w:r w:rsidR="00134F54" w:rsidRPr="00134F54">
        <w:rPr>
          <w:rStyle w:val="FontStyle29"/>
          <w:sz w:val="24"/>
          <w:szCs w:val="24"/>
          <w:lang w:eastAsia="id-ID"/>
        </w:rPr>
        <w:t xml:space="preserve"> </w:t>
      </w:r>
      <w:r w:rsidR="00134F54" w:rsidRPr="00E95C50">
        <w:rPr>
          <w:rStyle w:val="FontStyle29"/>
          <w:sz w:val="24"/>
          <w:szCs w:val="24"/>
          <w:lang w:eastAsia="id-ID"/>
        </w:rPr>
        <w:t>V</w:t>
      </w:r>
      <w:r w:rsidR="00134F54">
        <w:rPr>
          <w:rStyle w:val="FontStyle29"/>
          <w:sz w:val="24"/>
          <w:szCs w:val="24"/>
          <w:lang w:val="en-GB" w:eastAsia="id-ID"/>
        </w:rPr>
        <w:t>I</w:t>
      </w:r>
      <w:r w:rsidRPr="00E95C50">
        <w:rPr>
          <w:rStyle w:val="FontStyle33"/>
          <w:sz w:val="24"/>
          <w:szCs w:val="24"/>
          <w:lang w:val="id-ID" w:eastAsia="id-ID"/>
        </w:rPr>
        <w:t xml:space="preserve">.A: Parameter atau Indikator Penilaian Faktor </w:t>
      </w:r>
      <w:proofErr w:type="spellStart"/>
      <w:r w:rsidRPr="00E95C50">
        <w:rPr>
          <w:rFonts w:cs="Bookman Old Style"/>
          <w:lang w:val="pt-BR" w:eastAsia="id-ID"/>
        </w:rPr>
        <w:t>Likuiditas</w:t>
      </w:r>
      <w:proofErr w:type="spellEnd"/>
    </w:p>
    <w:p w14:paraId="01EC707E" w14:textId="77777777" w:rsidR="00092956" w:rsidRPr="00E95C50" w:rsidRDefault="00092956" w:rsidP="00EB5A8C">
      <w:pPr>
        <w:pStyle w:val="Style3"/>
        <w:widowControl/>
        <w:snapToGrid w:val="0"/>
        <w:jc w:val="left"/>
        <w:rPr>
          <w:rStyle w:val="FontStyle33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11"/>
      </w:tblGrid>
      <w:tr w:rsidR="00E95C50" w:rsidRPr="00E95C50" w14:paraId="05DC4949" w14:textId="77777777" w:rsidTr="009E7D70">
        <w:tc>
          <w:tcPr>
            <w:tcW w:w="3539" w:type="dxa"/>
            <w:shd w:val="clear" w:color="auto" w:fill="D9D9D9" w:themeFill="background1" w:themeFillShade="D9"/>
          </w:tcPr>
          <w:p w14:paraId="31762301" w14:textId="796E9CDA" w:rsidR="00EB5A8C" w:rsidRPr="00E95C50" w:rsidRDefault="00EB5A8C" w:rsidP="008E73ED">
            <w:pPr>
              <w:pStyle w:val="Style3"/>
              <w:widowControl/>
              <w:snapToGrid w:val="0"/>
              <w:rPr>
                <w:rStyle w:val="FontStyle33"/>
                <w:lang w:eastAsia="id-ID"/>
              </w:rPr>
            </w:pPr>
            <w:r w:rsidRPr="00E95C50">
              <w:rPr>
                <w:rStyle w:val="FontStyle33"/>
                <w:lang w:eastAsia="id-ID"/>
              </w:rPr>
              <w:t xml:space="preserve">Parameter atau Indikator </w:t>
            </w:r>
            <w:r w:rsidR="007464AB" w:rsidRPr="00E95C50">
              <w:rPr>
                <w:rStyle w:val="FontStyle33"/>
                <w:lang w:val="pt-BR" w:eastAsia="id-ID"/>
              </w:rPr>
              <w:t>L</w:t>
            </w:r>
            <w:r w:rsidR="007464AB" w:rsidRPr="00E95C50">
              <w:rPr>
                <w:rStyle w:val="FontStyle33"/>
                <w:lang w:val="pt-BR"/>
              </w:rPr>
              <w:t>ikuiditas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C29ACF1" w14:textId="77777777" w:rsidR="00EB5A8C" w:rsidRPr="00E95C50" w:rsidRDefault="00EB5A8C" w:rsidP="008E73ED">
            <w:pPr>
              <w:pStyle w:val="Style3"/>
              <w:widowControl/>
              <w:snapToGrid w:val="0"/>
              <w:rPr>
                <w:rStyle w:val="FontStyle33"/>
                <w:lang w:eastAsia="id-ID"/>
              </w:rPr>
            </w:pPr>
            <w:r w:rsidRPr="00E95C50">
              <w:rPr>
                <w:rStyle w:val="FontStyle33"/>
                <w:lang w:eastAsia="id-ID"/>
              </w:rPr>
              <w:t>Keterangan</w:t>
            </w:r>
          </w:p>
        </w:tc>
      </w:tr>
      <w:tr w:rsidR="00E95C50" w:rsidRPr="00F2508F" w14:paraId="262383D7" w14:textId="77777777" w:rsidTr="00BD44E0">
        <w:tc>
          <w:tcPr>
            <w:tcW w:w="9350" w:type="dxa"/>
            <w:gridSpan w:val="2"/>
          </w:tcPr>
          <w:p w14:paraId="6EF41DAE" w14:textId="4CE5CD51" w:rsidR="00EB5A8C" w:rsidRPr="00F2508F" w:rsidRDefault="0090306C" w:rsidP="00F2508F">
            <w:pPr>
              <w:pStyle w:val="Style5"/>
              <w:snapToGrid w:val="0"/>
              <w:jc w:val="both"/>
              <w:rPr>
                <w:rStyle w:val="FontStyle33"/>
                <w:b/>
                <w:bCs/>
                <w:iCs/>
                <w:sz w:val="24"/>
                <w:szCs w:val="24"/>
                <w:lang w:eastAsia="id-ID"/>
              </w:rPr>
            </w:pPr>
            <w:proofErr w:type="spellStart"/>
            <w:r w:rsidRPr="00F2508F">
              <w:rPr>
                <w:rFonts w:cs="Bookman Old Style"/>
                <w:b/>
                <w:bCs/>
                <w:lang w:val="en-US" w:eastAsia="id-ID"/>
              </w:rPr>
              <w:t>Kemampuan</w:t>
            </w:r>
            <w:proofErr w:type="spellEnd"/>
            <w:r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Memenuhi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Kewajiban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Jangka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Pendek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,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Jangka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Panjang, dan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Potensi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Terjadinya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Ketidaksesuaian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antara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Kewajiban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Jangka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Pendek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dan </w:t>
            </w:r>
            <w:proofErr w:type="spellStart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>Jangka</w:t>
            </w:r>
            <w:proofErr w:type="spellEnd"/>
            <w:r w:rsidR="00AA4F87" w:rsidRPr="00F2508F">
              <w:rPr>
                <w:rFonts w:cs="Bookman Old Style"/>
                <w:b/>
                <w:bCs/>
                <w:lang w:val="en-US" w:eastAsia="id-ID"/>
              </w:rPr>
              <w:t xml:space="preserve"> Panjang</w:t>
            </w:r>
          </w:p>
        </w:tc>
      </w:tr>
      <w:tr w:rsidR="00E95C50" w:rsidRPr="00E95C50" w14:paraId="414CD253" w14:textId="77777777" w:rsidTr="009E7D70">
        <w:tc>
          <w:tcPr>
            <w:tcW w:w="3539" w:type="dxa"/>
          </w:tcPr>
          <w:p w14:paraId="50D8B931" w14:textId="3E044820" w:rsidR="00EB5A8C" w:rsidRPr="00E95C50" w:rsidRDefault="00F93B6A" w:rsidP="009E7D70">
            <w:pPr>
              <w:pStyle w:val="Style3"/>
              <w:widowControl/>
              <w:numPr>
                <w:ilvl w:val="0"/>
                <w:numId w:val="29"/>
              </w:numPr>
              <w:snapToGrid w:val="0"/>
              <w:jc w:val="left"/>
              <w:rPr>
                <w:rStyle w:val="FontStyle33"/>
                <w:iCs/>
                <w:sz w:val="24"/>
                <w:szCs w:val="24"/>
                <w:lang w:val="en-GB" w:eastAsia="id-ID"/>
              </w:rPr>
            </w:pPr>
            <w:r w:rsidRPr="00E95C50">
              <w:rPr>
                <w:rStyle w:val="FontStyle33"/>
                <w:iCs/>
                <w:sz w:val="24"/>
                <w:szCs w:val="24"/>
                <w:lang w:eastAsia="id-ID"/>
              </w:rPr>
              <w:t>R</w:t>
            </w:r>
            <w:r w:rsidRPr="00E95C50">
              <w:rPr>
                <w:rStyle w:val="FontStyle33"/>
                <w:iCs/>
                <w:sz w:val="24"/>
                <w:szCs w:val="24"/>
              </w:rPr>
              <w:t>asio likuiditas</w:t>
            </w:r>
            <w:r w:rsidR="00EB5A8C" w:rsidRPr="00E95C50">
              <w:rPr>
                <w:rStyle w:val="FontStyle33"/>
                <w:i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="00F865DB" w:rsidRPr="00E95C50">
              <w:rPr>
                <w:rStyle w:val="FontStyle33"/>
                <w:iCs/>
                <w:sz w:val="24"/>
                <w:szCs w:val="24"/>
                <w:lang w:val="en-GB" w:eastAsia="id-ID"/>
              </w:rPr>
              <w:t>jangka</w:t>
            </w:r>
            <w:proofErr w:type="spellEnd"/>
            <w:r w:rsidR="00F865DB" w:rsidRPr="00E95C50">
              <w:rPr>
                <w:rStyle w:val="FontStyle33"/>
                <w:iCs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="00F865DB" w:rsidRPr="00E95C50">
              <w:rPr>
                <w:rStyle w:val="FontStyle33"/>
                <w:iCs/>
                <w:sz w:val="24"/>
                <w:szCs w:val="24"/>
                <w:lang w:val="en-GB" w:eastAsia="id-ID"/>
              </w:rPr>
              <w:t>pendek</w:t>
            </w:r>
            <w:proofErr w:type="spellEnd"/>
          </w:p>
        </w:tc>
        <w:tc>
          <w:tcPr>
            <w:tcW w:w="5811" w:type="dxa"/>
          </w:tcPr>
          <w:p w14:paraId="25457ED8" w14:textId="4B8F76B4" w:rsidR="00EB5A8C" w:rsidRPr="00E95C50" w:rsidRDefault="00000000" w:rsidP="008E73ED">
            <w:pPr>
              <w:pStyle w:val="Style3"/>
              <w:widowControl/>
              <w:snapToGrid w:val="0"/>
              <w:jc w:val="left"/>
              <w:rPr>
                <w:rStyle w:val="FontStyle33"/>
                <w:lang w:eastAsia="id-ID"/>
              </w:rPr>
            </w:pPr>
            <m:oMath>
              <m:f>
                <m:fPr>
                  <m:ctrlPr>
                    <w:rPr>
                      <w:rStyle w:val="FontStyle33"/>
                      <w:rFonts w:ascii="Cambria Math" w:hAnsi="Cambria Math"/>
                      <w:iCs/>
                      <w:sz w:val="28"/>
                      <w:szCs w:val="28"/>
                      <w:lang w:eastAsia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FontStyle33"/>
                      <w:rFonts w:ascii="Cambria Math" w:eastAsia="Calibri" w:hAnsi="Cambria Math"/>
                      <w:sz w:val="28"/>
                      <w:szCs w:val="28"/>
                      <w:lang w:eastAsia="id-ID"/>
                    </w:rPr>
                    <m:t>jumlah aset lancar</m:t>
                  </m:r>
                </m:num>
                <m:den>
                  <m:r>
                    <m:rPr>
                      <m:sty m:val="p"/>
                    </m:rPr>
                    <w:rPr>
                      <w:rStyle w:val="FontStyle33"/>
                      <w:rFonts w:ascii="Cambria Math" w:eastAsia="Calibri" w:hAnsi="Cambria Math"/>
                      <w:sz w:val="28"/>
                      <w:szCs w:val="28"/>
                      <w:lang w:eastAsia="id-ID"/>
                    </w:rPr>
                    <m:t>jumlah liabilitas lancar</m:t>
                  </m:r>
                </m:den>
              </m:f>
            </m:oMath>
            <w:r w:rsidR="00EB5A8C" w:rsidRPr="00E95C50">
              <w:rPr>
                <w:rStyle w:val="FontStyle33"/>
                <w:lang w:eastAsia="id-ID"/>
              </w:rPr>
              <w:t xml:space="preserve"> </w:t>
            </w:r>
          </w:p>
          <w:p w14:paraId="761FE97A" w14:textId="77777777" w:rsidR="00EB5A8C" w:rsidRPr="00E95C50" w:rsidRDefault="00EB5A8C" w:rsidP="008E73ED">
            <w:pPr>
              <w:pStyle w:val="Style3"/>
              <w:widowControl/>
              <w:snapToGrid w:val="0"/>
              <w:jc w:val="both"/>
              <w:rPr>
                <w:rStyle w:val="FontStyle33"/>
                <w:lang w:eastAsia="id-ID"/>
              </w:rPr>
            </w:pPr>
            <w:r w:rsidRPr="00E95C50">
              <w:rPr>
                <w:rFonts w:cs="Bookman Old Style"/>
                <w:lang w:eastAsia="id-ID"/>
              </w:rPr>
              <w:t xml:space="preserve"> </w:t>
            </w:r>
          </w:p>
        </w:tc>
      </w:tr>
      <w:tr w:rsidR="00E95C50" w:rsidRPr="00E95C50" w14:paraId="1E156306" w14:textId="77777777" w:rsidTr="009E7D70">
        <w:tc>
          <w:tcPr>
            <w:tcW w:w="3539" w:type="dxa"/>
          </w:tcPr>
          <w:p w14:paraId="167AD59E" w14:textId="6C9B94E5" w:rsidR="00EB5A8C" w:rsidRPr="00E95C50" w:rsidRDefault="001727B4" w:rsidP="009E7D70">
            <w:pPr>
              <w:pStyle w:val="Style3"/>
              <w:widowControl/>
              <w:numPr>
                <w:ilvl w:val="0"/>
                <w:numId w:val="29"/>
              </w:numPr>
              <w:snapToGrid w:val="0"/>
              <w:jc w:val="left"/>
              <w:rPr>
                <w:rStyle w:val="FontStyle33"/>
                <w:lang w:eastAsia="id-ID"/>
              </w:rPr>
            </w:pPr>
            <w:r w:rsidRPr="00E95C50">
              <w:rPr>
                <w:rStyle w:val="FontStyle33"/>
                <w:iCs/>
                <w:sz w:val="24"/>
                <w:szCs w:val="24"/>
                <w:lang w:eastAsia="id-ID"/>
              </w:rPr>
              <w:t>R</w:t>
            </w:r>
            <w:r w:rsidRPr="00E95C50">
              <w:rPr>
                <w:rStyle w:val="FontStyle33"/>
                <w:iCs/>
                <w:sz w:val="24"/>
                <w:szCs w:val="24"/>
              </w:rPr>
              <w:t>asio likuiditas</w:t>
            </w:r>
            <w:r w:rsidRPr="00E95C50">
              <w:rPr>
                <w:rStyle w:val="FontStyle33"/>
                <w:i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E95C50">
              <w:rPr>
                <w:rStyle w:val="FontStyle33"/>
                <w:iCs/>
                <w:sz w:val="24"/>
                <w:szCs w:val="24"/>
                <w:lang w:val="en-GB" w:eastAsia="id-ID"/>
              </w:rPr>
              <w:t>jangka</w:t>
            </w:r>
            <w:proofErr w:type="spellEnd"/>
            <w:r w:rsidRPr="00E95C50">
              <w:rPr>
                <w:rStyle w:val="FontStyle33"/>
                <w:iCs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95C50">
              <w:rPr>
                <w:rStyle w:val="FontStyle33"/>
                <w:iCs/>
                <w:sz w:val="24"/>
                <w:szCs w:val="24"/>
                <w:lang w:val="en-GB" w:eastAsia="id-ID"/>
              </w:rPr>
              <w:t>panjang</w:t>
            </w:r>
            <w:proofErr w:type="spellEnd"/>
          </w:p>
        </w:tc>
        <w:tc>
          <w:tcPr>
            <w:tcW w:w="5811" w:type="dxa"/>
          </w:tcPr>
          <w:p w14:paraId="7F54CBB4" w14:textId="0A07A2A4" w:rsidR="001727B4" w:rsidRPr="00E95C50" w:rsidRDefault="00000000" w:rsidP="001727B4">
            <w:pPr>
              <w:pStyle w:val="Style3"/>
              <w:widowControl/>
              <w:snapToGrid w:val="0"/>
              <w:jc w:val="left"/>
              <w:rPr>
                <w:rStyle w:val="FontStyle33"/>
                <w:lang w:eastAsia="id-ID"/>
              </w:rPr>
            </w:pPr>
            <m:oMath>
              <m:f>
                <m:fPr>
                  <m:ctrlPr>
                    <w:rPr>
                      <w:rStyle w:val="FontStyle33"/>
                      <w:rFonts w:ascii="Cambria Math" w:hAnsi="Cambria Math"/>
                      <w:iCs/>
                      <w:sz w:val="28"/>
                      <w:szCs w:val="28"/>
                      <w:lang w:eastAsia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FontStyle33"/>
                      <w:rFonts w:ascii="Cambria Math" w:eastAsia="Calibri" w:hAnsi="Cambria Math"/>
                      <w:sz w:val="28"/>
                      <w:szCs w:val="28"/>
                      <w:lang w:eastAsia="id-ID"/>
                    </w:rPr>
                    <m:t>jumlah aset tidak</m:t>
                  </m:r>
                  <m:r>
                    <w:rPr>
                      <w:rStyle w:val="FontStyle33"/>
                      <w:rFonts w:ascii="Cambria Math" w:eastAsia="Calibri" w:hAnsi="Cambria Math"/>
                      <w:sz w:val="28"/>
                      <w:szCs w:val="28"/>
                      <w:lang w:eastAsia="id-ID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FontStyle33"/>
                      <w:rFonts w:ascii="Cambria Math" w:eastAsia="Calibri" w:hAnsi="Cambria Math"/>
                      <w:sz w:val="28"/>
                      <w:szCs w:val="28"/>
                      <w:lang w:eastAsia="id-ID"/>
                    </w:rPr>
                    <m:t>lancar</m:t>
                  </m:r>
                </m:num>
                <m:den>
                  <m:r>
                    <m:rPr>
                      <m:sty m:val="p"/>
                    </m:rPr>
                    <w:rPr>
                      <w:rStyle w:val="FontStyle33"/>
                      <w:rFonts w:ascii="Cambria Math" w:eastAsia="Calibri" w:hAnsi="Cambria Math"/>
                      <w:sz w:val="28"/>
                      <w:szCs w:val="28"/>
                      <w:lang w:eastAsia="id-ID"/>
                    </w:rPr>
                    <m:t>jumlah liabilitas tidak lancar</m:t>
                  </m:r>
                </m:den>
              </m:f>
            </m:oMath>
            <w:r w:rsidR="001727B4" w:rsidRPr="00E95C50">
              <w:rPr>
                <w:rStyle w:val="FontStyle33"/>
                <w:lang w:eastAsia="id-ID"/>
              </w:rPr>
              <w:t xml:space="preserve"> </w:t>
            </w:r>
          </w:p>
          <w:p w14:paraId="0161C028" w14:textId="77777777" w:rsidR="00EB5A8C" w:rsidRPr="00E95C50" w:rsidRDefault="00EB5A8C" w:rsidP="008E73ED">
            <w:pPr>
              <w:pStyle w:val="Style3"/>
              <w:widowControl/>
              <w:snapToGrid w:val="0"/>
              <w:jc w:val="both"/>
              <w:rPr>
                <w:rStyle w:val="FontStyle33"/>
                <w:iCs/>
                <w:sz w:val="28"/>
                <w:szCs w:val="28"/>
                <w:lang w:eastAsia="id-ID"/>
              </w:rPr>
            </w:pPr>
          </w:p>
        </w:tc>
      </w:tr>
      <w:tr w:rsidR="00E95C50" w:rsidRPr="00F2508F" w14:paraId="57CCFFA3" w14:textId="77777777" w:rsidTr="00BD44E0">
        <w:tc>
          <w:tcPr>
            <w:tcW w:w="9350" w:type="dxa"/>
            <w:gridSpan w:val="2"/>
          </w:tcPr>
          <w:p w14:paraId="3386DCAF" w14:textId="19CADF76" w:rsidR="00EB5A8C" w:rsidRPr="00F2508F" w:rsidRDefault="006A67C0" w:rsidP="00F2508F">
            <w:pPr>
              <w:pStyle w:val="Style5"/>
              <w:snapToGrid w:val="0"/>
              <w:jc w:val="both"/>
              <w:rPr>
                <w:rStyle w:val="FontStyle33"/>
                <w:b/>
                <w:bCs/>
                <w:iCs/>
                <w:sz w:val="24"/>
                <w:szCs w:val="24"/>
                <w:lang w:eastAsia="id-ID"/>
              </w:rPr>
            </w:pPr>
            <w:r w:rsidRPr="00F2508F">
              <w:rPr>
                <w:rFonts w:eastAsia="Bookman Old Style"/>
                <w:b/>
                <w:bCs/>
              </w:rPr>
              <w:t xml:space="preserve">Kecukupan </w:t>
            </w:r>
            <w:r w:rsidR="00AA4F87" w:rsidRPr="00F2508F">
              <w:rPr>
                <w:rFonts w:eastAsia="Bookman Old Style"/>
                <w:b/>
                <w:bCs/>
              </w:rPr>
              <w:t>Kebijakan Pengelolaan Likuiditas</w:t>
            </w:r>
          </w:p>
        </w:tc>
      </w:tr>
      <w:tr w:rsidR="00EB5A8C" w:rsidRPr="00E95C50" w14:paraId="3AFBF948" w14:textId="77777777" w:rsidTr="009E7D70">
        <w:tc>
          <w:tcPr>
            <w:tcW w:w="3539" w:type="dxa"/>
          </w:tcPr>
          <w:p w14:paraId="6E77F6CA" w14:textId="77777777" w:rsidR="00EB5A8C" w:rsidRPr="00E95C50" w:rsidRDefault="00EB5A8C" w:rsidP="008E73ED">
            <w:pPr>
              <w:pStyle w:val="Style3"/>
              <w:widowControl/>
              <w:snapToGrid w:val="0"/>
              <w:jc w:val="left"/>
              <w:rPr>
                <w:rStyle w:val="FontStyle33"/>
                <w:lang w:eastAsia="id-ID"/>
              </w:rPr>
            </w:pPr>
            <w:r w:rsidRPr="00E95C50">
              <w:rPr>
                <w:rStyle w:val="FontStyle33"/>
                <w:sz w:val="24"/>
                <w:szCs w:val="24"/>
                <w:lang w:eastAsia="id-ID"/>
              </w:rPr>
              <w:t>Manajemen pengelolaan likuiditas Perusahaan</w:t>
            </w:r>
          </w:p>
        </w:tc>
        <w:tc>
          <w:tcPr>
            <w:tcW w:w="5811" w:type="dxa"/>
          </w:tcPr>
          <w:p w14:paraId="0B4396C7" w14:textId="3A9DCB02" w:rsidR="00EB5A8C" w:rsidRPr="00E95C50" w:rsidRDefault="00EB5A8C" w:rsidP="008E73ED">
            <w:pPr>
              <w:pStyle w:val="Style3"/>
              <w:widowControl/>
              <w:snapToGrid w:val="0"/>
              <w:jc w:val="both"/>
              <w:rPr>
                <w:rStyle w:val="FontStyle33"/>
                <w:lang w:eastAsia="id-ID"/>
              </w:rPr>
            </w:pPr>
            <w:r w:rsidRPr="00E95C50">
              <w:rPr>
                <w:rStyle w:val="FontStyle33"/>
                <w:sz w:val="24"/>
                <w:szCs w:val="24"/>
                <w:lang w:eastAsia="id-ID"/>
              </w:rPr>
              <w:t xml:space="preserve">Hal ini meliputi pemahaman </w:t>
            </w:r>
            <w:r w:rsidR="00820434" w:rsidRPr="00E95C50">
              <w:rPr>
                <w:rStyle w:val="FontStyle33"/>
                <w:sz w:val="24"/>
                <w:szCs w:val="24"/>
                <w:lang w:eastAsia="id-ID"/>
              </w:rPr>
              <w:t xml:space="preserve">direksi dan dewan komisaris, </w:t>
            </w:r>
            <w:r w:rsidRPr="00E95C50">
              <w:rPr>
                <w:rStyle w:val="FontStyle33"/>
                <w:sz w:val="24"/>
                <w:szCs w:val="24"/>
                <w:lang w:eastAsia="id-ID"/>
              </w:rPr>
              <w:t>kebijakan dan prosedur pengelolaan likuiditas, perencanaan, serta penilaian kecukupan likuiditas.</w:t>
            </w:r>
          </w:p>
        </w:tc>
      </w:tr>
    </w:tbl>
    <w:p w14:paraId="6F970057" w14:textId="77777777" w:rsidR="00EB5A8C" w:rsidRPr="00E95C50" w:rsidRDefault="00EB5A8C" w:rsidP="00EB5A8C">
      <w:pPr>
        <w:pStyle w:val="Style4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</w:p>
    <w:p w14:paraId="0EF50ADC" w14:textId="77777777" w:rsidR="00EB5A8C" w:rsidRPr="00E95C50" w:rsidRDefault="00EB5A8C" w:rsidP="00EB5A8C">
      <w:pPr>
        <w:pStyle w:val="Style4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</w:p>
    <w:p w14:paraId="24127541" w14:textId="77777777" w:rsidR="00F70817" w:rsidRPr="00E95C50" w:rsidRDefault="00F70817" w:rsidP="00EB5A8C">
      <w:pPr>
        <w:rPr>
          <w:rFonts w:ascii="Bookman Old Style" w:hAnsi="Bookman Old Style"/>
          <w:sz w:val="24"/>
          <w:szCs w:val="24"/>
        </w:rPr>
        <w:sectPr w:rsidR="00F70817" w:rsidRPr="00E95C50" w:rsidSect="00B87201">
          <w:headerReference w:type="even" r:id="rId9"/>
          <w:headerReference w:type="default" r:id="rId10"/>
          <w:pgSz w:w="12240" w:h="15840"/>
          <w:pgMar w:top="1440" w:right="1440" w:bottom="1440" w:left="1440" w:header="720" w:footer="720" w:gutter="0"/>
          <w:pgNumType w:fmt="numberInDash" w:start="0"/>
          <w:cols w:space="720"/>
          <w:titlePg/>
          <w:docGrid w:linePitch="360"/>
        </w:sectPr>
      </w:pPr>
    </w:p>
    <w:p w14:paraId="5ECF4AB2" w14:textId="6D28204D" w:rsidR="00E369D9" w:rsidRDefault="00E369D9" w:rsidP="00E369D9">
      <w:pPr>
        <w:pStyle w:val="Style3"/>
        <w:widowControl/>
        <w:snapToGrid w:val="0"/>
        <w:jc w:val="left"/>
        <w:rPr>
          <w:rStyle w:val="FontStyle29"/>
          <w:sz w:val="24"/>
          <w:szCs w:val="24"/>
          <w:lang w:eastAsia="id-ID"/>
        </w:rPr>
      </w:pPr>
      <w:r w:rsidRPr="00134F54">
        <w:rPr>
          <w:lang w:val="id-ID"/>
        </w:rPr>
        <w:lastRenderedPageBreak/>
        <w:t xml:space="preserve">Tabel </w:t>
      </w:r>
      <w:r w:rsidR="00134F54" w:rsidRPr="00134F54">
        <w:rPr>
          <w:rStyle w:val="FontStyle29"/>
          <w:sz w:val="24"/>
          <w:szCs w:val="24"/>
          <w:lang w:eastAsia="id-ID"/>
        </w:rPr>
        <w:t>V</w:t>
      </w:r>
      <w:r w:rsidR="00134F54" w:rsidRPr="00134F54">
        <w:rPr>
          <w:rStyle w:val="FontStyle29"/>
          <w:sz w:val="24"/>
          <w:szCs w:val="24"/>
          <w:lang w:val="en-GB" w:eastAsia="id-ID"/>
        </w:rPr>
        <w:t>I</w:t>
      </w:r>
      <w:r w:rsidRPr="00134F54">
        <w:rPr>
          <w:lang w:val="id-ID"/>
        </w:rPr>
        <w:t>.</w:t>
      </w:r>
      <w:r w:rsidRPr="00134F54">
        <w:rPr>
          <w:lang w:val="en-GB"/>
        </w:rPr>
        <w:t>B</w:t>
      </w:r>
      <w:r w:rsidRPr="00134F54">
        <w:rPr>
          <w:lang w:val="id-ID"/>
        </w:rPr>
        <w:t xml:space="preserve">: </w:t>
      </w:r>
      <w:proofErr w:type="spellStart"/>
      <w:r w:rsidRPr="00134F54">
        <w:rPr>
          <w:rStyle w:val="FontStyle29"/>
          <w:sz w:val="24"/>
          <w:szCs w:val="24"/>
          <w:lang w:eastAsia="id-ID"/>
        </w:rPr>
        <w:t>Kertas</w:t>
      </w:r>
      <w:proofErr w:type="spellEnd"/>
      <w:r w:rsidRPr="00134F54">
        <w:rPr>
          <w:rStyle w:val="FontStyle29"/>
          <w:sz w:val="24"/>
          <w:szCs w:val="24"/>
          <w:lang w:eastAsia="id-ID"/>
        </w:rPr>
        <w:t xml:space="preserve"> </w:t>
      </w:r>
      <w:proofErr w:type="spellStart"/>
      <w:r w:rsidRPr="00134F54">
        <w:rPr>
          <w:rStyle w:val="FontStyle29"/>
          <w:sz w:val="24"/>
          <w:szCs w:val="24"/>
          <w:lang w:eastAsia="id-ID"/>
        </w:rPr>
        <w:t>Kerja</w:t>
      </w:r>
      <w:proofErr w:type="spellEnd"/>
      <w:r w:rsidRPr="00134F54">
        <w:rPr>
          <w:rStyle w:val="FontStyle29"/>
          <w:sz w:val="24"/>
          <w:szCs w:val="24"/>
          <w:lang w:eastAsia="id-ID"/>
        </w:rPr>
        <w:t xml:space="preserve"> </w:t>
      </w:r>
      <w:proofErr w:type="spellStart"/>
      <w:r w:rsidRPr="00134F54">
        <w:rPr>
          <w:rStyle w:val="FontStyle29"/>
          <w:sz w:val="24"/>
          <w:szCs w:val="24"/>
          <w:lang w:eastAsia="id-ID"/>
        </w:rPr>
        <w:t>Penilaian</w:t>
      </w:r>
      <w:proofErr w:type="spellEnd"/>
      <w:r w:rsidRPr="00134F54">
        <w:rPr>
          <w:rStyle w:val="FontStyle29"/>
          <w:sz w:val="24"/>
          <w:szCs w:val="24"/>
          <w:lang w:eastAsia="id-ID"/>
        </w:rPr>
        <w:t xml:space="preserve"> Faktor </w:t>
      </w:r>
      <w:proofErr w:type="spellStart"/>
      <w:r w:rsidRPr="00134F54">
        <w:rPr>
          <w:rStyle w:val="FontStyle29"/>
          <w:sz w:val="24"/>
          <w:szCs w:val="24"/>
          <w:lang w:eastAsia="id-ID"/>
        </w:rPr>
        <w:t>Likuiditas</w:t>
      </w:r>
      <w:proofErr w:type="spellEnd"/>
    </w:p>
    <w:p w14:paraId="43EDDD5C" w14:textId="77777777" w:rsidR="00092956" w:rsidRPr="00134F54" w:rsidRDefault="00092956" w:rsidP="00E369D9">
      <w:pPr>
        <w:pStyle w:val="Style3"/>
        <w:widowControl/>
        <w:snapToGrid w:val="0"/>
        <w:jc w:val="left"/>
        <w:rPr>
          <w:rStyle w:val="FontStyle29"/>
          <w:sz w:val="24"/>
          <w:szCs w:val="24"/>
          <w:lang w:eastAsia="id-ID"/>
        </w:rPr>
      </w:pPr>
    </w:p>
    <w:tbl>
      <w:tblPr>
        <w:tblStyle w:val="TableGrid"/>
        <w:tblW w:w="12810" w:type="dxa"/>
        <w:tblInd w:w="85" w:type="dxa"/>
        <w:tblLook w:val="04A0" w:firstRow="1" w:lastRow="0" w:firstColumn="1" w:lastColumn="0" w:noHBand="0" w:noVBand="1"/>
      </w:tblPr>
      <w:tblGrid>
        <w:gridCol w:w="2539"/>
        <w:gridCol w:w="4976"/>
        <w:gridCol w:w="1664"/>
        <w:gridCol w:w="3631"/>
      </w:tblGrid>
      <w:tr w:rsidR="009858F3" w:rsidRPr="007526F0" w14:paraId="58EE0563" w14:textId="1A2E22AE" w:rsidTr="009858F3">
        <w:tc>
          <w:tcPr>
            <w:tcW w:w="2539" w:type="dxa"/>
            <w:shd w:val="clear" w:color="auto" w:fill="FFC000"/>
          </w:tcPr>
          <w:p w14:paraId="5171704B" w14:textId="77777777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PARAMETER ATAU INDIKATOR</w:t>
            </w:r>
          </w:p>
        </w:tc>
        <w:tc>
          <w:tcPr>
            <w:tcW w:w="4976" w:type="dxa"/>
            <w:shd w:val="clear" w:color="auto" w:fill="FFC000"/>
          </w:tcPr>
          <w:p w14:paraId="07EDE117" w14:textId="77777777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KOMPONEN PENILAIAN</w:t>
            </w:r>
          </w:p>
        </w:tc>
        <w:tc>
          <w:tcPr>
            <w:tcW w:w="1664" w:type="dxa"/>
            <w:shd w:val="clear" w:color="auto" w:fill="FFC000"/>
          </w:tcPr>
          <w:p w14:paraId="0C5CA336" w14:textId="19A749EC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PERINGKAT</w:t>
            </w:r>
          </w:p>
        </w:tc>
        <w:tc>
          <w:tcPr>
            <w:tcW w:w="3631" w:type="dxa"/>
            <w:shd w:val="clear" w:color="auto" w:fill="FFC000"/>
          </w:tcPr>
          <w:p w14:paraId="76F52481" w14:textId="45D570B5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KETERANGAN</w:t>
            </w:r>
          </w:p>
        </w:tc>
      </w:tr>
      <w:tr w:rsidR="009858F3" w:rsidRPr="007526F0" w14:paraId="7121052E" w14:textId="03C73941" w:rsidTr="009858F3">
        <w:tc>
          <w:tcPr>
            <w:tcW w:w="2539" w:type="dxa"/>
            <w:shd w:val="clear" w:color="auto" w:fill="FFC000"/>
          </w:tcPr>
          <w:p w14:paraId="3E519EB3" w14:textId="77777777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(a)</w:t>
            </w:r>
          </w:p>
        </w:tc>
        <w:tc>
          <w:tcPr>
            <w:tcW w:w="4976" w:type="dxa"/>
            <w:shd w:val="clear" w:color="auto" w:fill="FFC000"/>
          </w:tcPr>
          <w:p w14:paraId="5C421CE8" w14:textId="77777777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b</w:t>
            </w:r>
            <w:r w:rsidRPr="00134F5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664" w:type="dxa"/>
            <w:shd w:val="clear" w:color="auto" w:fill="FFC000"/>
          </w:tcPr>
          <w:p w14:paraId="3020B087" w14:textId="5D067462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c</w:t>
            </w:r>
            <w:r w:rsidRPr="00134F5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631" w:type="dxa"/>
            <w:shd w:val="clear" w:color="auto" w:fill="FFC000"/>
          </w:tcPr>
          <w:p w14:paraId="0CEC2019" w14:textId="2851B12A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(d)</w:t>
            </w:r>
          </w:p>
        </w:tc>
      </w:tr>
      <w:tr w:rsidR="009858F3" w:rsidRPr="007526F0" w14:paraId="1ECBC7AB" w14:textId="24E06016" w:rsidTr="009858F3">
        <w:tc>
          <w:tcPr>
            <w:tcW w:w="7515" w:type="dxa"/>
            <w:gridSpan w:val="2"/>
            <w:shd w:val="clear" w:color="auto" w:fill="FFC000"/>
          </w:tcPr>
          <w:p w14:paraId="46A57544" w14:textId="1A6B034B" w:rsidR="009858F3" w:rsidRPr="00134F54" w:rsidRDefault="009858F3" w:rsidP="00DC1F14">
            <w:pPr>
              <w:spacing w:line="320" w:lineRule="exact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4. FAKTOR LIKUIDITAS</w:t>
            </w:r>
          </w:p>
        </w:tc>
        <w:tc>
          <w:tcPr>
            <w:tcW w:w="1664" w:type="dxa"/>
            <w:shd w:val="clear" w:color="auto" w:fill="FFC000"/>
          </w:tcPr>
          <w:p w14:paraId="477CEE38" w14:textId="5BF7506A" w:rsidR="009858F3" w:rsidRPr="00134F54" w:rsidRDefault="00FD2244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74C59">
              <w:rPr>
                <w:rFonts w:ascii="Bookman Old Style" w:hAnsi="Bookman Old Style"/>
                <w:sz w:val="24"/>
                <w:szCs w:val="24"/>
                <w:lang w:val="en-GB"/>
              </w:rPr>
              <w:t>...</w:t>
            </w:r>
          </w:p>
        </w:tc>
        <w:tc>
          <w:tcPr>
            <w:tcW w:w="3631" w:type="dxa"/>
            <w:shd w:val="clear" w:color="auto" w:fill="FFC000"/>
          </w:tcPr>
          <w:p w14:paraId="4ED2E204" w14:textId="1AB4C1BF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...</w:t>
            </w:r>
          </w:p>
        </w:tc>
      </w:tr>
      <w:tr w:rsidR="009858F3" w:rsidRPr="007526F0" w14:paraId="79906A76" w14:textId="5EEBFFD6" w:rsidTr="009858F3">
        <w:tc>
          <w:tcPr>
            <w:tcW w:w="12810" w:type="dxa"/>
            <w:gridSpan w:val="4"/>
            <w:shd w:val="clear" w:color="auto" w:fill="FFC000"/>
          </w:tcPr>
          <w:p w14:paraId="1EC2A237" w14:textId="2859F403" w:rsidR="009858F3" w:rsidRPr="00134F54" w:rsidRDefault="009858F3" w:rsidP="00DC1F14">
            <w:pPr>
              <w:pStyle w:val="ListParagraph"/>
              <w:spacing w:line="320" w:lineRule="exact"/>
              <w:ind w:left="0"/>
              <w:contextualSpacing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Kemampuan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Memenuhi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Kewajiban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Jangka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Pendek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Jangka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Panjang, dan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Potensi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Terjadinya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Ketidaksesuaian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antara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Kewajiban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Jangka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Pendek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Jangka</w:t>
            </w:r>
            <w:proofErr w:type="spellEnd"/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 xml:space="preserve"> Panjang</w:t>
            </w:r>
          </w:p>
        </w:tc>
      </w:tr>
      <w:tr w:rsidR="009858F3" w:rsidRPr="007526F0" w14:paraId="560B1ECD" w14:textId="504781A2" w:rsidTr="009858F3">
        <w:tc>
          <w:tcPr>
            <w:tcW w:w="2539" w:type="dxa"/>
            <w:vMerge w:val="restart"/>
          </w:tcPr>
          <w:p w14:paraId="34511E44" w14:textId="77777777" w:rsidR="009858F3" w:rsidRPr="00134F54" w:rsidRDefault="009858F3" w:rsidP="003B1100">
            <w:pPr>
              <w:spacing w:line="320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6" w:type="dxa"/>
          </w:tcPr>
          <w:p w14:paraId="35A7E39E" w14:textId="2064FB14" w:rsidR="009858F3" w:rsidRPr="00134F54" w:rsidRDefault="009858F3" w:rsidP="003B1100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="357" w:hanging="357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  <w:t>Rasio likuiditas  jangka pendek</w:t>
            </w:r>
          </w:p>
        </w:tc>
        <w:tc>
          <w:tcPr>
            <w:tcW w:w="1664" w:type="dxa"/>
          </w:tcPr>
          <w:p w14:paraId="54B8F13A" w14:textId="7A91FC52" w:rsidR="009858F3" w:rsidRPr="00134F54" w:rsidRDefault="009858F3" w:rsidP="003B1100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  <w:tc>
          <w:tcPr>
            <w:tcW w:w="3631" w:type="dxa"/>
          </w:tcPr>
          <w:p w14:paraId="62451404" w14:textId="31C4CDA0" w:rsidR="009858F3" w:rsidRPr="00134F54" w:rsidRDefault="009858F3" w:rsidP="003B1100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...</w:t>
            </w:r>
          </w:p>
        </w:tc>
      </w:tr>
      <w:tr w:rsidR="009858F3" w:rsidRPr="007526F0" w14:paraId="69DA9C14" w14:textId="6370D47B" w:rsidTr="009858F3">
        <w:tc>
          <w:tcPr>
            <w:tcW w:w="2539" w:type="dxa"/>
            <w:vMerge/>
          </w:tcPr>
          <w:p w14:paraId="03A98B6C" w14:textId="77777777" w:rsidR="009858F3" w:rsidRPr="00134F54" w:rsidRDefault="009858F3" w:rsidP="003B1100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6" w:type="dxa"/>
          </w:tcPr>
          <w:p w14:paraId="7F8A8DCD" w14:textId="190AD6E2" w:rsidR="009858F3" w:rsidRPr="00134F54" w:rsidRDefault="009858F3" w:rsidP="003B1100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="357" w:hanging="357"/>
              <w:contextualSpacing w:val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  <w:t xml:space="preserve">Rasio likuiditas  jangka </w:t>
            </w:r>
            <w:proofErr w:type="spellStart"/>
            <w:r w:rsidRPr="00134F54">
              <w:rPr>
                <w:rFonts w:ascii="Bookman Old Style" w:hAnsi="Bookman Old Style" w:cs="Bookman Old Style"/>
                <w:sz w:val="24"/>
                <w:szCs w:val="24"/>
                <w:lang w:val="en-GB" w:eastAsia="id-ID"/>
              </w:rPr>
              <w:t>panjang</w:t>
            </w:r>
            <w:proofErr w:type="spellEnd"/>
          </w:p>
        </w:tc>
        <w:tc>
          <w:tcPr>
            <w:tcW w:w="1664" w:type="dxa"/>
          </w:tcPr>
          <w:p w14:paraId="194E3F2F" w14:textId="6CC1754F" w:rsidR="009858F3" w:rsidRPr="00134F54" w:rsidRDefault="009858F3" w:rsidP="003B1100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  <w:tc>
          <w:tcPr>
            <w:tcW w:w="3631" w:type="dxa"/>
          </w:tcPr>
          <w:p w14:paraId="7A945729" w14:textId="661133F0" w:rsidR="009858F3" w:rsidRPr="00134F54" w:rsidRDefault="009858F3" w:rsidP="003B1100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...</w:t>
            </w:r>
          </w:p>
        </w:tc>
      </w:tr>
      <w:tr w:rsidR="009858F3" w:rsidRPr="007526F0" w14:paraId="1AD9AF17" w14:textId="45A1E703" w:rsidTr="009858F3">
        <w:tc>
          <w:tcPr>
            <w:tcW w:w="2539" w:type="dxa"/>
          </w:tcPr>
          <w:p w14:paraId="458EF146" w14:textId="77777777" w:rsidR="009858F3" w:rsidRPr="00134F54" w:rsidRDefault="009858F3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6" w:type="dxa"/>
          </w:tcPr>
          <w:p w14:paraId="5DC39B50" w14:textId="5B27A177" w:rsidR="009858F3" w:rsidRPr="00134F54" w:rsidRDefault="009858F3" w:rsidP="007526F0">
            <w:pPr>
              <w:pStyle w:val="ListParagraph"/>
              <w:spacing w:line="320" w:lineRule="exact"/>
              <w:ind w:left="0"/>
              <w:contextualSpacing w:val="0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Style w:val="FontStyle18"/>
                <w:sz w:val="24"/>
                <w:szCs w:val="24"/>
                <w:lang w:val="en-GB" w:eastAsia="id-ID"/>
              </w:rPr>
              <w:t>R</w:t>
            </w:r>
            <w:r w:rsidRPr="00134F54">
              <w:rPr>
                <w:rStyle w:val="FontStyle18"/>
                <w:sz w:val="24"/>
                <w:szCs w:val="24"/>
                <w:lang w:eastAsia="id-ID"/>
              </w:rPr>
              <w:t>ata-rata</w:t>
            </w:r>
          </w:p>
        </w:tc>
        <w:tc>
          <w:tcPr>
            <w:tcW w:w="1664" w:type="dxa"/>
          </w:tcPr>
          <w:p w14:paraId="54A00B2D" w14:textId="60CE8BD4" w:rsidR="009858F3" w:rsidRPr="00134F54" w:rsidRDefault="009858F3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  <w:tc>
          <w:tcPr>
            <w:tcW w:w="3631" w:type="dxa"/>
          </w:tcPr>
          <w:p w14:paraId="6F28287E" w14:textId="77777777" w:rsidR="009858F3" w:rsidRPr="00134F54" w:rsidRDefault="009858F3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58F3" w:rsidRPr="007526F0" w14:paraId="58396B98" w14:textId="0769B98F" w:rsidTr="009858F3">
        <w:tc>
          <w:tcPr>
            <w:tcW w:w="7515" w:type="dxa"/>
            <w:gridSpan w:val="2"/>
            <w:shd w:val="clear" w:color="auto" w:fill="FFC000"/>
          </w:tcPr>
          <w:p w14:paraId="4E5E05AD" w14:textId="77777777" w:rsidR="009858F3" w:rsidRPr="00134F54" w:rsidRDefault="009858F3" w:rsidP="005E0869">
            <w:pPr>
              <w:pStyle w:val="ListParagraph"/>
              <w:spacing w:line="320" w:lineRule="exact"/>
              <w:ind w:left="0"/>
              <w:contextualSpacing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b/>
                <w:bCs/>
                <w:sz w:val="24"/>
                <w:szCs w:val="24"/>
              </w:rPr>
              <w:t>Kecukupan Kebijakan Pengelolaan Likuiditas</w:t>
            </w:r>
          </w:p>
        </w:tc>
        <w:tc>
          <w:tcPr>
            <w:tcW w:w="1664" w:type="dxa"/>
            <w:shd w:val="clear" w:color="auto" w:fill="FFC000"/>
          </w:tcPr>
          <w:p w14:paraId="6843542A" w14:textId="608DD604" w:rsidR="009858F3" w:rsidRPr="00134F54" w:rsidRDefault="009858F3" w:rsidP="001B153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...</w:t>
            </w:r>
          </w:p>
        </w:tc>
        <w:tc>
          <w:tcPr>
            <w:tcW w:w="3631" w:type="dxa"/>
            <w:shd w:val="clear" w:color="auto" w:fill="FFC000"/>
          </w:tcPr>
          <w:p w14:paraId="7E004BEE" w14:textId="19490F91" w:rsidR="009858F3" w:rsidRPr="00134F54" w:rsidRDefault="009858F3" w:rsidP="001B153E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F54">
              <w:rPr>
                <w:rFonts w:ascii="Bookman Old Style" w:hAnsi="Bookman Old Style"/>
                <w:sz w:val="24"/>
                <w:szCs w:val="24"/>
              </w:rPr>
              <w:t>...</w:t>
            </w:r>
          </w:p>
        </w:tc>
      </w:tr>
      <w:tr w:rsidR="009858F3" w:rsidRPr="007526F0" w14:paraId="0023EE40" w14:textId="19CF376B" w:rsidTr="009858F3">
        <w:tc>
          <w:tcPr>
            <w:tcW w:w="7515" w:type="dxa"/>
            <w:gridSpan w:val="2"/>
          </w:tcPr>
          <w:p w14:paraId="33C75B0E" w14:textId="6BB36B86" w:rsidR="009858F3" w:rsidRPr="00134F54" w:rsidRDefault="009858F3" w:rsidP="00CC028E">
            <w:pPr>
              <w:spacing w:line="320" w:lineRule="exact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Rata-rata </w:t>
            </w:r>
            <w:proofErr w:type="spellStart"/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Peringkat</w:t>
            </w:r>
            <w:proofErr w:type="spellEnd"/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Faktor </w:t>
            </w:r>
            <w:proofErr w:type="spellStart"/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Likuiditas</w:t>
            </w:r>
            <w:proofErr w:type="spellEnd"/>
          </w:p>
        </w:tc>
        <w:tc>
          <w:tcPr>
            <w:tcW w:w="1664" w:type="dxa"/>
          </w:tcPr>
          <w:p w14:paraId="5FDB6E50" w14:textId="0F234FA5" w:rsidR="009858F3" w:rsidRPr="00134F54" w:rsidRDefault="009858F3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134F54">
              <w:rPr>
                <w:rFonts w:ascii="Bookman Old Style" w:hAnsi="Bookman Old Style"/>
                <w:sz w:val="24"/>
                <w:szCs w:val="24"/>
                <w:lang w:val="en-GB"/>
              </w:rPr>
              <w:t>…</w:t>
            </w:r>
          </w:p>
        </w:tc>
        <w:tc>
          <w:tcPr>
            <w:tcW w:w="3631" w:type="dxa"/>
          </w:tcPr>
          <w:p w14:paraId="3D8DD0E6" w14:textId="77777777" w:rsidR="009858F3" w:rsidRPr="00134F54" w:rsidRDefault="009858F3" w:rsidP="00067C36">
            <w:pPr>
              <w:pStyle w:val="ListParagraph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14:paraId="4BD1FF7A" w14:textId="77777777" w:rsidR="00E369D9" w:rsidRPr="00E95C50" w:rsidRDefault="00E369D9" w:rsidP="00E369D9">
      <w:pPr>
        <w:pStyle w:val="Default"/>
        <w:snapToGrid w:val="0"/>
        <w:jc w:val="both"/>
        <w:rPr>
          <w:color w:val="auto"/>
        </w:rPr>
      </w:pPr>
      <w:r w:rsidRPr="00E95C50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2CA41" wp14:editId="04576FA7">
                <wp:simplePos x="0" y="0"/>
                <wp:positionH relativeFrom="column">
                  <wp:posOffset>93980</wp:posOffset>
                </wp:positionH>
                <wp:positionV relativeFrom="paragraph">
                  <wp:posOffset>359410</wp:posOffset>
                </wp:positionV>
                <wp:extent cx="8071485" cy="1404620"/>
                <wp:effectExtent l="0" t="0" r="1841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23FE" w14:textId="77777777" w:rsidR="00E369D9" w:rsidRPr="003E04C5" w:rsidRDefault="00E369D9" w:rsidP="006A5207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Kesimpulan</w:t>
                            </w:r>
                          </w:p>
                          <w:p w14:paraId="7072C347" w14:textId="77777777" w:rsidR="00E369D9" w:rsidRPr="003E04C5" w:rsidRDefault="00E369D9" w:rsidP="006A5207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seluruh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indikator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penilaian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disimpulkan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bahwa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BA6C4E" w14:textId="46DA3B32" w:rsidR="00E369D9" w:rsidRPr="003E04C5" w:rsidRDefault="00E061EB" w:rsidP="006A520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Kemampuan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Memenuhi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Kewajiban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Pendek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Panjang, dan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Potensi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Terjadinya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Ketidaksesuaian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antara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Kewajiban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Pendek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dan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Panjang</w:t>
                            </w:r>
                          </w:p>
                          <w:p w14:paraId="73D9F3BB" w14:textId="7CE340EA" w:rsidR="00E369D9" w:rsidRPr="003E04C5" w:rsidRDefault="00E369D9" w:rsidP="006A520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kekuatan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aspek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kemampuan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memenuhi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kewajiban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pendek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panjang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, dan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potensi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terjadinya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ketidaksesuaian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antara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kewajiban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pendek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dan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panjang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</w:t>
                            </w:r>
                            <w:proofErr w:type="gram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…</w:t>
                            </w:r>
                          </w:p>
                          <w:p w14:paraId="0B682F78" w14:textId="508C88BE" w:rsidR="00E369D9" w:rsidRPr="003E04C5" w:rsidRDefault="00E369D9" w:rsidP="006A520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kelemahan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aspek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kemampuan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memenuhi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kewajiban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pendek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panjang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, dan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potensi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terjadinya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ketidaksesuaian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antara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kewajiban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pendek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dan </w:t>
                            </w:r>
                            <w:proofErr w:type="spell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jangka</w:t>
                            </w:r>
                            <w:proofErr w:type="spellEnd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E2449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panjang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</w:t>
                            </w:r>
                            <w:proofErr w:type="gram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..</w:t>
                            </w:r>
                          </w:p>
                          <w:p w14:paraId="36F1BCAD" w14:textId="5734B649" w:rsidR="00E369D9" w:rsidRPr="003E04C5" w:rsidRDefault="00414E6B" w:rsidP="006A520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Kecukupan</w:t>
                            </w:r>
                            <w:proofErr w:type="spellEnd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Kebijakan</w:t>
                            </w:r>
                            <w:proofErr w:type="spellEnd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Pengelolaan</w:t>
                            </w:r>
                            <w:proofErr w:type="spellEnd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14E6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Likuiditas</w:t>
                            </w:r>
                            <w:proofErr w:type="spellEnd"/>
                          </w:p>
                          <w:p w14:paraId="72E00785" w14:textId="7DC83493" w:rsidR="00E369D9" w:rsidRPr="003E04C5" w:rsidRDefault="00E369D9" w:rsidP="006A520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kekuatan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aspek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kecukupan</w:t>
                            </w:r>
                            <w:proofErr w:type="spellEnd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kebijakan</w:t>
                            </w:r>
                            <w:proofErr w:type="spellEnd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pengelolaan</w:t>
                            </w:r>
                            <w:proofErr w:type="spellEnd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likuiditas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</w:t>
                            </w:r>
                            <w:proofErr w:type="gram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…</w:t>
                            </w:r>
                          </w:p>
                          <w:p w14:paraId="178D6EE2" w14:textId="23B7EAF3" w:rsidR="00E369D9" w:rsidRPr="003E04C5" w:rsidRDefault="00E369D9" w:rsidP="006A5207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ind w:left="851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kelemahan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aspek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kecukupan</w:t>
                            </w:r>
                            <w:proofErr w:type="spellEnd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kebijakan</w:t>
                            </w:r>
                            <w:proofErr w:type="spellEnd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pengelolaan</w:t>
                            </w:r>
                            <w:proofErr w:type="spellEnd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34CAC"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likuiditas</w:t>
                            </w:r>
                            <w:proofErr w:type="spell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:…</w:t>
                            </w:r>
                            <w:proofErr w:type="gramEnd"/>
                            <w:r w:rsidRPr="003E04C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242CA41">
                <v:stroke joinstyle="miter"/>
                <v:path gradientshapeok="t" o:connecttype="rect"/>
              </v:shapetype>
              <v:shape id="Text Box 2" style="position:absolute;left:0;text-align:left;margin-left:7.4pt;margin-top:28.3pt;width:635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">
                <v:textbox style="mso-fit-shape-to-text:t">
                  <w:txbxContent>
                    <w:p w:rsidRPr="003E04C5" w:rsidR="00E369D9" w:rsidP="006A5207" w:rsidRDefault="00E369D9" w14:paraId="6DF523FE" w14:textId="77777777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Kesimpulan</w:t>
                      </w:r>
                    </w:p>
                    <w:p w:rsidRPr="003E04C5" w:rsidR="00E369D9" w:rsidP="006A5207" w:rsidRDefault="00E369D9" w14:paraId="7072C347" w14:textId="77777777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seluruh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indikator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penilaian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atas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disimpulkan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bahwa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:</w:t>
                      </w:r>
                    </w:p>
                    <w:p w:rsidRPr="003E04C5" w:rsidR="00E369D9" w:rsidP="006A5207" w:rsidRDefault="00E061EB" w14:paraId="7DBA6C4E" w14:textId="46DA3B3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Kemampuan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Memenuhi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Kewajiban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Pendek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Panjang, dan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Potensi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Terjadinya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Ketidaksesuaian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antara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Kewajiban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Pendek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dan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Panjang</w:t>
                      </w:r>
                    </w:p>
                    <w:p w:rsidRPr="003E04C5" w:rsidR="00E369D9" w:rsidP="006A5207" w:rsidRDefault="00E369D9" w14:paraId="73D9F3BB" w14:textId="7CE340EA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kekuatan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aspek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kemampuan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memenuhi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kewajiban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pendek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panjang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, dan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potensi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terjadinya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ketidaksesuaian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antara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kewajiban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pendek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dan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panjang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</w:t>
                      </w:r>
                      <w:proofErr w:type="gram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…</w:t>
                      </w:r>
                    </w:p>
                    <w:p w:rsidRPr="003E04C5" w:rsidR="00E369D9" w:rsidP="006A5207" w:rsidRDefault="00E369D9" w14:paraId="0B682F78" w14:textId="508C88BE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kelemahan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aspek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kemampuan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memenuhi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kewajiban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pendek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panjang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, dan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potensi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terjadinya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ketidaksesuaian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antara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kewajiban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pendek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dan </w:t>
                      </w:r>
                      <w:proofErr w:type="spell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jangka</w:t>
                      </w:r>
                      <w:proofErr w:type="spellEnd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3E04C5" w:rsidR="004E2449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panjang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</w:t>
                      </w:r>
                      <w:proofErr w:type="gram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..</w:t>
                      </w:r>
                    </w:p>
                    <w:p w:rsidRPr="003E04C5" w:rsidR="00E369D9" w:rsidP="006A5207" w:rsidRDefault="00414E6B" w14:paraId="36F1BCAD" w14:textId="5734B64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Kecukupan</w:t>
                      </w:r>
                      <w:proofErr w:type="spellEnd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Kebijakan</w:t>
                      </w:r>
                      <w:proofErr w:type="spellEnd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Pengelolaan</w:t>
                      </w:r>
                      <w:proofErr w:type="spellEnd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14E6B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Likuiditas</w:t>
                      </w:r>
                      <w:proofErr w:type="spellEnd"/>
                    </w:p>
                    <w:p w:rsidRPr="003E04C5" w:rsidR="00E369D9" w:rsidP="006A5207" w:rsidRDefault="00E369D9" w14:paraId="72E00785" w14:textId="7DC8349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kekuatan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aspek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kecukupan</w:t>
                      </w:r>
                      <w:proofErr w:type="spellEnd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kebijakan</w:t>
                      </w:r>
                      <w:proofErr w:type="spellEnd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pengelolaan</w:t>
                      </w:r>
                      <w:proofErr w:type="spellEnd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likuiditas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</w:t>
                      </w:r>
                      <w:proofErr w:type="gram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…</w:t>
                      </w:r>
                    </w:p>
                    <w:p w:rsidRPr="003E04C5" w:rsidR="00E369D9" w:rsidP="006A5207" w:rsidRDefault="00E369D9" w14:paraId="178D6EE2" w14:textId="23B7EAF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ind w:left="851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kelemahan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aspek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kecukupan</w:t>
                      </w:r>
                      <w:proofErr w:type="spellEnd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kebijakan</w:t>
                      </w:r>
                      <w:proofErr w:type="spellEnd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pengelolaan</w:t>
                      </w:r>
                      <w:proofErr w:type="spellEnd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3E04C5" w:rsidR="00034CAC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likuiditas</w:t>
                      </w:r>
                      <w:proofErr w:type="spell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:…</w:t>
                      </w:r>
                      <w:proofErr w:type="gramEnd"/>
                      <w:r w:rsidRPr="003E04C5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0CCF56" w14:textId="77777777" w:rsidR="00E95C50" w:rsidRPr="00E95C50" w:rsidRDefault="00E95C50" w:rsidP="00EB5A8C">
      <w:pPr>
        <w:rPr>
          <w:rFonts w:ascii="Bookman Old Style" w:hAnsi="Bookman Old Style"/>
          <w:sz w:val="24"/>
          <w:szCs w:val="24"/>
        </w:rPr>
        <w:sectPr w:rsidR="00E95C50" w:rsidRPr="00E95C50" w:rsidSect="00092956">
          <w:headerReference w:type="first" r:id="rId11"/>
          <w:pgSz w:w="15840" w:h="12240" w:orient="landscape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60C4BDBD" w14:textId="7E640302" w:rsidR="00EB5A8C" w:rsidRDefault="00EB5A8C" w:rsidP="00092956">
      <w:pPr>
        <w:pStyle w:val="Style1"/>
        <w:widowControl/>
        <w:snapToGrid w:val="0"/>
        <w:spacing w:line="240" w:lineRule="auto"/>
        <w:ind w:left="1843" w:hanging="1843"/>
        <w:rPr>
          <w:rStyle w:val="FontStyle29"/>
          <w:sz w:val="24"/>
          <w:szCs w:val="24"/>
          <w:lang w:val="id-ID" w:eastAsia="id-ID"/>
        </w:rPr>
      </w:pPr>
      <w:r w:rsidRPr="00E95C50">
        <w:lastRenderedPageBreak/>
        <w:t>Tabel V</w:t>
      </w:r>
      <w:r w:rsidR="00134F54">
        <w:t>I</w:t>
      </w:r>
      <w:r w:rsidRPr="00E95C50">
        <w:t>.</w:t>
      </w:r>
      <w:r w:rsidR="00F70817" w:rsidRPr="00E95C50">
        <w:t>C</w:t>
      </w:r>
      <w:r w:rsidRPr="00E95C50">
        <w:t xml:space="preserve">: </w:t>
      </w:r>
      <w:proofErr w:type="spellStart"/>
      <w:r w:rsidRPr="00E95C50">
        <w:t>Pedoman</w:t>
      </w:r>
      <w:proofErr w:type="spellEnd"/>
      <w:r w:rsidRPr="00E95C50">
        <w:t xml:space="preserve"> </w:t>
      </w:r>
      <w:proofErr w:type="spellStart"/>
      <w:r w:rsidRPr="00E95C50">
        <w:t>Penetapan</w:t>
      </w:r>
      <w:proofErr w:type="spellEnd"/>
      <w:r w:rsidRPr="00E95C50">
        <w:t xml:space="preserve"> </w:t>
      </w:r>
      <w:proofErr w:type="spellStart"/>
      <w:r w:rsidRPr="00E95C50">
        <w:t>Peringkat</w:t>
      </w:r>
      <w:proofErr w:type="spellEnd"/>
      <w:r w:rsidRPr="00E95C50">
        <w:t xml:space="preserve"> Faktor </w:t>
      </w:r>
      <w:r w:rsidRPr="00E95C50">
        <w:rPr>
          <w:rStyle w:val="FontStyle29"/>
          <w:sz w:val="24"/>
          <w:szCs w:val="24"/>
          <w:lang w:val="id-ID" w:eastAsia="id-ID"/>
        </w:rPr>
        <w:t>Likuiditas</w:t>
      </w:r>
    </w:p>
    <w:p w14:paraId="3D013697" w14:textId="77777777" w:rsidR="00092956" w:rsidRPr="00E95C50" w:rsidRDefault="00092956" w:rsidP="00092956">
      <w:pPr>
        <w:pStyle w:val="Style1"/>
        <w:widowControl/>
        <w:snapToGrid w:val="0"/>
        <w:spacing w:line="240" w:lineRule="auto"/>
        <w:ind w:left="1843" w:hanging="1843"/>
        <w:rPr>
          <w:rStyle w:val="FontStyle29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4"/>
        <w:gridCol w:w="7516"/>
      </w:tblGrid>
      <w:tr w:rsidR="00E95C50" w:rsidRPr="00E95C50" w14:paraId="7554D342" w14:textId="77777777" w:rsidTr="36203B21">
        <w:tc>
          <w:tcPr>
            <w:tcW w:w="1834" w:type="dxa"/>
            <w:shd w:val="clear" w:color="auto" w:fill="D9D9D9" w:themeFill="background1" w:themeFillShade="D9"/>
          </w:tcPr>
          <w:p w14:paraId="474AD079" w14:textId="77777777" w:rsidR="00C519E8" w:rsidRPr="00E95C50" w:rsidRDefault="00C519E8" w:rsidP="008E73ED">
            <w:pPr>
              <w:pStyle w:val="Style3"/>
              <w:widowControl/>
              <w:snapToGrid w:val="0"/>
            </w:pPr>
            <w:r w:rsidRPr="00E95C50">
              <w:rPr>
                <w:rFonts w:cs="Bookman Old Style"/>
                <w:lang w:eastAsia="id-ID"/>
              </w:rPr>
              <w:t>Peringkat</w:t>
            </w:r>
          </w:p>
        </w:tc>
        <w:tc>
          <w:tcPr>
            <w:tcW w:w="7516" w:type="dxa"/>
            <w:shd w:val="clear" w:color="auto" w:fill="D9D9D9" w:themeFill="background1" w:themeFillShade="D9"/>
          </w:tcPr>
          <w:p w14:paraId="1C2C94CA" w14:textId="77777777" w:rsidR="00C519E8" w:rsidRPr="00E95C50" w:rsidRDefault="00C519E8" w:rsidP="008E73ED">
            <w:pPr>
              <w:pStyle w:val="Style3"/>
              <w:widowControl/>
              <w:snapToGrid w:val="0"/>
            </w:pPr>
            <w:r w:rsidRPr="00E95C50">
              <w:rPr>
                <w:rFonts w:cs="Bookman Old Style"/>
                <w:lang w:eastAsia="id-ID"/>
              </w:rPr>
              <w:t>Definisi</w:t>
            </w:r>
          </w:p>
        </w:tc>
      </w:tr>
      <w:tr w:rsidR="00E95C50" w:rsidRPr="00E95C50" w14:paraId="339F6FB5" w14:textId="77777777" w:rsidTr="36203B21">
        <w:tc>
          <w:tcPr>
            <w:tcW w:w="1834" w:type="dxa"/>
          </w:tcPr>
          <w:p w14:paraId="52398EED" w14:textId="77777777" w:rsidR="00C519E8" w:rsidRPr="00134F54" w:rsidRDefault="00C519E8" w:rsidP="00C519E8">
            <w:pPr>
              <w:pStyle w:val="Style3"/>
              <w:widowControl/>
              <w:snapToGrid w:val="0"/>
              <w:jc w:val="left"/>
            </w:pPr>
            <w:r w:rsidRPr="00134F54">
              <w:rPr>
                <w:rFonts w:cs="Bookman Old Style"/>
                <w:lang w:eastAsia="id-ID"/>
              </w:rPr>
              <w:t>Peringkat 1</w:t>
            </w:r>
          </w:p>
        </w:tc>
        <w:tc>
          <w:tcPr>
            <w:tcW w:w="7516" w:type="dxa"/>
          </w:tcPr>
          <w:p w14:paraId="046D3D30" w14:textId="77777777" w:rsidR="00C519E8" w:rsidRPr="00134F54" w:rsidRDefault="00C519E8" w:rsidP="00C519E8">
            <w:pPr>
              <w:pStyle w:val="Style13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rPr>
                <w:rFonts w:cs="Bookman Old Style"/>
                <w:lang w:eastAsia="id-ID"/>
              </w:rPr>
              <w:t>Perusahaan yang termasuk dalam peringkat 1 memenuhi seluruh atau sebagian besar dari contoh karakteristik sebagai berikut:</w:t>
            </w:r>
          </w:p>
          <w:p w14:paraId="75E2E26B" w14:textId="27546877" w:rsidR="007A1B8B" w:rsidRPr="00134F54" w:rsidRDefault="007A1B8B" w:rsidP="00C519E8">
            <w:pPr>
              <w:pStyle w:val="Style21"/>
              <w:numPr>
                <w:ilvl w:val="0"/>
                <w:numId w:val="2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Pr="00134F54">
              <w:rPr>
                <w:rStyle w:val="FontStyle33"/>
                <w:sz w:val="24"/>
                <w:szCs w:val="24"/>
              </w:rPr>
              <w:t>memiliki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rasio likuiditas </w:t>
            </w:r>
            <w:r w:rsidR="7CD8EAE5" w:rsidRPr="00134F54">
              <w:rPr>
                <w:rStyle w:val="FontStyle29"/>
                <w:sz w:val="24"/>
                <w:szCs w:val="24"/>
                <w:lang w:eastAsia="id-ID"/>
              </w:rPr>
              <w:t xml:space="preserve">jangka pendek 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>paling rendah 1</w:t>
            </w:r>
            <w:r w:rsidR="00F7329B" w:rsidRPr="00134F54">
              <w:rPr>
                <w:rStyle w:val="FontStyle29"/>
                <w:sz w:val="24"/>
                <w:szCs w:val="24"/>
                <w:lang w:eastAsia="id-ID"/>
              </w:rPr>
              <w:t>4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>0%;</w:t>
            </w:r>
          </w:p>
          <w:p w14:paraId="2E490AB3" w14:textId="78F92DE5" w:rsidR="00C519E8" w:rsidRPr="00134F54" w:rsidRDefault="3E8320F0" w:rsidP="004319ED">
            <w:pPr>
              <w:pStyle w:val="Style21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memiliki rasio likuiditas jangka panjang paling rendah 140%;</w:t>
            </w:r>
            <w:r w:rsidR="004319ED"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="007A1B8B" w:rsidRPr="00134F54">
              <w:rPr>
                <w:rStyle w:val="FontStyle33"/>
                <w:sz w:val="24"/>
                <w:szCs w:val="24"/>
                <w:lang w:eastAsia="id-ID"/>
              </w:rPr>
              <w:t>dan</w:t>
            </w:r>
          </w:p>
          <w:p w14:paraId="33DCAB2B" w14:textId="0366D684" w:rsidR="00C519E8" w:rsidRPr="00134F54" w:rsidRDefault="004319ED" w:rsidP="007A1B8B">
            <w:pPr>
              <w:pStyle w:val="Style21"/>
              <w:numPr>
                <w:ilvl w:val="0"/>
                <w:numId w:val="2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eastAsia="id-ID"/>
              </w:rPr>
            </w:pPr>
            <w:r w:rsidRPr="00134F54">
              <w:rPr>
                <w:rStyle w:val="FontStyle33"/>
                <w:sz w:val="24"/>
                <w:szCs w:val="24"/>
                <w:lang w:eastAsia="id-ID"/>
              </w:rPr>
              <w:t>k</w:t>
            </w:r>
            <w:r w:rsidR="370BAF40" w:rsidRPr="00134F54">
              <w:rPr>
                <w:rStyle w:val="FontStyle33"/>
                <w:sz w:val="24"/>
                <w:szCs w:val="24"/>
                <w:lang w:eastAsia="id-ID"/>
              </w:rPr>
              <w:t xml:space="preserve">ecukupan kebijakan pengelolaan likuiditas  yang dinilai dari 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pemahaman Direksi dan Dewan Komisaris, kebijakan dan prosedur pengelolaan likuiditas, perencanaan serta penilaian kecukupan likuiditas </w:t>
            </w:r>
            <w:r w:rsidR="00C519E8" w:rsidRPr="00134F54">
              <w:t>Perusahaan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 sangat baik</w:t>
            </w:r>
            <w:r w:rsidR="00C519E8" w:rsidRPr="00134F54">
              <w:rPr>
                <w:rStyle w:val="FontStyle29"/>
                <w:sz w:val="24"/>
                <w:szCs w:val="24"/>
                <w:lang w:eastAsia="id-ID"/>
              </w:rPr>
              <w:t xml:space="preserve">.   </w:t>
            </w:r>
          </w:p>
        </w:tc>
      </w:tr>
      <w:tr w:rsidR="00E95C50" w:rsidRPr="00E95C50" w14:paraId="23312D8A" w14:textId="77777777" w:rsidTr="36203B21">
        <w:tc>
          <w:tcPr>
            <w:tcW w:w="1834" w:type="dxa"/>
          </w:tcPr>
          <w:p w14:paraId="068D397D" w14:textId="77777777" w:rsidR="00C519E8" w:rsidRPr="00134F54" w:rsidRDefault="00C519E8" w:rsidP="00C519E8">
            <w:pPr>
              <w:pStyle w:val="Style3"/>
              <w:widowControl/>
              <w:snapToGrid w:val="0"/>
              <w:jc w:val="left"/>
            </w:pPr>
            <w:r w:rsidRPr="00134F54">
              <w:rPr>
                <w:rFonts w:cs="Bookman Old Style"/>
                <w:lang w:eastAsia="id-ID"/>
              </w:rPr>
              <w:t>Peringkat 2</w:t>
            </w:r>
          </w:p>
        </w:tc>
        <w:tc>
          <w:tcPr>
            <w:tcW w:w="7516" w:type="dxa"/>
          </w:tcPr>
          <w:p w14:paraId="2EAE1653" w14:textId="77777777" w:rsidR="00C519E8" w:rsidRPr="00134F54" w:rsidRDefault="00C519E8" w:rsidP="00C519E8">
            <w:pPr>
              <w:pStyle w:val="Style13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rPr>
                <w:rFonts w:cs="Bookman Old Style"/>
                <w:lang w:eastAsia="id-ID"/>
              </w:rPr>
              <w:t>Perusahaan yang termasuk dalam peringkat 2 memenuhi seluruh atau sebagian besar dari contoh karakteristik sebagai berikut:</w:t>
            </w:r>
          </w:p>
          <w:p w14:paraId="4B47D1BC" w14:textId="2952F43A" w:rsidR="007A1B8B" w:rsidRPr="00134F54" w:rsidRDefault="007A1B8B" w:rsidP="00C519E8">
            <w:pPr>
              <w:pStyle w:val="Style21"/>
              <w:numPr>
                <w:ilvl w:val="0"/>
                <w:numId w:val="11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Pr="00134F54">
              <w:rPr>
                <w:rStyle w:val="FontStyle33"/>
                <w:sz w:val="24"/>
                <w:szCs w:val="24"/>
              </w:rPr>
              <w:t>memiliki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rasio likuiditas </w:t>
            </w:r>
            <w:r w:rsidR="39F979A5" w:rsidRPr="00134F54">
              <w:rPr>
                <w:rStyle w:val="FontStyle29"/>
                <w:sz w:val="24"/>
                <w:szCs w:val="24"/>
                <w:lang w:eastAsia="id-ID"/>
              </w:rPr>
              <w:t>jangka p</w:t>
            </w:r>
            <w:r w:rsidR="4FC6507C" w:rsidRPr="00134F54">
              <w:rPr>
                <w:rStyle w:val="FontStyle29"/>
                <w:sz w:val="24"/>
                <w:szCs w:val="24"/>
                <w:lang w:eastAsia="id-ID"/>
              </w:rPr>
              <w:t xml:space="preserve">endek 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paling rendah </w:t>
            </w:r>
            <w:r w:rsidR="00F7329B" w:rsidRPr="00134F54">
              <w:rPr>
                <w:rStyle w:val="FontStyle29"/>
                <w:sz w:val="24"/>
                <w:szCs w:val="24"/>
                <w:lang w:eastAsia="id-ID"/>
              </w:rPr>
              <w:t>130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>%</w:t>
            </w:r>
            <w:r w:rsidR="00150CFE" w:rsidRPr="00134F54">
              <w:rPr>
                <w:rStyle w:val="FontStyle29"/>
                <w:sz w:val="24"/>
                <w:szCs w:val="24"/>
                <w:lang w:eastAsia="id-ID"/>
              </w:rPr>
              <w:t>;</w:t>
            </w:r>
          </w:p>
          <w:p w14:paraId="3B18CA02" w14:textId="346F91ED" w:rsidR="34F2A1C8" w:rsidRPr="00134F54" w:rsidRDefault="34F2A1C8" w:rsidP="36203B21">
            <w:pPr>
              <w:pStyle w:val="Style21"/>
              <w:numPr>
                <w:ilvl w:val="0"/>
                <w:numId w:val="11"/>
              </w:numPr>
              <w:spacing w:line="240" w:lineRule="auto"/>
              <w:ind w:left="357" w:hanging="357"/>
              <w:jc w:val="both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memiliki rasio likuiditas jangka panjang paling rendah 130%</w:t>
            </w:r>
            <w:r w:rsidR="00D66C67" w:rsidRPr="00134F54">
              <w:rPr>
                <w:rStyle w:val="FontStyle29"/>
                <w:sz w:val="24"/>
                <w:szCs w:val="24"/>
                <w:lang w:eastAsia="id-ID"/>
              </w:rPr>
              <w:t>;</w:t>
            </w:r>
            <w:r w:rsidR="00D66C67" w:rsidRPr="00134F54">
              <w:rPr>
                <w:rStyle w:val="FontStyle29"/>
                <w:sz w:val="24"/>
                <w:szCs w:val="24"/>
              </w:rPr>
              <w:t xml:space="preserve"> dan</w:t>
            </w:r>
          </w:p>
          <w:p w14:paraId="09D749A6" w14:textId="44087F49" w:rsidR="00C519E8" w:rsidRPr="00134F54" w:rsidRDefault="00AD040D" w:rsidP="00150CFE">
            <w:pPr>
              <w:pStyle w:val="Style21"/>
              <w:numPr>
                <w:ilvl w:val="0"/>
                <w:numId w:val="11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val="pt-BR" w:eastAsia="id-ID"/>
              </w:rPr>
            </w:pPr>
            <w:r w:rsidRPr="00134F54">
              <w:rPr>
                <w:rStyle w:val="FontStyle33"/>
                <w:sz w:val="24"/>
                <w:szCs w:val="24"/>
                <w:lang w:eastAsia="id-ID"/>
              </w:rPr>
              <w:t>k</w:t>
            </w:r>
            <w:r w:rsidR="79AEC818" w:rsidRPr="00134F54">
              <w:rPr>
                <w:rStyle w:val="FontStyle33"/>
                <w:sz w:val="24"/>
                <w:szCs w:val="24"/>
                <w:lang w:eastAsia="id-ID"/>
              </w:rPr>
              <w:t xml:space="preserve">ecukupan kebijakan pengelolaan likuiditas  yang dinilai dari 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pemahaman Direksi dan Dewan Komisaris, kebijakan dan prosedur pengelolaan likuiditas, perencanaan serta penilaian kecukupan likuiditas </w:t>
            </w:r>
            <w:r w:rsidR="00C519E8" w:rsidRPr="00134F54">
              <w:t>Perusahaan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 dinilai baik</w:t>
            </w:r>
            <w:r w:rsidR="00C519E8" w:rsidRPr="00134F54">
              <w:rPr>
                <w:rStyle w:val="FontStyle29"/>
                <w:sz w:val="24"/>
                <w:szCs w:val="24"/>
                <w:lang w:eastAsia="id-ID"/>
              </w:rPr>
              <w:t xml:space="preserve">.   </w:t>
            </w:r>
          </w:p>
        </w:tc>
      </w:tr>
      <w:tr w:rsidR="00E95C50" w:rsidRPr="00E95C50" w14:paraId="7DFCABEC" w14:textId="77777777" w:rsidTr="36203B21">
        <w:tc>
          <w:tcPr>
            <w:tcW w:w="1834" w:type="dxa"/>
          </w:tcPr>
          <w:p w14:paraId="30ACBE82" w14:textId="77777777" w:rsidR="00C519E8" w:rsidRPr="00134F54" w:rsidRDefault="00C519E8" w:rsidP="00C519E8">
            <w:pPr>
              <w:pStyle w:val="Style3"/>
              <w:widowControl/>
              <w:snapToGrid w:val="0"/>
              <w:jc w:val="left"/>
            </w:pPr>
            <w:r w:rsidRPr="00134F54">
              <w:rPr>
                <w:rFonts w:cs="Bookman Old Style"/>
                <w:lang w:eastAsia="id-ID"/>
              </w:rPr>
              <w:t>Peringkat 3</w:t>
            </w:r>
          </w:p>
        </w:tc>
        <w:tc>
          <w:tcPr>
            <w:tcW w:w="7516" w:type="dxa"/>
          </w:tcPr>
          <w:p w14:paraId="340A986B" w14:textId="77777777" w:rsidR="00C519E8" w:rsidRPr="00134F54" w:rsidRDefault="00C519E8" w:rsidP="00C519E8">
            <w:pPr>
              <w:pStyle w:val="Style13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rPr>
                <w:rFonts w:cs="Bookman Old Style"/>
                <w:lang w:eastAsia="id-ID"/>
              </w:rPr>
              <w:t>Perusahaan yang termasuk dalam peringkat 3 memenuhi seluruh atau sebagian besar dari contoh karakteristik sebagai berikut:</w:t>
            </w:r>
          </w:p>
          <w:p w14:paraId="51386E1C" w14:textId="4324AE86" w:rsidR="00150CFE" w:rsidRPr="00134F54" w:rsidRDefault="00150CFE" w:rsidP="00C519E8">
            <w:pPr>
              <w:pStyle w:val="Style21"/>
              <w:numPr>
                <w:ilvl w:val="0"/>
                <w:numId w:val="12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Pr="00134F54">
              <w:rPr>
                <w:rStyle w:val="FontStyle33"/>
                <w:sz w:val="24"/>
                <w:szCs w:val="24"/>
              </w:rPr>
              <w:t>memiliki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rasio likuiditas </w:t>
            </w:r>
            <w:r w:rsidR="78BFE727" w:rsidRPr="00134F54">
              <w:rPr>
                <w:rStyle w:val="FontStyle29"/>
                <w:sz w:val="24"/>
                <w:szCs w:val="24"/>
                <w:lang w:eastAsia="id-ID"/>
              </w:rPr>
              <w:t>jangka pe</w:t>
            </w:r>
            <w:r w:rsidR="0453965B" w:rsidRPr="00134F54">
              <w:rPr>
                <w:rStyle w:val="FontStyle29"/>
                <w:sz w:val="24"/>
                <w:szCs w:val="24"/>
                <w:lang w:eastAsia="id-ID"/>
              </w:rPr>
              <w:t xml:space="preserve">ndek 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paling rendah </w:t>
            </w:r>
            <w:r w:rsidR="0043239C" w:rsidRPr="00134F54">
              <w:rPr>
                <w:rStyle w:val="FontStyle29"/>
                <w:sz w:val="24"/>
                <w:szCs w:val="24"/>
                <w:lang w:eastAsia="id-ID"/>
              </w:rPr>
              <w:t>120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>%;</w:t>
            </w:r>
          </w:p>
          <w:p w14:paraId="2DBC16F6" w14:textId="43197DB5" w:rsidR="00C519E8" w:rsidRPr="00134F54" w:rsidRDefault="650B8ECE" w:rsidP="00CD42AA">
            <w:pPr>
              <w:pStyle w:val="Style21"/>
              <w:numPr>
                <w:ilvl w:val="0"/>
                <w:numId w:val="12"/>
              </w:numPr>
              <w:spacing w:line="240" w:lineRule="auto"/>
              <w:ind w:left="357" w:hanging="357"/>
              <w:jc w:val="both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memiliki rasio likuiditas jangka panjang paling rendah 120%;</w:t>
            </w:r>
            <w:r w:rsidR="00CD42AA"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="00150CFE" w:rsidRPr="00134F54">
              <w:rPr>
                <w:rStyle w:val="FontStyle33"/>
                <w:sz w:val="24"/>
                <w:szCs w:val="24"/>
                <w:lang w:eastAsia="id-ID"/>
              </w:rPr>
              <w:t>dan</w:t>
            </w:r>
          </w:p>
          <w:p w14:paraId="35E71AD2" w14:textId="6FE5CB70" w:rsidR="00C519E8" w:rsidRPr="00134F54" w:rsidRDefault="00CD42AA" w:rsidP="00150CFE">
            <w:pPr>
              <w:pStyle w:val="Style21"/>
              <w:numPr>
                <w:ilvl w:val="0"/>
                <w:numId w:val="12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val="pt-BR" w:eastAsia="id-ID"/>
              </w:rPr>
            </w:pPr>
            <w:r w:rsidRPr="00134F54">
              <w:rPr>
                <w:rStyle w:val="FontStyle33"/>
                <w:sz w:val="24"/>
                <w:szCs w:val="24"/>
                <w:lang w:eastAsia="id-ID"/>
              </w:rPr>
              <w:t>k</w:t>
            </w:r>
            <w:r w:rsidR="5B2528F6" w:rsidRPr="00134F54">
              <w:rPr>
                <w:rStyle w:val="FontStyle33"/>
                <w:sz w:val="24"/>
                <w:szCs w:val="24"/>
                <w:lang w:eastAsia="id-ID"/>
              </w:rPr>
              <w:t xml:space="preserve">ecukupan kebijakan pengelolaan likuiditas  yang dinilai dari 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pemahaman Direksi dan Dewan Komisaris, kebijakan dan prosedur pengelolaan likuiditas, perencanaan serta penilaian kecukupan likuiditas </w:t>
            </w:r>
            <w:r w:rsidR="00C519E8" w:rsidRPr="00134F54">
              <w:t>Perusahaan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 dinilai cukup</w:t>
            </w:r>
            <w:r w:rsidR="00C519E8" w:rsidRPr="00134F54">
              <w:rPr>
                <w:rStyle w:val="FontStyle29"/>
                <w:sz w:val="24"/>
                <w:szCs w:val="24"/>
                <w:lang w:eastAsia="id-ID"/>
              </w:rPr>
              <w:t xml:space="preserve">.    </w:t>
            </w:r>
          </w:p>
        </w:tc>
      </w:tr>
      <w:tr w:rsidR="00E95C50" w:rsidRPr="00E95C50" w14:paraId="27F2F864" w14:textId="77777777" w:rsidTr="36203B21">
        <w:tc>
          <w:tcPr>
            <w:tcW w:w="1834" w:type="dxa"/>
          </w:tcPr>
          <w:p w14:paraId="615C816E" w14:textId="77777777" w:rsidR="00C519E8" w:rsidRPr="00134F54" w:rsidRDefault="00C519E8" w:rsidP="00C519E8">
            <w:pPr>
              <w:pStyle w:val="Style3"/>
              <w:widowControl/>
              <w:snapToGrid w:val="0"/>
              <w:jc w:val="left"/>
            </w:pPr>
            <w:r w:rsidRPr="00134F54">
              <w:rPr>
                <w:rFonts w:cs="Bookman Old Style"/>
                <w:lang w:eastAsia="id-ID"/>
              </w:rPr>
              <w:t>Peringkat 4</w:t>
            </w:r>
          </w:p>
        </w:tc>
        <w:tc>
          <w:tcPr>
            <w:tcW w:w="7516" w:type="dxa"/>
          </w:tcPr>
          <w:p w14:paraId="4BBE8AD1" w14:textId="77777777" w:rsidR="00C519E8" w:rsidRPr="00134F54" w:rsidRDefault="00C519E8" w:rsidP="00C519E8">
            <w:pPr>
              <w:pStyle w:val="Style13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rPr>
                <w:rFonts w:cs="Bookman Old Style"/>
                <w:lang w:eastAsia="id-ID"/>
              </w:rPr>
              <w:t>Perusahaan yang termasuk dalam peringkat 4 memenuhi seluruh atau sebagian besar dari contoh karakteristik sebagai berikut:</w:t>
            </w:r>
          </w:p>
          <w:p w14:paraId="08467949" w14:textId="40CF0A62" w:rsidR="00150CFE" w:rsidRPr="00134F54" w:rsidRDefault="00150CFE" w:rsidP="00C519E8">
            <w:pPr>
              <w:pStyle w:val="Style21"/>
              <w:numPr>
                <w:ilvl w:val="0"/>
                <w:numId w:val="13"/>
              </w:numPr>
              <w:snapToGrid w:val="0"/>
              <w:spacing w:line="240" w:lineRule="auto"/>
              <w:ind w:left="357" w:hanging="357"/>
              <w:jc w:val="both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Pr="00134F54">
              <w:rPr>
                <w:rStyle w:val="FontStyle33"/>
                <w:sz w:val="24"/>
                <w:szCs w:val="24"/>
              </w:rPr>
              <w:t>memiliki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rasio likuiditas </w:t>
            </w:r>
            <w:r w:rsidR="32142CE2" w:rsidRPr="00134F54">
              <w:rPr>
                <w:rStyle w:val="FontStyle29"/>
                <w:sz w:val="24"/>
                <w:szCs w:val="24"/>
                <w:lang w:eastAsia="id-ID"/>
              </w:rPr>
              <w:t xml:space="preserve">jangka pendek </w:t>
            </w:r>
            <w:r w:rsidRPr="00134F54">
              <w:t xml:space="preserve">kurang dari </w:t>
            </w:r>
            <w:r w:rsidR="00D343B5" w:rsidRPr="00134F54">
              <w:t>120</w:t>
            </w:r>
            <w:r w:rsidRPr="00134F54">
              <w:t>%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>;</w:t>
            </w:r>
          </w:p>
          <w:p w14:paraId="2E8E9476" w14:textId="651D126F" w:rsidR="00C519E8" w:rsidRPr="00134F54" w:rsidRDefault="742AD057" w:rsidP="00296412">
            <w:pPr>
              <w:pStyle w:val="Style21"/>
              <w:numPr>
                <w:ilvl w:val="0"/>
                <w:numId w:val="13"/>
              </w:numPr>
              <w:spacing w:line="240" w:lineRule="auto"/>
              <w:ind w:left="357" w:hanging="357"/>
              <w:jc w:val="both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memiliki rasio likuiditas jangka panjang </w:t>
            </w:r>
            <w:r w:rsidRPr="00134F54">
              <w:t>kurang dari 120%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>;</w:t>
            </w:r>
            <w:r w:rsidR="00296412"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="00150CFE" w:rsidRPr="00134F54">
              <w:rPr>
                <w:rStyle w:val="FontStyle33"/>
                <w:sz w:val="24"/>
                <w:szCs w:val="24"/>
                <w:lang w:eastAsia="id-ID"/>
              </w:rPr>
              <w:t>dan</w:t>
            </w:r>
          </w:p>
          <w:p w14:paraId="212BCA0C" w14:textId="1F0FC002" w:rsidR="00C519E8" w:rsidRPr="00134F54" w:rsidRDefault="00296412" w:rsidP="00150CFE">
            <w:pPr>
              <w:pStyle w:val="Style21"/>
              <w:numPr>
                <w:ilvl w:val="0"/>
                <w:numId w:val="13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val="pt-BR" w:eastAsia="id-ID"/>
              </w:rPr>
            </w:pPr>
            <w:r w:rsidRPr="00134F54">
              <w:rPr>
                <w:rStyle w:val="FontStyle33"/>
                <w:sz w:val="24"/>
                <w:szCs w:val="24"/>
                <w:lang w:eastAsia="id-ID"/>
              </w:rPr>
              <w:t>k</w:t>
            </w:r>
            <w:r w:rsidR="71E1DD3A" w:rsidRPr="00134F54">
              <w:rPr>
                <w:rStyle w:val="FontStyle33"/>
                <w:sz w:val="24"/>
                <w:szCs w:val="24"/>
                <w:lang w:eastAsia="id-ID"/>
              </w:rPr>
              <w:t xml:space="preserve">ecukupan kebijakan pengelolaan likuiditas  yang dinilai dari 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pemahaman Direksi dan Dewan Komisaris, kebijakan 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lastRenderedPageBreak/>
              <w:t xml:space="preserve">dan prosedur pengelolaan likuiditas, perencanaan serta penilaian kecukupan likuiditas </w:t>
            </w:r>
            <w:r w:rsidR="00C519E8" w:rsidRPr="00134F54">
              <w:t>Perusahaan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 dinilai kurang</w:t>
            </w:r>
            <w:r w:rsidR="00C519E8" w:rsidRPr="00134F54">
              <w:t>.</w:t>
            </w:r>
            <w:r w:rsidR="00C519E8" w:rsidRPr="00134F54">
              <w:rPr>
                <w:rStyle w:val="FontStyle29"/>
                <w:sz w:val="24"/>
                <w:szCs w:val="24"/>
                <w:lang w:eastAsia="id-ID"/>
              </w:rPr>
              <w:t xml:space="preserve">      </w:t>
            </w:r>
          </w:p>
        </w:tc>
      </w:tr>
      <w:tr w:rsidR="00C519E8" w:rsidRPr="00E95C50" w14:paraId="7AB08BD3" w14:textId="77777777" w:rsidTr="36203B21">
        <w:tc>
          <w:tcPr>
            <w:tcW w:w="1834" w:type="dxa"/>
          </w:tcPr>
          <w:p w14:paraId="2F2FD97D" w14:textId="77777777" w:rsidR="00C519E8" w:rsidRPr="00134F54" w:rsidRDefault="00C519E8" w:rsidP="00C519E8">
            <w:pPr>
              <w:pStyle w:val="Style3"/>
              <w:widowControl/>
              <w:snapToGrid w:val="0"/>
              <w:jc w:val="left"/>
            </w:pPr>
            <w:r w:rsidRPr="00134F54">
              <w:rPr>
                <w:rFonts w:cs="Bookman Old Style"/>
                <w:lang w:eastAsia="id-ID"/>
              </w:rPr>
              <w:lastRenderedPageBreak/>
              <w:t>Peringkat 5</w:t>
            </w:r>
          </w:p>
        </w:tc>
        <w:tc>
          <w:tcPr>
            <w:tcW w:w="7516" w:type="dxa"/>
          </w:tcPr>
          <w:p w14:paraId="6FE185F9" w14:textId="77777777" w:rsidR="00C519E8" w:rsidRPr="00134F54" w:rsidRDefault="00C519E8" w:rsidP="00C519E8">
            <w:pPr>
              <w:pStyle w:val="Style13"/>
              <w:snapToGrid w:val="0"/>
              <w:spacing w:line="240" w:lineRule="auto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rPr>
                <w:rFonts w:cs="Bookman Old Style"/>
                <w:lang w:eastAsia="id-ID"/>
              </w:rPr>
              <w:t>Perusahaan yang termasuk dalam peringkat 5 memenuhi seluruh atau sebagian besar dari contoh karakteristik sebagai berikut:</w:t>
            </w:r>
          </w:p>
          <w:p w14:paraId="5DABA5DA" w14:textId="7B875829" w:rsidR="00A00694" w:rsidRPr="00134F54" w:rsidRDefault="00150CFE" w:rsidP="00C519E8">
            <w:pPr>
              <w:pStyle w:val="Style21"/>
              <w:numPr>
                <w:ilvl w:val="0"/>
                <w:numId w:val="14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Pr="00134F54">
              <w:rPr>
                <w:rStyle w:val="FontStyle33"/>
                <w:sz w:val="24"/>
                <w:szCs w:val="24"/>
              </w:rPr>
              <w:t>memiliki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rasio likuiditas </w:t>
            </w:r>
            <w:r w:rsidR="2B9FBC4D" w:rsidRPr="00134F54">
              <w:rPr>
                <w:rStyle w:val="FontStyle29"/>
                <w:sz w:val="24"/>
                <w:szCs w:val="24"/>
                <w:lang w:eastAsia="id-ID"/>
              </w:rPr>
              <w:t xml:space="preserve">jangka pendek </w:t>
            </w:r>
            <w:r w:rsidRPr="00134F54">
              <w:t xml:space="preserve">kurang dari </w:t>
            </w:r>
            <w:r w:rsidR="00C16914" w:rsidRPr="00134F54">
              <w:t>10</w:t>
            </w:r>
            <w:r w:rsidR="00A00694" w:rsidRPr="00134F54">
              <w:t>0</w:t>
            </w:r>
            <w:r w:rsidRPr="00134F54">
              <w:t>%</w:t>
            </w:r>
            <w:r w:rsidR="00A00694" w:rsidRPr="00134F54">
              <w:t>;</w:t>
            </w:r>
          </w:p>
          <w:p w14:paraId="6F6DF7F4" w14:textId="647E50E1" w:rsidR="00C519E8" w:rsidRPr="00134F54" w:rsidRDefault="11445E5A" w:rsidP="00325D0D">
            <w:pPr>
              <w:pStyle w:val="Style21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Style w:val="FontStyle29"/>
                <w:sz w:val="24"/>
                <w:szCs w:val="24"/>
                <w:lang w:eastAsia="id-ID"/>
              </w:rPr>
            </w:pPr>
            <w:r w:rsidRPr="00134F54">
              <w:t>Perusahaan</w:t>
            </w:r>
            <w:r w:rsidRPr="00134F54">
              <w:rPr>
                <w:rStyle w:val="FontStyle29"/>
                <w:sz w:val="24"/>
                <w:szCs w:val="24"/>
                <w:lang w:eastAsia="id-ID"/>
              </w:rPr>
              <w:t xml:space="preserve"> memiliki rasio likuiditas jangka panjang </w:t>
            </w:r>
            <w:r w:rsidRPr="00134F54">
              <w:t>kurang dari 100%;</w:t>
            </w:r>
            <w:r w:rsidR="00325D0D" w:rsidRPr="00134F54">
              <w:t xml:space="preserve"> </w:t>
            </w:r>
            <w:r w:rsidR="00A00694" w:rsidRPr="00134F54">
              <w:rPr>
                <w:rStyle w:val="FontStyle33"/>
                <w:sz w:val="24"/>
                <w:szCs w:val="24"/>
                <w:lang w:eastAsia="id-ID"/>
              </w:rPr>
              <w:t>dan</w:t>
            </w:r>
            <w:r w:rsidR="00A00694" w:rsidRPr="00134F54">
              <w:rPr>
                <w:rStyle w:val="FontStyle33"/>
                <w:strike/>
                <w:sz w:val="24"/>
                <w:szCs w:val="24"/>
                <w:lang w:eastAsia="id-ID"/>
              </w:rPr>
              <w:t xml:space="preserve">  </w:t>
            </w:r>
          </w:p>
          <w:p w14:paraId="4D3B6578" w14:textId="5CF1C338" w:rsidR="00C519E8" w:rsidRPr="00134F54" w:rsidRDefault="00325D0D" w:rsidP="00A00694">
            <w:pPr>
              <w:pStyle w:val="Style21"/>
              <w:numPr>
                <w:ilvl w:val="0"/>
                <w:numId w:val="14"/>
              </w:numPr>
              <w:snapToGrid w:val="0"/>
              <w:spacing w:line="240" w:lineRule="auto"/>
              <w:ind w:left="357" w:hanging="357"/>
              <w:jc w:val="both"/>
              <w:rPr>
                <w:rFonts w:cs="Bookman Old Style"/>
                <w:lang w:val="en-US" w:eastAsia="id-ID"/>
              </w:rPr>
            </w:pPr>
            <w:r w:rsidRPr="00134F54">
              <w:rPr>
                <w:rStyle w:val="FontStyle33"/>
                <w:sz w:val="24"/>
                <w:szCs w:val="24"/>
                <w:lang w:eastAsia="id-ID"/>
              </w:rPr>
              <w:t>k</w:t>
            </w:r>
            <w:r w:rsidR="6DB4A911" w:rsidRPr="00134F54">
              <w:rPr>
                <w:rStyle w:val="FontStyle33"/>
                <w:sz w:val="24"/>
                <w:szCs w:val="24"/>
                <w:lang w:eastAsia="id-ID"/>
              </w:rPr>
              <w:t xml:space="preserve">ecukupan kebijakan pengelolaan likuiditas  yang dinilai dari 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pemahaman Direksi dan Dewan Komisaris, kebijakan dan prosedur pengelolaan likuiditas, perencanaan serta penilaian kecukupan likuiditas </w:t>
            </w:r>
            <w:r w:rsidR="00C519E8" w:rsidRPr="00134F54">
              <w:t>Perusahaan</w:t>
            </w:r>
            <w:r w:rsidR="00C519E8" w:rsidRPr="00134F54">
              <w:rPr>
                <w:rStyle w:val="FontStyle33"/>
                <w:sz w:val="24"/>
                <w:szCs w:val="24"/>
                <w:lang w:eastAsia="id-ID"/>
              </w:rPr>
              <w:t xml:space="preserve"> dinilai sangat kurang</w:t>
            </w:r>
            <w:r w:rsidR="00C519E8" w:rsidRPr="00134F54">
              <w:t xml:space="preserve">.  </w:t>
            </w:r>
            <w:r w:rsidR="00C519E8" w:rsidRPr="00134F54">
              <w:rPr>
                <w:rStyle w:val="FontStyle29"/>
                <w:sz w:val="24"/>
                <w:szCs w:val="24"/>
                <w:lang w:eastAsia="id-ID"/>
              </w:rPr>
              <w:t xml:space="preserve">       </w:t>
            </w:r>
          </w:p>
        </w:tc>
      </w:tr>
    </w:tbl>
    <w:p w14:paraId="2DC982F6" w14:textId="77777777" w:rsidR="00C519E8" w:rsidRPr="00E95C50" w:rsidRDefault="00C519E8" w:rsidP="00EB5A8C">
      <w:pPr>
        <w:pStyle w:val="Style1"/>
        <w:widowControl/>
        <w:spacing w:before="60" w:after="60" w:line="276" w:lineRule="auto"/>
        <w:ind w:left="1843" w:hanging="1843"/>
        <w:rPr>
          <w:rStyle w:val="FontStyle29"/>
          <w:sz w:val="24"/>
          <w:szCs w:val="24"/>
          <w:lang w:val="id-ID" w:eastAsia="id-ID"/>
        </w:rPr>
      </w:pPr>
    </w:p>
    <w:p w14:paraId="1CC4123C" w14:textId="77777777" w:rsidR="00A00694" w:rsidRPr="00E95C50" w:rsidRDefault="00A00694" w:rsidP="00EB5A8C">
      <w:pPr>
        <w:pStyle w:val="Style1"/>
        <w:widowControl/>
        <w:spacing w:before="60" w:after="60" w:line="276" w:lineRule="auto"/>
        <w:ind w:left="1843" w:hanging="1843"/>
        <w:rPr>
          <w:rStyle w:val="FontStyle29"/>
          <w:sz w:val="24"/>
          <w:szCs w:val="24"/>
          <w:lang w:val="id-ID" w:eastAsia="id-ID"/>
        </w:rPr>
      </w:pPr>
    </w:p>
    <w:p w14:paraId="5857307E" w14:textId="77777777" w:rsidR="00EB5A8C" w:rsidRPr="00E95C50" w:rsidRDefault="00EB5A8C" w:rsidP="00EB5A8C">
      <w:pPr>
        <w:pStyle w:val="Default"/>
        <w:spacing w:line="360" w:lineRule="auto"/>
        <w:ind w:left="4820"/>
        <w:jc w:val="both"/>
        <w:rPr>
          <w:color w:val="auto"/>
        </w:rPr>
      </w:pPr>
      <w:r w:rsidRPr="00E95C50">
        <w:rPr>
          <w:color w:val="auto"/>
        </w:rPr>
        <w:t xml:space="preserve">Ditetapkan di Jakarta </w:t>
      </w:r>
    </w:p>
    <w:p w14:paraId="23EC3F05" w14:textId="62B135AA" w:rsidR="00EB5A8C" w:rsidRPr="00E95C50" w:rsidRDefault="00EB5A8C" w:rsidP="00EB5A8C">
      <w:pPr>
        <w:pStyle w:val="Default"/>
        <w:spacing w:line="360" w:lineRule="auto"/>
        <w:ind w:left="4820"/>
        <w:jc w:val="both"/>
        <w:rPr>
          <w:color w:val="auto"/>
        </w:rPr>
      </w:pPr>
      <w:r w:rsidRPr="00E95C50">
        <w:rPr>
          <w:color w:val="auto"/>
        </w:rPr>
        <w:t xml:space="preserve">pada tanggal   </w:t>
      </w:r>
      <w:r w:rsidR="00A6422D">
        <w:rPr>
          <w:color w:val="auto"/>
          <w:lang w:val="en-GB"/>
        </w:rPr>
        <w:t>….</w:t>
      </w:r>
      <w:r w:rsidRPr="00E95C50">
        <w:rPr>
          <w:color w:val="auto"/>
        </w:rPr>
        <w:t xml:space="preserve">   </w:t>
      </w:r>
    </w:p>
    <w:p w14:paraId="393A7636" w14:textId="77777777" w:rsidR="00EB5A8C" w:rsidRPr="00E95C50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sz w:val="24"/>
          <w:szCs w:val="24"/>
        </w:rPr>
      </w:pPr>
      <w:r w:rsidRPr="00E95C50">
        <w:rPr>
          <w:rFonts w:ascii="Bookman Old Style" w:hAnsi="Bookman Old Style"/>
          <w:sz w:val="24"/>
          <w:szCs w:val="24"/>
        </w:rPr>
        <w:t xml:space="preserve">KEPALA EKSEKUTIF PENGAWAS LEMBAGA PEMBIAYAAN, PERUSAHAAN MODAL VENTURA, LEMBAGA KEUANGAN MIKRO DAN LEMBAGA JASA KEUANGAN LAINNYA </w:t>
      </w:r>
    </w:p>
    <w:p w14:paraId="12D5D5D4" w14:textId="77777777" w:rsidR="00EB5A8C" w:rsidRPr="00E95C50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sz w:val="24"/>
          <w:szCs w:val="24"/>
        </w:rPr>
      </w:pPr>
      <w:r w:rsidRPr="00E95C50">
        <w:rPr>
          <w:rFonts w:ascii="Bookman Old Style" w:hAnsi="Bookman Old Style"/>
          <w:sz w:val="24"/>
          <w:szCs w:val="24"/>
        </w:rPr>
        <w:t>OTORITAS JASA KEUANGAN REPUBLIK INDONESIA</w:t>
      </w:r>
      <w:r w:rsidRPr="00E95C50">
        <w:rPr>
          <w:rFonts w:ascii="Bookman Old Style" w:hAnsi="Bookman Old Style"/>
          <w:sz w:val="24"/>
          <w:szCs w:val="24"/>
          <w:lang w:val="en-US"/>
        </w:rPr>
        <w:t xml:space="preserve">,  </w:t>
      </w:r>
    </w:p>
    <w:p w14:paraId="3078E22F" w14:textId="77777777" w:rsidR="00EB5A8C" w:rsidRPr="00E95C50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889F972" w14:textId="77777777" w:rsidR="00EB5A8C" w:rsidRPr="00E95C50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033521F" w14:textId="77777777" w:rsidR="00EB5A8C" w:rsidRPr="00E95C50" w:rsidRDefault="00EB5A8C" w:rsidP="00EB5A8C">
      <w:pPr>
        <w:pStyle w:val="ListParagraph"/>
        <w:snapToGrid w:val="0"/>
        <w:ind w:left="4820"/>
        <w:jc w:val="both"/>
        <w:rPr>
          <w:rFonts w:ascii="Bookman Old Style" w:hAnsi="Bookman Old Style"/>
          <w:sz w:val="24"/>
          <w:szCs w:val="24"/>
          <w:lang w:val="en-US"/>
        </w:rPr>
      </w:pPr>
      <w:r w:rsidRPr="00E95C50">
        <w:rPr>
          <w:rFonts w:ascii="Bookman Old Style" w:hAnsi="Bookman Old Style"/>
          <w:sz w:val="24"/>
          <w:szCs w:val="24"/>
          <w:lang w:val="en-US"/>
        </w:rPr>
        <w:t xml:space="preserve">          </w:t>
      </w:r>
    </w:p>
    <w:p w14:paraId="5BE24295" w14:textId="77777777" w:rsidR="00EB5A8C" w:rsidRPr="00E95C50" w:rsidRDefault="00EB5A8C" w:rsidP="00EB5A8C">
      <w:pPr>
        <w:pStyle w:val="ListParagraph"/>
        <w:snapToGrid w:val="0"/>
        <w:ind w:left="4820"/>
        <w:jc w:val="center"/>
        <w:rPr>
          <w:rFonts w:ascii="Bookman Old Style" w:hAnsi="Bookman Old Style"/>
          <w:sz w:val="24"/>
          <w:szCs w:val="24"/>
          <w:lang w:val="en-US"/>
        </w:rPr>
      </w:pPr>
    </w:p>
    <w:p w14:paraId="79FEDD45" w14:textId="11340CBB" w:rsidR="00D25360" w:rsidRPr="00E95C50" w:rsidRDefault="00EB5A8C" w:rsidP="00C0393F">
      <w:pPr>
        <w:pStyle w:val="ListParagraph"/>
        <w:snapToGrid w:val="0"/>
        <w:ind w:left="4820"/>
        <w:jc w:val="both"/>
        <w:rPr>
          <w:rFonts w:ascii="Bookman Old Style" w:hAnsi="Bookman Old Style"/>
          <w:sz w:val="24"/>
          <w:szCs w:val="24"/>
        </w:rPr>
      </w:pPr>
      <w:r w:rsidRPr="00E95C50">
        <w:rPr>
          <w:rFonts w:ascii="Bookman Old Style" w:hAnsi="Bookman Old Style"/>
          <w:sz w:val="24"/>
          <w:szCs w:val="24"/>
        </w:rPr>
        <w:t>AGUSMA</w:t>
      </w:r>
      <w:r w:rsidR="00C0393F" w:rsidRPr="00E95C50">
        <w:rPr>
          <w:rFonts w:ascii="Bookman Old Style" w:hAnsi="Bookman Old Style"/>
          <w:sz w:val="24"/>
          <w:szCs w:val="24"/>
        </w:rPr>
        <w:t>N</w:t>
      </w:r>
    </w:p>
    <w:sectPr w:rsidR="00D25360" w:rsidRPr="00E95C50" w:rsidSect="00092956"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2862" w14:textId="77777777" w:rsidR="003E44BA" w:rsidRDefault="003E44BA" w:rsidP="00E67AD3">
      <w:pPr>
        <w:spacing w:after="0" w:line="240" w:lineRule="auto"/>
      </w:pPr>
      <w:r>
        <w:separator/>
      </w:r>
    </w:p>
  </w:endnote>
  <w:endnote w:type="continuationSeparator" w:id="0">
    <w:p w14:paraId="031426BE" w14:textId="77777777" w:rsidR="003E44BA" w:rsidRDefault="003E44BA" w:rsidP="00E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886F" w14:textId="77777777" w:rsidR="003E44BA" w:rsidRDefault="003E44BA" w:rsidP="00E67AD3">
      <w:pPr>
        <w:spacing w:after="0" w:line="240" w:lineRule="auto"/>
      </w:pPr>
      <w:r>
        <w:separator/>
      </w:r>
    </w:p>
  </w:footnote>
  <w:footnote w:type="continuationSeparator" w:id="0">
    <w:p w14:paraId="453FD5F9" w14:textId="77777777" w:rsidR="003E44BA" w:rsidRDefault="003E44BA" w:rsidP="00E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6188850"/>
      <w:docPartObj>
        <w:docPartGallery w:val="Page Numbers (Top of Page)"/>
        <w:docPartUnique/>
      </w:docPartObj>
    </w:sdtPr>
    <w:sdtContent>
      <w:p w14:paraId="08E69AEF" w14:textId="51987F13" w:rsidR="006B66E6" w:rsidRDefault="006B66E6" w:rsidP="0093780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8A2F47" w14:textId="77777777" w:rsidR="006B66E6" w:rsidRDefault="006B6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2923433"/>
      <w:docPartObj>
        <w:docPartGallery w:val="Page Numbers (Top of Page)"/>
        <w:docPartUnique/>
      </w:docPartObj>
    </w:sdtPr>
    <w:sdtEndPr>
      <w:rPr>
        <w:rStyle w:val="PageNumber"/>
        <w:rFonts w:ascii="Bookman Old Style" w:hAnsi="Bookman Old Style"/>
        <w:sz w:val="24"/>
        <w:szCs w:val="24"/>
      </w:rPr>
    </w:sdtEndPr>
    <w:sdtContent>
      <w:p w14:paraId="4C0776AF" w14:textId="7A32D5F9" w:rsidR="00937803" w:rsidRPr="00937803" w:rsidRDefault="00937803" w:rsidP="007D7454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937803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937803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937803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937803">
          <w:rPr>
            <w:rStyle w:val="PageNumber"/>
            <w:rFonts w:ascii="Bookman Old Style" w:hAnsi="Bookman Old Style"/>
            <w:noProof/>
            <w:sz w:val="24"/>
            <w:szCs w:val="24"/>
          </w:rPr>
          <w:t>- 1 -</w:t>
        </w:r>
        <w:r w:rsidRPr="00937803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2355EA73" w14:textId="77777777" w:rsidR="00092956" w:rsidRPr="00092956" w:rsidRDefault="00092956" w:rsidP="00092956">
    <w:pPr>
      <w:pStyle w:val="Header"/>
      <w:tabs>
        <w:tab w:val="clear" w:pos="4680"/>
        <w:tab w:val="clear" w:pos="9360"/>
      </w:tabs>
      <w:rPr>
        <w:rFonts w:ascii="Bookman Old Style" w:hAnsi="Bookman Old Style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754033"/>
      <w:docPartObj>
        <w:docPartGallery w:val="Page Numbers (Top of Page)"/>
        <w:docPartUnique/>
      </w:docPartObj>
    </w:sdtPr>
    <w:sdtEndPr>
      <w:rPr>
        <w:rStyle w:val="PageNumber"/>
        <w:rFonts w:ascii="Bookman Old Style" w:hAnsi="Bookman Old Style"/>
        <w:sz w:val="24"/>
        <w:szCs w:val="24"/>
      </w:rPr>
    </w:sdtEndPr>
    <w:sdtContent>
      <w:p w14:paraId="0A6DD6F3" w14:textId="4B58222E" w:rsidR="00E43F74" w:rsidRPr="00E43F74" w:rsidRDefault="00E43F74" w:rsidP="007D7454">
        <w:pPr>
          <w:pStyle w:val="Header"/>
          <w:framePr w:wrap="none" w:vAnchor="text" w:hAnchor="margin" w:xAlign="center" w:y="1"/>
          <w:rPr>
            <w:rStyle w:val="PageNumber"/>
            <w:rFonts w:ascii="Bookman Old Style" w:hAnsi="Bookman Old Style"/>
            <w:sz w:val="24"/>
            <w:szCs w:val="24"/>
          </w:rPr>
        </w:pPr>
        <w:r w:rsidRPr="00E43F74">
          <w:rPr>
            <w:rStyle w:val="PageNumber"/>
            <w:rFonts w:ascii="Bookman Old Style" w:hAnsi="Bookman Old Style"/>
            <w:sz w:val="24"/>
            <w:szCs w:val="24"/>
          </w:rPr>
          <w:fldChar w:fldCharType="begin"/>
        </w:r>
        <w:r w:rsidRPr="00E43F74">
          <w:rPr>
            <w:rStyle w:val="PageNumber"/>
            <w:rFonts w:ascii="Bookman Old Style" w:hAnsi="Bookman Old Style"/>
            <w:sz w:val="24"/>
            <w:szCs w:val="24"/>
          </w:rPr>
          <w:instrText xml:space="preserve"> PAGE </w:instrText>
        </w:r>
        <w:r w:rsidRPr="00E43F74">
          <w:rPr>
            <w:rStyle w:val="PageNumber"/>
            <w:rFonts w:ascii="Bookman Old Style" w:hAnsi="Bookman Old Style"/>
            <w:sz w:val="24"/>
            <w:szCs w:val="24"/>
          </w:rPr>
          <w:fldChar w:fldCharType="separate"/>
        </w:r>
        <w:r w:rsidRPr="00E43F74">
          <w:rPr>
            <w:rStyle w:val="PageNumber"/>
            <w:rFonts w:ascii="Bookman Old Style" w:hAnsi="Bookman Old Style"/>
            <w:noProof/>
            <w:sz w:val="24"/>
            <w:szCs w:val="24"/>
          </w:rPr>
          <w:t>- 4 -</w:t>
        </w:r>
        <w:r w:rsidRPr="00E43F74">
          <w:rPr>
            <w:rStyle w:val="PageNumber"/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CD738C2" w14:textId="77777777" w:rsidR="00E43F74" w:rsidRPr="00E43F74" w:rsidRDefault="00E43F74">
    <w:pPr>
      <w:pStyle w:val="Header"/>
      <w:rPr>
        <w:rFonts w:ascii="Bookman Old Style" w:hAnsi="Bookman Old Style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A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D53CE"/>
    <w:multiLevelType w:val="hybridMultilevel"/>
    <w:tmpl w:val="91B44B06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5E9"/>
    <w:multiLevelType w:val="hybridMultilevel"/>
    <w:tmpl w:val="98A0C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F1"/>
    <w:multiLevelType w:val="hybridMultilevel"/>
    <w:tmpl w:val="0E26464A"/>
    <w:lvl w:ilvl="0" w:tplc="DF1E1DE8">
      <w:start w:val="1"/>
      <w:numFmt w:val="lowerLetter"/>
      <w:lvlText w:val="%1."/>
      <w:lvlJc w:val="left"/>
      <w:pPr>
        <w:ind w:left="36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E1B81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57A8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650C"/>
    <w:multiLevelType w:val="hybridMultilevel"/>
    <w:tmpl w:val="B78601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3389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FF0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2AEA"/>
    <w:multiLevelType w:val="hybridMultilevel"/>
    <w:tmpl w:val="2C6A4F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4F58"/>
    <w:multiLevelType w:val="hybridMultilevel"/>
    <w:tmpl w:val="EA0EB7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684A"/>
    <w:multiLevelType w:val="hybridMultilevel"/>
    <w:tmpl w:val="F6965BCA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60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4E34"/>
    <w:multiLevelType w:val="hybridMultilevel"/>
    <w:tmpl w:val="2B56D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665E4"/>
    <w:multiLevelType w:val="hybridMultilevel"/>
    <w:tmpl w:val="6AF0E5BE"/>
    <w:lvl w:ilvl="0" w:tplc="EC749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110F7"/>
    <w:multiLevelType w:val="hybridMultilevel"/>
    <w:tmpl w:val="28CEB4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F6242"/>
    <w:multiLevelType w:val="hybridMultilevel"/>
    <w:tmpl w:val="841ED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6166"/>
    <w:multiLevelType w:val="hybridMultilevel"/>
    <w:tmpl w:val="15769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7E86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323B0"/>
    <w:multiLevelType w:val="hybridMultilevel"/>
    <w:tmpl w:val="A6BE670C"/>
    <w:lvl w:ilvl="0" w:tplc="51023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A0126"/>
    <w:multiLevelType w:val="hybridMultilevel"/>
    <w:tmpl w:val="9FBEB0D6"/>
    <w:lvl w:ilvl="0" w:tplc="953A5A7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04098"/>
    <w:multiLevelType w:val="hybridMultilevel"/>
    <w:tmpl w:val="98A0C1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A462B"/>
    <w:multiLevelType w:val="hybridMultilevel"/>
    <w:tmpl w:val="9FBEB0D6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0080B"/>
    <w:multiLevelType w:val="hybridMultilevel"/>
    <w:tmpl w:val="722A1BA4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72C62"/>
    <w:multiLevelType w:val="hybridMultilevel"/>
    <w:tmpl w:val="BAD4DB84"/>
    <w:lvl w:ilvl="0" w:tplc="F2B6CCD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4FA4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E036F"/>
    <w:multiLevelType w:val="hybridMultilevel"/>
    <w:tmpl w:val="AB683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324">
    <w:abstractNumId w:val="17"/>
  </w:num>
  <w:num w:numId="2" w16cid:durableId="771780652">
    <w:abstractNumId w:val="8"/>
  </w:num>
  <w:num w:numId="3" w16cid:durableId="980580058">
    <w:abstractNumId w:val="7"/>
  </w:num>
  <w:num w:numId="4" w16cid:durableId="822237196">
    <w:abstractNumId w:val="15"/>
  </w:num>
  <w:num w:numId="5" w16cid:durableId="156386425">
    <w:abstractNumId w:val="10"/>
  </w:num>
  <w:num w:numId="6" w16cid:durableId="1152987591">
    <w:abstractNumId w:val="13"/>
  </w:num>
  <w:num w:numId="7" w16cid:durableId="305473586">
    <w:abstractNumId w:val="1"/>
  </w:num>
  <w:num w:numId="8" w16cid:durableId="1249844919">
    <w:abstractNumId w:val="16"/>
  </w:num>
  <w:num w:numId="9" w16cid:durableId="1035274840">
    <w:abstractNumId w:val="25"/>
  </w:num>
  <w:num w:numId="10" w16cid:durableId="1502115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432994">
    <w:abstractNumId w:val="20"/>
  </w:num>
  <w:num w:numId="12" w16cid:durableId="965046538">
    <w:abstractNumId w:val="14"/>
  </w:num>
  <w:num w:numId="13" w16cid:durableId="931931088">
    <w:abstractNumId w:val="9"/>
  </w:num>
  <w:num w:numId="14" w16cid:durableId="1766537685">
    <w:abstractNumId w:val="6"/>
  </w:num>
  <w:num w:numId="15" w16cid:durableId="1682587417">
    <w:abstractNumId w:val="19"/>
  </w:num>
  <w:num w:numId="16" w16cid:durableId="291837191">
    <w:abstractNumId w:val="23"/>
  </w:num>
  <w:num w:numId="17" w16cid:durableId="1276866712">
    <w:abstractNumId w:val="22"/>
  </w:num>
  <w:num w:numId="18" w16cid:durableId="1444763763">
    <w:abstractNumId w:val="3"/>
  </w:num>
  <w:num w:numId="19" w16cid:durableId="1270041289">
    <w:abstractNumId w:val="21"/>
  </w:num>
  <w:num w:numId="20" w16cid:durableId="200441725">
    <w:abstractNumId w:val="24"/>
  </w:num>
  <w:num w:numId="21" w16cid:durableId="1713649384">
    <w:abstractNumId w:val="2"/>
  </w:num>
  <w:num w:numId="22" w16cid:durableId="833642354">
    <w:abstractNumId w:val="26"/>
  </w:num>
  <w:num w:numId="23" w16cid:durableId="111901950">
    <w:abstractNumId w:val="5"/>
  </w:num>
  <w:num w:numId="24" w16cid:durableId="1154417170">
    <w:abstractNumId w:val="0"/>
  </w:num>
  <w:num w:numId="25" w16cid:durableId="1264730971">
    <w:abstractNumId w:val="27"/>
  </w:num>
  <w:num w:numId="26" w16cid:durableId="1526022340">
    <w:abstractNumId w:val="12"/>
  </w:num>
  <w:num w:numId="27" w16cid:durableId="1947348531">
    <w:abstractNumId w:val="18"/>
  </w:num>
  <w:num w:numId="28" w16cid:durableId="547304518">
    <w:abstractNumId w:val="28"/>
  </w:num>
  <w:num w:numId="29" w16cid:durableId="531967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F"/>
    <w:rsid w:val="00026674"/>
    <w:rsid w:val="0003354C"/>
    <w:rsid w:val="00034CAC"/>
    <w:rsid w:val="00054109"/>
    <w:rsid w:val="000639DB"/>
    <w:rsid w:val="00072BA3"/>
    <w:rsid w:val="0007637B"/>
    <w:rsid w:val="00092956"/>
    <w:rsid w:val="000963A3"/>
    <w:rsid w:val="001116FF"/>
    <w:rsid w:val="001266CE"/>
    <w:rsid w:val="00127752"/>
    <w:rsid w:val="00134F54"/>
    <w:rsid w:val="00150CFE"/>
    <w:rsid w:val="001727B4"/>
    <w:rsid w:val="0018233C"/>
    <w:rsid w:val="001B153E"/>
    <w:rsid w:val="001B4D04"/>
    <w:rsid w:val="002166F4"/>
    <w:rsid w:val="00216857"/>
    <w:rsid w:val="00237D17"/>
    <w:rsid w:val="0025507B"/>
    <w:rsid w:val="00257574"/>
    <w:rsid w:val="00286533"/>
    <w:rsid w:val="00296412"/>
    <w:rsid w:val="00325D0D"/>
    <w:rsid w:val="00331E50"/>
    <w:rsid w:val="00334D98"/>
    <w:rsid w:val="003657EC"/>
    <w:rsid w:val="003B1100"/>
    <w:rsid w:val="003B3E5E"/>
    <w:rsid w:val="003B6850"/>
    <w:rsid w:val="003E04C5"/>
    <w:rsid w:val="003E44BA"/>
    <w:rsid w:val="003F6C45"/>
    <w:rsid w:val="00414E6B"/>
    <w:rsid w:val="004319ED"/>
    <w:rsid w:val="0043239C"/>
    <w:rsid w:val="004341B9"/>
    <w:rsid w:val="004616FF"/>
    <w:rsid w:val="00486F6E"/>
    <w:rsid w:val="004960FB"/>
    <w:rsid w:val="004D3FDB"/>
    <w:rsid w:val="004D4343"/>
    <w:rsid w:val="004D655D"/>
    <w:rsid w:val="004E1927"/>
    <w:rsid w:val="004E2449"/>
    <w:rsid w:val="004E4BC4"/>
    <w:rsid w:val="004E5A64"/>
    <w:rsid w:val="00517EC0"/>
    <w:rsid w:val="005264EC"/>
    <w:rsid w:val="00532527"/>
    <w:rsid w:val="00541769"/>
    <w:rsid w:val="00577609"/>
    <w:rsid w:val="005B5424"/>
    <w:rsid w:val="005B72AB"/>
    <w:rsid w:val="005E0869"/>
    <w:rsid w:val="00646BB4"/>
    <w:rsid w:val="006678EC"/>
    <w:rsid w:val="00675A8A"/>
    <w:rsid w:val="006A5207"/>
    <w:rsid w:val="006A67C0"/>
    <w:rsid w:val="006B66E6"/>
    <w:rsid w:val="006C13E3"/>
    <w:rsid w:val="006C20E6"/>
    <w:rsid w:val="006F6048"/>
    <w:rsid w:val="00720BCE"/>
    <w:rsid w:val="00725DB9"/>
    <w:rsid w:val="00746436"/>
    <w:rsid w:val="007464AB"/>
    <w:rsid w:val="007526F0"/>
    <w:rsid w:val="007A1B8B"/>
    <w:rsid w:val="007D0DB8"/>
    <w:rsid w:val="00820434"/>
    <w:rsid w:val="00843940"/>
    <w:rsid w:val="008502A0"/>
    <w:rsid w:val="008569BB"/>
    <w:rsid w:val="00892072"/>
    <w:rsid w:val="00895C9B"/>
    <w:rsid w:val="008C1955"/>
    <w:rsid w:val="008D2E95"/>
    <w:rsid w:val="008E0D86"/>
    <w:rsid w:val="008E33F6"/>
    <w:rsid w:val="0090306C"/>
    <w:rsid w:val="00903624"/>
    <w:rsid w:val="009119A7"/>
    <w:rsid w:val="0091447A"/>
    <w:rsid w:val="0091625D"/>
    <w:rsid w:val="00933E63"/>
    <w:rsid w:val="00937803"/>
    <w:rsid w:val="009708AB"/>
    <w:rsid w:val="009736CB"/>
    <w:rsid w:val="00982AA0"/>
    <w:rsid w:val="00984A14"/>
    <w:rsid w:val="009858F3"/>
    <w:rsid w:val="009E7D70"/>
    <w:rsid w:val="00A00694"/>
    <w:rsid w:val="00A20297"/>
    <w:rsid w:val="00A362A5"/>
    <w:rsid w:val="00A36A3F"/>
    <w:rsid w:val="00A53E0B"/>
    <w:rsid w:val="00A56A56"/>
    <w:rsid w:val="00A6422D"/>
    <w:rsid w:val="00A706FA"/>
    <w:rsid w:val="00AA4F87"/>
    <w:rsid w:val="00AD040D"/>
    <w:rsid w:val="00AE5C9A"/>
    <w:rsid w:val="00B02576"/>
    <w:rsid w:val="00B30BA3"/>
    <w:rsid w:val="00B46468"/>
    <w:rsid w:val="00B8422F"/>
    <w:rsid w:val="00B87201"/>
    <w:rsid w:val="00BC0407"/>
    <w:rsid w:val="00BC6AA5"/>
    <w:rsid w:val="00BD44E0"/>
    <w:rsid w:val="00C0393F"/>
    <w:rsid w:val="00C16914"/>
    <w:rsid w:val="00C36F23"/>
    <w:rsid w:val="00C407D2"/>
    <w:rsid w:val="00C519E8"/>
    <w:rsid w:val="00C76C9E"/>
    <w:rsid w:val="00CC028E"/>
    <w:rsid w:val="00CC53DD"/>
    <w:rsid w:val="00CC5C09"/>
    <w:rsid w:val="00CD42AA"/>
    <w:rsid w:val="00CD6DBC"/>
    <w:rsid w:val="00CE2435"/>
    <w:rsid w:val="00D25360"/>
    <w:rsid w:val="00D343B5"/>
    <w:rsid w:val="00D5500F"/>
    <w:rsid w:val="00D66C67"/>
    <w:rsid w:val="00D91FEC"/>
    <w:rsid w:val="00DC1F14"/>
    <w:rsid w:val="00DD23BF"/>
    <w:rsid w:val="00DD4E0F"/>
    <w:rsid w:val="00E061EB"/>
    <w:rsid w:val="00E215E0"/>
    <w:rsid w:val="00E369D9"/>
    <w:rsid w:val="00E428C7"/>
    <w:rsid w:val="00E43F74"/>
    <w:rsid w:val="00E547E7"/>
    <w:rsid w:val="00E67AD3"/>
    <w:rsid w:val="00E95C50"/>
    <w:rsid w:val="00EB5A8C"/>
    <w:rsid w:val="00EF7A6F"/>
    <w:rsid w:val="00F2508F"/>
    <w:rsid w:val="00F67FFA"/>
    <w:rsid w:val="00F70817"/>
    <w:rsid w:val="00F717A1"/>
    <w:rsid w:val="00F7329B"/>
    <w:rsid w:val="00F865DB"/>
    <w:rsid w:val="00F93B6A"/>
    <w:rsid w:val="00F95F2D"/>
    <w:rsid w:val="00FB22E2"/>
    <w:rsid w:val="00FD2244"/>
    <w:rsid w:val="00FD285C"/>
    <w:rsid w:val="00FD6C6B"/>
    <w:rsid w:val="011EB000"/>
    <w:rsid w:val="0453965B"/>
    <w:rsid w:val="08A19166"/>
    <w:rsid w:val="0A3824E4"/>
    <w:rsid w:val="11445E5A"/>
    <w:rsid w:val="117F5454"/>
    <w:rsid w:val="2B9FBC4D"/>
    <w:rsid w:val="32142CE2"/>
    <w:rsid w:val="34F2A1C8"/>
    <w:rsid w:val="36203B21"/>
    <w:rsid w:val="370BAF40"/>
    <w:rsid w:val="39F979A5"/>
    <w:rsid w:val="3A6CEF25"/>
    <w:rsid w:val="3E8320F0"/>
    <w:rsid w:val="449516AB"/>
    <w:rsid w:val="4C38543D"/>
    <w:rsid w:val="4FC6507C"/>
    <w:rsid w:val="5B2528F6"/>
    <w:rsid w:val="5CD4CA90"/>
    <w:rsid w:val="650B8ECE"/>
    <w:rsid w:val="6940F425"/>
    <w:rsid w:val="6DB4A911"/>
    <w:rsid w:val="71E1DD3A"/>
    <w:rsid w:val="72909989"/>
    <w:rsid w:val="742AD057"/>
    <w:rsid w:val="78BFE727"/>
    <w:rsid w:val="79AEC818"/>
    <w:rsid w:val="7CD8E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B209"/>
  <w15:chartTrackingRefBased/>
  <w15:docId w15:val="{2B056312-1C0B-4876-9690-B09EB4E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D6C6B"/>
    <w:rPr>
      <w:rFonts w:ascii="Bookman Old Style" w:hAnsi="Bookman Old Style" w:cs="Bookman Old Style"/>
      <w:sz w:val="22"/>
      <w:szCs w:val="22"/>
    </w:rPr>
  </w:style>
  <w:style w:type="character" w:customStyle="1" w:styleId="FontStyle33">
    <w:name w:val="Font Style33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15">
    <w:name w:val="Style15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39" w:lineRule="exact"/>
      <w:ind w:hanging="43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8">
    <w:name w:val="Font Style28"/>
    <w:uiPriority w:val="99"/>
    <w:rsid w:val="00FD6C6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20">
    <w:name w:val="Style20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uiPriority w:val="99"/>
    <w:rsid w:val="00FD6C6B"/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3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</w:rPr>
  </w:style>
  <w:style w:type="paragraph" w:customStyle="1" w:styleId="Style4">
    <w:name w:val="Style4"/>
    <w:basedOn w:val="Normal"/>
    <w:uiPriority w:val="99"/>
    <w:rsid w:val="00FD6C6B"/>
    <w:pPr>
      <w:widowControl w:val="0"/>
      <w:autoSpaceDE w:val="0"/>
      <w:autoSpaceDN w:val="0"/>
      <w:adjustRightInd w:val="0"/>
      <w:spacing w:after="0" w:line="422" w:lineRule="exact"/>
    </w:pPr>
    <w:rPr>
      <w:rFonts w:ascii="Bookman Old Style" w:eastAsiaTheme="minorEastAsia" w:hAnsi="Bookman Old Style"/>
      <w:sz w:val="24"/>
      <w:szCs w:val="24"/>
    </w:rPr>
  </w:style>
  <w:style w:type="table" w:styleId="TableGrid">
    <w:name w:val="Table Grid"/>
    <w:basedOn w:val="TableNormal"/>
    <w:uiPriority w:val="39"/>
    <w:rsid w:val="00FD6C6B"/>
    <w:pPr>
      <w:spacing w:after="0" w:line="240" w:lineRule="auto"/>
    </w:pPr>
    <w:rPr>
      <w:kern w:val="2"/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46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B46468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B4646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D3"/>
  </w:style>
  <w:style w:type="paragraph" w:styleId="Footer">
    <w:name w:val="footer"/>
    <w:basedOn w:val="Normal"/>
    <w:link w:val="Foot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D3"/>
  </w:style>
  <w:style w:type="paragraph" w:customStyle="1" w:styleId="Style5">
    <w:name w:val="Style5"/>
    <w:basedOn w:val="Normal"/>
    <w:uiPriority w:val="99"/>
    <w:rsid w:val="00CD6D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B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864BB4-0A8A-4817-9302-330A6FC5A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96775-8813-4A52-B718-E21F161D951B}"/>
</file>

<file path=customXml/itemProps3.xml><?xml version="1.0" encoding="utf-8"?>
<ds:datastoreItem xmlns:ds="http://schemas.openxmlformats.org/officeDocument/2006/customXml" ds:itemID="{B279654F-0A00-4930-BB84-C5F190622A48}"/>
</file>

<file path=customXml/itemProps4.xml><?xml version="1.0" encoding="utf-8"?>
<ds:datastoreItem xmlns:ds="http://schemas.openxmlformats.org/officeDocument/2006/customXml" ds:itemID="{F99CF51E-A2FE-4E23-B5E3-66ACA2415A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717</Words>
  <Characters>4090</Characters>
  <Application>Microsoft Office Word</Application>
  <DocSecurity>0</DocSecurity>
  <Lines>34</Lines>
  <Paragraphs>9</Paragraphs>
  <ScaleCrop>false</ScaleCrop>
  <Company>OJK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Tito</dc:creator>
  <cp:keywords/>
  <dc:description/>
  <cp:lastModifiedBy>Pengaturan PVML</cp:lastModifiedBy>
  <cp:revision>23</cp:revision>
  <dcterms:created xsi:type="dcterms:W3CDTF">2025-08-04T03:24:00Z</dcterms:created>
  <dcterms:modified xsi:type="dcterms:W3CDTF">2025-08-05T07:37:00Z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