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B5B3" w14:textId="2EAC9FC4" w:rsidR="00652E45" w:rsidRPr="00790B7F" w:rsidRDefault="001A445A" w:rsidP="001A445A">
      <w:pPr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bookmarkStart w:id="0" w:name="_Hlk169784104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PANDUAN ASUMSI AKTUARIA PSAK 117 KONTRAK ASURANSI</w:t>
      </w:r>
    </w:p>
    <w:bookmarkEnd w:id="0"/>
    <w:p w14:paraId="246852DA" w14:textId="0A185C6A" w:rsidR="00E643CC" w:rsidRPr="00790B7F" w:rsidRDefault="00E643CC" w:rsidP="00E643C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790B7F"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  <w:t>TINGKAT DISKONTO (</w:t>
      </w:r>
      <w:r w:rsidRPr="00790B7F">
        <w:rPr>
          <w:rFonts w:ascii="Bookman Old Style" w:eastAsiaTheme="minorEastAsia" w:hAnsi="Bookman Old Style"/>
          <w:b/>
          <w:bCs/>
          <w:i/>
          <w:iCs/>
          <w:color w:val="2A2E3A"/>
          <w:kern w:val="24"/>
          <w:lang w:val="en-US"/>
        </w:rPr>
        <w:t>DISCOUNT RATE</w:t>
      </w:r>
      <w:r w:rsidRPr="00790B7F"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  <w:t>)</w:t>
      </w:r>
    </w:p>
    <w:p w14:paraId="13D89488" w14:textId="77777777" w:rsidR="00B944F2" w:rsidRPr="00790B7F" w:rsidRDefault="00987538" w:rsidP="00B944F2">
      <w:pPr>
        <w:pStyle w:val="ListParagraph"/>
        <w:numPr>
          <w:ilvl w:val="0"/>
          <w:numId w:val="1"/>
        </w:numPr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Bottom-up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,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yaitu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Risk Free Rate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ditambah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/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dikurangi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maksimal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0,5% (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illiquidity premium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).</w:t>
      </w:r>
    </w:p>
    <w:p w14:paraId="14CD5C95" w14:textId="77777777" w:rsidR="00964517" w:rsidRPr="00790B7F" w:rsidRDefault="00987538" w:rsidP="00964517">
      <w:pPr>
        <w:pStyle w:val="ListParagraph"/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Risk Free Rate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yang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digunakan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adalah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Indonesia Government Securities Yield Curve</w:t>
      </w:r>
      <w:r w:rsidR="00F07678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="00F07678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yaitu</w:t>
      </w:r>
      <w:proofErr w:type="spellEnd"/>
      <w:r w:rsidR="00F07678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weighted average</w:t>
      </w:r>
      <w:r w:rsidR="00F07678"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dengan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memperhatikan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tenor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liabilitas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sesuai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cohort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-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nya</w:t>
      </w:r>
      <w:proofErr w:type="spellEnd"/>
      <w:r w:rsidR="00964517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.</w:t>
      </w:r>
    </w:p>
    <w:p w14:paraId="123E9422" w14:textId="3DC32EC9" w:rsidR="001A445A" w:rsidRPr="00790B7F" w:rsidRDefault="00987538" w:rsidP="00964517">
      <w:pPr>
        <w:pStyle w:val="ListParagraph"/>
        <w:numPr>
          <w:ilvl w:val="0"/>
          <w:numId w:val="1"/>
        </w:numPr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Terhadap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Perusahaan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Asuransi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="00123433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yang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mengalami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permasalahan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kesehatan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keuangan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termasuk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="00FD0BF4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yang </w:t>
      </w:r>
      <w:proofErr w:type="spellStart"/>
      <w:r w:rsidR="00FD0BF4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mempunyai</w:t>
      </w:r>
      <w:proofErr w:type="spellEnd"/>
      <w:r w:rsidR="00FD0BF4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yield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investasi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rendah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,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maka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discount rate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="00640A82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yang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digunakan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adalah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top-down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yaitu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berdasarkan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yield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investasi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bulanan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ditambah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/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dikurangi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r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illiquidity premium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="006D0213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maksimal</w:t>
      </w:r>
      <w:proofErr w:type="spellEnd"/>
      <w:r w:rsidR="006D0213"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0,5% 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(</w:t>
      </w:r>
      <w:r w:rsidR="006D0213" w:rsidRPr="00790B7F">
        <w:rPr>
          <w:rFonts w:ascii="Bookman Old Style" w:eastAsiaTheme="minorEastAsia" w:hAnsi="Bookman Old Style"/>
          <w:i/>
          <w:iCs/>
          <w:color w:val="2A2E3A"/>
          <w:kern w:val="24"/>
          <w:lang w:val="en-US"/>
        </w:rPr>
        <w:t>illiquidity premium</w:t>
      </w: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).</w:t>
      </w:r>
    </w:p>
    <w:p w14:paraId="15B82D76" w14:textId="792BB323" w:rsidR="001A445A" w:rsidRPr="00790B7F" w:rsidRDefault="0017753F" w:rsidP="000F5430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  <w:t>METODE PENYESUAIAN RISIKO (RISK ADJUSTMENT)</w:t>
      </w:r>
    </w:p>
    <w:p w14:paraId="60E77733" w14:textId="20F3B576" w:rsidR="000F5430" w:rsidRPr="00790B7F" w:rsidRDefault="000F5430" w:rsidP="000F5430">
      <w:pPr>
        <w:pStyle w:val="ListParagraph"/>
        <w:numPr>
          <w:ilvl w:val="0"/>
          <w:numId w:val="5"/>
        </w:numPr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Value at risk;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atau</w:t>
      </w:r>
      <w:proofErr w:type="spellEnd"/>
    </w:p>
    <w:p w14:paraId="5CD00FA5" w14:textId="5ADA2817" w:rsidR="000F5430" w:rsidRPr="00790B7F" w:rsidRDefault="000F5430" w:rsidP="000F5430">
      <w:pPr>
        <w:pStyle w:val="ListParagraph"/>
        <w:numPr>
          <w:ilvl w:val="0"/>
          <w:numId w:val="5"/>
        </w:numPr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Cost of capital</w:t>
      </w:r>
    </w:p>
    <w:p w14:paraId="4711BDF4" w14:textId="7C838185" w:rsidR="000F5430" w:rsidRPr="00790B7F" w:rsidRDefault="000F5430" w:rsidP="000F5430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  <w:t>TINGKAT KEYAKINAN PADA PENYESUAIAN RISIKO (CONFIDENCE LEVEL)</w:t>
      </w:r>
    </w:p>
    <w:p w14:paraId="72D43475" w14:textId="4DA19C21" w:rsidR="000F5430" w:rsidRPr="00790B7F" w:rsidRDefault="000F5430" w:rsidP="000F5430">
      <w:pPr>
        <w:pStyle w:val="ListParagraph"/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Tingkat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keyakinan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minimal 75%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untuk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menghitung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 xml:space="preserve"> Risk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Adjusment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  <w:lang w:val="en-US"/>
        </w:rPr>
        <w:t>.</w:t>
      </w:r>
    </w:p>
    <w:p w14:paraId="576E79B7" w14:textId="77777777" w:rsidR="000F5430" w:rsidRPr="00790B7F" w:rsidRDefault="000F5430" w:rsidP="000F5430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790B7F">
        <w:rPr>
          <w:rFonts w:ascii="Bookman Old Style" w:eastAsiaTheme="minorEastAsia" w:hAnsi="Bookman Old Style"/>
          <w:b/>
          <w:bCs/>
          <w:color w:val="2A2E3A"/>
          <w:kern w:val="24"/>
          <w:lang w:val="en-US"/>
        </w:rPr>
        <w:t>PERHITUNGAN PEMENUHAN ARUS KAS</w:t>
      </w:r>
    </w:p>
    <w:p w14:paraId="23B1513C" w14:textId="1DA2F489" w:rsidR="006E0FE1" w:rsidRPr="00790B7F" w:rsidRDefault="006E0FE1" w:rsidP="006E0FE1">
      <w:pPr>
        <w:pStyle w:val="ListParagraph"/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Arus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 kas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ini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termasuk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,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namun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tidak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terbatas</w:t>
      </w:r>
      <w:proofErr w:type="spellEnd"/>
      <w:r w:rsidRPr="00790B7F">
        <w:rPr>
          <w:rFonts w:ascii="Bookman Old Style" w:eastAsiaTheme="minorEastAsia" w:hAnsi="Bookman Old Style"/>
          <w:color w:val="2A2E3A"/>
          <w:kern w:val="24"/>
        </w:rPr>
        <w:t xml:space="preserve"> pada</w:t>
      </w:r>
      <w:r w:rsidR="00177F02">
        <w:rPr>
          <w:rFonts w:ascii="Bookman Old Style" w:eastAsiaTheme="minorEastAsia" w:hAnsi="Bookman Old Style"/>
          <w:color w:val="2A2E3A"/>
          <w:kern w:val="24"/>
        </w:rPr>
        <w:t>:</w:t>
      </w:r>
    </w:p>
    <w:p w14:paraId="3196AAAE" w14:textId="76390327" w:rsidR="006E0FE1" w:rsidRPr="00790B7F" w:rsidRDefault="00790B7F" w:rsidP="006E0FE1">
      <w:pPr>
        <w:pStyle w:val="ListParagraph"/>
        <w:numPr>
          <w:ilvl w:val="0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r>
        <w:rPr>
          <w:rFonts w:ascii="Bookman Old Style" w:eastAsiaTheme="minorEastAsia" w:hAnsi="Bookman Old Style"/>
          <w:color w:val="2A2E3A"/>
          <w:kern w:val="24"/>
        </w:rPr>
        <w:t xml:space="preserve">Premi,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termasuk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premi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telah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jatuh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tempo</w:t>
      </w:r>
      <w:r w:rsidR="006E0FE1" w:rsidRPr="00790B7F">
        <w:rPr>
          <w:rFonts w:ascii="Bookman Old Style" w:eastAsiaTheme="minorEastAsia" w:hAnsi="Bookman Old Style"/>
          <w:color w:val="2A2E3A"/>
          <w:kern w:val="24"/>
        </w:rPr>
        <w:t>;</w:t>
      </w:r>
    </w:p>
    <w:p w14:paraId="7DE6D0D9" w14:textId="1103C96E" w:rsidR="006E0FE1" w:rsidRPr="00790B7F" w:rsidRDefault="00790B7F" w:rsidP="006E0FE1">
      <w:pPr>
        <w:pStyle w:val="ListParagraph"/>
        <w:numPr>
          <w:ilvl w:val="0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 w:rsidR="006E0FE1" w:rsidRPr="00790B7F">
        <w:rPr>
          <w:rFonts w:ascii="Bookman Old Style" w:eastAsiaTheme="minorEastAsia" w:hAnsi="Bookman Old Style"/>
          <w:color w:val="2A2E3A"/>
          <w:kern w:val="24"/>
        </w:rPr>
        <w:t xml:space="preserve"> (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atau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nama</w:t>
      </w:r>
      <w:proofErr w:type="spellEnd"/>
      <w:r w:rsidR="006E0FE1" w:rsidRPr="00790B7F">
        <w:rPr>
          <w:rFonts w:ascii="Bookman Old Style" w:eastAsiaTheme="minorEastAsia" w:hAnsi="Bookman Old Style"/>
          <w:color w:val="2A2E3A"/>
          <w:kern w:val="24"/>
        </w:rPr>
        <w:t xml:space="preserve">)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pemegang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termasuk</w:t>
      </w:r>
      <w:proofErr w:type="spellEnd"/>
      <w:r w:rsidR="006E0FE1" w:rsidRPr="00790B7F">
        <w:rPr>
          <w:rFonts w:ascii="Bookman Old Style" w:eastAsiaTheme="minorEastAsia" w:hAnsi="Bookman Old Style"/>
          <w:color w:val="2A2E3A"/>
          <w:kern w:val="24"/>
        </w:rPr>
        <w:t>:</w:t>
      </w:r>
    </w:p>
    <w:p w14:paraId="1AE7224D" w14:textId="2B9EC45F" w:rsidR="006E0FE1" w:rsidRPr="00790B7F" w:rsidRDefault="001604F0" w:rsidP="006E0FE1">
      <w:pPr>
        <w:pStyle w:val="ListParagraph"/>
        <w:numPr>
          <w:ilvl w:val="0"/>
          <w:numId w:val="7"/>
        </w:numPr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Klaim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telah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dilaporkan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namun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belum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dibayarkan</w:t>
      </w:r>
      <w:proofErr w:type="spellEnd"/>
      <w:r w:rsidR="006E0FE1" w:rsidRPr="00790B7F">
        <w:rPr>
          <w:rFonts w:ascii="Bookman Old Style" w:eastAsiaTheme="minorEastAsia" w:hAnsi="Bookman Old Style"/>
          <w:color w:val="2A2E3A"/>
          <w:kern w:val="24"/>
        </w:rPr>
        <w:t>;</w:t>
      </w:r>
    </w:p>
    <w:p w14:paraId="4D54E954" w14:textId="04E35B59" w:rsidR="005529A7" w:rsidRPr="005529A7" w:rsidRDefault="001604F0" w:rsidP="006E0FE1">
      <w:pPr>
        <w:pStyle w:val="ListParagraph"/>
        <w:numPr>
          <w:ilvl w:val="0"/>
          <w:numId w:val="7"/>
        </w:numPr>
        <w:jc w:val="both"/>
        <w:rPr>
          <w:rFonts w:ascii="Bookman Old Style" w:eastAsiaTheme="minorEastAsia" w:hAnsi="Bookman Old Style"/>
          <w:color w:val="2A2E3A"/>
          <w:kern w:val="24"/>
          <w:lang w:val="nb-NO"/>
        </w:rPr>
      </w:pPr>
      <w:r w:rsidRPr="001604F0">
        <w:rPr>
          <w:rFonts w:ascii="Bookman Old Style" w:eastAsiaTheme="minorEastAsia" w:hAnsi="Bookman Old Style"/>
          <w:color w:val="2A2E3A"/>
          <w:kern w:val="24"/>
          <w:lang w:val="nb-NO"/>
        </w:rPr>
        <w:t xml:space="preserve">Klaim yang </w:t>
      </w:r>
      <w:r w:rsidR="00223682">
        <w:rPr>
          <w:rFonts w:ascii="Bookman Old Style" w:eastAsiaTheme="minorEastAsia" w:hAnsi="Bookman Old Style"/>
          <w:color w:val="2A2E3A"/>
          <w:kern w:val="24"/>
          <w:lang w:val="nb-NO"/>
        </w:rPr>
        <w:t xml:space="preserve">telah </w:t>
      </w:r>
      <w:r w:rsidRPr="001604F0">
        <w:rPr>
          <w:rFonts w:ascii="Bookman Old Style" w:eastAsiaTheme="minorEastAsia" w:hAnsi="Bookman Old Style"/>
          <w:color w:val="2A2E3A"/>
          <w:kern w:val="24"/>
          <w:lang w:val="nb-NO"/>
        </w:rPr>
        <w:t xml:space="preserve">terjadi </w:t>
      </w:r>
      <w:r w:rsidR="00223682">
        <w:rPr>
          <w:rFonts w:ascii="Bookman Old Style" w:eastAsiaTheme="minorEastAsia" w:hAnsi="Bookman Old Style"/>
          <w:color w:val="2A2E3A"/>
          <w:kern w:val="24"/>
          <w:lang w:val="nb-NO"/>
        </w:rPr>
        <w:t>namun</w:t>
      </w:r>
      <w:r w:rsidRPr="001604F0">
        <w:rPr>
          <w:rFonts w:ascii="Bookman Old Style" w:eastAsiaTheme="minorEastAsia" w:hAnsi="Bookman Old Style"/>
          <w:color w:val="2A2E3A"/>
          <w:kern w:val="24"/>
          <w:lang w:val="nb-NO"/>
        </w:rPr>
        <w:t xml:space="preserve"> belum dilaporkan</w:t>
      </w:r>
      <w:r w:rsidR="00177F02">
        <w:rPr>
          <w:rFonts w:ascii="Bookman Old Style" w:eastAsiaTheme="minorEastAsia" w:hAnsi="Bookman Old Style"/>
          <w:color w:val="2A2E3A"/>
          <w:kern w:val="24"/>
          <w:lang w:val="nb-NO"/>
        </w:rPr>
        <w:t>;</w:t>
      </w:r>
    </w:p>
    <w:p w14:paraId="16DD9924" w14:textId="63CB8FD9" w:rsidR="005529A7" w:rsidRDefault="005529A7" w:rsidP="006E0FE1">
      <w:pPr>
        <w:pStyle w:val="ListParagraph"/>
        <w:numPr>
          <w:ilvl w:val="0"/>
          <w:numId w:val="7"/>
        </w:numPr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 w:rsidRPr="005529A7"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 w:rsidRPr="005529A7">
        <w:rPr>
          <w:rFonts w:ascii="Bookman Old Style" w:eastAsiaTheme="minorEastAsia" w:hAnsi="Bookman Old Style"/>
          <w:color w:val="2A2E3A"/>
          <w:kern w:val="24"/>
        </w:rPr>
        <w:t xml:space="preserve"> ya</w:t>
      </w:r>
      <w:r>
        <w:rPr>
          <w:rFonts w:ascii="Bookman Old Style" w:eastAsiaTheme="minorEastAsia" w:hAnsi="Bookman Old Style"/>
          <w:color w:val="2A2E3A"/>
          <w:kern w:val="24"/>
        </w:rPr>
        <w:t xml:space="preserve">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bergantung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pada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pengembalian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barang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menjadi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r>
        <w:rPr>
          <w:rFonts w:ascii="Bookman Old Style" w:eastAsiaTheme="minorEastAsia" w:hAnsi="Bookman Old Style"/>
          <w:i/>
          <w:iCs/>
          <w:color w:val="2A2E3A"/>
          <w:kern w:val="24"/>
        </w:rPr>
        <w:t>underlying</w:t>
      </w:r>
      <w:r w:rsidR="00223682">
        <w:rPr>
          <w:rFonts w:ascii="Bookman Old Style" w:eastAsiaTheme="minorEastAsia" w:hAnsi="Bookman Old Style"/>
          <w:i/>
          <w:iCs/>
          <w:color w:val="2A2E3A"/>
          <w:kern w:val="24"/>
        </w:rPr>
        <w:t>-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nya</w:t>
      </w:r>
      <w:proofErr w:type="spellEnd"/>
      <w:r w:rsidR="00177F02">
        <w:rPr>
          <w:rFonts w:ascii="Bookman Old Style" w:eastAsiaTheme="minorEastAsia" w:hAnsi="Bookman Old Style"/>
          <w:color w:val="2A2E3A"/>
          <w:kern w:val="24"/>
        </w:rPr>
        <w:t>;</w:t>
      </w:r>
    </w:p>
    <w:p w14:paraId="6F4E20AA" w14:textId="0D2C8BF1" w:rsidR="006E0FE1" w:rsidRPr="00790B7F" w:rsidRDefault="005529A7" w:rsidP="006E0FE1">
      <w:pPr>
        <w:pStyle w:val="ListParagraph"/>
        <w:numPr>
          <w:ilvl w:val="0"/>
          <w:numId w:val="7"/>
        </w:numPr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pihak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ketiga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dalam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memenuhi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kewajiban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(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atau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nama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)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pemegang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 (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misal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,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dalam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asuransi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tanggung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gugat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pihak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ketiga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atau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manfaat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partisipasi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dimana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kontrak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memberikan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diskresi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entitas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untuk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mendistribusikan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surplus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pihak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berhak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>)</w:t>
      </w:r>
      <w:r w:rsidR="00177F02">
        <w:rPr>
          <w:rFonts w:ascii="Bookman Old Style" w:eastAsiaTheme="minorEastAsia" w:hAnsi="Bookman Old Style"/>
          <w:color w:val="2A2E3A"/>
          <w:kern w:val="24"/>
        </w:rPr>
        <w:t>;</w:t>
      </w:r>
    </w:p>
    <w:p w14:paraId="127A794E" w14:textId="2AA44B80" w:rsidR="006E0FE1" w:rsidRPr="00790B7F" w:rsidRDefault="005529A7" w:rsidP="006E0FE1">
      <w:pPr>
        <w:pStyle w:val="ListParagraph"/>
        <w:numPr>
          <w:ilvl w:val="0"/>
          <w:numId w:val="7"/>
        </w:numPr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dari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r>
        <w:rPr>
          <w:rFonts w:ascii="Bookman Old Style" w:eastAsiaTheme="minorEastAsia" w:hAnsi="Bookman Old Style"/>
          <w:i/>
          <w:iCs/>
          <w:color w:val="2A2E3A"/>
          <w:kern w:val="24"/>
        </w:rPr>
        <w:t xml:space="preserve">embedded derivatives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jika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tidak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dipisahkan</w:t>
      </w:r>
      <w:proofErr w:type="spellEnd"/>
      <w:r w:rsidR="00177F02">
        <w:rPr>
          <w:rFonts w:ascii="Bookman Old Style" w:eastAsiaTheme="minorEastAsia" w:hAnsi="Bookman Old Style"/>
          <w:color w:val="2A2E3A"/>
          <w:kern w:val="24"/>
        </w:rPr>
        <w:t>.</w:t>
      </w:r>
    </w:p>
    <w:p w14:paraId="2EB67E68" w14:textId="70C0E37E" w:rsidR="00223682" w:rsidRDefault="00223682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klaim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di masa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depan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risiko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belum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berakhir</w:t>
      </w:r>
      <w:proofErr w:type="spellEnd"/>
      <w:r w:rsidR="00177F02">
        <w:rPr>
          <w:rFonts w:ascii="Bookman Old Style" w:eastAsiaTheme="minorEastAsia" w:hAnsi="Bookman Old Style"/>
          <w:color w:val="2A2E3A"/>
          <w:kern w:val="24"/>
        </w:rPr>
        <w:t>;</w:t>
      </w:r>
    </w:p>
    <w:p w14:paraId="3584A560" w14:textId="7DBA7A9D" w:rsidR="00DB7781" w:rsidRPr="00DB7781" w:rsidRDefault="00DB7781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  <w:lang w:val="nb-NO"/>
        </w:rPr>
      </w:pPr>
      <w:r w:rsidRPr="00DB7781">
        <w:rPr>
          <w:rFonts w:ascii="Bookman Old Style" w:eastAsiaTheme="minorEastAsia" w:hAnsi="Bookman Old Style"/>
          <w:color w:val="2A2E3A"/>
          <w:kern w:val="24"/>
          <w:lang w:val="nb-NO"/>
        </w:rPr>
        <w:t>Alokasi arus kas akuisi asuransi</w:t>
      </w:r>
      <w:r w:rsidR="00177F02">
        <w:rPr>
          <w:rFonts w:ascii="Bookman Old Style" w:eastAsiaTheme="minorEastAsia" w:hAnsi="Bookman Old Style"/>
          <w:color w:val="2A2E3A"/>
          <w:kern w:val="24"/>
          <w:lang w:val="nb-NO"/>
        </w:rPr>
        <w:t>;</w:t>
      </w:r>
    </w:p>
    <w:p w14:paraId="662B3576" w14:textId="3A1047E5" w:rsidR="00DB7781" w:rsidRDefault="00DB7781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penanganan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klaim</w:t>
      </w:r>
      <w:proofErr w:type="spellEnd"/>
      <w:r w:rsidR="00177F02">
        <w:rPr>
          <w:rFonts w:ascii="Bookman Old Style" w:eastAsiaTheme="minorEastAsia" w:hAnsi="Bookman Old Style"/>
          <w:color w:val="2A2E3A"/>
          <w:kern w:val="24"/>
        </w:rPr>
        <w:t>;</w:t>
      </w:r>
    </w:p>
    <w:p w14:paraId="08EA4B00" w14:textId="0862E2BA" w:rsidR="00DB7781" w:rsidRDefault="00DB7781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dikeluarkan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entitas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untuk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pembayaran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dalam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bentuk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natura;</w:t>
      </w:r>
    </w:p>
    <w:p w14:paraId="4A87A58F" w14:textId="73067864" w:rsidR="006E0FE1" w:rsidRPr="00790B7F" w:rsidRDefault="00177F02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administrasi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dan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pemeliharaan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</w:t>
      </w:r>
      <w:r w:rsidR="006E0FE1" w:rsidRPr="00790B7F">
        <w:rPr>
          <w:rFonts w:ascii="Bookman Old Style" w:eastAsiaTheme="minorEastAsia" w:hAnsi="Bookman Old Style"/>
          <w:color w:val="2A2E3A"/>
          <w:kern w:val="24"/>
        </w:rPr>
        <w:t>;</w:t>
      </w:r>
    </w:p>
    <w:p w14:paraId="48D25FFC" w14:textId="50FF6226" w:rsidR="00177F02" w:rsidRPr="00177F02" w:rsidRDefault="00177F02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  <w:lang w:val="nn-NO"/>
        </w:rPr>
      </w:pPr>
      <w:r w:rsidRPr="00177F02">
        <w:rPr>
          <w:rFonts w:ascii="Bookman Old Style" w:eastAsiaTheme="minorEastAsia" w:hAnsi="Bookman Old Style"/>
          <w:color w:val="2A2E3A"/>
          <w:kern w:val="24"/>
          <w:lang w:val="nn-NO"/>
        </w:rPr>
        <w:t>Biaya berbasis transaksi seperti pungutan dan pajak premi;</w:t>
      </w:r>
    </w:p>
    <w:p w14:paraId="1B44BB0D" w14:textId="76F4127F" w:rsidR="006E0FE1" w:rsidRPr="00177F02" w:rsidRDefault="00177F02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  <w:lang w:val="nn-NO"/>
        </w:rPr>
      </w:pPr>
      <w:r w:rsidRPr="00177F02">
        <w:rPr>
          <w:rFonts w:ascii="Bookman Old Style" w:eastAsiaTheme="minorEastAsia" w:hAnsi="Bookman Old Style"/>
          <w:color w:val="2A2E3A"/>
          <w:kern w:val="24"/>
          <w:lang w:val="nn-NO"/>
        </w:rPr>
        <w:t>Pajak penghasilan yang dibayarkan dalam kapasitas fidusia untuk memenuhi kewajiban kepada pemegang polis atau secara khusus dibebankan kepada pemegang polis</w:t>
      </w:r>
      <w:r w:rsidR="006E0FE1" w:rsidRPr="00177F02">
        <w:rPr>
          <w:rFonts w:ascii="Bookman Old Style" w:eastAsiaTheme="minorEastAsia" w:hAnsi="Bookman Old Style"/>
          <w:color w:val="2A2E3A"/>
          <w:kern w:val="24"/>
          <w:lang w:val="nn-NO"/>
        </w:rPr>
        <w:t>;</w:t>
      </w:r>
    </w:p>
    <w:p w14:paraId="36C8A156" w14:textId="0B8C297A" w:rsidR="006E0FE1" w:rsidRPr="00790B7F" w:rsidRDefault="00177F02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177F02">
        <w:rPr>
          <w:rFonts w:ascii="Bookman Old Style" w:eastAsiaTheme="minorEastAsia" w:hAnsi="Bookman Old Style"/>
          <w:color w:val="2A2E3A"/>
          <w:kern w:val="24"/>
          <w:lang w:val="nn-NO"/>
        </w:rPr>
        <w:t xml:space="preserve">Arus kas masuk dari penyelamatan, subrogasi, dan pemulihan lainnya. </w:t>
      </w:r>
    </w:p>
    <w:p w14:paraId="08145B35" w14:textId="1DFF8443" w:rsidR="006E0FE1" w:rsidRPr="003B42F9" w:rsidRDefault="00177F02" w:rsidP="003B42F9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Penyesuaian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premi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retrospektif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berdasarkan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pengalaman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klaim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dalam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</w:t>
      </w:r>
      <w:r w:rsidR="003B42F9">
        <w:rPr>
          <w:rFonts w:ascii="Bookman Old Style" w:eastAsiaTheme="minorEastAsia" w:hAnsi="Bookman Old Style"/>
          <w:i/>
          <w:iCs/>
          <w:color w:val="2A2E3A"/>
          <w:kern w:val="24"/>
        </w:rPr>
        <w:t>contract boundary</w:t>
      </w:r>
      <w:r w:rsidR="003B42F9">
        <w:rPr>
          <w:rFonts w:ascii="Bookman Old Style" w:eastAsiaTheme="minorEastAsia" w:hAnsi="Bookman Old Style"/>
          <w:color w:val="2A2E3A"/>
          <w:kern w:val="24"/>
        </w:rPr>
        <w:t xml:space="preserve"> (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misal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beberapa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kontrak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kompensasi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pekerja</w:t>
      </w:r>
      <w:proofErr w:type="spellEnd"/>
      <w:r w:rsidR="003B42F9">
        <w:rPr>
          <w:rFonts w:ascii="Bookman Old Style" w:eastAsiaTheme="minorEastAsia" w:hAnsi="Bookman Old Style"/>
          <w:color w:val="2A2E3A"/>
          <w:kern w:val="24"/>
        </w:rPr>
        <w:t xml:space="preserve"> dan </w:t>
      </w:r>
      <w:proofErr w:type="spellStart"/>
      <w:r w:rsidR="003B42F9">
        <w:rPr>
          <w:rFonts w:ascii="Bookman Old Style" w:eastAsiaTheme="minorEastAsia" w:hAnsi="Bookman Old Style"/>
          <w:color w:val="2A2E3A"/>
          <w:kern w:val="24"/>
        </w:rPr>
        <w:t>reasuransi</w:t>
      </w:r>
      <w:proofErr w:type="spellEnd"/>
    </w:p>
    <w:p w14:paraId="57AA8019" w14:textId="67FAF43B" w:rsidR="003B42F9" w:rsidRDefault="003B42F9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Alokasi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overhead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tetap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dan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variabel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</w:t>
      </w:r>
      <w:r w:rsidR="00ED3AE3">
        <w:rPr>
          <w:rFonts w:ascii="Bookman Old Style" w:eastAsiaTheme="minorEastAsia" w:hAnsi="Bookman Old Style"/>
          <w:color w:val="2A2E3A"/>
          <w:kern w:val="24"/>
        </w:rPr>
        <w:t>a</w:t>
      </w:r>
      <w:r>
        <w:rPr>
          <w:rFonts w:ascii="Bookman Old Style" w:eastAsiaTheme="minorEastAsia" w:hAnsi="Bookman Old Style"/>
          <w:color w:val="2A2E3A"/>
          <w:kern w:val="24"/>
        </w:rPr>
        <w:t>tribusikan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langsung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untuk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memenuhi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kontrak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asuransi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>; dan</w:t>
      </w:r>
    </w:p>
    <w:p w14:paraId="0BB6E22C" w14:textId="77777777" w:rsidR="00ED3AE3" w:rsidRDefault="00ED3AE3" w:rsidP="006E0FE1">
      <w:pPr>
        <w:pStyle w:val="ListParagraph"/>
        <w:numPr>
          <w:ilvl w:val="1"/>
          <w:numId w:val="6"/>
        </w:numPr>
        <w:ind w:left="851"/>
        <w:jc w:val="both"/>
        <w:rPr>
          <w:rFonts w:ascii="Bookman Old Style" w:eastAsiaTheme="minorEastAsia" w:hAnsi="Bookman Old Style"/>
          <w:color w:val="2A2E3A"/>
          <w:kern w:val="24"/>
        </w:rPr>
      </w:pP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Biaya-biaya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lain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secara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khusus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dibebankan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kepada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pemegang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sesuai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dengan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ketentuan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kontrak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(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misal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biaya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disepakati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secara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lastRenderedPageBreak/>
        <w:t>kontrak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untuk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mencetak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dokumen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baru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setelah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kehilangan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dokumen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 polis yang </w:t>
      </w:r>
      <w:proofErr w:type="spellStart"/>
      <w:r>
        <w:rPr>
          <w:rFonts w:ascii="Bookman Old Style" w:eastAsiaTheme="minorEastAsia" w:hAnsi="Bookman Old Style"/>
          <w:color w:val="2A2E3A"/>
          <w:kern w:val="24"/>
        </w:rPr>
        <w:t>asli</w:t>
      </w:r>
      <w:proofErr w:type="spellEnd"/>
      <w:r>
        <w:rPr>
          <w:rFonts w:ascii="Bookman Old Style" w:eastAsiaTheme="minorEastAsia" w:hAnsi="Bookman Old Style"/>
          <w:color w:val="2A2E3A"/>
          <w:kern w:val="24"/>
        </w:rPr>
        <w:t xml:space="preserve">). </w:t>
      </w:r>
    </w:p>
    <w:p w14:paraId="06BF9396" w14:textId="38667680" w:rsidR="00BA195C" w:rsidRPr="00790B7F" w:rsidRDefault="00BA195C" w:rsidP="00BA195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790B7F">
        <w:rPr>
          <w:rFonts w:ascii="Bookman Old Style" w:eastAsiaTheme="minorEastAsia" w:hAnsi="Bookman Old Style"/>
          <w:color w:val="2A2E3A"/>
          <w:kern w:val="24"/>
        </w:rPr>
        <w:t xml:space="preserve">Level </w:t>
      </w:r>
      <w:proofErr w:type="spellStart"/>
      <w:r w:rsidRPr="00790B7F">
        <w:rPr>
          <w:rFonts w:ascii="Bookman Old Style" w:eastAsiaTheme="minorEastAsia" w:hAnsi="Bookman Old Style"/>
          <w:color w:val="2A2E3A"/>
          <w:kern w:val="24"/>
        </w:rPr>
        <w:t>Agregasi</w:t>
      </w:r>
      <w:proofErr w:type="spellEnd"/>
    </w:p>
    <w:p w14:paraId="2B474E44" w14:textId="2DCA2ED5" w:rsidR="00BA195C" w:rsidRPr="00790B7F" w:rsidRDefault="00BA195C" w:rsidP="00BA195C">
      <w:pPr>
        <w:pStyle w:val="ListParagraph"/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790B7F">
        <w:rPr>
          <w:rFonts w:ascii="Bookman Old Style" w:hAnsi="Bookman Old Style"/>
          <w:noProof/>
        </w:rPr>
        <w:drawing>
          <wp:inline distT="0" distB="0" distL="0" distR="0" wp14:anchorId="40736F14" wp14:editId="414199A5">
            <wp:extent cx="5731510" cy="4501515"/>
            <wp:effectExtent l="0" t="0" r="254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9F758D2-EF17-5312-6804-D114BA360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9F758D2-EF17-5312-6804-D114BA3607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F402" w14:textId="04C79C28" w:rsidR="00BA195C" w:rsidRPr="00790B7F" w:rsidRDefault="00BA195C" w:rsidP="00BA195C">
      <w:pPr>
        <w:pStyle w:val="ListParagraph"/>
        <w:ind w:left="426"/>
        <w:jc w:val="both"/>
        <w:rPr>
          <w:rFonts w:ascii="Bookman Old Style" w:eastAsiaTheme="minorEastAsia" w:hAnsi="Bookman Old Style"/>
          <w:color w:val="2A2E3A"/>
          <w:kern w:val="24"/>
        </w:rPr>
      </w:pPr>
      <w:r w:rsidRPr="00790B7F">
        <w:rPr>
          <w:rFonts w:ascii="Bookman Old Style" w:eastAsiaTheme="minorEastAsia" w:hAnsi="Bookman Old Style"/>
          <w:noProof/>
          <w:color w:val="2A2E3A"/>
          <w:kern w:val="24"/>
        </w:rPr>
        <w:drawing>
          <wp:inline distT="0" distB="0" distL="0" distR="0" wp14:anchorId="78BE57C9" wp14:editId="064892AA">
            <wp:extent cx="5731510" cy="1523365"/>
            <wp:effectExtent l="0" t="0" r="2540" b="63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2E8FC80-0641-FE99-36D7-3DE7568D8D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2E8FC80-0641-FE99-36D7-3DE7568D8D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0F87" w14:textId="77777777" w:rsidR="000F5430" w:rsidRPr="00790B7F" w:rsidRDefault="000F5430" w:rsidP="000F5430">
      <w:pPr>
        <w:pStyle w:val="ListParagraph"/>
        <w:jc w:val="both"/>
        <w:rPr>
          <w:rFonts w:ascii="Bookman Old Style" w:eastAsiaTheme="minorEastAsia" w:hAnsi="Bookman Old Style"/>
          <w:color w:val="2A2E3A"/>
          <w:kern w:val="24"/>
          <w:lang w:val="en-US"/>
        </w:rPr>
      </w:pPr>
    </w:p>
    <w:p w14:paraId="75204B2A" w14:textId="77777777" w:rsidR="001A445A" w:rsidRPr="00790B7F" w:rsidRDefault="001A445A" w:rsidP="001A445A">
      <w:pPr>
        <w:jc w:val="both"/>
        <w:rPr>
          <w:rFonts w:ascii="Bookman Old Style" w:hAnsi="Bookman Old Style"/>
          <w:lang w:val="en-US"/>
        </w:rPr>
      </w:pPr>
    </w:p>
    <w:sectPr w:rsidR="001A445A" w:rsidRPr="00790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Hoves Bold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7A1"/>
    <w:multiLevelType w:val="hybridMultilevel"/>
    <w:tmpl w:val="B1FC84D0"/>
    <w:lvl w:ilvl="0" w:tplc="3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66" w:hanging="360"/>
      </w:pPr>
      <w:rPr>
        <w:rFonts w:ascii="TT Hoves Bold" w:eastAsiaTheme="minorEastAsia" w:hAnsi="TT Hoves Bol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C861C3"/>
    <w:multiLevelType w:val="hybridMultilevel"/>
    <w:tmpl w:val="991A011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409"/>
    <w:multiLevelType w:val="hybridMultilevel"/>
    <w:tmpl w:val="F82EB42E"/>
    <w:lvl w:ilvl="0" w:tplc="BF38730E">
      <w:start w:val="1"/>
      <w:numFmt w:val="decimal"/>
      <w:lvlText w:val="%1."/>
      <w:lvlJc w:val="left"/>
      <w:pPr>
        <w:ind w:left="720" w:hanging="360"/>
      </w:pPr>
      <w:rPr>
        <w:rFonts w:ascii="TT Hoves Bold" w:eastAsiaTheme="minorEastAsia" w:hAnsi="TT Hoves Bold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3F3D"/>
    <w:multiLevelType w:val="hybridMultilevel"/>
    <w:tmpl w:val="863AF9CA"/>
    <w:lvl w:ilvl="0" w:tplc="BBA41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472FBB"/>
    <w:multiLevelType w:val="hybridMultilevel"/>
    <w:tmpl w:val="B8C4BD2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7B1"/>
    <w:multiLevelType w:val="hybridMultilevel"/>
    <w:tmpl w:val="E37A7140"/>
    <w:lvl w:ilvl="0" w:tplc="3AB47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3332"/>
    <w:multiLevelType w:val="hybridMultilevel"/>
    <w:tmpl w:val="25081EFA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F9C22D6">
      <w:numFmt w:val="bullet"/>
      <w:lvlText w:val="•"/>
      <w:lvlJc w:val="left"/>
      <w:pPr>
        <w:ind w:left="1866" w:hanging="360"/>
      </w:pPr>
      <w:rPr>
        <w:rFonts w:ascii="TT Hoves Bold" w:eastAsiaTheme="minorEastAsia" w:hAnsi="TT Hoves Bold" w:cstheme="minorBidi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5160337">
    <w:abstractNumId w:val="2"/>
  </w:num>
  <w:num w:numId="2" w16cid:durableId="1927153794">
    <w:abstractNumId w:val="5"/>
  </w:num>
  <w:num w:numId="3" w16cid:durableId="169292444">
    <w:abstractNumId w:val="1"/>
  </w:num>
  <w:num w:numId="4" w16cid:durableId="1340277027">
    <w:abstractNumId w:val="4"/>
  </w:num>
  <w:num w:numId="5" w16cid:durableId="1794445878">
    <w:abstractNumId w:val="3"/>
  </w:num>
  <w:num w:numId="6" w16cid:durableId="1937324011">
    <w:abstractNumId w:val="6"/>
  </w:num>
  <w:num w:numId="7" w16cid:durableId="17690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5A"/>
    <w:rsid w:val="00057DB1"/>
    <w:rsid w:val="000F5430"/>
    <w:rsid w:val="00123433"/>
    <w:rsid w:val="001604F0"/>
    <w:rsid w:val="0017753F"/>
    <w:rsid w:val="00177F02"/>
    <w:rsid w:val="001A445A"/>
    <w:rsid w:val="00223682"/>
    <w:rsid w:val="003B42F9"/>
    <w:rsid w:val="004C25A8"/>
    <w:rsid w:val="005529A7"/>
    <w:rsid w:val="00640A82"/>
    <w:rsid w:val="00652E45"/>
    <w:rsid w:val="006D0213"/>
    <w:rsid w:val="006E0FE1"/>
    <w:rsid w:val="007169E4"/>
    <w:rsid w:val="00790B7F"/>
    <w:rsid w:val="007C064E"/>
    <w:rsid w:val="009372A9"/>
    <w:rsid w:val="00964517"/>
    <w:rsid w:val="00987538"/>
    <w:rsid w:val="009B74BF"/>
    <w:rsid w:val="00AF5909"/>
    <w:rsid w:val="00B944F2"/>
    <w:rsid w:val="00BA195C"/>
    <w:rsid w:val="00CD6C13"/>
    <w:rsid w:val="00CF3D56"/>
    <w:rsid w:val="00DB6C90"/>
    <w:rsid w:val="00DB7781"/>
    <w:rsid w:val="00DD2B07"/>
    <w:rsid w:val="00E643CC"/>
    <w:rsid w:val="00ED3AE3"/>
    <w:rsid w:val="00F07678"/>
    <w:rsid w:val="00FA3CCF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54D0"/>
  <w15:chartTrackingRefBased/>
  <w15:docId w15:val="{E4D33D94-0094-48EC-965B-1B8ED65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4AB2B-DF51-490C-9683-13E543651EB1}"/>
</file>

<file path=customXml/itemProps2.xml><?xml version="1.0" encoding="utf-8"?>
<ds:datastoreItem xmlns:ds="http://schemas.openxmlformats.org/officeDocument/2006/customXml" ds:itemID="{EEE67549-D0CE-495B-8B0C-5677C66116F3}"/>
</file>

<file path=customXml/itemProps3.xml><?xml version="1.0" encoding="utf-8"?>
<ds:datastoreItem xmlns:ds="http://schemas.openxmlformats.org/officeDocument/2006/customXml" ds:itemID="{F8561486-6C45-4869-B113-CCF0EEA61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vastunadia yusnasari</dc:creator>
  <cp:keywords/>
  <dc:description/>
  <cp:lastModifiedBy>vastunadia yusnasari</cp:lastModifiedBy>
  <cp:revision>28</cp:revision>
  <dcterms:created xsi:type="dcterms:W3CDTF">2024-06-20T03:31:00Z</dcterms:created>
  <dcterms:modified xsi:type="dcterms:W3CDTF">2024-06-27T08:44:00Z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