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5804" w14:textId="7743D1E0" w:rsidR="00344080" w:rsidRPr="00C562C1" w:rsidRDefault="00344080" w:rsidP="003D2FCF">
      <w:pPr>
        <w:spacing w:after="0" w:line="360" w:lineRule="auto"/>
        <w:rPr>
          <w:rFonts w:ascii="Bookman Old Style" w:eastAsia="Bookman Old Style" w:hAnsi="Bookman Old Style" w:cs="Bookman Old Style"/>
          <w:sz w:val="24"/>
          <w:szCs w:val="24"/>
        </w:rPr>
      </w:pPr>
    </w:p>
    <w:p w14:paraId="152D75DC" w14:textId="77777777" w:rsidR="00344080" w:rsidRPr="00C562C1" w:rsidRDefault="00344080" w:rsidP="003D2FCF">
      <w:pPr>
        <w:spacing w:after="0" w:line="360" w:lineRule="auto"/>
        <w:ind w:right="6"/>
        <w:jc w:val="center"/>
        <w:rPr>
          <w:rFonts w:ascii="Bookman Old Style" w:eastAsia="Bookman Old Style" w:hAnsi="Bookman Old Style" w:cs="Bookman Old Style"/>
          <w:sz w:val="24"/>
          <w:szCs w:val="24"/>
        </w:rPr>
      </w:pPr>
    </w:p>
    <w:p w14:paraId="25435F95" w14:textId="77777777" w:rsidR="00344080" w:rsidRPr="00C562C1" w:rsidRDefault="00344080" w:rsidP="003D2FCF">
      <w:pPr>
        <w:spacing w:after="0" w:line="360" w:lineRule="auto"/>
        <w:rPr>
          <w:rFonts w:ascii="Bookman Old Style" w:eastAsia="Bookman Old Style" w:hAnsi="Bookman Old Style" w:cs="Bookman Old Style"/>
          <w:sz w:val="24"/>
          <w:szCs w:val="24"/>
        </w:rPr>
      </w:pPr>
    </w:p>
    <w:tbl>
      <w:tblPr>
        <w:tblStyle w:val="a"/>
        <w:tblW w:w="5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066"/>
        <w:gridCol w:w="5109"/>
        <w:gridCol w:w="4855"/>
        <w:gridCol w:w="4855"/>
      </w:tblGrid>
      <w:tr w:rsidR="00C562C1" w:rsidRPr="00C562C1" w14:paraId="28A4E488" w14:textId="265A55B0" w:rsidTr="00C61A26">
        <w:trPr>
          <w:tblHeader/>
          <w:jc w:val="center"/>
        </w:trPr>
        <w:tc>
          <w:tcPr>
            <w:tcW w:w="2781" w:type="pct"/>
            <w:gridSpan w:val="2"/>
            <w:shd w:val="clear" w:color="auto" w:fill="FFFF00"/>
          </w:tcPr>
          <w:p w14:paraId="2C934403" w14:textId="326739AC"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r w:rsidRPr="00C562C1">
              <w:rPr>
                <w:rFonts w:ascii="Bookman Old Style" w:eastAsia="Bookman Old Style" w:hAnsi="Bookman Old Style" w:cs="Bookman Old Style"/>
                <w:b/>
                <w:bCs/>
                <w:sz w:val="24"/>
                <w:szCs w:val="24"/>
              </w:rPr>
              <w:t>Draft Peraturan</w:t>
            </w:r>
          </w:p>
        </w:tc>
        <w:tc>
          <w:tcPr>
            <w:tcW w:w="1109" w:type="pct"/>
            <w:vMerge w:val="restart"/>
            <w:shd w:val="clear" w:color="auto" w:fill="FFFF00"/>
            <w:vAlign w:val="center"/>
          </w:tcPr>
          <w:p w14:paraId="498F372E" w14:textId="4E9B54C7"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r w:rsidRPr="00C562C1">
              <w:rPr>
                <w:rFonts w:ascii="Bookman Old Style" w:eastAsia="Bookman Old Style" w:hAnsi="Bookman Old Style" w:cs="Bookman Old Style"/>
                <w:b/>
                <w:bCs/>
                <w:sz w:val="24"/>
                <w:szCs w:val="24"/>
              </w:rPr>
              <w:t>Tanggapan</w:t>
            </w:r>
          </w:p>
        </w:tc>
        <w:tc>
          <w:tcPr>
            <w:tcW w:w="1109" w:type="pct"/>
            <w:vMerge w:val="restart"/>
            <w:shd w:val="clear" w:color="auto" w:fill="FFFF00"/>
            <w:vAlign w:val="center"/>
          </w:tcPr>
          <w:p w14:paraId="729614B4" w14:textId="239414CB"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r w:rsidRPr="00C562C1">
              <w:rPr>
                <w:rFonts w:ascii="Bookman Old Style" w:eastAsia="Bookman Old Style" w:hAnsi="Bookman Old Style" w:cs="Bookman Old Style"/>
                <w:b/>
                <w:bCs/>
                <w:sz w:val="24"/>
                <w:szCs w:val="24"/>
              </w:rPr>
              <w:t>Usulan Perubahan</w:t>
            </w:r>
          </w:p>
        </w:tc>
      </w:tr>
      <w:tr w:rsidR="00C562C1" w:rsidRPr="00C562C1" w14:paraId="456365C8" w14:textId="02A54072" w:rsidTr="00C61A26">
        <w:trPr>
          <w:tblHeader/>
          <w:jc w:val="center"/>
        </w:trPr>
        <w:tc>
          <w:tcPr>
            <w:tcW w:w="1614" w:type="pct"/>
            <w:shd w:val="clear" w:color="auto" w:fill="FFFF00"/>
          </w:tcPr>
          <w:p w14:paraId="4C7526EE" w14:textId="64B34A45"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r w:rsidRPr="00C562C1">
              <w:rPr>
                <w:rFonts w:ascii="Bookman Old Style" w:eastAsia="Bookman Old Style" w:hAnsi="Bookman Old Style" w:cs="Bookman Old Style"/>
                <w:b/>
                <w:bCs/>
                <w:sz w:val="24"/>
                <w:szCs w:val="24"/>
              </w:rPr>
              <w:t>Batang Tubuh</w:t>
            </w:r>
          </w:p>
        </w:tc>
        <w:tc>
          <w:tcPr>
            <w:tcW w:w="1167" w:type="pct"/>
            <w:shd w:val="clear" w:color="auto" w:fill="FFFF00"/>
          </w:tcPr>
          <w:p w14:paraId="5C460ACD" w14:textId="4C26330E"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r w:rsidRPr="00C562C1">
              <w:rPr>
                <w:rFonts w:ascii="Bookman Old Style" w:eastAsia="Bookman Old Style" w:hAnsi="Bookman Old Style" w:cs="Bookman Old Style"/>
                <w:b/>
                <w:bCs/>
                <w:sz w:val="24"/>
                <w:szCs w:val="24"/>
              </w:rPr>
              <w:t>Penjelasan</w:t>
            </w:r>
          </w:p>
        </w:tc>
        <w:tc>
          <w:tcPr>
            <w:tcW w:w="1109" w:type="pct"/>
            <w:vMerge/>
            <w:shd w:val="clear" w:color="auto" w:fill="D0CECE" w:themeFill="background2" w:themeFillShade="E6"/>
          </w:tcPr>
          <w:p w14:paraId="65446B41" w14:textId="77777777"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p>
        </w:tc>
        <w:tc>
          <w:tcPr>
            <w:tcW w:w="1109" w:type="pct"/>
            <w:vMerge/>
            <w:shd w:val="clear" w:color="auto" w:fill="D0CECE" w:themeFill="background2" w:themeFillShade="E6"/>
          </w:tcPr>
          <w:p w14:paraId="18A5FD0E" w14:textId="77777777" w:rsidR="002D0AA9" w:rsidRPr="00C562C1" w:rsidRDefault="002D0AA9" w:rsidP="003D2FCF">
            <w:pPr>
              <w:spacing w:after="0" w:line="360" w:lineRule="auto"/>
              <w:ind w:left="30"/>
              <w:jc w:val="center"/>
              <w:rPr>
                <w:rFonts w:ascii="Bookman Old Style" w:eastAsia="Bookman Old Style" w:hAnsi="Bookman Old Style" w:cs="Bookman Old Style"/>
                <w:b/>
                <w:bCs/>
                <w:sz w:val="24"/>
                <w:szCs w:val="24"/>
              </w:rPr>
            </w:pPr>
          </w:p>
        </w:tc>
      </w:tr>
      <w:tr w:rsidR="00C562C1" w:rsidRPr="00C562C1" w14:paraId="27995429" w14:textId="32E9B8F0" w:rsidTr="00C61A26">
        <w:trPr>
          <w:jc w:val="center"/>
        </w:trPr>
        <w:tc>
          <w:tcPr>
            <w:tcW w:w="1614" w:type="pct"/>
          </w:tcPr>
          <w:p w14:paraId="7BB14602" w14:textId="77777777" w:rsidR="000B11C0" w:rsidRPr="000B11C0" w:rsidRDefault="000B11C0" w:rsidP="000B11C0">
            <w:pPr>
              <w:spacing w:after="0" w:line="360" w:lineRule="auto"/>
              <w:ind w:right="6"/>
              <w:jc w:val="center"/>
              <w:rPr>
                <w:rFonts w:ascii="Bookman Old Style" w:eastAsia="Bookman Old Style" w:hAnsi="Bookman Old Style" w:cs="Bookman Old Style"/>
                <w:sz w:val="24"/>
                <w:szCs w:val="24"/>
              </w:rPr>
            </w:pPr>
            <w:r w:rsidRPr="000B11C0">
              <w:rPr>
                <w:rFonts w:ascii="Bookman Old Style" w:eastAsia="Bookman Old Style" w:hAnsi="Bookman Old Style" w:cs="Bookman Old Style"/>
                <w:sz w:val="24"/>
                <w:szCs w:val="24"/>
              </w:rPr>
              <w:t>PERATURAN OTORITAS JASA KEUANGAN</w:t>
            </w:r>
          </w:p>
          <w:p w14:paraId="257F654D" w14:textId="77777777" w:rsidR="000B11C0" w:rsidRDefault="000B11C0" w:rsidP="000B11C0">
            <w:pPr>
              <w:spacing w:after="0" w:line="360" w:lineRule="auto"/>
              <w:ind w:right="6"/>
              <w:jc w:val="center"/>
              <w:rPr>
                <w:rFonts w:ascii="Bookman Old Style" w:eastAsia="Bookman Old Style" w:hAnsi="Bookman Old Style" w:cs="Bookman Old Style"/>
                <w:sz w:val="24"/>
                <w:szCs w:val="24"/>
              </w:rPr>
            </w:pPr>
            <w:r w:rsidRPr="000B11C0">
              <w:rPr>
                <w:rFonts w:ascii="Bookman Old Style" w:eastAsia="Bookman Old Style" w:hAnsi="Bookman Old Style" w:cs="Bookman Old Style"/>
                <w:sz w:val="24"/>
                <w:szCs w:val="24"/>
              </w:rPr>
              <w:t>REPUBLIK INDONESIA</w:t>
            </w:r>
          </w:p>
          <w:p w14:paraId="3988A768" w14:textId="209594EF" w:rsidR="002D0AA9" w:rsidRPr="00C562C1" w:rsidRDefault="002D0AA9" w:rsidP="000B11C0">
            <w:pPr>
              <w:spacing w:after="0" w:line="360" w:lineRule="auto"/>
              <w:ind w:right="6"/>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NOMOR ... TAHUN …</w:t>
            </w:r>
          </w:p>
          <w:p w14:paraId="4A8B2256" w14:textId="77777777"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TENTANG</w:t>
            </w:r>
          </w:p>
          <w:p w14:paraId="65A97173" w14:textId="33BC71CE" w:rsidR="002D0AA9" w:rsidRPr="00C562C1" w:rsidRDefault="000B11C0" w:rsidP="003D2FCF">
            <w:pPr>
              <w:pBdr>
                <w:top w:val="nil"/>
                <w:left w:val="nil"/>
                <w:bottom w:val="nil"/>
                <w:right w:val="nil"/>
                <w:between w:val="nil"/>
              </w:pBdr>
              <w:spacing w:after="0" w:line="360" w:lineRule="auto"/>
              <w:ind w:right="6"/>
              <w:jc w:val="center"/>
              <w:rPr>
                <w:rFonts w:ascii="Bookman Old Style" w:eastAsia="Bookman Old Style" w:hAnsi="Bookman Old Style" w:cs="Bookman Old Style"/>
                <w:sz w:val="24"/>
                <w:szCs w:val="24"/>
              </w:rPr>
            </w:pPr>
            <w:r w:rsidRPr="000B11C0">
              <w:rPr>
                <w:rFonts w:ascii="Bookman Old Style" w:eastAsia="Bookman Old Style" w:hAnsi="Bookman Old Style" w:cs="Bookman Old Style"/>
                <w:sz w:val="24"/>
                <w:szCs w:val="24"/>
              </w:rPr>
              <w:t>PRODUK ASURANSI YANG DIKAITKAN DENGAN</w:t>
            </w:r>
            <w:r>
              <w:rPr>
                <w:rFonts w:ascii="Bookman Old Style" w:eastAsia="Bookman Old Style" w:hAnsi="Bookman Old Style" w:cs="Bookman Old Style"/>
                <w:sz w:val="24"/>
                <w:szCs w:val="24"/>
              </w:rPr>
              <w:t xml:space="preserve"> </w:t>
            </w:r>
            <w:r w:rsidRPr="000B11C0">
              <w:rPr>
                <w:rFonts w:ascii="Bookman Old Style" w:eastAsia="Bookman Old Style" w:hAnsi="Bookman Old Style" w:cs="Bookman Old Style"/>
                <w:sz w:val="24"/>
                <w:szCs w:val="24"/>
              </w:rPr>
              <w:t>INVESTASI</w:t>
            </w:r>
          </w:p>
          <w:p w14:paraId="30723D98" w14:textId="77777777" w:rsidR="002D0AA9" w:rsidRPr="00C562C1" w:rsidRDefault="002D0AA9" w:rsidP="003D2FCF">
            <w:pPr>
              <w:pBdr>
                <w:top w:val="nil"/>
                <w:left w:val="nil"/>
                <w:bottom w:val="nil"/>
                <w:right w:val="nil"/>
                <w:between w:val="nil"/>
              </w:pBdr>
              <w:spacing w:after="0" w:line="360" w:lineRule="auto"/>
              <w:ind w:right="6"/>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DENGAN RAHMAT TUHAN YANG MAHA ESA</w:t>
            </w:r>
          </w:p>
          <w:p w14:paraId="29B1AA84" w14:textId="77777777" w:rsidR="002D0AA9" w:rsidRPr="00C562C1" w:rsidRDefault="002D0AA9" w:rsidP="003D2FCF">
            <w:pPr>
              <w:pBdr>
                <w:top w:val="nil"/>
                <w:left w:val="nil"/>
                <w:bottom w:val="nil"/>
                <w:right w:val="nil"/>
                <w:between w:val="nil"/>
              </w:pBdr>
              <w:spacing w:after="0" w:line="360" w:lineRule="auto"/>
              <w:ind w:right="6"/>
              <w:jc w:val="center"/>
              <w:rPr>
                <w:rFonts w:ascii="Bookman Old Style" w:eastAsia="Bookman Old Style" w:hAnsi="Bookman Old Style" w:cs="Bookman Old Style"/>
                <w:sz w:val="24"/>
                <w:szCs w:val="24"/>
              </w:rPr>
            </w:pPr>
          </w:p>
          <w:p w14:paraId="64D469AA" w14:textId="1FE74992"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DEWAN KOMISIONER OTORITAS JASA KEUANGAN,</w:t>
            </w:r>
          </w:p>
        </w:tc>
        <w:tc>
          <w:tcPr>
            <w:tcW w:w="1167" w:type="pct"/>
          </w:tcPr>
          <w:p w14:paraId="43E6808A" w14:textId="77777777"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p>
        </w:tc>
        <w:tc>
          <w:tcPr>
            <w:tcW w:w="1109" w:type="pct"/>
          </w:tcPr>
          <w:p w14:paraId="2BF1DE15" w14:textId="77777777"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p>
        </w:tc>
        <w:tc>
          <w:tcPr>
            <w:tcW w:w="1109" w:type="pct"/>
          </w:tcPr>
          <w:p w14:paraId="4B68982B" w14:textId="77777777"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p>
        </w:tc>
      </w:tr>
      <w:tr w:rsidR="00C562C1" w:rsidRPr="00C562C1" w14:paraId="53E509C0" w14:textId="06A28051" w:rsidTr="00C61A26">
        <w:trPr>
          <w:jc w:val="center"/>
        </w:trPr>
        <w:tc>
          <w:tcPr>
            <w:tcW w:w="1614" w:type="pct"/>
          </w:tcPr>
          <w:p w14:paraId="23A6DFD1" w14:textId="0C51C432"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Menimbang:</w:t>
            </w:r>
          </w:p>
        </w:tc>
        <w:tc>
          <w:tcPr>
            <w:tcW w:w="1167" w:type="pct"/>
          </w:tcPr>
          <w:p w14:paraId="134B8C75" w14:textId="77777777"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p>
        </w:tc>
        <w:tc>
          <w:tcPr>
            <w:tcW w:w="1109" w:type="pct"/>
          </w:tcPr>
          <w:p w14:paraId="03B27CFA" w14:textId="77777777"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p>
        </w:tc>
        <w:tc>
          <w:tcPr>
            <w:tcW w:w="1109" w:type="pct"/>
          </w:tcPr>
          <w:p w14:paraId="23215CF9" w14:textId="77777777"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p>
        </w:tc>
      </w:tr>
      <w:tr w:rsidR="00C562C1" w:rsidRPr="00C562C1" w14:paraId="3E52C8B6" w14:textId="51F8831D" w:rsidTr="00C61A26">
        <w:trPr>
          <w:jc w:val="center"/>
        </w:trPr>
        <w:tc>
          <w:tcPr>
            <w:tcW w:w="1614" w:type="pct"/>
          </w:tcPr>
          <w:p w14:paraId="5DD5169D" w14:textId="6508B717" w:rsidR="002D0AA9" w:rsidRPr="00C562C1" w:rsidRDefault="002C7B9C">
            <w:pPr>
              <w:pStyle w:val="ListParagraph"/>
              <w:numPr>
                <w:ilvl w:val="0"/>
                <w:numId w:val="3"/>
              </w:numPr>
              <w:spacing w:after="0" w:line="360" w:lineRule="auto"/>
              <w:ind w:left="447" w:hanging="444"/>
              <w:jc w:val="both"/>
              <w:rPr>
                <w:rFonts w:ascii="Bookman Old Style" w:eastAsia="Bookman Old Style" w:hAnsi="Bookman Old Style" w:cs="Bookman Old Style"/>
                <w:sz w:val="24"/>
                <w:szCs w:val="24"/>
              </w:rPr>
            </w:pPr>
            <w:r w:rsidRPr="002C7B9C">
              <w:rPr>
                <w:rFonts w:ascii="Bookman Old Style" w:eastAsia="Bookman Old Style" w:hAnsi="Bookman Old Style" w:cs="Bookman Old Style"/>
                <w:sz w:val="24"/>
                <w:szCs w:val="24"/>
              </w:rPr>
              <w:t>bahwa produk asuransi yang dikaitkan dengan investasi memiliki karakteristik khusus yang menggabungkan unsur pelindungan asuransi dan pengelolaan investasi, sehingga memerlukan pengaturan yang memadai untuk memastikan transparansi, kehati-hatian, dan pelindungan pemegang polis;</w:t>
            </w:r>
          </w:p>
        </w:tc>
        <w:tc>
          <w:tcPr>
            <w:tcW w:w="1167" w:type="pct"/>
          </w:tcPr>
          <w:p w14:paraId="53B67D2E"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c>
          <w:tcPr>
            <w:tcW w:w="1109" w:type="pct"/>
          </w:tcPr>
          <w:p w14:paraId="1EBE58F9"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c>
          <w:tcPr>
            <w:tcW w:w="1109" w:type="pct"/>
          </w:tcPr>
          <w:p w14:paraId="45CAD463"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r>
      <w:tr w:rsidR="00C562C1" w:rsidRPr="00C562C1" w14:paraId="39E37C92" w14:textId="1142C68A" w:rsidTr="00C61A26">
        <w:trPr>
          <w:trHeight w:val="693"/>
          <w:jc w:val="center"/>
        </w:trPr>
        <w:tc>
          <w:tcPr>
            <w:tcW w:w="1614" w:type="pct"/>
          </w:tcPr>
          <w:p w14:paraId="23B6E107" w14:textId="4799CC21" w:rsidR="002D0AA9" w:rsidRPr="00C562C1" w:rsidRDefault="002C7B9C">
            <w:pPr>
              <w:pStyle w:val="ListParagraph"/>
              <w:numPr>
                <w:ilvl w:val="0"/>
                <w:numId w:val="3"/>
              </w:numPr>
              <w:spacing w:after="0" w:line="360" w:lineRule="auto"/>
              <w:ind w:left="447" w:hanging="444"/>
              <w:jc w:val="both"/>
              <w:rPr>
                <w:rFonts w:ascii="Bookman Old Style" w:eastAsia="Bookman Old Style" w:hAnsi="Bookman Old Style" w:cs="Bookman Old Style"/>
                <w:sz w:val="24"/>
                <w:szCs w:val="24"/>
              </w:rPr>
            </w:pPr>
            <w:r w:rsidRPr="002C7B9C">
              <w:rPr>
                <w:rFonts w:ascii="Bookman Old Style" w:eastAsia="Bookman Old Style" w:hAnsi="Bookman Old Style" w:cs="Bookman Old Style"/>
                <w:sz w:val="24"/>
                <w:szCs w:val="24"/>
              </w:rPr>
              <w:t>bahwa peraturan mengenai produk asuransi yang dikaitkan dengan investasi yang saat ini berlaku perlu disesuaikan dengan kebutuhan dan perkembangan pasar untuk menunjang keberlanjutan produk asuransi yang dikaitkan dengan investasi;</w:t>
            </w:r>
          </w:p>
        </w:tc>
        <w:tc>
          <w:tcPr>
            <w:tcW w:w="1167" w:type="pct"/>
          </w:tcPr>
          <w:p w14:paraId="19B97F60"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c>
          <w:tcPr>
            <w:tcW w:w="1109" w:type="pct"/>
          </w:tcPr>
          <w:p w14:paraId="3F5AA1E8"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c>
          <w:tcPr>
            <w:tcW w:w="1109" w:type="pct"/>
          </w:tcPr>
          <w:p w14:paraId="49C7572D"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r>
      <w:tr w:rsidR="00C562C1" w:rsidRPr="00C562C1" w14:paraId="069FE01A" w14:textId="7F683847" w:rsidTr="00C61A26">
        <w:trPr>
          <w:jc w:val="center"/>
        </w:trPr>
        <w:tc>
          <w:tcPr>
            <w:tcW w:w="1614" w:type="pct"/>
          </w:tcPr>
          <w:p w14:paraId="7339AC9C" w14:textId="41BF3DC3" w:rsidR="002D0AA9" w:rsidRPr="00C562C1" w:rsidRDefault="002C7B9C">
            <w:pPr>
              <w:pStyle w:val="ListParagraph"/>
              <w:numPr>
                <w:ilvl w:val="0"/>
                <w:numId w:val="3"/>
              </w:numPr>
              <w:spacing w:after="0" w:line="360" w:lineRule="auto"/>
              <w:ind w:left="447" w:hanging="444"/>
              <w:jc w:val="both"/>
              <w:rPr>
                <w:rFonts w:ascii="Bookman Old Style" w:eastAsia="Bookman Old Style" w:hAnsi="Bookman Old Style" w:cs="Bookman Old Style"/>
                <w:sz w:val="24"/>
                <w:szCs w:val="24"/>
              </w:rPr>
            </w:pPr>
            <w:r w:rsidRPr="002C7B9C">
              <w:rPr>
                <w:rFonts w:ascii="Bookman Old Style" w:eastAsia="Bookman Old Style" w:hAnsi="Bookman Old Style" w:cs="Bookman Old Style"/>
                <w:sz w:val="24"/>
                <w:szCs w:val="24"/>
              </w:rPr>
              <w:t xml:space="preserve">bahwa berdasarkan pertimbangan sebagaimana dimaksud dalam huruf a dan huruf b, perlu menetapkan Peraturan Otoritas Jasa Keuangan </w:t>
            </w:r>
            <w:r w:rsidRPr="002C7B9C">
              <w:rPr>
                <w:rFonts w:ascii="Bookman Old Style" w:eastAsia="Bookman Old Style" w:hAnsi="Bookman Old Style" w:cs="Bookman Old Style"/>
                <w:sz w:val="24"/>
                <w:szCs w:val="24"/>
              </w:rPr>
              <w:lastRenderedPageBreak/>
              <w:t>tentang Produk Asuransi Yang Dikaitkan Dengan Investasi;</w:t>
            </w:r>
          </w:p>
        </w:tc>
        <w:tc>
          <w:tcPr>
            <w:tcW w:w="1167" w:type="pct"/>
          </w:tcPr>
          <w:p w14:paraId="63461935"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c>
          <w:tcPr>
            <w:tcW w:w="1109" w:type="pct"/>
          </w:tcPr>
          <w:p w14:paraId="4FB829E3"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c>
          <w:tcPr>
            <w:tcW w:w="1109" w:type="pct"/>
          </w:tcPr>
          <w:p w14:paraId="5C440150" w14:textId="77777777" w:rsidR="002D0AA9" w:rsidRPr="00C562C1" w:rsidRDefault="002D0AA9">
            <w:pPr>
              <w:numPr>
                <w:ilvl w:val="0"/>
                <w:numId w:val="1"/>
              </w:numPr>
              <w:spacing w:after="0" w:line="360" w:lineRule="auto"/>
              <w:ind w:left="30" w:hanging="493"/>
              <w:jc w:val="both"/>
              <w:rPr>
                <w:rFonts w:ascii="Bookman Old Style" w:eastAsia="Bookman Old Style" w:hAnsi="Bookman Old Style" w:cs="Bookman Old Style"/>
                <w:sz w:val="24"/>
                <w:szCs w:val="24"/>
              </w:rPr>
            </w:pPr>
          </w:p>
        </w:tc>
      </w:tr>
      <w:tr w:rsidR="00C562C1" w:rsidRPr="00C562C1" w14:paraId="781B0CC5" w14:textId="37F34E47" w:rsidTr="00C61A26">
        <w:trPr>
          <w:jc w:val="center"/>
        </w:trPr>
        <w:tc>
          <w:tcPr>
            <w:tcW w:w="1614" w:type="pct"/>
          </w:tcPr>
          <w:p w14:paraId="7C8E3F30" w14:textId="3A456B8A" w:rsidR="002D0AA9" w:rsidRPr="00C562C1" w:rsidRDefault="002D0AA9" w:rsidP="003D2FCF">
            <w:pPr>
              <w:tabs>
                <w:tab w:val="left" w:pos="1980"/>
                <w:tab w:val="left" w:pos="2552"/>
              </w:tabs>
              <w:spacing w:after="0" w:line="360" w:lineRule="auto"/>
              <w:ind w:left="30"/>
              <w:jc w:val="both"/>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Mengingat:</w:t>
            </w:r>
          </w:p>
        </w:tc>
        <w:tc>
          <w:tcPr>
            <w:tcW w:w="1167" w:type="pct"/>
          </w:tcPr>
          <w:p w14:paraId="6110CC75" w14:textId="77777777" w:rsidR="002D0AA9" w:rsidRPr="00C562C1" w:rsidRDefault="002D0AA9" w:rsidP="003D2FCF">
            <w:pPr>
              <w:tabs>
                <w:tab w:val="left" w:pos="1980"/>
                <w:tab w:val="left" w:pos="2552"/>
              </w:tabs>
              <w:spacing w:after="0" w:line="360" w:lineRule="auto"/>
              <w:ind w:left="30"/>
              <w:jc w:val="both"/>
              <w:rPr>
                <w:rFonts w:ascii="Bookman Old Style" w:eastAsia="Bookman Old Style" w:hAnsi="Bookman Old Style" w:cs="Bookman Old Style"/>
                <w:sz w:val="24"/>
                <w:szCs w:val="24"/>
              </w:rPr>
            </w:pPr>
          </w:p>
        </w:tc>
        <w:tc>
          <w:tcPr>
            <w:tcW w:w="1109" w:type="pct"/>
          </w:tcPr>
          <w:p w14:paraId="1415E2D7" w14:textId="77777777" w:rsidR="002D0AA9" w:rsidRPr="00C562C1" w:rsidRDefault="002D0AA9" w:rsidP="003D2FCF">
            <w:pPr>
              <w:tabs>
                <w:tab w:val="left" w:pos="1980"/>
                <w:tab w:val="left" w:pos="2552"/>
              </w:tabs>
              <w:spacing w:after="0" w:line="360" w:lineRule="auto"/>
              <w:ind w:left="30"/>
              <w:jc w:val="both"/>
              <w:rPr>
                <w:rFonts w:ascii="Bookman Old Style" w:eastAsia="Bookman Old Style" w:hAnsi="Bookman Old Style" w:cs="Bookman Old Style"/>
                <w:sz w:val="24"/>
                <w:szCs w:val="24"/>
              </w:rPr>
            </w:pPr>
          </w:p>
        </w:tc>
        <w:tc>
          <w:tcPr>
            <w:tcW w:w="1109" w:type="pct"/>
          </w:tcPr>
          <w:p w14:paraId="0C0EC912" w14:textId="77777777" w:rsidR="002D0AA9" w:rsidRPr="00C562C1" w:rsidRDefault="002D0AA9" w:rsidP="003D2FCF">
            <w:pPr>
              <w:tabs>
                <w:tab w:val="left" w:pos="1980"/>
                <w:tab w:val="left" w:pos="2552"/>
              </w:tabs>
              <w:spacing w:after="0" w:line="360" w:lineRule="auto"/>
              <w:ind w:left="30"/>
              <w:jc w:val="both"/>
              <w:rPr>
                <w:rFonts w:ascii="Bookman Old Style" w:eastAsia="Bookman Old Style" w:hAnsi="Bookman Old Style" w:cs="Bookman Old Style"/>
                <w:sz w:val="24"/>
                <w:szCs w:val="24"/>
              </w:rPr>
            </w:pPr>
          </w:p>
        </w:tc>
      </w:tr>
      <w:tr w:rsidR="00C562C1" w:rsidRPr="00C562C1" w14:paraId="40436E11" w14:textId="2E4471C2" w:rsidTr="00C61A26">
        <w:trPr>
          <w:jc w:val="center"/>
        </w:trPr>
        <w:tc>
          <w:tcPr>
            <w:tcW w:w="1614" w:type="pct"/>
          </w:tcPr>
          <w:p w14:paraId="3236B17A" w14:textId="6B8BBA95" w:rsidR="002D0AA9" w:rsidRPr="000A615C" w:rsidRDefault="002C7B9C">
            <w:pPr>
              <w:pStyle w:val="ListParagraph"/>
              <w:numPr>
                <w:ilvl w:val="0"/>
                <w:numId w:val="49"/>
              </w:numPr>
              <w:tabs>
                <w:tab w:val="left" w:pos="1980"/>
                <w:tab w:val="left" w:pos="2552"/>
              </w:tabs>
              <w:spacing w:after="0" w:line="360" w:lineRule="auto"/>
              <w:jc w:val="both"/>
              <w:rPr>
                <w:rFonts w:ascii="Bookman Old Style" w:eastAsia="Bookman Old Style" w:hAnsi="Bookman Old Style" w:cs="Bookman Old Style"/>
                <w:sz w:val="24"/>
                <w:szCs w:val="24"/>
              </w:rPr>
            </w:pPr>
            <w:r w:rsidRPr="002C7B9C">
              <w:rPr>
                <w:rFonts w:ascii="Bookman Old Style" w:eastAsia="Bookman Old Style" w:hAnsi="Bookman Old Style" w:cs="Bookman Old Style"/>
                <w:sz w:val="24"/>
                <w:szCs w:val="24"/>
              </w:rPr>
              <w:t>Undang-Undang Nomor 21 Tahun 2011 tentang Otoritas Jasa Keuangan (Lembaran Negara Republik Indonesia Tahun 2011 Nomor 111, Tambahan Lembaran Negara Republik Indonesia Nomor 5253) sebagaimana telah beberapa kali diubah terakhir dengan Undang-Undang Nomor 4 Tahun 2026 tentang Perubahan atas Undang-Undang Nomor 4 Tahun 2023 tentang Pengembangan dan Penguatan Sektor Keuangan (Lembaran Negara Republik Indonesia Tahun 2026 Nomor 62, Tambahan Lembaran Negara Republik Indonesia Nomor 7180);</w:t>
            </w:r>
          </w:p>
        </w:tc>
        <w:tc>
          <w:tcPr>
            <w:tcW w:w="1167" w:type="pct"/>
          </w:tcPr>
          <w:p w14:paraId="4C8C58D3" w14:textId="77777777" w:rsidR="002D0AA9" w:rsidRPr="00C562C1" w:rsidRDefault="002D0AA9">
            <w:pPr>
              <w:numPr>
                <w:ilvl w:val="0"/>
                <w:numId w:val="2"/>
              </w:numPr>
              <w:tabs>
                <w:tab w:val="left" w:pos="1980"/>
                <w:tab w:val="left" w:pos="2552"/>
              </w:tabs>
              <w:spacing w:after="0" w:line="360" w:lineRule="auto"/>
              <w:ind w:left="30" w:hanging="456"/>
              <w:jc w:val="both"/>
              <w:rPr>
                <w:rFonts w:ascii="Bookman Old Style" w:eastAsia="Bookman Old Style" w:hAnsi="Bookman Old Style" w:cs="Bookman Old Style"/>
                <w:sz w:val="24"/>
                <w:szCs w:val="24"/>
              </w:rPr>
            </w:pPr>
          </w:p>
        </w:tc>
        <w:tc>
          <w:tcPr>
            <w:tcW w:w="1109" w:type="pct"/>
          </w:tcPr>
          <w:p w14:paraId="313F2CB7" w14:textId="77777777" w:rsidR="002D0AA9" w:rsidRPr="00C562C1" w:rsidRDefault="002D0AA9">
            <w:pPr>
              <w:numPr>
                <w:ilvl w:val="0"/>
                <w:numId w:val="2"/>
              </w:numPr>
              <w:tabs>
                <w:tab w:val="left" w:pos="1980"/>
                <w:tab w:val="left" w:pos="2552"/>
              </w:tabs>
              <w:spacing w:after="0" w:line="360" w:lineRule="auto"/>
              <w:ind w:left="30" w:hanging="456"/>
              <w:jc w:val="both"/>
              <w:rPr>
                <w:rFonts w:ascii="Bookman Old Style" w:eastAsia="Bookman Old Style" w:hAnsi="Bookman Old Style" w:cs="Bookman Old Style"/>
                <w:sz w:val="24"/>
                <w:szCs w:val="24"/>
              </w:rPr>
            </w:pPr>
          </w:p>
        </w:tc>
        <w:tc>
          <w:tcPr>
            <w:tcW w:w="1109" w:type="pct"/>
          </w:tcPr>
          <w:p w14:paraId="12CCFE7D" w14:textId="77777777" w:rsidR="002D0AA9" w:rsidRPr="00C562C1" w:rsidRDefault="002D0AA9">
            <w:pPr>
              <w:numPr>
                <w:ilvl w:val="0"/>
                <w:numId w:val="2"/>
              </w:numPr>
              <w:tabs>
                <w:tab w:val="left" w:pos="1980"/>
                <w:tab w:val="left" w:pos="2552"/>
              </w:tabs>
              <w:spacing w:after="0" w:line="360" w:lineRule="auto"/>
              <w:ind w:left="30" w:hanging="456"/>
              <w:jc w:val="both"/>
              <w:rPr>
                <w:rFonts w:ascii="Bookman Old Style" w:eastAsia="Bookman Old Style" w:hAnsi="Bookman Old Style" w:cs="Bookman Old Style"/>
                <w:sz w:val="24"/>
                <w:szCs w:val="24"/>
              </w:rPr>
            </w:pPr>
          </w:p>
        </w:tc>
      </w:tr>
      <w:tr w:rsidR="00C562C1" w:rsidRPr="00C562C1" w14:paraId="428E0C55" w14:textId="5D4BC12C" w:rsidTr="00C61A26">
        <w:trPr>
          <w:jc w:val="center"/>
        </w:trPr>
        <w:tc>
          <w:tcPr>
            <w:tcW w:w="1614" w:type="pct"/>
          </w:tcPr>
          <w:p w14:paraId="719D81EB" w14:textId="7561B0C3" w:rsidR="002D0AA9" w:rsidRPr="000A615C" w:rsidRDefault="002C7B9C">
            <w:pPr>
              <w:pStyle w:val="ListParagraph"/>
              <w:numPr>
                <w:ilvl w:val="0"/>
                <w:numId w:val="49"/>
              </w:numPr>
              <w:tabs>
                <w:tab w:val="left" w:pos="1980"/>
                <w:tab w:val="left" w:pos="2552"/>
              </w:tabs>
              <w:spacing w:after="0" w:line="360" w:lineRule="auto"/>
              <w:jc w:val="both"/>
              <w:rPr>
                <w:rFonts w:ascii="Bookman Old Style" w:eastAsia="Bookman Old Style" w:hAnsi="Bookman Old Style" w:cs="Bookman Old Style"/>
                <w:sz w:val="24"/>
                <w:szCs w:val="24"/>
              </w:rPr>
            </w:pPr>
            <w:r w:rsidRPr="002C7B9C">
              <w:rPr>
                <w:rFonts w:ascii="Bookman Old Style" w:eastAsia="Bookman Old Style" w:hAnsi="Bookman Old Style" w:cs="Bookman Old Style"/>
                <w:sz w:val="24"/>
                <w:szCs w:val="24"/>
              </w:rPr>
              <w:t>Undang-Undang Nomor 40 Tahun 2014 tentang Perasuransian (Lembaran Negara Republik Indonesia Tahun 2014 Nomor 337, Tambahan Lembaran Negara Republik Indonesia Nomor 5618) sebagaimana telah beberapa kali diubah terakhir dengan Undang-Undang Nomor 4 Tahun 2026 tentang Perubahan atas Undang Undang Nomor 4 Tahun 2023 tentang Pengembangan dan Penguatan Sektor Keuangan (Lembaran Negara Republik Indonesia Tahun 2026 Nomor 62, Tambahan Lembaran Negara Republik Indonesia Nomor 7180);</w:t>
            </w:r>
          </w:p>
        </w:tc>
        <w:tc>
          <w:tcPr>
            <w:tcW w:w="1167" w:type="pct"/>
          </w:tcPr>
          <w:p w14:paraId="73D5DCB8"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F52F54"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E3EA4ED"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69E1E5EB" w14:textId="044A002D" w:rsidTr="00C61A26">
        <w:trPr>
          <w:jc w:val="center"/>
        </w:trPr>
        <w:tc>
          <w:tcPr>
            <w:tcW w:w="1614" w:type="pct"/>
          </w:tcPr>
          <w:p w14:paraId="7F1F2BD7" w14:textId="77777777" w:rsidR="002D0AA9" w:rsidRPr="00C562C1" w:rsidRDefault="002D0AA9" w:rsidP="003D2FCF">
            <w:pPr>
              <w:tabs>
                <w:tab w:val="left" w:pos="2552"/>
              </w:tabs>
              <w:spacing w:after="0" w:line="360" w:lineRule="auto"/>
              <w:ind w:left="30"/>
              <w:jc w:val="both"/>
              <w:rPr>
                <w:rFonts w:ascii="Bookman Old Style" w:eastAsia="Bookman Old Style" w:hAnsi="Bookman Old Style" w:cs="Bookman Old Style"/>
                <w:sz w:val="24"/>
                <w:szCs w:val="24"/>
              </w:rPr>
            </w:pPr>
          </w:p>
        </w:tc>
        <w:tc>
          <w:tcPr>
            <w:tcW w:w="1167" w:type="pct"/>
          </w:tcPr>
          <w:p w14:paraId="758428AD"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E24EEA6"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5F57D4A"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3D449482" w14:textId="55D44989" w:rsidTr="00C61A26">
        <w:trPr>
          <w:jc w:val="center"/>
        </w:trPr>
        <w:tc>
          <w:tcPr>
            <w:tcW w:w="1614" w:type="pct"/>
          </w:tcPr>
          <w:p w14:paraId="28E8286B" w14:textId="5AAE2DD1" w:rsidR="002D0AA9" w:rsidRPr="00C562C1" w:rsidRDefault="002D0AA9" w:rsidP="003D2FCF">
            <w:pPr>
              <w:spacing w:after="0" w:line="360" w:lineRule="auto"/>
              <w:ind w:left="30"/>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MEMUTUSKAN:</w:t>
            </w:r>
          </w:p>
        </w:tc>
        <w:tc>
          <w:tcPr>
            <w:tcW w:w="1167" w:type="pct"/>
          </w:tcPr>
          <w:p w14:paraId="6DEB829F"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20C4DA2"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15FBD0"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0840E4B9" w14:textId="026A3BC0" w:rsidTr="00C61A26">
        <w:trPr>
          <w:jc w:val="center"/>
        </w:trPr>
        <w:tc>
          <w:tcPr>
            <w:tcW w:w="1614" w:type="pct"/>
          </w:tcPr>
          <w:p w14:paraId="27050FEE" w14:textId="18C0ECA5"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ab/>
            </w:r>
          </w:p>
        </w:tc>
        <w:tc>
          <w:tcPr>
            <w:tcW w:w="1167" w:type="pct"/>
          </w:tcPr>
          <w:p w14:paraId="18AAFB35"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A8CD383"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082D86B"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58033A9E" w14:textId="76B54607" w:rsidTr="00C61A26">
        <w:trPr>
          <w:jc w:val="center"/>
        </w:trPr>
        <w:tc>
          <w:tcPr>
            <w:tcW w:w="1614" w:type="pct"/>
          </w:tcPr>
          <w:p w14:paraId="69496133" w14:textId="41FED822" w:rsidR="002D0AA9" w:rsidRPr="00C562C1" w:rsidRDefault="002D0AA9" w:rsidP="003D2FCF">
            <w:pPr>
              <w:spacing w:after="0" w:line="360" w:lineRule="auto"/>
              <w:ind w:left="30"/>
              <w:jc w:val="both"/>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lastRenderedPageBreak/>
              <w:t xml:space="preserve">Menetapkan  : </w:t>
            </w:r>
            <w:r w:rsidR="000B11C0" w:rsidRPr="000B11C0">
              <w:rPr>
                <w:rFonts w:ascii="Bookman Old Style" w:eastAsia="Bookman Old Style" w:hAnsi="Bookman Old Style" w:cs="Bookman Old Style"/>
                <w:sz w:val="24"/>
                <w:szCs w:val="24"/>
              </w:rPr>
              <w:t>PERATURAN OTORITAS JASA KEUANGAN TENTANG PRODUK ASURANSI YANG DIKAITKAN DENGAN INVESTASI.</w:t>
            </w:r>
          </w:p>
        </w:tc>
        <w:tc>
          <w:tcPr>
            <w:tcW w:w="1167" w:type="pct"/>
          </w:tcPr>
          <w:p w14:paraId="64265538"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584A7A2"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34C847D"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681F1E20" w14:textId="49837252" w:rsidTr="00C61A26">
        <w:trPr>
          <w:jc w:val="center"/>
        </w:trPr>
        <w:tc>
          <w:tcPr>
            <w:tcW w:w="1614" w:type="pct"/>
          </w:tcPr>
          <w:p w14:paraId="0EECA322" w14:textId="77777777" w:rsidR="002D0AA9" w:rsidRPr="00C562C1" w:rsidRDefault="002D0AA9" w:rsidP="003D2FCF">
            <w:pPr>
              <w:tabs>
                <w:tab w:val="left" w:pos="1980"/>
              </w:tabs>
              <w:spacing w:after="0" w:line="360" w:lineRule="auto"/>
              <w:jc w:val="both"/>
              <w:rPr>
                <w:rFonts w:ascii="Bookman Old Style" w:eastAsia="Bookman Old Style" w:hAnsi="Bookman Old Style" w:cs="Bookman Old Style"/>
                <w:sz w:val="24"/>
                <w:szCs w:val="24"/>
              </w:rPr>
            </w:pPr>
          </w:p>
        </w:tc>
        <w:tc>
          <w:tcPr>
            <w:tcW w:w="1167" w:type="pct"/>
          </w:tcPr>
          <w:p w14:paraId="766576E0"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C4D7BF"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2C5957F"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5BD8657C" w14:textId="0104FD96" w:rsidTr="00C61A26">
        <w:trPr>
          <w:jc w:val="center"/>
        </w:trPr>
        <w:tc>
          <w:tcPr>
            <w:tcW w:w="1614" w:type="pct"/>
          </w:tcPr>
          <w:p w14:paraId="452FF50A" w14:textId="69A112EB"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BAB I</w:t>
            </w:r>
          </w:p>
        </w:tc>
        <w:tc>
          <w:tcPr>
            <w:tcW w:w="1167" w:type="pct"/>
          </w:tcPr>
          <w:p w14:paraId="4C9A8FAB"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A079CEA"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7810BCE"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5D34B8CE" w14:textId="6CAEAD09" w:rsidTr="00C61A26">
        <w:trPr>
          <w:jc w:val="center"/>
        </w:trPr>
        <w:tc>
          <w:tcPr>
            <w:tcW w:w="1614" w:type="pct"/>
          </w:tcPr>
          <w:p w14:paraId="17BA329F" w14:textId="753C6D43"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KETENTUAN UMUM</w:t>
            </w:r>
          </w:p>
        </w:tc>
        <w:tc>
          <w:tcPr>
            <w:tcW w:w="1167" w:type="pct"/>
          </w:tcPr>
          <w:p w14:paraId="1EF257D8"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905C52"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431175A"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5ED4F0AA" w14:textId="6A598C84" w:rsidTr="00C61A26">
        <w:trPr>
          <w:jc w:val="center"/>
        </w:trPr>
        <w:tc>
          <w:tcPr>
            <w:tcW w:w="1614" w:type="pct"/>
          </w:tcPr>
          <w:p w14:paraId="0CD3A398" w14:textId="73676400"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Pasal 1</w:t>
            </w:r>
          </w:p>
        </w:tc>
        <w:tc>
          <w:tcPr>
            <w:tcW w:w="1167" w:type="pct"/>
          </w:tcPr>
          <w:p w14:paraId="4E2C8855" w14:textId="3EAFDFD4"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lang w:val="en-US"/>
              </w:rPr>
            </w:pPr>
            <w:proofErr w:type="spellStart"/>
            <w:r w:rsidRPr="00C562C1">
              <w:rPr>
                <w:rFonts w:ascii="Bookman Old Style" w:eastAsia="Bookman Old Style" w:hAnsi="Bookman Old Style" w:cs="Bookman Old Style"/>
                <w:sz w:val="24"/>
                <w:szCs w:val="24"/>
                <w:lang w:val="en-US"/>
              </w:rPr>
              <w:t>Cukup</w:t>
            </w:r>
            <w:proofErr w:type="spellEnd"/>
            <w:r w:rsidRPr="00C562C1">
              <w:rPr>
                <w:rFonts w:ascii="Bookman Old Style" w:eastAsia="Bookman Old Style" w:hAnsi="Bookman Old Style" w:cs="Bookman Old Style"/>
                <w:sz w:val="24"/>
                <w:szCs w:val="24"/>
                <w:lang w:val="en-US"/>
              </w:rPr>
              <w:t xml:space="preserve"> </w:t>
            </w:r>
            <w:proofErr w:type="spellStart"/>
            <w:r w:rsidRPr="00C562C1">
              <w:rPr>
                <w:rFonts w:ascii="Bookman Old Style" w:eastAsia="Bookman Old Style" w:hAnsi="Bookman Old Style" w:cs="Bookman Old Style"/>
                <w:sz w:val="24"/>
                <w:szCs w:val="24"/>
                <w:lang w:val="en-US"/>
              </w:rPr>
              <w:t>jelas</w:t>
            </w:r>
            <w:proofErr w:type="spellEnd"/>
            <w:r w:rsidRPr="00C562C1">
              <w:rPr>
                <w:rFonts w:ascii="Bookman Old Style" w:eastAsia="Bookman Old Style" w:hAnsi="Bookman Old Style" w:cs="Bookman Old Style"/>
                <w:sz w:val="24"/>
                <w:szCs w:val="24"/>
                <w:lang w:val="en-US"/>
              </w:rPr>
              <w:t>.</w:t>
            </w:r>
          </w:p>
        </w:tc>
        <w:tc>
          <w:tcPr>
            <w:tcW w:w="1109" w:type="pct"/>
          </w:tcPr>
          <w:p w14:paraId="132A4BC2"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lang w:val="en-US"/>
              </w:rPr>
            </w:pPr>
          </w:p>
        </w:tc>
        <w:tc>
          <w:tcPr>
            <w:tcW w:w="1109" w:type="pct"/>
          </w:tcPr>
          <w:p w14:paraId="0870A655"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lang w:val="en-US"/>
              </w:rPr>
            </w:pPr>
          </w:p>
        </w:tc>
      </w:tr>
      <w:tr w:rsidR="00C562C1" w:rsidRPr="00C562C1" w14:paraId="06F9ED2B" w14:textId="64A9C073" w:rsidTr="00C61A26">
        <w:trPr>
          <w:jc w:val="center"/>
        </w:trPr>
        <w:tc>
          <w:tcPr>
            <w:tcW w:w="1614" w:type="pct"/>
          </w:tcPr>
          <w:p w14:paraId="2A219E0C" w14:textId="02AD30CD" w:rsidR="002D0AA9" w:rsidRPr="00C562C1" w:rsidRDefault="002D0AA9" w:rsidP="003D2FCF">
            <w:pPr>
              <w:spacing w:after="0" w:line="360" w:lineRule="auto"/>
              <w:jc w:val="both"/>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Dalam Peraturan Otoritas Jasa Keuangan ini yang dimaksud dengan:</w:t>
            </w:r>
          </w:p>
        </w:tc>
        <w:tc>
          <w:tcPr>
            <w:tcW w:w="1167" w:type="pct"/>
          </w:tcPr>
          <w:p w14:paraId="777B9D02"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DED767"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F48F71C"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469A1CF" w14:textId="0D3CC644" w:rsidTr="00C61A26">
        <w:trPr>
          <w:jc w:val="center"/>
        </w:trPr>
        <w:tc>
          <w:tcPr>
            <w:tcW w:w="1614" w:type="pct"/>
          </w:tcPr>
          <w:p w14:paraId="3D0C46DD" w14:textId="778D5F4E" w:rsidR="002D0AA9" w:rsidRPr="002C7B9C" w:rsidRDefault="002C7B9C" w:rsidP="002C7B9C">
            <w:pPr>
              <w:pStyle w:val="ListParagraph"/>
              <w:numPr>
                <w:ilvl w:val="0"/>
                <w:numId w:val="4"/>
              </w:numPr>
              <w:jc w:val="both"/>
              <w:rPr>
                <w:rFonts w:ascii="Bookman Old Style" w:hAnsi="Bookman Old Style"/>
                <w:color w:val="000000"/>
                <w:sz w:val="24"/>
                <w:szCs w:val="24"/>
              </w:rPr>
            </w:pPr>
            <w:r w:rsidRPr="002C7B9C">
              <w:rPr>
                <w:rFonts w:ascii="Bookman Old Style" w:hAnsi="Bookman Old Style"/>
                <w:color w:val="000000"/>
                <w:sz w:val="24"/>
                <w:szCs w:val="24"/>
              </w:rPr>
              <w:t xml:space="preserve">Perusahaan Asuransi Umum adalah perusahaan yang menyelenggarakan usaha jasa pertanggungan risiko yang memberikan penggantian kepada tertanggung atau pemegang polis karena kerugian, kerusakan, biaya yang timbul, kehilangan keuntungan, atau tanggung jawab hukum kepada pihak ketiga, yang mungkin diderita tertanggung atau pemegang polis karena terjadinya suatu peristiwa yang tidak pasti. </w:t>
            </w:r>
          </w:p>
        </w:tc>
        <w:tc>
          <w:tcPr>
            <w:tcW w:w="1167" w:type="pct"/>
          </w:tcPr>
          <w:p w14:paraId="1A87285A"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6B3D4D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F8ED10D"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3E33373" w14:textId="54F6E252" w:rsidTr="00C61A26">
        <w:trPr>
          <w:jc w:val="center"/>
        </w:trPr>
        <w:tc>
          <w:tcPr>
            <w:tcW w:w="1614" w:type="pct"/>
          </w:tcPr>
          <w:p w14:paraId="339EF329" w14:textId="461C1424" w:rsidR="002D0AA9" w:rsidRPr="002C7B9C" w:rsidRDefault="002C7B9C" w:rsidP="002C7B9C">
            <w:pPr>
              <w:pStyle w:val="ListParagraph"/>
              <w:numPr>
                <w:ilvl w:val="0"/>
                <w:numId w:val="4"/>
              </w:numPr>
              <w:jc w:val="both"/>
              <w:rPr>
                <w:rFonts w:ascii="Bookman Old Style" w:hAnsi="Bookman Old Style"/>
                <w:color w:val="000000"/>
                <w:sz w:val="24"/>
                <w:szCs w:val="24"/>
              </w:rPr>
            </w:pPr>
            <w:r w:rsidRPr="002C7B9C">
              <w:rPr>
                <w:rFonts w:ascii="Bookman Old Style" w:hAnsi="Bookman Old Style"/>
                <w:color w:val="000000"/>
                <w:sz w:val="24"/>
                <w:szCs w:val="24"/>
              </w:rPr>
              <w:t>Perusahaan Asuransi Jiwa adalah perusahaan yang menyelenggarakan usaha jasa penanggulangan risiko yang memberikan pembayaran kepada pemegang polis, tertanggung, atau pihak lain yang berhak dalam hal tertanggung meninggal dunia atau tetap hidup, atau pembayaran lain kepada pemegang polis, tertanggung, atau pihak lain yang berhak pada waktu tertentu yang diatur dalam perjanjian, yang besarnya telah ditetapkan dan/atau didasarkan pada hasil pengelolaan dana.</w:t>
            </w:r>
          </w:p>
        </w:tc>
        <w:tc>
          <w:tcPr>
            <w:tcW w:w="1167" w:type="pct"/>
          </w:tcPr>
          <w:p w14:paraId="4C125982"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AC93188"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5554B5"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35E92C50" w14:textId="4A9F7354" w:rsidTr="00C61A26">
        <w:trPr>
          <w:jc w:val="center"/>
        </w:trPr>
        <w:tc>
          <w:tcPr>
            <w:tcW w:w="1614" w:type="pct"/>
          </w:tcPr>
          <w:p w14:paraId="6E39AE86" w14:textId="7D9FDBDB" w:rsidR="002D0AA9" w:rsidRPr="002C7B9C" w:rsidRDefault="002C7B9C" w:rsidP="002C7B9C">
            <w:pPr>
              <w:pStyle w:val="ListParagraph"/>
              <w:numPr>
                <w:ilvl w:val="0"/>
                <w:numId w:val="4"/>
              </w:numPr>
              <w:jc w:val="both"/>
              <w:rPr>
                <w:rFonts w:ascii="Bookman Old Style" w:hAnsi="Bookman Old Style"/>
                <w:sz w:val="24"/>
                <w:szCs w:val="24"/>
              </w:rPr>
            </w:pPr>
            <w:r w:rsidRPr="002C7B9C">
              <w:rPr>
                <w:rFonts w:ascii="Bookman Old Style" w:hAnsi="Bookman Old Style"/>
                <w:sz w:val="24"/>
                <w:szCs w:val="24"/>
              </w:rPr>
              <w:t xml:space="preserve">Perusahaan Asuransi Umum Syariah adalah perusahaan yang menyelenggarakan usaha pengelolaan risiko berdasarkan prinsip syariah guna saling menolong dan melindungi dengan memberikan penggantian kepada peserta atau </w:t>
            </w:r>
            <w:r w:rsidRPr="002C7B9C">
              <w:rPr>
                <w:rFonts w:ascii="Bookman Old Style" w:hAnsi="Bookman Old Style"/>
                <w:sz w:val="24"/>
                <w:szCs w:val="24"/>
              </w:rPr>
              <w:lastRenderedPageBreak/>
              <w:t xml:space="preserve">pemegang polis karena kerugian, kerusakan, biaya yang timbul, kehilangan keuntungan, atau tanggung jawab hukum kepada pihak ketiga yang mungkin diderita peserta atau pemegang polis karena terjadinya suatu peristiwa yang tidak pasti. </w:t>
            </w:r>
          </w:p>
        </w:tc>
        <w:tc>
          <w:tcPr>
            <w:tcW w:w="1167" w:type="pct"/>
          </w:tcPr>
          <w:p w14:paraId="70CDF13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F7520A"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18339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6EB14ECC" w14:textId="5580B632" w:rsidTr="00C61A26">
        <w:trPr>
          <w:jc w:val="center"/>
        </w:trPr>
        <w:tc>
          <w:tcPr>
            <w:tcW w:w="1614" w:type="pct"/>
          </w:tcPr>
          <w:p w14:paraId="4D55C69D" w14:textId="440625FE" w:rsidR="002D0AA9" w:rsidRPr="00A91118" w:rsidRDefault="000B11C0">
            <w:pPr>
              <w:pStyle w:val="ListParagraph"/>
              <w:numPr>
                <w:ilvl w:val="0"/>
                <w:numId w:val="4"/>
              </w:numPr>
              <w:jc w:val="both"/>
              <w:rPr>
                <w:rFonts w:ascii="Bookman Old Style" w:hAnsi="Bookman Old Style"/>
                <w:sz w:val="24"/>
                <w:szCs w:val="24"/>
              </w:rPr>
            </w:pPr>
            <w:r w:rsidRPr="00A91118">
              <w:rPr>
                <w:rFonts w:ascii="Bookman Old Style" w:hAnsi="Bookman Old Style"/>
                <w:sz w:val="24"/>
                <w:szCs w:val="24"/>
              </w:rPr>
              <w:t>Perusahaan Asuransi Jiwa Syariah adalah perusahaan yang menyelenggarakan usaha pengelolaan risiko berdasarkan prinsip syariah guna saling menolong dan melindungi dengan memberikan pembayaran yang didasarkan pada meninggal atau hidupnya peserta, atau pembayaran lain kepada peserta atau pihak lain yang berhak pada waktu tertentu yang diatur dalam perjanjian, yang besarnya telah ditetapkan dan/atau didasarkan pada hasil pengelolaan dana.</w:t>
            </w:r>
          </w:p>
        </w:tc>
        <w:tc>
          <w:tcPr>
            <w:tcW w:w="1167" w:type="pct"/>
          </w:tcPr>
          <w:p w14:paraId="1AC31CC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F468571"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5DA83CA"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12070EE" w14:textId="6AFEBE3D" w:rsidTr="00C61A26">
        <w:trPr>
          <w:jc w:val="center"/>
        </w:trPr>
        <w:tc>
          <w:tcPr>
            <w:tcW w:w="1614" w:type="pct"/>
          </w:tcPr>
          <w:p w14:paraId="2328D92E" w14:textId="1D15EC24" w:rsidR="002D0AA9" w:rsidRPr="00A91118" w:rsidRDefault="000B11C0">
            <w:pPr>
              <w:pStyle w:val="ListParagraph"/>
              <w:numPr>
                <w:ilvl w:val="0"/>
                <w:numId w:val="4"/>
              </w:numPr>
              <w:rPr>
                <w:rFonts w:ascii="Bookman Old Style" w:hAnsi="Bookman Old Style"/>
                <w:sz w:val="24"/>
                <w:szCs w:val="24"/>
              </w:rPr>
            </w:pPr>
            <w:r w:rsidRPr="00A91118">
              <w:rPr>
                <w:rFonts w:ascii="Bookman Old Style" w:hAnsi="Bookman Old Style"/>
                <w:sz w:val="24"/>
                <w:szCs w:val="24"/>
              </w:rPr>
              <w:t>Perusahaan Asuransi adalah Perusahaan Asuransi Umum dan Perusahaan Asuransi Jiwa.</w:t>
            </w:r>
          </w:p>
        </w:tc>
        <w:tc>
          <w:tcPr>
            <w:tcW w:w="1167" w:type="pct"/>
          </w:tcPr>
          <w:p w14:paraId="55222543"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7A1172"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9D50C8A"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09776619" w14:textId="0D4EF702" w:rsidTr="00C61A26">
        <w:trPr>
          <w:jc w:val="center"/>
        </w:trPr>
        <w:tc>
          <w:tcPr>
            <w:tcW w:w="1614" w:type="pct"/>
          </w:tcPr>
          <w:p w14:paraId="049955A6" w14:textId="2BCF6FA4" w:rsidR="002D0AA9" w:rsidRPr="00A91118" w:rsidRDefault="000B11C0">
            <w:pPr>
              <w:pStyle w:val="ListParagraph"/>
              <w:numPr>
                <w:ilvl w:val="0"/>
                <w:numId w:val="4"/>
              </w:numPr>
              <w:jc w:val="both"/>
              <w:rPr>
                <w:rFonts w:ascii="Bookman Old Style" w:hAnsi="Bookman Old Style"/>
                <w:sz w:val="24"/>
                <w:szCs w:val="24"/>
              </w:rPr>
            </w:pPr>
            <w:r w:rsidRPr="00A91118">
              <w:rPr>
                <w:rFonts w:ascii="Bookman Old Style" w:hAnsi="Bookman Old Style"/>
                <w:sz w:val="24"/>
                <w:szCs w:val="24"/>
              </w:rPr>
              <w:t xml:space="preserve">Perusahaan Asuransi Syariah adalah Perusahaan Asuransi Umum Syariah dan Perusahaan Asuransi Jiwa Syariah. </w:t>
            </w:r>
          </w:p>
        </w:tc>
        <w:tc>
          <w:tcPr>
            <w:tcW w:w="1167" w:type="pct"/>
          </w:tcPr>
          <w:p w14:paraId="03EBCE6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0147AF9"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966B848"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1125D357" w14:textId="64B8709B" w:rsidTr="00C61A26">
        <w:trPr>
          <w:jc w:val="center"/>
        </w:trPr>
        <w:tc>
          <w:tcPr>
            <w:tcW w:w="1614" w:type="pct"/>
          </w:tcPr>
          <w:p w14:paraId="449487AD" w14:textId="334B0F29" w:rsidR="002D0AA9" w:rsidRPr="00A91118" w:rsidRDefault="000B11C0">
            <w:pPr>
              <w:pStyle w:val="ListParagraph"/>
              <w:numPr>
                <w:ilvl w:val="0"/>
                <w:numId w:val="4"/>
              </w:numPr>
              <w:jc w:val="both"/>
              <w:rPr>
                <w:rFonts w:ascii="Bookman Old Style" w:hAnsi="Bookman Old Style"/>
                <w:sz w:val="24"/>
                <w:szCs w:val="24"/>
              </w:rPr>
            </w:pPr>
            <w:r w:rsidRPr="00A91118">
              <w:rPr>
                <w:rFonts w:ascii="Bookman Old Style" w:hAnsi="Bookman Old Style"/>
                <w:sz w:val="24"/>
                <w:szCs w:val="24"/>
              </w:rPr>
              <w:t>Produk Asuransi adalah program jasa pertanggungan/pengelolaan atas risiko yang dilakukan oleh perusahaan asuransi umum dan/atau perusahaan asuransi jiwa termasuk yang diselenggarakan berdasarkan prinsip syariah.</w:t>
            </w:r>
          </w:p>
        </w:tc>
        <w:tc>
          <w:tcPr>
            <w:tcW w:w="1167" w:type="pct"/>
          </w:tcPr>
          <w:p w14:paraId="6D1025C6"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EB6CF31"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C4CAF8"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14B239A9" w14:textId="22AB4BB6" w:rsidTr="00C61A26">
        <w:trPr>
          <w:jc w:val="center"/>
        </w:trPr>
        <w:tc>
          <w:tcPr>
            <w:tcW w:w="1614" w:type="pct"/>
          </w:tcPr>
          <w:p w14:paraId="73295BC3" w14:textId="5EAA819F" w:rsidR="002D0AA9" w:rsidRPr="00A91118" w:rsidRDefault="000B11C0">
            <w:pPr>
              <w:pStyle w:val="ListParagraph"/>
              <w:numPr>
                <w:ilvl w:val="0"/>
                <w:numId w:val="4"/>
              </w:numPr>
              <w:jc w:val="both"/>
              <w:rPr>
                <w:rFonts w:ascii="Bookman Old Style" w:hAnsi="Bookman Old Style"/>
                <w:sz w:val="24"/>
                <w:szCs w:val="24"/>
              </w:rPr>
            </w:pPr>
            <w:r w:rsidRPr="00A91118">
              <w:rPr>
                <w:rFonts w:ascii="Bookman Old Style" w:hAnsi="Bookman Old Style"/>
                <w:sz w:val="24"/>
                <w:szCs w:val="24"/>
              </w:rPr>
              <w:t>Produk Asuransi Yang Dikaitkan Dengan Investasi yang selanjutnya disebut PAYDI adalah Produk Asuransi yang paling sedikit memberikan pelindungan terhadap risiko kematian dan memberikan manfaat yang mengacu pada hasil investasi dari kumpulan dana yang khusus dibentuk untuk Produk Asuransi baik yang dinyatakan dalam bentuk unit maupun bukan unit.</w:t>
            </w:r>
          </w:p>
        </w:tc>
        <w:tc>
          <w:tcPr>
            <w:tcW w:w="1167" w:type="pct"/>
          </w:tcPr>
          <w:p w14:paraId="746971EE"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6D1D11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08440C3"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767B15F" w14:textId="0CB542CC" w:rsidTr="00C61A26">
        <w:trPr>
          <w:jc w:val="center"/>
        </w:trPr>
        <w:tc>
          <w:tcPr>
            <w:tcW w:w="1614" w:type="pct"/>
          </w:tcPr>
          <w:p w14:paraId="145AB894" w14:textId="6E353E4B" w:rsidR="002D0AA9" w:rsidRPr="00A91118" w:rsidRDefault="000B11C0">
            <w:pPr>
              <w:pStyle w:val="ListParagraph"/>
              <w:numPr>
                <w:ilvl w:val="0"/>
                <w:numId w:val="4"/>
              </w:numPr>
              <w:jc w:val="both"/>
              <w:rPr>
                <w:rFonts w:ascii="Bookman Old Style" w:hAnsi="Bookman Old Style"/>
                <w:sz w:val="24"/>
                <w:szCs w:val="24"/>
              </w:rPr>
            </w:pPr>
            <w:r w:rsidRPr="00A91118">
              <w:rPr>
                <w:rFonts w:ascii="Bookman Old Style" w:hAnsi="Bookman Old Style"/>
                <w:sz w:val="24"/>
                <w:szCs w:val="24"/>
              </w:rPr>
              <w:lastRenderedPageBreak/>
              <w:t xml:space="preserve">Polis Asuransi adalah akta perjanjian asuransi atau dokumen lain yang dipersamakan dengan akta perjanjian asuransi, dan dokumen lain yang merupakan satu kesatuan yang tidak terpisahkan dengan perjanjian asuransi, serta memuat perjanjian antara perusahaan asuransi atau perusahaan asuransi syariah dan pemegang polis, yang dibuat secara tertulis baik dalam bentuk cetak atau elektronik. </w:t>
            </w:r>
          </w:p>
        </w:tc>
        <w:tc>
          <w:tcPr>
            <w:tcW w:w="1167" w:type="pct"/>
          </w:tcPr>
          <w:p w14:paraId="41557CF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ED60F9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0D04A4D"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5A68561C" w14:textId="71BF3CAB" w:rsidTr="00C61A26">
        <w:trPr>
          <w:jc w:val="center"/>
        </w:trPr>
        <w:tc>
          <w:tcPr>
            <w:tcW w:w="1614" w:type="pct"/>
          </w:tcPr>
          <w:p w14:paraId="600C7EC6" w14:textId="243C88C3" w:rsidR="002D0AA9" w:rsidRPr="000A615C" w:rsidRDefault="000B11C0">
            <w:pPr>
              <w:pStyle w:val="ListParagraph"/>
              <w:numPr>
                <w:ilvl w:val="0"/>
                <w:numId w:val="50"/>
              </w:numPr>
              <w:jc w:val="both"/>
              <w:rPr>
                <w:rFonts w:ascii="Bookman Old Style" w:hAnsi="Bookman Old Style"/>
                <w:sz w:val="24"/>
                <w:szCs w:val="24"/>
              </w:rPr>
            </w:pPr>
            <w:r w:rsidRPr="000A615C">
              <w:rPr>
                <w:rFonts w:ascii="Bookman Old Style" w:hAnsi="Bookman Old Style"/>
                <w:sz w:val="24"/>
                <w:szCs w:val="24"/>
              </w:rPr>
              <w:t xml:space="preserve">Pemegang Polis adalah pihak yang mengikatkan diri berdasarkan perjanjian dengan Perusahaan Asuransi, Perusahaan Asuransi Syariah, perusahaan reasuransi, atau perusahaan reasuransi syariah untuk mendapatkan pelindungan atau pengelolaan atas risiko bagi dirinya, tertanggung, atau peserta lain. </w:t>
            </w:r>
          </w:p>
        </w:tc>
        <w:tc>
          <w:tcPr>
            <w:tcW w:w="1167" w:type="pct"/>
          </w:tcPr>
          <w:p w14:paraId="3E1A42A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2F07F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0875E03"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24989077" w14:textId="742E7686" w:rsidTr="00C61A26">
        <w:trPr>
          <w:jc w:val="center"/>
        </w:trPr>
        <w:tc>
          <w:tcPr>
            <w:tcW w:w="1614" w:type="pct"/>
          </w:tcPr>
          <w:p w14:paraId="6FBC4464" w14:textId="420AFB61"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Tertanggung adalah pihak yang menghadapi risiko sebagaimana diatur dalam perjanjian asuransi atau perjanjian reasuransi.</w:t>
            </w:r>
          </w:p>
        </w:tc>
        <w:tc>
          <w:tcPr>
            <w:tcW w:w="1167" w:type="pct"/>
          </w:tcPr>
          <w:p w14:paraId="4F8D4D5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365990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585DFED"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4BCD6652" w14:textId="6BEC5AA4" w:rsidTr="00C61A26">
        <w:trPr>
          <w:jc w:val="center"/>
        </w:trPr>
        <w:tc>
          <w:tcPr>
            <w:tcW w:w="1614" w:type="pct"/>
          </w:tcPr>
          <w:p w14:paraId="0BEADA82" w14:textId="498509CC"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Peserta adalah pihak yang menghadapi risiko sebagaimana diatur dalam perjanjian asuransi syariah atau perjanjian reasuransi syariah.</w:t>
            </w:r>
          </w:p>
        </w:tc>
        <w:tc>
          <w:tcPr>
            <w:tcW w:w="1167" w:type="pct"/>
          </w:tcPr>
          <w:p w14:paraId="5BD258F6"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00F2AB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55E33B9"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01D32581" w14:textId="69F31AA5" w:rsidTr="00C61A26">
        <w:trPr>
          <w:jc w:val="center"/>
        </w:trPr>
        <w:tc>
          <w:tcPr>
            <w:tcW w:w="1614" w:type="pct"/>
          </w:tcPr>
          <w:p w14:paraId="6687C666" w14:textId="04FC2E92"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Agen Asuransi adalah orang yang bekerja sendiri atau bekerja pada badan usaha, yang bertindak untuk dan atas nama Perusahaan Asuransi atau Perusahaan Asuransi Syariah dan memenuhi persyaratan untuk mewakili Perusahaan Asuransi atau Perusahaan Asuransi Syariah memasarkan produk asuransi atau produk asuransi syariah.</w:t>
            </w:r>
          </w:p>
        </w:tc>
        <w:tc>
          <w:tcPr>
            <w:tcW w:w="1167" w:type="pct"/>
          </w:tcPr>
          <w:p w14:paraId="6BBA6FE7"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8390E0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E520EFF"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655A82D8" w14:textId="1D162B6C" w:rsidTr="00C61A26">
        <w:trPr>
          <w:jc w:val="center"/>
        </w:trPr>
        <w:tc>
          <w:tcPr>
            <w:tcW w:w="1614" w:type="pct"/>
          </w:tcPr>
          <w:p w14:paraId="660F112E" w14:textId="1B6ADEC7"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hAnsi="Bookman Old Style"/>
                <w:sz w:val="24"/>
                <w:szCs w:val="24"/>
              </w:rPr>
            </w:pPr>
            <w:r w:rsidRPr="000A615C">
              <w:rPr>
                <w:rFonts w:ascii="Bookman Old Style" w:hAnsi="Bookman Old Style"/>
                <w:sz w:val="24"/>
                <w:szCs w:val="24"/>
              </w:rPr>
              <w:t xml:space="preserve">Premi adalah sejumlah uang yang ditetapkan oleh Perusahaan Asuransi atau perusahaan reasuransi </w:t>
            </w:r>
            <w:r w:rsidRPr="000A615C">
              <w:rPr>
                <w:rFonts w:ascii="Bookman Old Style" w:hAnsi="Bookman Old Style"/>
                <w:sz w:val="24"/>
                <w:szCs w:val="24"/>
              </w:rPr>
              <w:lastRenderedPageBreak/>
              <w:t>dan disetujui oleh Pemegang Polis untuk dibayarkan berdasarkan perjanjian asuransi atau perjanjian reasuransi, atau sejumlah uang yang ditetapkan berdasarkan ketentuan peraturan perundang undangan yang mendasari program asuransi wajib untuk memperoleh manfaat.</w:t>
            </w:r>
          </w:p>
        </w:tc>
        <w:tc>
          <w:tcPr>
            <w:tcW w:w="1167" w:type="pct"/>
          </w:tcPr>
          <w:p w14:paraId="6B130553"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A95999F"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8C9F7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2184A19D" w14:textId="0BCE2173" w:rsidTr="00C61A26">
        <w:trPr>
          <w:jc w:val="center"/>
        </w:trPr>
        <w:tc>
          <w:tcPr>
            <w:tcW w:w="1614" w:type="pct"/>
          </w:tcPr>
          <w:p w14:paraId="1C526F4D" w14:textId="7E506460"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 xml:space="preserve">Kontribusi adalah sejumlah uang yang ditetapkan oleh Perusahaan Asuransi Syariah atau perusahaan reasuransi syariah dan disetujui oleh Pemegang Polis untuk dibayarkan berdasarkan perjanjian asuransi syariah atau perjanjian reasuransi syariah untuk memperoleh manfaat dari dana </w:t>
            </w:r>
            <w:r w:rsidRPr="00D666C0">
              <w:rPr>
                <w:rFonts w:ascii="Bookman Old Style" w:hAnsi="Bookman Old Style"/>
                <w:i/>
                <w:iCs/>
                <w:sz w:val="24"/>
                <w:szCs w:val="24"/>
              </w:rPr>
              <w:t>tabarru'</w:t>
            </w:r>
            <w:r w:rsidRPr="000A615C">
              <w:rPr>
                <w:rFonts w:ascii="Bookman Old Style" w:hAnsi="Bookman Old Style"/>
                <w:sz w:val="24"/>
                <w:szCs w:val="24"/>
              </w:rPr>
              <w:t xml:space="preserve"> dan/atau dana investasi Peserta dan untuk membayar biaya pengelolaan atau sejumlah uang yang ditetapkan berdasarkan ketentuan peraturan perundang- undangan yang mendasari program asuransi wajib untuk memperoleh manfaat.</w:t>
            </w:r>
          </w:p>
        </w:tc>
        <w:tc>
          <w:tcPr>
            <w:tcW w:w="1167" w:type="pct"/>
          </w:tcPr>
          <w:p w14:paraId="13BC2B5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509F787"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E5F97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32CB0F6D" w14:textId="7A9F3485" w:rsidTr="00C61A26">
        <w:trPr>
          <w:jc w:val="center"/>
        </w:trPr>
        <w:tc>
          <w:tcPr>
            <w:tcW w:w="1614" w:type="pct"/>
          </w:tcPr>
          <w:p w14:paraId="7838B6D5" w14:textId="60E6C127"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Bank Kustodian adalah bank umum yang telah mendapatkan persetujuan Otoritas Jasa Keuangan untuk melakukan kegiatan usaha sebagai kustodian.</w:t>
            </w:r>
          </w:p>
        </w:tc>
        <w:tc>
          <w:tcPr>
            <w:tcW w:w="1167" w:type="pct"/>
          </w:tcPr>
          <w:p w14:paraId="32B55575"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68CF778"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8AED5D1"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45F43734" w14:textId="764D845F" w:rsidTr="00C61A26">
        <w:trPr>
          <w:jc w:val="center"/>
        </w:trPr>
        <w:tc>
          <w:tcPr>
            <w:tcW w:w="1614" w:type="pct"/>
          </w:tcPr>
          <w:p w14:paraId="331BA0CA" w14:textId="06BAF4EF"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Aktuaris Perusahaan adalah orang perseorangan yang telah memperoleh sertifikasi dari asosiasi yang membawahkan bidang aktuaria, yang ditunjuk dan bekerja secara penuh sebagai aktuaris pada Perusahaan Asuransi atau Perusahaan Asuransi Syariah tempatnya bekerja.</w:t>
            </w:r>
          </w:p>
        </w:tc>
        <w:tc>
          <w:tcPr>
            <w:tcW w:w="1167" w:type="pct"/>
          </w:tcPr>
          <w:p w14:paraId="10385685"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3ABA93"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6DC1B5D"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46600354" w14:textId="1512732A" w:rsidTr="00C61A26">
        <w:trPr>
          <w:jc w:val="center"/>
        </w:trPr>
        <w:tc>
          <w:tcPr>
            <w:tcW w:w="1614" w:type="pct"/>
          </w:tcPr>
          <w:p w14:paraId="44F6AD37" w14:textId="1EDF187E"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lastRenderedPageBreak/>
              <w:t>Subdana adalah dana yang dibentuk dan dikelola Perusahaan Asuransi atau Perusahaan Asuransi Syariah dengan strategi investasi spesifik untuk memberikan manfaat yang dikaitkan dengan investasi pada PAYDI.</w:t>
            </w:r>
          </w:p>
        </w:tc>
        <w:tc>
          <w:tcPr>
            <w:tcW w:w="1167" w:type="pct"/>
          </w:tcPr>
          <w:p w14:paraId="4A85CD5A"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3AD9034"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FD8C475"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1891D6C1" w14:textId="39F5B12B" w:rsidTr="00C61A26">
        <w:trPr>
          <w:jc w:val="center"/>
        </w:trPr>
        <w:tc>
          <w:tcPr>
            <w:tcW w:w="1614" w:type="pct"/>
          </w:tcPr>
          <w:p w14:paraId="6C6C7A04" w14:textId="4940254D"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Nilai Aset Bersih yang selanjutnya disingkat NAB adalah nilai aset dikurangi dengan liabilitas dari Subdana.</w:t>
            </w:r>
          </w:p>
        </w:tc>
        <w:tc>
          <w:tcPr>
            <w:tcW w:w="1167" w:type="pct"/>
          </w:tcPr>
          <w:p w14:paraId="1950DE4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F8E54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19A916B"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46FC3449" w14:textId="41C984B2" w:rsidTr="00C61A26">
        <w:trPr>
          <w:jc w:val="center"/>
        </w:trPr>
        <w:tc>
          <w:tcPr>
            <w:tcW w:w="1614" w:type="pct"/>
          </w:tcPr>
          <w:p w14:paraId="2DE861C9" w14:textId="584E0CEA"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Nilai Tunai adalah nilai dari manfaat asuransi yang dikaitkan dengan investasi yang menjadi hak masing-masing Pemegang Polis, Tertanggung, atau Peserta pada waktu tertentu, sebelum memperhitungkan biaya yang dibebankan kepada Pemegang Polis, Tertanggung, atau Peserta sehubungan dengan penarikan dana atau pembatalan/pengakhiran Polis Asuransi.</w:t>
            </w:r>
          </w:p>
        </w:tc>
        <w:tc>
          <w:tcPr>
            <w:tcW w:w="1167" w:type="pct"/>
          </w:tcPr>
          <w:p w14:paraId="35CB154C"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80D39F6"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AF47DCC"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34FB92E8" w14:textId="408AF2D8" w:rsidTr="00C61A26">
        <w:trPr>
          <w:jc w:val="center"/>
        </w:trPr>
        <w:tc>
          <w:tcPr>
            <w:tcW w:w="1614" w:type="pct"/>
          </w:tcPr>
          <w:p w14:paraId="546EAD4F" w14:textId="76FA1D05" w:rsidR="002D0AA9" w:rsidRPr="000A615C" w:rsidRDefault="00A91118">
            <w:pPr>
              <w:pStyle w:val="ListParagraph"/>
              <w:numPr>
                <w:ilvl w:val="0"/>
                <w:numId w:val="50"/>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sidRPr="000A615C">
              <w:rPr>
                <w:rFonts w:ascii="Bookman Old Style" w:hAnsi="Bookman Old Style"/>
                <w:sz w:val="24"/>
                <w:szCs w:val="24"/>
              </w:rPr>
              <w:t>Hari Bursa adalah hari diselenggarakannya perdagangan efek di bursa efek, yaitu hari Senin sampai dengan hari Jumat, kecuali hari tersebut merupakan hari libur nasional atau dinyatakan sebagai hari libur bursa oleh bursa efek.</w:t>
            </w:r>
          </w:p>
        </w:tc>
        <w:tc>
          <w:tcPr>
            <w:tcW w:w="1167" w:type="pct"/>
          </w:tcPr>
          <w:p w14:paraId="5DE9A1BF"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ADEB24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932C80" w14:textId="77777777" w:rsidR="002D0AA9" w:rsidRPr="00C562C1" w:rsidRDefault="002D0AA9" w:rsidP="003D2FCF">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3DD89FA1" w14:textId="574AA425" w:rsidTr="00C61A26">
        <w:trPr>
          <w:jc w:val="center"/>
        </w:trPr>
        <w:tc>
          <w:tcPr>
            <w:tcW w:w="1614" w:type="pct"/>
          </w:tcPr>
          <w:p w14:paraId="1F027F41" w14:textId="77777777" w:rsidR="002D0AA9" w:rsidRPr="00C562C1" w:rsidRDefault="002D0AA9" w:rsidP="003D2FCF">
            <w:pPr>
              <w:spacing w:after="0" w:line="360" w:lineRule="auto"/>
              <w:jc w:val="both"/>
              <w:rPr>
                <w:rFonts w:ascii="Bookman Old Style" w:hAnsi="Bookman Old Style"/>
                <w:sz w:val="24"/>
                <w:szCs w:val="24"/>
              </w:rPr>
            </w:pPr>
          </w:p>
        </w:tc>
        <w:tc>
          <w:tcPr>
            <w:tcW w:w="1167" w:type="pct"/>
          </w:tcPr>
          <w:p w14:paraId="2EF0FA88"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42CA203"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58807D1"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10BA8119" w14:textId="2EA0B7BE" w:rsidTr="00C61A26">
        <w:trPr>
          <w:jc w:val="center"/>
        </w:trPr>
        <w:tc>
          <w:tcPr>
            <w:tcW w:w="1614" w:type="pct"/>
          </w:tcPr>
          <w:p w14:paraId="3A70B41D" w14:textId="2A9B29BB"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BAB II</w:t>
            </w:r>
          </w:p>
        </w:tc>
        <w:tc>
          <w:tcPr>
            <w:tcW w:w="1167" w:type="pct"/>
          </w:tcPr>
          <w:p w14:paraId="2B9A7F20"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C51FF6B"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B5AD31"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4DC054C" w14:textId="62C22157" w:rsidTr="00C61A26">
        <w:trPr>
          <w:jc w:val="center"/>
        </w:trPr>
        <w:tc>
          <w:tcPr>
            <w:tcW w:w="1614" w:type="pct"/>
          </w:tcPr>
          <w:p w14:paraId="5DF75746" w14:textId="289E784A" w:rsidR="002D0AA9" w:rsidRPr="00C562C1" w:rsidRDefault="00A91118" w:rsidP="003D2FCF">
            <w:pPr>
              <w:spacing w:after="0" w:line="360" w:lineRule="auto"/>
              <w:jc w:val="center"/>
              <w:rPr>
                <w:rFonts w:ascii="Bookman Old Style" w:eastAsia="Bookman Old Style" w:hAnsi="Bookman Old Style" w:cs="Bookman Old Style"/>
                <w:sz w:val="24"/>
                <w:szCs w:val="24"/>
              </w:rPr>
            </w:pPr>
            <w:r w:rsidRPr="00A91118">
              <w:rPr>
                <w:rFonts w:ascii="Bookman Old Style" w:eastAsia="Bookman Old Style" w:hAnsi="Bookman Old Style" w:cs="Bookman Old Style"/>
                <w:sz w:val="24"/>
                <w:szCs w:val="24"/>
              </w:rPr>
              <w:t>PENYELENGGARAAN PAYDI</w:t>
            </w:r>
          </w:p>
        </w:tc>
        <w:tc>
          <w:tcPr>
            <w:tcW w:w="1167" w:type="pct"/>
          </w:tcPr>
          <w:p w14:paraId="19646DF1"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080DAB6"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860010"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CBAC646" w14:textId="4BBD5083" w:rsidTr="00C61A26">
        <w:trPr>
          <w:jc w:val="center"/>
        </w:trPr>
        <w:tc>
          <w:tcPr>
            <w:tcW w:w="1614" w:type="pct"/>
          </w:tcPr>
          <w:p w14:paraId="37C431E4" w14:textId="77777777" w:rsidR="002D0AA9" w:rsidRPr="00C562C1" w:rsidRDefault="002D0AA9" w:rsidP="003D2FCF">
            <w:pPr>
              <w:spacing w:after="0" w:line="360" w:lineRule="auto"/>
              <w:jc w:val="center"/>
              <w:rPr>
                <w:rFonts w:ascii="Bookman Old Style" w:eastAsia="Bookman Old Style" w:hAnsi="Bookman Old Style" w:cs="Bookman Old Style"/>
                <w:sz w:val="24"/>
                <w:szCs w:val="24"/>
              </w:rPr>
            </w:pPr>
          </w:p>
        </w:tc>
        <w:tc>
          <w:tcPr>
            <w:tcW w:w="1167" w:type="pct"/>
          </w:tcPr>
          <w:p w14:paraId="268EED43"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65719E3"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8C67E3E"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7D148BE7" w14:textId="31E5E365" w:rsidTr="00C61A26">
        <w:trPr>
          <w:jc w:val="center"/>
        </w:trPr>
        <w:tc>
          <w:tcPr>
            <w:tcW w:w="1614" w:type="pct"/>
          </w:tcPr>
          <w:p w14:paraId="24557274" w14:textId="606688AF"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Bagian Kesatu</w:t>
            </w:r>
          </w:p>
        </w:tc>
        <w:tc>
          <w:tcPr>
            <w:tcW w:w="1167" w:type="pct"/>
          </w:tcPr>
          <w:p w14:paraId="747F35A0"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4C849D"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B516F7C"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1F223C26" w14:textId="5E2EC10F" w:rsidTr="00C61A26">
        <w:trPr>
          <w:jc w:val="center"/>
        </w:trPr>
        <w:tc>
          <w:tcPr>
            <w:tcW w:w="1614" w:type="pct"/>
          </w:tcPr>
          <w:p w14:paraId="18480CDD" w14:textId="06D1C618" w:rsidR="002D0AA9" w:rsidRPr="00C562C1" w:rsidRDefault="00A91118" w:rsidP="003D2FCF">
            <w:pPr>
              <w:spacing w:after="0" w:line="360" w:lineRule="auto"/>
              <w:jc w:val="center"/>
              <w:rPr>
                <w:rFonts w:ascii="Bookman Old Style" w:eastAsia="Bookman Old Style" w:hAnsi="Bookman Old Style" w:cs="Bookman Old Style"/>
                <w:sz w:val="24"/>
                <w:szCs w:val="24"/>
              </w:rPr>
            </w:pPr>
            <w:r w:rsidRPr="00A91118">
              <w:rPr>
                <w:rFonts w:ascii="Bookman Old Style" w:eastAsia="Bookman Old Style" w:hAnsi="Bookman Old Style" w:cs="Bookman Old Style"/>
                <w:sz w:val="24"/>
                <w:szCs w:val="24"/>
              </w:rPr>
              <w:t>Kriteria Perusahaan Asuransi dan Perusahaan Asuransi Syariah yang Dapat Menyelenggarakan PAYDI</w:t>
            </w:r>
          </w:p>
        </w:tc>
        <w:tc>
          <w:tcPr>
            <w:tcW w:w="1167" w:type="pct"/>
          </w:tcPr>
          <w:p w14:paraId="5E923AB2"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5B9304"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2B1548F"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009DB195" w14:textId="2805D24F" w:rsidTr="00C61A26">
        <w:trPr>
          <w:jc w:val="center"/>
        </w:trPr>
        <w:tc>
          <w:tcPr>
            <w:tcW w:w="1614" w:type="pct"/>
          </w:tcPr>
          <w:p w14:paraId="62CA2942" w14:textId="50275674" w:rsidR="002D0AA9" w:rsidRPr="00C562C1" w:rsidRDefault="002D0AA9" w:rsidP="003D2FCF">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lastRenderedPageBreak/>
              <w:t xml:space="preserve">Pasal </w:t>
            </w:r>
            <w:r w:rsidR="00A91118">
              <w:rPr>
                <w:rFonts w:ascii="Bookman Old Style" w:eastAsia="Bookman Old Style" w:hAnsi="Bookman Old Style" w:cs="Bookman Old Style"/>
                <w:sz w:val="24"/>
                <w:szCs w:val="24"/>
              </w:rPr>
              <w:t>2</w:t>
            </w:r>
          </w:p>
        </w:tc>
        <w:tc>
          <w:tcPr>
            <w:tcW w:w="1167" w:type="pct"/>
          </w:tcPr>
          <w:p w14:paraId="55799693"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6B5F1C"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261EACF"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1DEC2C70" w14:textId="0179ACF8" w:rsidTr="00C61A26">
        <w:trPr>
          <w:jc w:val="center"/>
        </w:trPr>
        <w:tc>
          <w:tcPr>
            <w:tcW w:w="1614" w:type="pct"/>
          </w:tcPr>
          <w:p w14:paraId="3CB2441F" w14:textId="096A113C" w:rsidR="002D0AA9" w:rsidRPr="00A91118" w:rsidRDefault="00A91118">
            <w:pPr>
              <w:pStyle w:val="ListParagraph"/>
              <w:numPr>
                <w:ilvl w:val="0"/>
                <w:numId w:val="5"/>
              </w:numPr>
              <w:rPr>
                <w:rFonts w:ascii="Bookman Old Style" w:eastAsia="Bookman Old Style" w:hAnsi="Bookman Old Style" w:cs="Bookman Old Style"/>
                <w:sz w:val="24"/>
                <w:szCs w:val="24"/>
              </w:rPr>
            </w:pPr>
            <w:r w:rsidRPr="00A91118">
              <w:rPr>
                <w:rFonts w:ascii="Bookman Old Style" w:eastAsia="Bookman Old Style" w:hAnsi="Bookman Old Style" w:cs="Bookman Old Style"/>
                <w:sz w:val="24"/>
                <w:szCs w:val="24"/>
              </w:rPr>
              <w:t xml:space="preserve">Perusahaan Asuransi atau Perusahaan Asuransi Syariah yang menyelenggarakan PAYDI </w:t>
            </w:r>
            <w:r w:rsidRPr="00D666C0">
              <w:rPr>
                <w:rFonts w:ascii="Bookman Old Style" w:eastAsia="Bookman Old Style" w:hAnsi="Bookman Old Style" w:cs="Bookman Old Style"/>
                <w:sz w:val="24"/>
                <w:szCs w:val="24"/>
              </w:rPr>
              <w:t>wajib</w:t>
            </w:r>
            <w:r w:rsidRPr="00A91118">
              <w:rPr>
                <w:rFonts w:ascii="Bookman Old Style" w:eastAsia="Bookman Old Style" w:hAnsi="Bookman Old Style" w:cs="Bookman Old Style"/>
                <w:sz w:val="24"/>
                <w:szCs w:val="24"/>
              </w:rPr>
              <w:t xml:space="preserve"> setiap saat memenuhi ketentuan sebagai berikut:</w:t>
            </w:r>
          </w:p>
        </w:tc>
        <w:tc>
          <w:tcPr>
            <w:tcW w:w="1167" w:type="pct"/>
          </w:tcPr>
          <w:p w14:paraId="6D2ECCC6" w14:textId="16402EC9"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19C9615" w14:textId="77777777" w:rsidR="002D0AA9" w:rsidRPr="00C562C1" w:rsidRDefault="002D0AA9" w:rsidP="003D2FCF">
            <w:pPr>
              <w:tabs>
                <w:tab w:val="left" w:pos="2552"/>
              </w:tabs>
              <w:spacing w:after="0" w:line="360" w:lineRule="auto"/>
              <w:jc w:val="both"/>
              <w:rPr>
                <w:rFonts w:ascii="Bookman Old Style" w:hAnsi="Bookman Old Style"/>
                <w:sz w:val="24"/>
                <w:szCs w:val="24"/>
              </w:rPr>
            </w:pPr>
          </w:p>
        </w:tc>
        <w:tc>
          <w:tcPr>
            <w:tcW w:w="1109" w:type="pct"/>
          </w:tcPr>
          <w:p w14:paraId="33ED4831" w14:textId="77777777" w:rsidR="002D0AA9" w:rsidRPr="00C562C1" w:rsidRDefault="002D0AA9" w:rsidP="003D2FCF">
            <w:pPr>
              <w:tabs>
                <w:tab w:val="left" w:pos="2552"/>
              </w:tabs>
              <w:spacing w:after="0" w:line="360" w:lineRule="auto"/>
              <w:jc w:val="both"/>
              <w:rPr>
                <w:rFonts w:ascii="Bookman Old Style" w:hAnsi="Bookman Old Style"/>
                <w:sz w:val="24"/>
                <w:szCs w:val="24"/>
              </w:rPr>
            </w:pPr>
          </w:p>
        </w:tc>
      </w:tr>
      <w:tr w:rsidR="00C562C1" w:rsidRPr="00C562C1" w14:paraId="03A5DA3C" w14:textId="30F73CB6" w:rsidTr="00C61A26">
        <w:trPr>
          <w:jc w:val="center"/>
        </w:trPr>
        <w:tc>
          <w:tcPr>
            <w:tcW w:w="1614" w:type="pct"/>
          </w:tcPr>
          <w:p w14:paraId="08717518" w14:textId="3761AEE3" w:rsidR="002D0AA9" w:rsidRPr="00A91118" w:rsidRDefault="00A91118">
            <w:pPr>
              <w:pStyle w:val="ListParagraph"/>
              <w:numPr>
                <w:ilvl w:val="1"/>
                <w:numId w:val="6"/>
              </w:numPr>
              <w:rPr>
                <w:rFonts w:ascii="Bookman Old Style" w:hAnsi="Bookman Old Style"/>
                <w:sz w:val="24"/>
                <w:szCs w:val="24"/>
              </w:rPr>
            </w:pPr>
            <w:r w:rsidRPr="00A91118">
              <w:rPr>
                <w:rFonts w:ascii="Bookman Old Style" w:hAnsi="Bookman Old Style"/>
                <w:sz w:val="24"/>
                <w:szCs w:val="24"/>
              </w:rPr>
              <w:t>memiliki Aktuaris Perusahaan;</w:t>
            </w:r>
          </w:p>
        </w:tc>
        <w:tc>
          <w:tcPr>
            <w:tcW w:w="1167" w:type="pct"/>
          </w:tcPr>
          <w:p w14:paraId="453EA285" w14:textId="78CB8936" w:rsidR="002D0AA9" w:rsidRPr="00C562C1" w:rsidRDefault="0075396B" w:rsidP="003D2FCF">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261F714C"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7E0F2AA" w14:textId="77777777" w:rsidR="002D0AA9" w:rsidRPr="00C562C1" w:rsidRDefault="002D0AA9" w:rsidP="003D2FCF">
            <w:pPr>
              <w:tabs>
                <w:tab w:val="left" w:pos="2552"/>
              </w:tabs>
              <w:spacing w:after="0" w:line="360" w:lineRule="auto"/>
              <w:jc w:val="both"/>
              <w:rPr>
                <w:rFonts w:ascii="Bookman Old Style" w:eastAsia="Bookman Old Style" w:hAnsi="Bookman Old Style" w:cs="Bookman Old Style"/>
                <w:sz w:val="24"/>
                <w:szCs w:val="24"/>
              </w:rPr>
            </w:pPr>
          </w:p>
        </w:tc>
      </w:tr>
      <w:tr w:rsidR="00A91118" w:rsidRPr="00C562C1" w14:paraId="3E46AA34" w14:textId="77777777" w:rsidTr="00C61A26">
        <w:trPr>
          <w:jc w:val="center"/>
        </w:trPr>
        <w:tc>
          <w:tcPr>
            <w:tcW w:w="1614" w:type="pct"/>
          </w:tcPr>
          <w:p w14:paraId="219D8DAA" w14:textId="424C06C1" w:rsidR="00A91118" w:rsidRPr="00A91118" w:rsidRDefault="00A91118">
            <w:pPr>
              <w:pStyle w:val="ListParagraph"/>
              <w:numPr>
                <w:ilvl w:val="1"/>
                <w:numId w:val="6"/>
              </w:numPr>
              <w:rPr>
                <w:rFonts w:ascii="Bookman Old Style" w:hAnsi="Bookman Old Style"/>
                <w:sz w:val="24"/>
                <w:szCs w:val="24"/>
              </w:rPr>
            </w:pPr>
            <w:r w:rsidRPr="00A91118">
              <w:rPr>
                <w:rFonts w:ascii="Bookman Old Style" w:hAnsi="Bookman Old Style"/>
                <w:sz w:val="24"/>
                <w:szCs w:val="24"/>
              </w:rPr>
              <w:t>memiliki tenaga pengelola investasi;</w:t>
            </w:r>
          </w:p>
        </w:tc>
        <w:tc>
          <w:tcPr>
            <w:tcW w:w="1167" w:type="pct"/>
          </w:tcPr>
          <w:p w14:paraId="345071D9" w14:textId="40DD628E" w:rsidR="00A91118" w:rsidRPr="00C562C1" w:rsidRDefault="0075396B" w:rsidP="003D2FCF">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0D2C696D" w14:textId="77777777" w:rsidR="00A91118" w:rsidRPr="00C562C1" w:rsidRDefault="00A91118"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BD53B08" w14:textId="77777777" w:rsidR="00A91118" w:rsidRPr="00C562C1" w:rsidRDefault="00A91118" w:rsidP="003D2FCF">
            <w:pPr>
              <w:tabs>
                <w:tab w:val="left" w:pos="2552"/>
              </w:tabs>
              <w:spacing w:after="0" w:line="360" w:lineRule="auto"/>
              <w:jc w:val="both"/>
              <w:rPr>
                <w:rFonts w:ascii="Bookman Old Style" w:eastAsia="Bookman Old Style" w:hAnsi="Bookman Old Style" w:cs="Bookman Old Style"/>
                <w:sz w:val="24"/>
                <w:szCs w:val="24"/>
              </w:rPr>
            </w:pPr>
          </w:p>
        </w:tc>
      </w:tr>
      <w:tr w:rsidR="00A91118" w:rsidRPr="00C562C1" w14:paraId="0827457E" w14:textId="77777777" w:rsidTr="00C61A26">
        <w:trPr>
          <w:jc w:val="center"/>
        </w:trPr>
        <w:tc>
          <w:tcPr>
            <w:tcW w:w="1614" w:type="pct"/>
          </w:tcPr>
          <w:p w14:paraId="4099AA31" w14:textId="426F00F0" w:rsidR="00A91118" w:rsidRPr="00A91118" w:rsidRDefault="00A91118">
            <w:pPr>
              <w:pStyle w:val="ListParagraph"/>
              <w:numPr>
                <w:ilvl w:val="1"/>
                <w:numId w:val="6"/>
              </w:numPr>
              <w:rPr>
                <w:rFonts w:ascii="Bookman Old Style" w:hAnsi="Bookman Old Style"/>
                <w:sz w:val="24"/>
                <w:szCs w:val="24"/>
              </w:rPr>
            </w:pPr>
            <w:r w:rsidRPr="00A91118">
              <w:rPr>
                <w:rFonts w:ascii="Bookman Old Style" w:hAnsi="Bookman Old Style"/>
                <w:sz w:val="24"/>
                <w:szCs w:val="24"/>
              </w:rPr>
              <w:t>memiliki sistem informasi yang memadai; dan</w:t>
            </w:r>
          </w:p>
        </w:tc>
        <w:tc>
          <w:tcPr>
            <w:tcW w:w="1167" w:type="pct"/>
          </w:tcPr>
          <w:p w14:paraId="6222F091" w14:textId="11DED072" w:rsidR="00A91118" w:rsidRPr="00C562C1" w:rsidRDefault="0075396B" w:rsidP="003D2FCF">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7173D18D" w14:textId="77777777" w:rsidR="00A91118" w:rsidRPr="00C562C1" w:rsidRDefault="00A91118"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33AF720" w14:textId="77777777" w:rsidR="00A91118" w:rsidRPr="00C562C1" w:rsidRDefault="00A91118" w:rsidP="003D2FCF">
            <w:pPr>
              <w:tabs>
                <w:tab w:val="left" w:pos="2552"/>
              </w:tabs>
              <w:spacing w:after="0" w:line="360" w:lineRule="auto"/>
              <w:jc w:val="both"/>
              <w:rPr>
                <w:rFonts w:ascii="Bookman Old Style" w:eastAsia="Bookman Old Style" w:hAnsi="Bookman Old Style" w:cs="Bookman Old Style"/>
                <w:sz w:val="24"/>
                <w:szCs w:val="24"/>
              </w:rPr>
            </w:pPr>
          </w:p>
        </w:tc>
      </w:tr>
      <w:tr w:rsidR="00A91118" w:rsidRPr="00C562C1" w14:paraId="3A737DA2" w14:textId="77777777" w:rsidTr="00C61A26">
        <w:trPr>
          <w:jc w:val="center"/>
        </w:trPr>
        <w:tc>
          <w:tcPr>
            <w:tcW w:w="1614" w:type="pct"/>
          </w:tcPr>
          <w:p w14:paraId="477BCD5E" w14:textId="22D55602" w:rsidR="00A91118" w:rsidRPr="00A91118" w:rsidRDefault="00A91118">
            <w:pPr>
              <w:pStyle w:val="ListParagraph"/>
              <w:numPr>
                <w:ilvl w:val="1"/>
                <w:numId w:val="6"/>
              </w:numPr>
              <w:rPr>
                <w:rFonts w:ascii="Bookman Old Style" w:hAnsi="Bookman Old Style"/>
                <w:sz w:val="24"/>
                <w:szCs w:val="24"/>
              </w:rPr>
            </w:pPr>
            <w:r w:rsidRPr="00A91118">
              <w:rPr>
                <w:rFonts w:ascii="Bookman Old Style" w:hAnsi="Bookman Old Style"/>
                <w:sz w:val="24"/>
                <w:szCs w:val="24"/>
              </w:rPr>
              <w:t>memiliki sumber daya yang mampu mendukung pengelolaan PAYDI.</w:t>
            </w:r>
          </w:p>
        </w:tc>
        <w:tc>
          <w:tcPr>
            <w:tcW w:w="1167" w:type="pct"/>
          </w:tcPr>
          <w:p w14:paraId="7382799E" w14:textId="62A4F316" w:rsidR="00A91118" w:rsidRPr="00C562C1" w:rsidRDefault="0075396B" w:rsidP="00967AC0">
            <w:pPr>
              <w:tabs>
                <w:tab w:val="left" w:pos="2552"/>
              </w:tabs>
              <w:spacing w:after="0" w:line="360" w:lineRule="auto"/>
              <w:jc w:val="both"/>
              <w:rPr>
                <w:rFonts w:ascii="Bookman Old Style" w:eastAsia="Bookman Old Style" w:hAnsi="Bookman Old Style" w:cs="Bookman Old Style"/>
                <w:sz w:val="24"/>
                <w:szCs w:val="24"/>
              </w:rPr>
            </w:pPr>
            <w:r w:rsidRPr="0075396B">
              <w:rPr>
                <w:rFonts w:ascii="Bookman Old Style" w:eastAsia="Bookman Old Style" w:hAnsi="Bookman Old Style" w:cs="Bookman Old Style"/>
                <w:sz w:val="24"/>
                <w:szCs w:val="24"/>
              </w:rPr>
              <w:t xml:space="preserve">Sumber daya yang mampu mendukung pengelolaan PAYDI meliputi fungsi pemasaran, </w:t>
            </w:r>
            <w:r w:rsidRPr="00967AC0">
              <w:rPr>
                <w:rFonts w:ascii="Bookman Old Style" w:eastAsia="Bookman Old Style" w:hAnsi="Bookman Old Style" w:cs="Bookman Old Style"/>
                <w:i/>
                <w:iCs/>
                <w:sz w:val="24"/>
                <w:szCs w:val="24"/>
              </w:rPr>
              <w:t>underwriting</w:t>
            </w:r>
            <w:r w:rsidRPr="0075396B">
              <w:rPr>
                <w:rFonts w:ascii="Bookman Old Style" w:eastAsia="Bookman Old Style" w:hAnsi="Bookman Old Style" w:cs="Bookman Old Style"/>
                <w:sz w:val="24"/>
                <w:szCs w:val="24"/>
              </w:rPr>
              <w:t>, administrasi dan akuntansi, aktuaria, keuangan termasuk pengelolaan investasi, penyelesaian dan administrasi klaim, pelayanan dan penanganan pengaduan, manajemen risiko, dan audit internal.</w:t>
            </w:r>
          </w:p>
        </w:tc>
        <w:tc>
          <w:tcPr>
            <w:tcW w:w="1109" w:type="pct"/>
          </w:tcPr>
          <w:p w14:paraId="6F80A6DE" w14:textId="77777777" w:rsidR="00A91118" w:rsidRPr="00C562C1" w:rsidRDefault="00A91118"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58E983F" w14:textId="77777777" w:rsidR="00A91118" w:rsidRPr="00C562C1" w:rsidRDefault="00A91118"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72E70B25" w14:textId="77777777" w:rsidTr="00C61A26">
        <w:trPr>
          <w:jc w:val="center"/>
        </w:trPr>
        <w:tc>
          <w:tcPr>
            <w:tcW w:w="1614" w:type="pct"/>
          </w:tcPr>
          <w:p w14:paraId="1BD3D4EC" w14:textId="2F84F912" w:rsidR="00F82866" w:rsidRPr="00F82866" w:rsidRDefault="00F82866">
            <w:pPr>
              <w:pStyle w:val="ListParagraph"/>
              <w:numPr>
                <w:ilvl w:val="0"/>
                <w:numId w:val="5"/>
              </w:numPr>
              <w:rPr>
                <w:rFonts w:ascii="Bookman Old Style" w:hAnsi="Bookman Old Style"/>
                <w:sz w:val="24"/>
                <w:szCs w:val="24"/>
              </w:rPr>
            </w:pPr>
            <w:r w:rsidRPr="00F82866">
              <w:rPr>
                <w:rFonts w:ascii="Bookman Old Style" w:hAnsi="Bookman Old Style"/>
                <w:sz w:val="24"/>
                <w:szCs w:val="24"/>
              </w:rPr>
              <w:t xml:space="preserve">Tenaga pengelola investasi sebagaimana dimaksud pada ayat (1) huruf b </w:t>
            </w:r>
            <w:r w:rsidR="003955DB" w:rsidRPr="00D666C0">
              <w:rPr>
                <w:rFonts w:ascii="Bookman Old Style" w:hAnsi="Bookman Old Style"/>
                <w:sz w:val="24"/>
                <w:szCs w:val="24"/>
              </w:rPr>
              <w:t>wajib</w:t>
            </w:r>
            <w:r w:rsidRPr="00F82866">
              <w:rPr>
                <w:rFonts w:ascii="Bookman Old Style" w:hAnsi="Bookman Old Style"/>
                <w:sz w:val="24"/>
                <w:szCs w:val="24"/>
              </w:rPr>
              <w:t xml:space="preserve"> memenuhi ketentuan:</w:t>
            </w:r>
          </w:p>
        </w:tc>
        <w:tc>
          <w:tcPr>
            <w:tcW w:w="1167" w:type="pct"/>
          </w:tcPr>
          <w:p w14:paraId="289C1D27" w14:textId="055D8D37" w:rsidR="00F82866" w:rsidRPr="00C562C1" w:rsidRDefault="00967AC0" w:rsidP="003D2FCF">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08173C96"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7BEAAE"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5D4FC7EA" w14:textId="77777777" w:rsidTr="00C61A26">
        <w:trPr>
          <w:jc w:val="center"/>
        </w:trPr>
        <w:tc>
          <w:tcPr>
            <w:tcW w:w="1614" w:type="pct"/>
          </w:tcPr>
          <w:p w14:paraId="17F2EC96" w14:textId="62C0B4EA" w:rsidR="00F82866" w:rsidRPr="00F82866" w:rsidRDefault="00F82866" w:rsidP="00D666C0">
            <w:pPr>
              <w:pStyle w:val="ListParagraph"/>
              <w:numPr>
                <w:ilvl w:val="0"/>
                <w:numId w:val="7"/>
              </w:numPr>
              <w:jc w:val="both"/>
              <w:rPr>
                <w:rFonts w:ascii="Bookman Old Style" w:hAnsi="Bookman Old Style"/>
                <w:sz w:val="24"/>
                <w:szCs w:val="24"/>
              </w:rPr>
            </w:pPr>
            <w:r w:rsidRPr="00F82866">
              <w:rPr>
                <w:rFonts w:ascii="Bookman Old Style" w:hAnsi="Bookman Old Style"/>
                <w:sz w:val="24"/>
                <w:szCs w:val="24"/>
              </w:rPr>
              <w:t>telah lulus ujian sebagai wakil manajer investasi yang dibuktikan dengan sertifikat keahlian yang masih berlaku dari lembaga sertifikasi profesi yang terdaftar di Otoritas Jasa Keuangan;</w:t>
            </w:r>
          </w:p>
        </w:tc>
        <w:tc>
          <w:tcPr>
            <w:tcW w:w="1167" w:type="pct"/>
          </w:tcPr>
          <w:p w14:paraId="5D6AFF8C"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DA7B84"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C1791B"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3DCFB855" w14:textId="77777777" w:rsidTr="00C61A26">
        <w:trPr>
          <w:jc w:val="center"/>
        </w:trPr>
        <w:tc>
          <w:tcPr>
            <w:tcW w:w="1614" w:type="pct"/>
          </w:tcPr>
          <w:p w14:paraId="7863DB0F" w14:textId="3CCDACD4" w:rsidR="00F82866" w:rsidRPr="00F82866" w:rsidRDefault="00F82866">
            <w:pPr>
              <w:pStyle w:val="ListParagraph"/>
              <w:numPr>
                <w:ilvl w:val="0"/>
                <w:numId w:val="7"/>
              </w:numPr>
              <w:rPr>
                <w:rFonts w:ascii="Bookman Old Style" w:hAnsi="Bookman Old Style"/>
                <w:sz w:val="24"/>
                <w:szCs w:val="24"/>
              </w:rPr>
            </w:pPr>
            <w:r w:rsidRPr="00F82866">
              <w:rPr>
                <w:rFonts w:ascii="Bookman Old Style" w:hAnsi="Bookman Old Style"/>
                <w:sz w:val="24"/>
                <w:szCs w:val="24"/>
              </w:rPr>
              <w:t>berpengalaman paling singkat 3 (tiga) tahun pada posisi manajerial di bidang pengelolaan investasi;</w:t>
            </w:r>
          </w:p>
        </w:tc>
        <w:tc>
          <w:tcPr>
            <w:tcW w:w="1167" w:type="pct"/>
          </w:tcPr>
          <w:p w14:paraId="29D7CB95"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6A9D3CA"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2EE338"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357240AB" w14:textId="77777777" w:rsidTr="00C61A26">
        <w:trPr>
          <w:jc w:val="center"/>
        </w:trPr>
        <w:tc>
          <w:tcPr>
            <w:tcW w:w="1614" w:type="pct"/>
          </w:tcPr>
          <w:p w14:paraId="156E2F97" w14:textId="7980F7DE" w:rsidR="00F82866" w:rsidRPr="00F82866" w:rsidRDefault="00F82866">
            <w:pPr>
              <w:pStyle w:val="ListParagraph"/>
              <w:numPr>
                <w:ilvl w:val="0"/>
                <w:numId w:val="7"/>
              </w:numPr>
              <w:rPr>
                <w:rFonts w:ascii="Bookman Old Style" w:hAnsi="Bookman Old Style"/>
                <w:sz w:val="24"/>
                <w:szCs w:val="24"/>
              </w:rPr>
            </w:pPr>
            <w:r w:rsidRPr="00F82866">
              <w:rPr>
                <w:rFonts w:ascii="Bookman Old Style" w:hAnsi="Bookman Old Style"/>
                <w:sz w:val="24"/>
                <w:szCs w:val="24"/>
              </w:rPr>
              <w:t xml:space="preserve">tidak memiliki rangkap jabatan di Perusahaan Asuransi atau Perusahaan Asuransi Syariah dan/atau lembaga jasa keuangan lainnya, serta pada fungsi lain </w:t>
            </w:r>
            <w:r w:rsidRPr="00F82866">
              <w:rPr>
                <w:rFonts w:ascii="Bookman Old Style" w:hAnsi="Bookman Old Style"/>
                <w:sz w:val="24"/>
                <w:szCs w:val="24"/>
              </w:rPr>
              <w:lastRenderedPageBreak/>
              <w:t>pada Perusahaan Asuransi atau Perusahaan Asuransi Syariah yang sama;</w:t>
            </w:r>
          </w:p>
        </w:tc>
        <w:tc>
          <w:tcPr>
            <w:tcW w:w="1167" w:type="pct"/>
          </w:tcPr>
          <w:p w14:paraId="3F247053"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F5EA07"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20127E"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0528931E" w14:textId="77777777" w:rsidTr="00C61A26">
        <w:trPr>
          <w:jc w:val="center"/>
        </w:trPr>
        <w:tc>
          <w:tcPr>
            <w:tcW w:w="1614" w:type="pct"/>
          </w:tcPr>
          <w:p w14:paraId="34E4DD6B" w14:textId="12CFEF8D" w:rsidR="00F82866" w:rsidRPr="00F82866" w:rsidRDefault="00F82866">
            <w:pPr>
              <w:pStyle w:val="ListParagraph"/>
              <w:numPr>
                <w:ilvl w:val="0"/>
                <w:numId w:val="7"/>
              </w:numPr>
              <w:rPr>
                <w:rFonts w:ascii="Bookman Old Style" w:hAnsi="Bookman Old Style"/>
                <w:sz w:val="24"/>
                <w:szCs w:val="24"/>
              </w:rPr>
            </w:pPr>
            <w:r w:rsidRPr="00F82866">
              <w:rPr>
                <w:rFonts w:ascii="Bookman Old Style" w:hAnsi="Bookman Old Style"/>
                <w:sz w:val="24"/>
                <w:szCs w:val="24"/>
              </w:rPr>
              <w:t>bertindak sebagai penanggung jawab fungsi pengelolaan investasi;</w:t>
            </w:r>
          </w:p>
        </w:tc>
        <w:tc>
          <w:tcPr>
            <w:tcW w:w="1167" w:type="pct"/>
          </w:tcPr>
          <w:p w14:paraId="4B0F2A96"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FE198BB"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CAD086A"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2D46409D" w14:textId="77777777" w:rsidTr="00C61A26">
        <w:trPr>
          <w:jc w:val="center"/>
        </w:trPr>
        <w:tc>
          <w:tcPr>
            <w:tcW w:w="1614" w:type="pct"/>
          </w:tcPr>
          <w:p w14:paraId="4004971B" w14:textId="47A03D68" w:rsidR="00F82866" w:rsidRPr="00F82866" w:rsidRDefault="00F82866">
            <w:pPr>
              <w:pStyle w:val="ListParagraph"/>
              <w:numPr>
                <w:ilvl w:val="0"/>
                <w:numId w:val="7"/>
              </w:numPr>
              <w:rPr>
                <w:rFonts w:ascii="Bookman Old Style" w:hAnsi="Bookman Old Style"/>
                <w:sz w:val="24"/>
                <w:szCs w:val="24"/>
              </w:rPr>
            </w:pPr>
            <w:r w:rsidRPr="00F82866">
              <w:rPr>
                <w:rFonts w:ascii="Bookman Old Style" w:hAnsi="Bookman Old Style"/>
                <w:sz w:val="24"/>
                <w:szCs w:val="24"/>
              </w:rPr>
              <w:t>merupakan pejabat yang bertanggung jawab langsung kepada direksi atau yang setara; dan</w:t>
            </w:r>
          </w:p>
        </w:tc>
        <w:tc>
          <w:tcPr>
            <w:tcW w:w="1167" w:type="pct"/>
          </w:tcPr>
          <w:p w14:paraId="0B25AF91"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FCD0F77"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8D70E24"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3902AF2C" w14:textId="77777777" w:rsidTr="00C61A26">
        <w:trPr>
          <w:jc w:val="center"/>
        </w:trPr>
        <w:tc>
          <w:tcPr>
            <w:tcW w:w="1614" w:type="pct"/>
          </w:tcPr>
          <w:p w14:paraId="08DB26B4" w14:textId="00ABC6DF" w:rsidR="00F82866" w:rsidRPr="00F82866" w:rsidRDefault="00F82866">
            <w:pPr>
              <w:pStyle w:val="ListParagraph"/>
              <w:numPr>
                <w:ilvl w:val="0"/>
                <w:numId w:val="7"/>
              </w:numPr>
              <w:rPr>
                <w:rFonts w:ascii="Bookman Old Style" w:hAnsi="Bookman Old Style"/>
                <w:sz w:val="24"/>
                <w:szCs w:val="24"/>
              </w:rPr>
            </w:pPr>
            <w:r w:rsidRPr="00F82866">
              <w:rPr>
                <w:rFonts w:ascii="Bookman Old Style" w:hAnsi="Bookman Old Style"/>
                <w:sz w:val="24"/>
                <w:szCs w:val="24"/>
              </w:rPr>
              <w:t>tidak pernah dikenakan sanksi pencabutan izin wakil manajer investasi berdasarkan peraturan perundang-undangan di bidang pasar modal selama 3 (tiga) tahun terakhir, dalam hal tenaga pengelola investasi tersebut pernah bekerja pada perusahaan efek.</w:t>
            </w:r>
          </w:p>
        </w:tc>
        <w:tc>
          <w:tcPr>
            <w:tcW w:w="1167" w:type="pct"/>
          </w:tcPr>
          <w:p w14:paraId="5A6879D1"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5162A21"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E5B20B5"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6CDF068F" w14:textId="77777777" w:rsidTr="00C61A26">
        <w:trPr>
          <w:jc w:val="center"/>
        </w:trPr>
        <w:tc>
          <w:tcPr>
            <w:tcW w:w="1614" w:type="pct"/>
          </w:tcPr>
          <w:p w14:paraId="37EDFCD7" w14:textId="410761FB" w:rsidR="00F82866" w:rsidRPr="00F82866" w:rsidRDefault="00F82866">
            <w:pPr>
              <w:pStyle w:val="ListParagraph"/>
              <w:numPr>
                <w:ilvl w:val="0"/>
                <w:numId w:val="5"/>
              </w:numPr>
              <w:rPr>
                <w:rFonts w:ascii="Bookman Old Style" w:hAnsi="Bookman Old Style"/>
                <w:sz w:val="24"/>
                <w:szCs w:val="24"/>
              </w:rPr>
            </w:pPr>
            <w:r w:rsidRPr="00F82866">
              <w:rPr>
                <w:rFonts w:ascii="Bookman Old Style" w:hAnsi="Bookman Old Style"/>
                <w:sz w:val="24"/>
                <w:szCs w:val="24"/>
              </w:rPr>
              <w:t>Sistem informasi yang memadai sebagaimana dimaksud pada ayat (1) huruf c dibuktikan paling sedikit melalui penyediaan:</w:t>
            </w:r>
          </w:p>
        </w:tc>
        <w:tc>
          <w:tcPr>
            <w:tcW w:w="1167" w:type="pct"/>
          </w:tcPr>
          <w:p w14:paraId="4009940E" w14:textId="2E9B10F9" w:rsidR="00F82866" w:rsidRPr="00C562C1" w:rsidRDefault="00967AC0" w:rsidP="003D2FCF">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4A81AFA8"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3CA050"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5C3B75D2" w14:textId="77777777" w:rsidTr="00C61A26">
        <w:trPr>
          <w:jc w:val="center"/>
        </w:trPr>
        <w:tc>
          <w:tcPr>
            <w:tcW w:w="1614" w:type="pct"/>
          </w:tcPr>
          <w:p w14:paraId="4A2E3D69" w14:textId="4F96C32A" w:rsidR="00F82866" w:rsidRPr="00F82866" w:rsidRDefault="00F82866">
            <w:pPr>
              <w:pStyle w:val="ListParagraph"/>
              <w:numPr>
                <w:ilvl w:val="0"/>
                <w:numId w:val="8"/>
              </w:numPr>
              <w:rPr>
                <w:rFonts w:ascii="Bookman Old Style" w:hAnsi="Bookman Old Style"/>
                <w:sz w:val="24"/>
                <w:szCs w:val="24"/>
              </w:rPr>
            </w:pPr>
            <w:r w:rsidRPr="00D666C0">
              <w:rPr>
                <w:rFonts w:ascii="Bookman Old Style" w:hAnsi="Bookman Old Style"/>
                <w:color w:val="000000" w:themeColor="text1"/>
                <w:sz w:val="24"/>
                <w:szCs w:val="24"/>
              </w:rPr>
              <w:t xml:space="preserve">ilustrasi pertanggungan untuk masing-masing Tertanggung atau Peserta; </w:t>
            </w:r>
          </w:p>
        </w:tc>
        <w:tc>
          <w:tcPr>
            <w:tcW w:w="1167" w:type="pct"/>
          </w:tcPr>
          <w:p w14:paraId="6AF6B2FE"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53DAFEA"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A925E60"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5F2BD325" w14:textId="77777777" w:rsidTr="00C61A26">
        <w:trPr>
          <w:jc w:val="center"/>
        </w:trPr>
        <w:tc>
          <w:tcPr>
            <w:tcW w:w="1614" w:type="pct"/>
          </w:tcPr>
          <w:p w14:paraId="4E46A006" w14:textId="7BE11CEE" w:rsidR="00F82866" w:rsidRPr="00F82866" w:rsidRDefault="00F82866">
            <w:pPr>
              <w:pStyle w:val="ListParagraph"/>
              <w:numPr>
                <w:ilvl w:val="0"/>
                <w:numId w:val="8"/>
              </w:numPr>
              <w:rPr>
                <w:rFonts w:ascii="Bookman Old Style" w:hAnsi="Bookman Old Style"/>
                <w:sz w:val="24"/>
                <w:szCs w:val="24"/>
              </w:rPr>
            </w:pPr>
            <w:r w:rsidRPr="00F82866">
              <w:rPr>
                <w:rFonts w:ascii="Bookman Old Style" w:hAnsi="Bookman Old Style"/>
                <w:sz w:val="24"/>
                <w:szCs w:val="24"/>
              </w:rPr>
              <w:t xml:space="preserve">informasi harian NAB dan NAB per unit dalam hal Subdana dinyatakan dalam bentuk unit, untuk dicantumkan dalam situs web Perusahaan Asuransi atau Perusahaan Asuransi Syariah; </w:t>
            </w:r>
          </w:p>
        </w:tc>
        <w:tc>
          <w:tcPr>
            <w:tcW w:w="1167" w:type="pct"/>
          </w:tcPr>
          <w:p w14:paraId="0675D9E1"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2343C17"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8F236C4"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5E485453" w14:textId="77777777" w:rsidTr="00C61A26">
        <w:trPr>
          <w:jc w:val="center"/>
        </w:trPr>
        <w:tc>
          <w:tcPr>
            <w:tcW w:w="1614" w:type="pct"/>
          </w:tcPr>
          <w:p w14:paraId="6A92870D" w14:textId="3E67BF06" w:rsidR="00F82866" w:rsidRPr="00F82866" w:rsidRDefault="00F82866">
            <w:pPr>
              <w:pStyle w:val="ListParagraph"/>
              <w:numPr>
                <w:ilvl w:val="0"/>
                <w:numId w:val="8"/>
              </w:numPr>
              <w:rPr>
                <w:rFonts w:ascii="Bookman Old Style" w:hAnsi="Bookman Old Style"/>
                <w:sz w:val="24"/>
                <w:szCs w:val="24"/>
              </w:rPr>
            </w:pPr>
            <w:r w:rsidRPr="00F82866">
              <w:rPr>
                <w:rFonts w:ascii="Bookman Old Style" w:hAnsi="Bookman Old Style"/>
                <w:sz w:val="24"/>
                <w:szCs w:val="24"/>
              </w:rPr>
              <w:t>informasi harian Nilai Tunai masing-masing Tertanggung atau Peserta</w:t>
            </w:r>
          </w:p>
        </w:tc>
        <w:tc>
          <w:tcPr>
            <w:tcW w:w="1167" w:type="pct"/>
          </w:tcPr>
          <w:p w14:paraId="1253F04B"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36164F"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B029CDA"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21BD9D96" w14:textId="77777777" w:rsidTr="00C61A26">
        <w:trPr>
          <w:jc w:val="center"/>
        </w:trPr>
        <w:tc>
          <w:tcPr>
            <w:tcW w:w="1614" w:type="pct"/>
          </w:tcPr>
          <w:p w14:paraId="08B8BE03" w14:textId="6C10D32E" w:rsidR="00F82866" w:rsidRPr="00F82866" w:rsidRDefault="00F82866">
            <w:pPr>
              <w:pStyle w:val="ListParagraph"/>
              <w:numPr>
                <w:ilvl w:val="0"/>
                <w:numId w:val="8"/>
              </w:numPr>
              <w:rPr>
                <w:rFonts w:ascii="Bookman Old Style" w:hAnsi="Bookman Old Style"/>
                <w:sz w:val="24"/>
                <w:szCs w:val="24"/>
              </w:rPr>
            </w:pPr>
            <w:r w:rsidRPr="00F82866">
              <w:rPr>
                <w:rFonts w:ascii="Bookman Old Style" w:hAnsi="Bookman Old Style"/>
                <w:sz w:val="24"/>
                <w:szCs w:val="24"/>
              </w:rPr>
              <w:t xml:space="preserve">laporan perkembangan Nilai Tunai; </w:t>
            </w:r>
          </w:p>
        </w:tc>
        <w:tc>
          <w:tcPr>
            <w:tcW w:w="1167" w:type="pct"/>
          </w:tcPr>
          <w:p w14:paraId="325E30B0"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7EA13C"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EFC57B6"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061C383A" w14:textId="77777777" w:rsidTr="00C61A26">
        <w:trPr>
          <w:jc w:val="center"/>
        </w:trPr>
        <w:tc>
          <w:tcPr>
            <w:tcW w:w="1614" w:type="pct"/>
          </w:tcPr>
          <w:p w14:paraId="5DAFFACB" w14:textId="5DEEC0B4" w:rsidR="00F82866" w:rsidRPr="00F82866" w:rsidRDefault="00F82866">
            <w:pPr>
              <w:pStyle w:val="ListParagraph"/>
              <w:numPr>
                <w:ilvl w:val="0"/>
                <w:numId w:val="8"/>
              </w:numPr>
              <w:rPr>
                <w:rFonts w:ascii="Bookman Old Style" w:hAnsi="Bookman Old Style"/>
                <w:sz w:val="24"/>
                <w:szCs w:val="24"/>
              </w:rPr>
            </w:pPr>
            <w:r w:rsidRPr="00F82866">
              <w:rPr>
                <w:rFonts w:ascii="Bookman Old Style" w:hAnsi="Bookman Old Style"/>
                <w:sz w:val="24"/>
                <w:szCs w:val="24"/>
              </w:rPr>
              <w:t xml:space="preserve">laporan perkembangan Subdana; </w:t>
            </w:r>
          </w:p>
        </w:tc>
        <w:tc>
          <w:tcPr>
            <w:tcW w:w="1167" w:type="pct"/>
          </w:tcPr>
          <w:p w14:paraId="43351A0F"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73582E5"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AEB760B"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2DA4A967" w14:textId="77777777" w:rsidTr="00C61A26">
        <w:trPr>
          <w:jc w:val="center"/>
        </w:trPr>
        <w:tc>
          <w:tcPr>
            <w:tcW w:w="1614" w:type="pct"/>
          </w:tcPr>
          <w:p w14:paraId="7F74C916" w14:textId="4D507D45" w:rsidR="00F82866" w:rsidRPr="00F82866" w:rsidRDefault="00F82866">
            <w:pPr>
              <w:pStyle w:val="ListParagraph"/>
              <w:numPr>
                <w:ilvl w:val="0"/>
                <w:numId w:val="8"/>
              </w:numPr>
              <w:rPr>
                <w:rFonts w:ascii="Bookman Old Style" w:hAnsi="Bookman Old Style"/>
                <w:sz w:val="24"/>
                <w:szCs w:val="24"/>
              </w:rPr>
            </w:pPr>
            <w:r w:rsidRPr="00F82866">
              <w:rPr>
                <w:rFonts w:ascii="Bookman Old Style" w:hAnsi="Bookman Old Style"/>
                <w:sz w:val="24"/>
                <w:szCs w:val="24"/>
              </w:rPr>
              <w:t>laporan keuangan berdasarkan ketentuan peraturan perundang-undangan dan standar akuntansi yang berlaku di Indonesia; dan</w:t>
            </w:r>
          </w:p>
        </w:tc>
        <w:tc>
          <w:tcPr>
            <w:tcW w:w="1167" w:type="pct"/>
          </w:tcPr>
          <w:p w14:paraId="3E53449B"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B7BD2A4"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84C995E"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28F01FAB" w14:textId="77777777" w:rsidTr="00C61A26">
        <w:trPr>
          <w:jc w:val="center"/>
        </w:trPr>
        <w:tc>
          <w:tcPr>
            <w:tcW w:w="1614" w:type="pct"/>
          </w:tcPr>
          <w:p w14:paraId="0A0EBB48" w14:textId="148006B8" w:rsidR="00F82866" w:rsidRPr="00F82866" w:rsidRDefault="00F82866">
            <w:pPr>
              <w:pStyle w:val="ListParagraph"/>
              <w:numPr>
                <w:ilvl w:val="0"/>
                <w:numId w:val="8"/>
              </w:numPr>
              <w:rPr>
                <w:rFonts w:ascii="Bookman Old Style" w:hAnsi="Bookman Old Style"/>
                <w:sz w:val="24"/>
                <w:szCs w:val="24"/>
              </w:rPr>
            </w:pPr>
            <w:r w:rsidRPr="00F82866">
              <w:rPr>
                <w:rFonts w:ascii="Bookman Old Style" w:hAnsi="Bookman Old Style"/>
                <w:sz w:val="24"/>
                <w:szCs w:val="24"/>
              </w:rPr>
              <w:lastRenderedPageBreak/>
              <w:t>informasi dan laporan dalam rangka pemantauan kinerja PAYDI sebagaimana diatur dalam Peraturan Otoritas Jasa Keuangan mengenai produk asuransi dan pemasaran produk asuransi.</w:t>
            </w:r>
          </w:p>
        </w:tc>
        <w:tc>
          <w:tcPr>
            <w:tcW w:w="1167" w:type="pct"/>
          </w:tcPr>
          <w:p w14:paraId="723362AA"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85D05B9"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B16EAF"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F82866" w:rsidRPr="00C562C1" w14:paraId="5257FD90" w14:textId="77777777" w:rsidTr="00C61A26">
        <w:trPr>
          <w:jc w:val="center"/>
        </w:trPr>
        <w:tc>
          <w:tcPr>
            <w:tcW w:w="1614" w:type="pct"/>
          </w:tcPr>
          <w:p w14:paraId="384D7C3B" w14:textId="77777777" w:rsidR="00F82866" w:rsidRPr="00F82866" w:rsidRDefault="00F82866" w:rsidP="00F82866">
            <w:pPr>
              <w:pStyle w:val="ListParagraph"/>
              <w:ind w:left="1440"/>
              <w:rPr>
                <w:rFonts w:ascii="Bookman Old Style" w:hAnsi="Bookman Old Style"/>
                <w:sz w:val="24"/>
                <w:szCs w:val="24"/>
              </w:rPr>
            </w:pPr>
          </w:p>
        </w:tc>
        <w:tc>
          <w:tcPr>
            <w:tcW w:w="1167" w:type="pct"/>
          </w:tcPr>
          <w:p w14:paraId="0FA3BD20"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79B385D"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8CE030E" w14:textId="77777777" w:rsidR="00F82866" w:rsidRPr="00C562C1" w:rsidRDefault="00F82866" w:rsidP="003D2FCF">
            <w:pPr>
              <w:tabs>
                <w:tab w:val="left" w:pos="2552"/>
              </w:tabs>
              <w:spacing w:after="0" w:line="360" w:lineRule="auto"/>
              <w:jc w:val="both"/>
              <w:rPr>
                <w:rFonts w:ascii="Bookman Old Style" w:eastAsia="Bookman Old Style" w:hAnsi="Bookman Old Style" w:cs="Bookman Old Style"/>
                <w:sz w:val="24"/>
                <w:szCs w:val="24"/>
              </w:rPr>
            </w:pPr>
          </w:p>
        </w:tc>
      </w:tr>
      <w:tr w:rsidR="00C562C1" w:rsidRPr="00C562C1" w14:paraId="24B2068B" w14:textId="2BCA2C1A" w:rsidTr="00C61A26">
        <w:trPr>
          <w:jc w:val="center"/>
        </w:trPr>
        <w:tc>
          <w:tcPr>
            <w:tcW w:w="1614" w:type="pct"/>
          </w:tcPr>
          <w:p w14:paraId="00324C9E" w14:textId="71B910FE" w:rsidR="002D0AA9" w:rsidRPr="00C562C1" w:rsidRDefault="002D0AA9" w:rsidP="003D2FCF">
            <w:pPr>
              <w:spacing w:after="0" w:line="360" w:lineRule="auto"/>
              <w:jc w:val="center"/>
              <w:rPr>
                <w:rFonts w:ascii="Bookman Old Style" w:hAnsi="Bookman Old Style"/>
                <w:sz w:val="24"/>
                <w:szCs w:val="24"/>
              </w:rPr>
            </w:pPr>
            <w:r w:rsidRPr="00C562C1">
              <w:rPr>
                <w:rFonts w:ascii="Bookman Old Style" w:eastAsia="Bookman Old Style" w:hAnsi="Bookman Old Style" w:cs="Bookman Old Style"/>
                <w:sz w:val="24"/>
                <w:szCs w:val="24"/>
              </w:rPr>
              <w:t>Pasal</w:t>
            </w:r>
            <w:r w:rsidRPr="00C562C1">
              <w:rPr>
                <w:rFonts w:ascii="Bookman Old Style" w:hAnsi="Bookman Old Style"/>
                <w:sz w:val="24"/>
                <w:szCs w:val="24"/>
              </w:rPr>
              <w:t xml:space="preserve"> </w:t>
            </w:r>
            <w:r w:rsidR="00F82866">
              <w:rPr>
                <w:rFonts w:ascii="Bookman Old Style" w:hAnsi="Bookman Old Style"/>
                <w:sz w:val="24"/>
                <w:szCs w:val="24"/>
                <w:lang w:val="en-US"/>
              </w:rPr>
              <w:t>3</w:t>
            </w:r>
          </w:p>
        </w:tc>
        <w:tc>
          <w:tcPr>
            <w:tcW w:w="1167" w:type="pct"/>
          </w:tcPr>
          <w:p w14:paraId="4F02383A" w14:textId="72A0C0EE" w:rsidR="002D0AA9" w:rsidRPr="00967AC0" w:rsidRDefault="002D0AA9" w:rsidP="003D2FCF">
            <w:pPr>
              <w:spacing w:after="0" w:line="360" w:lineRule="auto"/>
              <w:jc w:val="both"/>
              <w:rPr>
                <w:rFonts w:ascii="Bookman Old Style" w:eastAsia="Bookman Old Style" w:hAnsi="Bookman Old Style" w:cs="Bookman Old Style"/>
                <w:color w:val="EE0000"/>
                <w:sz w:val="24"/>
                <w:szCs w:val="24"/>
              </w:rPr>
            </w:pPr>
          </w:p>
        </w:tc>
        <w:tc>
          <w:tcPr>
            <w:tcW w:w="1109" w:type="pct"/>
          </w:tcPr>
          <w:p w14:paraId="7CDDF490" w14:textId="77777777" w:rsidR="002D0AA9" w:rsidRPr="00C562C1" w:rsidRDefault="002D0AA9" w:rsidP="003D2FCF">
            <w:pPr>
              <w:spacing w:after="0" w:line="360" w:lineRule="auto"/>
              <w:jc w:val="both"/>
              <w:rPr>
                <w:rFonts w:ascii="Bookman Old Style" w:hAnsi="Bookman Old Style"/>
                <w:sz w:val="24"/>
                <w:szCs w:val="24"/>
              </w:rPr>
            </w:pPr>
          </w:p>
        </w:tc>
        <w:tc>
          <w:tcPr>
            <w:tcW w:w="1109" w:type="pct"/>
          </w:tcPr>
          <w:p w14:paraId="060AB675" w14:textId="77777777" w:rsidR="002D0AA9" w:rsidRPr="00C562C1" w:rsidRDefault="002D0AA9" w:rsidP="003D2FCF">
            <w:pPr>
              <w:spacing w:after="0" w:line="360" w:lineRule="auto"/>
              <w:jc w:val="both"/>
              <w:rPr>
                <w:rFonts w:ascii="Bookman Old Style" w:hAnsi="Bookman Old Style"/>
                <w:sz w:val="24"/>
                <w:szCs w:val="24"/>
              </w:rPr>
            </w:pPr>
          </w:p>
        </w:tc>
      </w:tr>
      <w:tr w:rsidR="00BA5B70" w:rsidRPr="00C562C1" w14:paraId="29E0E308" w14:textId="64064988" w:rsidTr="00C61A26">
        <w:trPr>
          <w:jc w:val="center"/>
        </w:trPr>
        <w:tc>
          <w:tcPr>
            <w:tcW w:w="1614" w:type="pct"/>
          </w:tcPr>
          <w:p w14:paraId="60AE058A" w14:textId="77777777" w:rsidR="00D666C0" w:rsidRPr="00D666C0" w:rsidRDefault="00D666C0" w:rsidP="00D666C0">
            <w:pPr>
              <w:pBdr>
                <w:top w:val="nil"/>
                <w:left w:val="nil"/>
                <w:bottom w:val="nil"/>
                <w:right w:val="nil"/>
                <w:between w:val="nil"/>
              </w:pBdr>
              <w:spacing w:after="0" w:line="240" w:lineRule="auto"/>
              <w:jc w:val="both"/>
              <w:rPr>
                <w:rFonts w:ascii="Bookman Old Style" w:hAnsi="Bookman Old Style"/>
                <w:color w:val="000000" w:themeColor="text1"/>
                <w:sz w:val="24"/>
                <w:szCs w:val="24"/>
              </w:rPr>
            </w:pPr>
            <w:r w:rsidRPr="00D666C0">
              <w:rPr>
                <w:rFonts w:ascii="Bookman Old Style" w:hAnsi="Bookman Old Style"/>
                <w:color w:val="000000" w:themeColor="text1"/>
                <w:sz w:val="24"/>
                <w:szCs w:val="24"/>
              </w:rPr>
              <w:t>Perusahaan Asuransi atau Perusahaan Asuransi Syariah yang memasarkan PAYDI, selain memenuhi ketentuan sebagaimana dimaksud dalam Pasal 2 ayat (1) wajib memiliki modal inti paling sedikit:</w:t>
            </w:r>
          </w:p>
          <w:p w14:paraId="5CB1BE5D" w14:textId="692856C3" w:rsidR="00BA5B70" w:rsidRPr="00D666C0" w:rsidRDefault="00BA5B70" w:rsidP="00BA5B70">
            <w:pPr>
              <w:spacing w:after="0" w:line="360" w:lineRule="auto"/>
              <w:jc w:val="both"/>
              <w:rPr>
                <w:rFonts w:ascii="Bookman Old Style" w:hAnsi="Bookman Old Style"/>
                <w:color w:val="EE0000"/>
                <w:sz w:val="24"/>
                <w:szCs w:val="24"/>
              </w:rPr>
            </w:pPr>
          </w:p>
        </w:tc>
        <w:tc>
          <w:tcPr>
            <w:tcW w:w="1167" w:type="pct"/>
          </w:tcPr>
          <w:p w14:paraId="18E83292" w14:textId="3FE16187" w:rsidR="00BA5B70" w:rsidRPr="00C61A26" w:rsidRDefault="00BA5B70" w:rsidP="00BA5B70">
            <w:pPr>
              <w:tabs>
                <w:tab w:val="left" w:pos="2552"/>
              </w:tabs>
              <w:spacing w:after="0" w:line="360" w:lineRule="auto"/>
              <w:jc w:val="both"/>
              <w:rPr>
                <w:rFonts w:ascii="Bookman Old Style" w:eastAsia="Bookman Old Style" w:hAnsi="Bookman Old Style" w:cs="Bookman Old Style"/>
                <w:color w:val="000000" w:themeColor="text1"/>
                <w:sz w:val="24"/>
                <w:szCs w:val="24"/>
              </w:rPr>
            </w:pPr>
            <w:r w:rsidRPr="00C61A26">
              <w:rPr>
                <w:rFonts w:ascii="Bookman Old Style" w:hAnsi="Bookman Old Style"/>
                <w:color w:val="000000" w:themeColor="text1"/>
                <w:sz w:val="24"/>
                <w:szCs w:val="24"/>
              </w:rPr>
              <w:t>Yang dimaksud dengan modal inti adalah penjumlahan modal inti tidak terbatas (</w:t>
            </w:r>
            <w:r w:rsidRPr="00C61A26">
              <w:rPr>
                <w:rFonts w:ascii="Bookman Old Style" w:hAnsi="Bookman Old Style"/>
                <w:i/>
                <w:iCs/>
                <w:color w:val="000000" w:themeColor="text1"/>
                <w:sz w:val="24"/>
                <w:szCs w:val="24"/>
              </w:rPr>
              <w:t>tier 1 unlimited capital</w:t>
            </w:r>
            <w:r w:rsidRPr="00C61A26">
              <w:rPr>
                <w:rFonts w:ascii="Bookman Old Style" w:hAnsi="Bookman Old Style"/>
                <w:color w:val="000000" w:themeColor="text1"/>
                <w:sz w:val="24"/>
                <w:szCs w:val="24"/>
              </w:rPr>
              <w:t>) dan modal inti terbatas (</w:t>
            </w:r>
            <w:r w:rsidRPr="00C61A26">
              <w:rPr>
                <w:rFonts w:ascii="Bookman Old Style" w:hAnsi="Bookman Old Style"/>
                <w:i/>
                <w:iCs/>
                <w:color w:val="000000" w:themeColor="text1"/>
                <w:sz w:val="24"/>
                <w:szCs w:val="24"/>
              </w:rPr>
              <w:t>tier 1 limited capital</w:t>
            </w:r>
            <w:r w:rsidRPr="00C61A26">
              <w:rPr>
                <w:rFonts w:ascii="Bookman Old Style" w:hAnsi="Bookman Old Style"/>
                <w:color w:val="000000" w:themeColor="text1"/>
                <w:sz w:val="24"/>
                <w:szCs w:val="24"/>
              </w:rPr>
              <w:t>) sebagaimana dimaksud dalam Peraturan Otoritas Jasa Keuangan mengenai perhitungan solvabilitas perusahaan asuransi dan perusahaan reasuransi.</w:t>
            </w:r>
          </w:p>
        </w:tc>
        <w:tc>
          <w:tcPr>
            <w:tcW w:w="1109" w:type="pct"/>
          </w:tcPr>
          <w:p w14:paraId="0B059D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03FD03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A3DD32E" w14:textId="0B24B6FD" w:rsidTr="00C61A26">
        <w:trPr>
          <w:jc w:val="center"/>
        </w:trPr>
        <w:tc>
          <w:tcPr>
            <w:tcW w:w="1614" w:type="pct"/>
          </w:tcPr>
          <w:p w14:paraId="33727D4D" w14:textId="2871E0D6" w:rsidR="00BA5B70" w:rsidRPr="00D666C0" w:rsidRDefault="00BA5B70" w:rsidP="00BA5B70">
            <w:pPr>
              <w:pStyle w:val="ListParagraph"/>
              <w:numPr>
                <w:ilvl w:val="0"/>
                <w:numId w:val="9"/>
              </w:numPr>
              <w:rPr>
                <w:rFonts w:ascii="Bookman Old Style" w:hAnsi="Bookman Old Style"/>
                <w:color w:val="000000" w:themeColor="text1"/>
                <w:sz w:val="24"/>
                <w:szCs w:val="24"/>
              </w:rPr>
            </w:pPr>
            <w:r w:rsidRPr="00D666C0">
              <w:rPr>
                <w:rFonts w:ascii="Bookman Old Style" w:hAnsi="Bookman Old Style"/>
                <w:color w:val="000000" w:themeColor="text1"/>
                <w:sz w:val="24"/>
                <w:szCs w:val="24"/>
              </w:rPr>
              <w:t>bagi Perusahaan Asuransi:</w:t>
            </w:r>
          </w:p>
        </w:tc>
        <w:tc>
          <w:tcPr>
            <w:tcW w:w="1167" w:type="pct"/>
          </w:tcPr>
          <w:p w14:paraId="6126C80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E1271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A8CC0E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2BB80E3" w14:textId="77777777" w:rsidTr="00C61A26">
        <w:trPr>
          <w:jc w:val="center"/>
        </w:trPr>
        <w:tc>
          <w:tcPr>
            <w:tcW w:w="1614" w:type="pct"/>
          </w:tcPr>
          <w:p w14:paraId="3D95DF1F" w14:textId="740C1D87" w:rsidR="00BA5B70" w:rsidRPr="00A70466" w:rsidRDefault="00BA5B70" w:rsidP="00BA5B70">
            <w:pPr>
              <w:pStyle w:val="ListParagraph"/>
              <w:numPr>
                <w:ilvl w:val="0"/>
                <w:numId w:val="10"/>
              </w:numPr>
              <w:rPr>
                <w:rFonts w:ascii="Bookman Old Style" w:hAnsi="Bookman Old Style"/>
                <w:color w:val="EE0000"/>
                <w:sz w:val="24"/>
                <w:szCs w:val="24"/>
              </w:rPr>
            </w:pPr>
            <w:r w:rsidRPr="00D666C0">
              <w:rPr>
                <w:rFonts w:ascii="Bookman Old Style" w:hAnsi="Bookman Old Style"/>
                <w:color w:val="000000" w:themeColor="text1"/>
                <w:sz w:val="24"/>
                <w:szCs w:val="24"/>
              </w:rPr>
              <w:t>Rp500.000.000.000,00 (lima ratus miliar rupiah) sampai dengan tanggal 31 Desember 2028; atau</w:t>
            </w:r>
          </w:p>
        </w:tc>
        <w:tc>
          <w:tcPr>
            <w:tcW w:w="1167" w:type="pct"/>
          </w:tcPr>
          <w:p w14:paraId="399D757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8B096F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99BA2A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D2114E5" w14:textId="24D24D12" w:rsidTr="00C61A26">
        <w:trPr>
          <w:jc w:val="center"/>
        </w:trPr>
        <w:tc>
          <w:tcPr>
            <w:tcW w:w="1614" w:type="pct"/>
          </w:tcPr>
          <w:p w14:paraId="40DB6E3E" w14:textId="4A18A568" w:rsidR="00BA5B70" w:rsidRPr="00A70466" w:rsidRDefault="00BA5B70" w:rsidP="00BA5B70">
            <w:pPr>
              <w:pStyle w:val="ListParagraph"/>
              <w:numPr>
                <w:ilvl w:val="0"/>
                <w:numId w:val="10"/>
              </w:numPr>
              <w:rPr>
                <w:rFonts w:ascii="Bookman Old Style" w:hAnsi="Bookman Old Style"/>
                <w:color w:val="EE0000"/>
                <w:sz w:val="24"/>
                <w:szCs w:val="24"/>
              </w:rPr>
            </w:pPr>
            <w:r w:rsidRPr="006040BE">
              <w:rPr>
                <w:rFonts w:ascii="Bookman Old Style" w:hAnsi="Bookman Old Style"/>
                <w:color w:val="000000" w:themeColor="text1"/>
                <w:sz w:val="24"/>
                <w:szCs w:val="24"/>
              </w:rPr>
              <w:t>Rp1.000.000.000.000,00 (satu triliun rupiah) setelah tanggal 31 Desember 2028; atau</w:t>
            </w:r>
          </w:p>
        </w:tc>
        <w:tc>
          <w:tcPr>
            <w:tcW w:w="1167" w:type="pct"/>
          </w:tcPr>
          <w:p w14:paraId="25FBB70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33778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2E3608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F97B6E0" w14:textId="57FA6B8A" w:rsidTr="00C61A26">
        <w:trPr>
          <w:jc w:val="center"/>
        </w:trPr>
        <w:tc>
          <w:tcPr>
            <w:tcW w:w="1614" w:type="pct"/>
          </w:tcPr>
          <w:p w14:paraId="392B5CE6" w14:textId="117A670A" w:rsidR="00BA5B70" w:rsidRPr="00A70466" w:rsidRDefault="00BA5B70" w:rsidP="00BA5B70">
            <w:pPr>
              <w:pStyle w:val="ListParagraph"/>
              <w:numPr>
                <w:ilvl w:val="0"/>
                <w:numId w:val="9"/>
              </w:numPr>
              <w:rPr>
                <w:rFonts w:ascii="Bookman Old Style" w:hAnsi="Bookman Old Style"/>
                <w:color w:val="EE0000"/>
                <w:sz w:val="24"/>
                <w:szCs w:val="24"/>
              </w:rPr>
            </w:pPr>
            <w:r w:rsidRPr="006040BE">
              <w:rPr>
                <w:rFonts w:ascii="Bookman Old Style" w:hAnsi="Bookman Old Style"/>
                <w:color w:val="000000" w:themeColor="text1"/>
                <w:sz w:val="24"/>
                <w:szCs w:val="24"/>
              </w:rPr>
              <w:t>bagi Perusahaan Asuransi Syariah:</w:t>
            </w:r>
          </w:p>
        </w:tc>
        <w:tc>
          <w:tcPr>
            <w:tcW w:w="1167" w:type="pct"/>
          </w:tcPr>
          <w:p w14:paraId="067E484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BD58AE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FC60D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838D5B0" w14:textId="391B7ABC" w:rsidTr="00C61A26">
        <w:trPr>
          <w:jc w:val="center"/>
        </w:trPr>
        <w:tc>
          <w:tcPr>
            <w:tcW w:w="1614" w:type="pct"/>
          </w:tcPr>
          <w:p w14:paraId="0A4F889E" w14:textId="79BDB794" w:rsidR="00BA5B70" w:rsidRPr="00A70466" w:rsidRDefault="00BA5B70" w:rsidP="00BA5B70">
            <w:pPr>
              <w:pStyle w:val="ListParagraph"/>
              <w:numPr>
                <w:ilvl w:val="0"/>
                <w:numId w:val="11"/>
              </w:numPr>
              <w:rPr>
                <w:rFonts w:ascii="Bookman Old Style" w:hAnsi="Bookman Old Style"/>
                <w:color w:val="EE0000"/>
                <w:sz w:val="24"/>
                <w:szCs w:val="24"/>
              </w:rPr>
            </w:pPr>
            <w:r w:rsidRPr="006040BE">
              <w:rPr>
                <w:rFonts w:ascii="Bookman Old Style" w:hAnsi="Bookman Old Style"/>
                <w:color w:val="000000" w:themeColor="text1"/>
                <w:sz w:val="24"/>
                <w:szCs w:val="24"/>
              </w:rPr>
              <w:t>Rp200.000.000.000,00 (dua ratus miliar rupiah) sampai dengan tanggal 31 Desember 2028; atau</w:t>
            </w:r>
          </w:p>
        </w:tc>
        <w:tc>
          <w:tcPr>
            <w:tcW w:w="1167" w:type="pct"/>
          </w:tcPr>
          <w:p w14:paraId="0CD7A23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6C713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E40505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76B4DC0" w14:textId="345715D6" w:rsidTr="00C61A26">
        <w:trPr>
          <w:jc w:val="center"/>
        </w:trPr>
        <w:tc>
          <w:tcPr>
            <w:tcW w:w="1614" w:type="pct"/>
          </w:tcPr>
          <w:p w14:paraId="77717A3C" w14:textId="025B2E43" w:rsidR="00BA5B70" w:rsidRPr="00A70466" w:rsidRDefault="00BA5B70" w:rsidP="00BA5B70">
            <w:pPr>
              <w:pStyle w:val="ListParagraph"/>
              <w:numPr>
                <w:ilvl w:val="0"/>
                <w:numId w:val="11"/>
              </w:numPr>
              <w:rPr>
                <w:rFonts w:ascii="Bookman Old Style" w:hAnsi="Bookman Old Style"/>
                <w:color w:val="EE0000"/>
                <w:sz w:val="24"/>
                <w:szCs w:val="24"/>
              </w:rPr>
            </w:pPr>
            <w:r w:rsidRPr="006040BE">
              <w:rPr>
                <w:rFonts w:ascii="Bookman Old Style" w:hAnsi="Bookman Old Style"/>
                <w:color w:val="000000" w:themeColor="text1"/>
                <w:sz w:val="24"/>
                <w:szCs w:val="24"/>
              </w:rPr>
              <w:t>Rp500.000.000.000,00 (lima ratus miliar rupiah) setelah tanggal 31 Desember 2028.</w:t>
            </w:r>
          </w:p>
        </w:tc>
        <w:tc>
          <w:tcPr>
            <w:tcW w:w="1167" w:type="pct"/>
          </w:tcPr>
          <w:p w14:paraId="52BED03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49F88B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BED92E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2C99685" w14:textId="6B792DFC" w:rsidTr="00C61A26">
        <w:trPr>
          <w:jc w:val="center"/>
        </w:trPr>
        <w:tc>
          <w:tcPr>
            <w:tcW w:w="1614" w:type="pct"/>
          </w:tcPr>
          <w:p w14:paraId="2810AD00" w14:textId="4FD10088" w:rsidR="00BA5B70" w:rsidRPr="00C562C1" w:rsidRDefault="00BA5B70" w:rsidP="00BA5B70">
            <w:pPr>
              <w:spacing w:after="0" w:line="360" w:lineRule="auto"/>
              <w:jc w:val="both"/>
              <w:rPr>
                <w:rFonts w:ascii="Bookman Old Style" w:hAnsi="Bookman Old Style"/>
                <w:sz w:val="24"/>
                <w:szCs w:val="24"/>
              </w:rPr>
            </w:pPr>
          </w:p>
        </w:tc>
        <w:tc>
          <w:tcPr>
            <w:tcW w:w="1167" w:type="pct"/>
          </w:tcPr>
          <w:p w14:paraId="386CAA9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504F34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2E600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BEA70EA" w14:textId="77777777" w:rsidTr="00C61A26">
        <w:trPr>
          <w:jc w:val="center"/>
        </w:trPr>
        <w:tc>
          <w:tcPr>
            <w:tcW w:w="1614" w:type="pct"/>
          </w:tcPr>
          <w:p w14:paraId="33C1795F" w14:textId="0F13F42A" w:rsidR="00BA5B70" w:rsidRPr="00C562C1" w:rsidRDefault="00BA5B70" w:rsidP="00BA5B70">
            <w:pPr>
              <w:spacing w:after="0" w:line="360" w:lineRule="auto"/>
              <w:jc w:val="center"/>
              <w:rPr>
                <w:rFonts w:ascii="Bookman Old Style" w:hAnsi="Bookman Old Style"/>
                <w:sz w:val="24"/>
                <w:szCs w:val="24"/>
              </w:rPr>
            </w:pPr>
            <w:r>
              <w:rPr>
                <w:rFonts w:ascii="Bookman Old Style" w:hAnsi="Bookman Old Style"/>
                <w:sz w:val="24"/>
                <w:szCs w:val="24"/>
              </w:rPr>
              <w:lastRenderedPageBreak/>
              <w:t>Bagian Kedua</w:t>
            </w:r>
          </w:p>
        </w:tc>
        <w:tc>
          <w:tcPr>
            <w:tcW w:w="1167" w:type="pct"/>
          </w:tcPr>
          <w:p w14:paraId="205A0A1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416F9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61E06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B0D2F8B" w14:textId="77777777" w:rsidTr="00C61A26">
        <w:trPr>
          <w:jc w:val="center"/>
        </w:trPr>
        <w:tc>
          <w:tcPr>
            <w:tcW w:w="1614" w:type="pct"/>
          </w:tcPr>
          <w:p w14:paraId="7A5E9589" w14:textId="12B6E2B0" w:rsidR="00BA5B70" w:rsidRPr="00C562C1" w:rsidRDefault="00BA5B70" w:rsidP="00BA5B70">
            <w:pPr>
              <w:spacing w:after="0" w:line="360" w:lineRule="auto"/>
              <w:jc w:val="center"/>
              <w:rPr>
                <w:rFonts w:ascii="Bookman Old Style" w:hAnsi="Bookman Old Style"/>
                <w:sz w:val="24"/>
                <w:szCs w:val="24"/>
              </w:rPr>
            </w:pPr>
            <w:r w:rsidRPr="00A70466">
              <w:rPr>
                <w:rFonts w:ascii="Bookman Old Style" w:hAnsi="Bookman Old Style"/>
                <w:sz w:val="24"/>
                <w:szCs w:val="24"/>
              </w:rPr>
              <w:t>Desain PAYDI</w:t>
            </w:r>
          </w:p>
        </w:tc>
        <w:tc>
          <w:tcPr>
            <w:tcW w:w="1167" w:type="pct"/>
          </w:tcPr>
          <w:p w14:paraId="199B9B6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1A5E1B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3CFEEE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8E1648" w14:textId="6CB99F32" w:rsidTr="00C61A26">
        <w:trPr>
          <w:jc w:val="center"/>
        </w:trPr>
        <w:tc>
          <w:tcPr>
            <w:tcW w:w="1614" w:type="pct"/>
          </w:tcPr>
          <w:p w14:paraId="583C0B65" w14:textId="0D234758" w:rsidR="00BA5B70" w:rsidRPr="00C562C1" w:rsidRDefault="00BA5B70" w:rsidP="00BA5B70">
            <w:pPr>
              <w:spacing w:after="0" w:line="360" w:lineRule="auto"/>
              <w:jc w:val="center"/>
              <w:rPr>
                <w:rFonts w:ascii="Bookman Old Style" w:hAnsi="Bookman Old Style"/>
                <w:sz w:val="24"/>
                <w:szCs w:val="24"/>
              </w:rPr>
            </w:pPr>
          </w:p>
        </w:tc>
        <w:tc>
          <w:tcPr>
            <w:tcW w:w="1167" w:type="pct"/>
          </w:tcPr>
          <w:p w14:paraId="0C0D93A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58AB90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81D42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606852B" w14:textId="77777777" w:rsidTr="00C61A26">
        <w:trPr>
          <w:jc w:val="center"/>
        </w:trPr>
        <w:tc>
          <w:tcPr>
            <w:tcW w:w="1614" w:type="pct"/>
          </w:tcPr>
          <w:p w14:paraId="7E8945D6" w14:textId="27AB7694" w:rsidR="00BA5B70" w:rsidRPr="00C562C1" w:rsidRDefault="00BA5B70" w:rsidP="00BA5B70">
            <w:pPr>
              <w:spacing w:after="0" w:line="360" w:lineRule="auto"/>
              <w:jc w:val="center"/>
              <w:rPr>
                <w:rFonts w:ascii="Bookman Old Style" w:hAnsi="Bookman Old Style"/>
                <w:sz w:val="24"/>
                <w:szCs w:val="24"/>
              </w:rPr>
            </w:pPr>
            <w:r w:rsidRPr="00A70466">
              <w:rPr>
                <w:rFonts w:ascii="Bookman Old Style" w:hAnsi="Bookman Old Style"/>
                <w:sz w:val="24"/>
                <w:szCs w:val="24"/>
              </w:rPr>
              <w:t>Paragraf 1</w:t>
            </w:r>
          </w:p>
        </w:tc>
        <w:tc>
          <w:tcPr>
            <w:tcW w:w="1167" w:type="pct"/>
          </w:tcPr>
          <w:p w14:paraId="73492CE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94CBE6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30AA6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B46DDE0" w14:textId="77777777" w:rsidTr="00C61A26">
        <w:trPr>
          <w:jc w:val="center"/>
        </w:trPr>
        <w:tc>
          <w:tcPr>
            <w:tcW w:w="1614" w:type="pct"/>
          </w:tcPr>
          <w:p w14:paraId="7ED112B7" w14:textId="4C230EDE" w:rsidR="00BA5B70" w:rsidRPr="00A70466" w:rsidRDefault="00BA5B70" w:rsidP="00BA5B70">
            <w:pPr>
              <w:spacing w:after="0" w:line="360" w:lineRule="auto"/>
              <w:jc w:val="center"/>
              <w:rPr>
                <w:rFonts w:ascii="Bookman Old Style" w:hAnsi="Bookman Old Style"/>
                <w:sz w:val="24"/>
                <w:szCs w:val="24"/>
              </w:rPr>
            </w:pPr>
            <w:r w:rsidRPr="00A70466">
              <w:rPr>
                <w:rFonts w:ascii="Bookman Old Style" w:hAnsi="Bookman Old Style"/>
                <w:sz w:val="24"/>
                <w:szCs w:val="24"/>
              </w:rPr>
              <w:t>Kriteria PAYDI</w:t>
            </w:r>
          </w:p>
        </w:tc>
        <w:tc>
          <w:tcPr>
            <w:tcW w:w="1167" w:type="pct"/>
          </w:tcPr>
          <w:p w14:paraId="35C7F06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25DF42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96D905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49B829D" w14:textId="77777777" w:rsidTr="00C61A26">
        <w:trPr>
          <w:jc w:val="center"/>
        </w:trPr>
        <w:tc>
          <w:tcPr>
            <w:tcW w:w="1614" w:type="pct"/>
          </w:tcPr>
          <w:p w14:paraId="422B0DFB" w14:textId="77777777" w:rsidR="00BA5B70" w:rsidRPr="00A70466" w:rsidRDefault="00BA5B70" w:rsidP="00BA5B70">
            <w:pPr>
              <w:spacing w:after="0" w:line="360" w:lineRule="auto"/>
              <w:jc w:val="center"/>
              <w:rPr>
                <w:rFonts w:ascii="Bookman Old Style" w:hAnsi="Bookman Old Style"/>
                <w:sz w:val="24"/>
                <w:szCs w:val="24"/>
              </w:rPr>
            </w:pPr>
          </w:p>
        </w:tc>
        <w:tc>
          <w:tcPr>
            <w:tcW w:w="1167" w:type="pct"/>
          </w:tcPr>
          <w:p w14:paraId="08C4329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D4E37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26BFD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6F62A21" w14:textId="77777777" w:rsidTr="00C61A26">
        <w:trPr>
          <w:jc w:val="center"/>
        </w:trPr>
        <w:tc>
          <w:tcPr>
            <w:tcW w:w="1614" w:type="pct"/>
          </w:tcPr>
          <w:p w14:paraId="0F3F9B24" w14:textId="1ED8E4A1" w:rsidR="00BA5B70" w:rsidRPr="00A70466" w:rsidRDefault="00BA5B70" w:rsidP="00BA5B70">
            <w:pPr>
              <w:spacing w:after="0" w:line="360" w:lineRule="auto"/>
              <w:jc w:val="center"/>
              <w:rPr>
                <w:rFonts w:ascii="Bookman Old Style" w:hAnsi="Bookman Old Style"/>
                <w:sz w:val="24"/>
                <w:szCs w:val="24"/>
              </w:rPr>
            </w:pPr>
            <w:r>
              <w:rPr>
                <w:rFonts w:ascii="Bookman Old Style" w:hAnsi="Bookman Old Style"/>
                <w:sz w:val="24"/>
                <w:szCs w:val="24"/>
              </w:rPr>
              <w:t>Pasal 4</w:t>
            </w:r>
          </w:p>
        </w:tc>
        <w:tc>
          <w:tcPr>
            <w:tcW w:w="1167" w:type="pct"/>
          </w:tcPr>
          <w:p w14:paraId="162F769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5E64A4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EBBD56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4AC1D9F" w14:textId="058CA309" w:rsidTr="00C61A26">
        <w:trPr>
          <w:jc w:val="center"/>
        </w:trPr>
        <w:tc>
          <w:tcPr>
            <w:tcW w:w="1614" w:type="pct"/>
          </w:tcPr>
          <w:p w14:paraId="6FF993E8" w14:textId="33F2E948" w:rsidR="00BA5B70" w:rsidRPr="00A70466" w:rsidRDefault="00BA5B70" w:rsidP="00BA5B70">
            <w:pPr>
              <w:pStyle w:val="ListParagraph"/>
              <w:numPr>
                <w:ilvl w:val="0"/>
                <w:numId w:val="12"/>
              </w:numPr>
              <w:rPr>
                <w:rFonts w:ascii="Bookman Old Style" w:hAnsi="Bookman Old Style"/>
                <w:sz w:val="24"/>
                <w:szCs w:val="24"/>
              </w:rPr>
            </w:pPr>
            <w:r w:rsidRPr="00A70466">
              <w:rPr>
                <w:rFonts w:ascii="Bookman Old Style" w:hAnsi="Bookman Old Style"/>
                <w:sz w:val="24"/>
                <w:szCs w:val="24"/>
              </w:rPr>
              <w:t xml:space="preserve">PAYDI </w:t>
            </w:r>
            <w:r w:rsidRPr="006040BE">
              <w:rPr>
                <w:rFonts w:ascii="Bookman Old Style" w:hAnsi="Bookman Old Style"/>
                <w:sz w:val="24"/>
                <w:szCs w:val="24"/>
              </w:rPr>
              <w:t>wajib</w:t>
            </w:r>
            <w:r w:rsidRPr="00A70466">
              <w:rPr>
                <w:rFonts w:ascii="Bookman Old Style" w:hAnsi="Bookman Old Style"/>
                <w:sz w:val="24"/>
                <w:szCs w:val="24"/>
              </w:rPr>
              <w:t xml:space="preserve"> memenuhi kriteria:</w:t>
            </w:r>
          </w:p>
        </w:tc>
        <w:tc>
          <w:tcPr>
            <w:tcW w:w="1167" w:type="pct"/>
          </w:tcPr>
          <w:p w14:paraId="68F7C3BD" w14:textId="3092745D" w:rsidR="00BA5B70" w:rsidRPr="00C562C1" w:rsidRDefault="00BA5B70" w:rsidP="00BA5B70">
            <w:pPr>
              <w:pStyle w:val="ListParagraph"/>
              <w:tabs>
                <w:tab w:val="left" w:pos="155"/>
              </w:tabs>
              <w:spacing w:after="0" w:line="360" w:lineRule="auto"/>
              <w:ind w:left="403"/>
              <w:jc w:val="both"/>
              <w:rPr>
                <w:rFonts w:ascii="Bookman Old Style" w:eastAsia="Bookman Old Style" w:hAnsi="Bookman Old Style" w:cs="Bookman Old Style"/>
                <w:sz w:val="24"/>
                <w:szCs w:val="24"/>
              </w:rPr>
            </w:pPr>
          </w:p>
        </w:tc>
        <w:tc>
          <w:tcPr>
            <w:tcW w:w="1109" w:type="pct"/>
          </w:tcPr>
          <w:p w14:paraId="4374B44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F5739C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FC99A02" w14:textId="50507942" w:rsidTr="00C61A26">
        <w:trPr>
          <w:jc w:val="center"/>
        </w:trPr>
        <w:tc>
          <w:tcPr>
            <w:tcW w:w="1614" w:type="pct"/>
          </w:tcPr>
          <w:p w14:paraId="1A5CA8EF" w14:textId="431D7E64" w:rsidR="00BA5B70" w:rsidRPr="00A70466" w:rsidRDefault="00BA5B70" w:rsidP="00BA5B70">
            <w:pPr>
              <w:pStyle w:val="ListParagraph"/>
              <w:numPr>
                <w:ilvl w:val="1"/>
                <w:numId w:val="9"/>
              </w:numPr>
              <w:jc w:val="both"/>
              <w:rPr>
                <w:rFonts w:ascii="Bookman Old Style" w:hAnsi="Bookman Old Style"/>
                <w:sz w:val="24"/>
                <w:szCs w:val="24"/>
              </w:rPr>
            </w:pPr>
            <w:r w:rsidRPr="00A70466">
              <w:rPr>
                <w:rFonts w:ascii="Bookman Old Style" w:hAnsi="Bookman Old Style"/>
                <w:sz w:val="24"/>
                <w:szCs w:val="24"/>
              </w:rPr>
              <w:t xml:space="preserve">memiliki proporsi pelindungan terhadap risiko kematian dan manfaat yang dikaitkan dengan </w:t>
            </w:r>
            <w:r w:rsidRPr="006040BE">
              <w:rPr>
                <w:rFonts w:ascii="Bookman Old Style" w:hAnsi="Bookman Old Style"/>
                <w:color w:val="000000" w:themeColor="text1"/>
                <w:sz w:val="24"/>
                <w:szCs w:val="24"/>
              </w:rPr>
              <w:t xml:space="preserve">hasil </w:t>
            </w:r>
            <w:r w:rsidRPr="00A70466">
              <w:rPr>
                <w:rFonts w:ascii="Bookman Old Style" w:hAnsi="Bookman Old Style"/>
                <w:sz w:val="24"/>
                <w:szCs w:val="24"/>
              </w:rPr>
              <w:t xml:space="preserve">investasi; </w:t>
            </w:r>
          </w:p>
        </w:tc>
        <w:tc>
          <w:tcPr>
            <w:tcW w:w="1167" w:type="pct"/>
          </w:tcPr>
          <w:p w14:paraId="25E143B0" w14:textId="77777777" w:rsidR="00BA5B70"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Yang dimaksud “risiko kematian” bagi:</w:t>
            </w:r>
          </w:p>
          <w:p w14:paraId="65634243" w14:textId="77777777" w:rsidR="00BA5B70" w:rsidRPr="00967AC0" w:rsidRDefault="00BA5B70">
            <w:pPr>
              <w:pStyle w:val="ListParagraph"/>
              <w:numPr>
                <w:ilvl w:val="0"/>
                <w:numId w:val="52"/>
              </w:numPr>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 xml:space="preserve">Perusahaan Asuransi Umum dan Perusahaan Asuransi Umum Syariah adalah risiko kematian akibat kecelakaan diri; dan </w:t>
            </w:r>
          </w:p>
          <w:p w14:paraId="68D40EE5" w14:textId="43BFB7EB" w:rsidR="00BA5B70" w:rsidRPr="00967AC0" w:rsidRDefault="00BA5B70">
            <w:pPr>
              <w:pStyle w:val="ListParagraph"/>
              <w:numPr>
                <w:ilvl w:val="0"/>
                <w:numId w:val="52"/>
              </w:numPr>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Perusahaan Asuransi Jiwa dan Perusahaan Asuransi Jiwa Syariah adalah risiko kematian alami dan/atau risiko kematian akibat kecelakaan diri.</w:t>
            </w:r>
          </w:p>
        </w:tc>
        <w:tc>
          <w:tcPr>
            <w:tcW w:w="1109" w:type="pct"/>
          </w:tcPr>
          <w:p w14:paraId="558551C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A48BD7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AB4B853" w14:textId="77777777" w:rsidTr="00C61A26">
        <w:trPr>
          <w:jc w:val="center"/>
        </w:trPr>
        <w:tc>
          <w:tcPr>
            <w:tcW w:w="1614" w:type="pct"/>
          </w:tcPr>
          <w:p w14:paraId="27DAE9F3" w14:textId="40087C11" w:rsidR="00BA5B70" w:rsidRPr="00A70466" w:rsidRDefault="00BA5B70" w:rsidP="00BA5B70">
            <w:pPr>
              <w:pStyle w:val="ListParagraph"/>
              <w:numPr>
                <w:ilvl w:val="1"/>
                <w:numId w:val="9"/>
              </w:numPr>
              <w:rPr>
                <w:rFonts w:ascii="Bookman Old Style" w:hAnsi="Bookman Old Style"/>
                <w:sz w:val="24"/>
                <w:szCs w:val="24"/>
              </w:rPr>
            </w:pPr>
            <w:r w:rsidRPr="00A70466">
              <w:rPr>
                <w:rFonts w:ascii="Bookman Old Style" w:hAnsi="Bookman Old Style"/>
                <w:sz w:val="24"/>
                <w:szCs w:val="24"/>
              </w:rPr>
              <w:t>memiliki masa pertanggungan tertentu; dan</w:t>
            </w:r>
          </w:p>
        </w:tc>
        <w:tc>
          <w:tcPr>
            <w:tcW w:w="1167" w:type="pct"/>
          </w:tcPr>
          <w:p w14:paraId="144DD710" w14:textId="07506C25"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094034B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F340BC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3618DC0" w14:textId="77777777" w:rsidTr="00C61A26">
        <w:trPr>
          <w:jc w:val="center"/>
        </w:trPr>
        <w:tc>
          <w:tcPr>
            <w:tcW w:w="1614" w:type="pct"/>
          </w:tcPr>
          <w:p w14:paraId="34563263" w14:textId="103D81E1" w:rsidR="00BA5B70" w:rsidRPr="00A70466" w:rsidRDefault="00BA5B70" w:rsidP="00BA5B70">
            <w:pPr>
              <w:pStyle w:val="ListParagraph"/>
              <w:numPr>
                <w:ilvl w:val="1"/>
                <w:numId w:val="9"/>
              </w:numPr>
              <w:rPr>
                <w:rFonts w:ascii="Bookman Old Style" w:hAnsi="Bookman Old Style"/>
                <w:sz w:val="24"/>
                <w:szCs w:val="24"/>
              </w:rPr>
            </w:pPr>
            <w:r w:rsidRPr="00A70466">
              <w:rPr>
                <w:rFonts w:ascii="Bookman Old Style" w:hAnsi="Bookman Old Style"/>
                <w:sz w:val="24"/>
                <w:szCs w:val="24"/>
              </w:rPr>
              <w:t>memiliki strategi investasi yang spesifik.</w:t>
            </w:r>
          </w:p>
        </w:tc>
        <w:tc>
          <w:tcPr>
            <w:tcW w:w="1167" w:type="pct"/>
          </w:tcPr>
          <w:p w14:paraId="69D7BCA8" w14:textId="3463466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146D57D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1CEBE2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099115B" w14:textId="77777777" w:rsidTr="00C61A26">
        <w:trPr>
          <w:jc w:val="center"/>
        </w:trPr>
        <w:tc>
          <w:tcPr>
            <w:tcW w:w="1614" w:type="pct"/>
          </w:tcPr>
          <w:p w14:paraId="7F3C94F8" w14:textId="4E57C50B" w:rsidR="00BA5B70" w:rsidRPr="00952C11" w:rsidRDefault="00BA5B70" w:rsidP="00BA5B70">
            <w:pPr>
              <w:pStyle w:val="ListParagraph"/>
              <w:numPr>
                <w:ilvl w:val="0"/>
                <w:numId w:val="13"/>
              </w:numPr>
              <w:rPr>
                <w:rFonts w:ascii="Bookman Old Style" w:hAnsi="Bookman Old Style"/>
                <w:sz w:val="24"/>
                <w:szCs w:val="24"/>
              </w:rPr>
            </w:pPr>
            <w:r w:rsidRPr="00952C11">
              <w:rPr>
                <w:rFonts w:ascii="Bookman Old Style" w:hAnsi="Bookman Old Style"/>
                <w:sz w:val="24"/>
                <w:szCs w:val="24"/>
              </w:rPr>
              <w:t xml:space="preserve">Perusahaan Asuransi atau Perusahaan Asuransi Syariah </w:t>
            </w:r>
            <w:r w:rsidRPr="006040BE">
              <w:rPr>
                <w:rFonts w:ascii="Bookman Old Style" w:hAnsi="Bookman Old Style"/>
                <w:sz w:val="24"/>
                <w:szCs w:val="24"/>
              </w:rPr>
              <w:t>wajib</w:t>
            </w:r>
            <w:r w:rsidRPr="00952C11">
              <w:rPr>
                <w:rFonts w:ascii="Bookman Old Style" w:hAnsi="Bookman Old Style"/>
                <w:sz w:val="24"/>
                <w:szCs w:val="24"/>
              </w:rPr>
              <w:t xml:space="preserve"> membentuk satu atau lebih Subdana </w:t>
            </w:r>
            <w:r w:rsidRPr="006040BE">
              <w:rPr>
                <w:rFonts w:ascii="Bookman Old Style" w:hAnsi="Bookman Old Style"/>
                <w:color w:val="000000" w:themeColor="text1"/>
                <w:sz w:val="24"/>
                <w:szCs w:val="24"/>
              </w:rPr>
              <w:t xml:space="preserve">dalam rangka memberikan manfaat yang dikaitkan dengan hasil investasi </w:t>
            </w:r>
            <w:r w:rsidRPr="00952C11">
              <w:rPr>
                <w:rFonts w:ascii="Bookman Old Style" w:hAnsi="Bookman Old Style"/>
                <w:sz w:val="24"/>
                <w:szCs w:val="24"/>
              </w:rPr>
              <w:t>sebagaimana dimaksud pada ayat (1) huruf a.</w:t>
            </w:r>
          </w:p>
        </w:tc>
        <w:tc>
          <w:tcPr>
            <w:tcW w:w="1167" w:type="pct"/>
          </w:tcPr>
          <w:p w14:paraId="522BF21E" w14:textId="2943E4BF"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Pembentukan Subdana dapat dinyatakan dalam bentuk unit atau bukan unit.</w:t>
            </w:r>
          </w:p>
        </w:tc>
        <w:tc>
          <w:tcPr>
            <w:tcW w:w="1109" w:type="pct"/>
          </w:tcPr>
          <w:p w14:paraId="7AF444D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8019A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EC5B161" w14:textId="77777777" w:rsidTr="00C61A26">
        <w:trPr>
          <w:jc w:val="center"/>
        </w:trPr>
        <w:tc>
          <w:tcPr>
            <w:tcW w:w="1614" w:type="pct"/>
          </w:tcPr>
          <w:p w14:paraId="4766EF90" w14:textId="09EF4415" w:rsidR="00BA5B70" w:rsidRPr="00952C11" w:rsidRDefault="00BA5B70" w:rsidP="00BA5B70">
            <w:pPr>
              <w:pStyle w:val="ListParagraph"/>
              <w:numPr>
                <w:ilvl w:val="0"/>
                <w:numId w:val="13"/>
              </w:numPr>
              <w:rPr>
                <w:rFonts w:ascii="Bookman Old Style" w:hAnsi="Bookman Old Style"/>
                <w:sz w:val="24"/>
                <w:szCs w:val="24"/>
              </w:rPr>
            </w:pPr>
            <w:r w:rsidRPr="00952C11">
              <w:rPr>
                <w:rFonts w:ascii="Bookman Old Style" w:hAnsi="Bookman Old Style"/>
                <w:sz w:val="24"/>
                <w:szCs w:val="24"/>
              </w:rPr>
              <w:t xml:space="preserve">Bagi Perusahaan Asuransi, nama Subdana dari PAYDI harus memenuhi ketentuan: </w:t>
            </w:r>
          </w:p>
        </w:tc>
        <w:tc>
          <w:tcPr>
            <w:tcW w:w="1167" w:type="pct"/>
          </w:tcPr>
          <w:p w14:paraId="5301383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D7363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B4846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516E3DE" w14:textId="77777777" w:rsidTr="00C61A26">
        <w:trPr>
          <w:jc w:val="center"/>
        </w:trPr>
        <w:tc>
          <w:tcPr>
            <w:tcW w:w="1614" w:type="pct"/>
          </w:tcPr>
          <w:p w14:paraId="54AE6D99" w14:textId="0E888A5A" w:rsidR="00BA5B70" w:rsidRPr="00952C11" w:rsidRDefault="00BA5B70" w:rsidP="00BA5B70">
            <w:pPr>
              <w:pStyle w:val="ListParagraph"/>
              <w:numPr>
                <w:ilvl w:val="1"/>
                <w:numId w:val="14"/>
              </w:numPr>
              <w:rPr>
                <w:rFonts w:ascii="Bookman Old Style" w:hAnsi="Bookman Old Style"/>
                <w:sz w:val="24"/>
                <w:szCs w:val="24"/>
              </w:rPr>
            </w:pPr>
            <w:r w:rsidRPr="00952C11">
              <w:rPr>
                <w:rFonts w:ascii="Bookman Old Style" w:hAnsi="Bookman Old Style"/>
                <w:sz w:val="24"/>
                <w:szCs w:val="24"/>
              </w:rPr>
              <w:t xml:space="preserve">memuat kata yang mencirikan strategi investasi yang dimiliki; dan </w:t>
            </w:r>
          </w:p>
        </w:tc>
        <w:tc>
          <w:tcPr>
            <w:tcW w:w="1167" w:type="pct"/>
          </w:tcPr>
          <w:p w14:paraId="42AF7A59" w14:textId="50AF84C4"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 xml:space="preserve">Pemilihan kata yang mencirikan strategi investasi yang dimiliki agar tidak </w:t>
            </w:r>
            <w:r w:rsidRPr="00967AC0">
              <w:rPr>
                <w:rFonts w:ascii="Bookman Old Style" w:eastAsia="Bookman Old Style" w:hAnsi="Bookman Old Style" w:cs="Bookman Old Style"/>
                <w:sz w:val="24"/>
                <w:szCs w:val="24"/>
              </w:rPr>
              <w:lastRenderedPageBreak/>
              <w:t>mengakibatkan interpretasi yang berbeda.</w:t>
            </w:r>
          </w:p>
        </w:tc>
        <w:tc>
          <w:tcPr>
            <w:tcW w:w="1109" w:type="pct"/>
          </w:tcPr>
          <w:p w14:paraId="60F5742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3761BD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C0403CA" w14:textId="77777777" w:rsidTr="00C61A26">
        <w:trPr>
          <w:jc w:val="center"/>
        </w:trPr>
        <w:tc>
          <w:tcPr>
            <w:tcW w:w="1614" w:type="pct"/>
          </w:tcPr>
          <w:p w14:paraId="610FE729" w14:textId="13A198B0" w:rsidR="00BA5B70" w:rsidRPr="00952C11" w:rsidRDefault="00BA5B70" w:rsidP="00BA5B70">
            <w:pPr>
              <w:pStyle w:val="ListParagraph"/>
              <w:numPr>
                <w:ilvl w:val="1"/>
                <w:numId w:val="14"/>
              </w:numPr>
              <w:rPr>
                <w:rFonts w:ascii="Bookman Old Style" w:hAnsi="Bookman Old Style"/>
                <w:sz w:val="24"/>
                <w:szCs w:val="24"/>
              </w:rPr>
            </w:pPr>
            <w:r w:rsidRPr="00952C11">
              <w:rPr>
                <w:rFonts w:ascii="Bookman Old Style" w:hAnsi="Bookman Old Style"/>
                <w:sz w:val="24"/>
                <w:szCs w:val="24"/>
              </w:rPr>
              <w:t>tidak menggunakan kata “syariah” atau kata lain yang memiliki makna sama.</w:t>
            </w:r>
          </w:p>
        </w:tc>
        <w:tc>
          <w:tcPr>
            <w:tcW w:w="1167" w:type="pct"/>
          </w:tcPr>
          <w:p w14:paraId="378C7F53" w14:textId="77777777" w:rsidR="00BA5B70" w:rsidRPr="00967AC0"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 xml:space="preserve">Contoh: </w:t>
            </w:r>
          </w:p>
          <w:p w14:paraId="23FD67AC" w14:textId="77777777" w:rsidR="00BA5B70" w:rsidRPr="00967AC0"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 xml:space="preserve">Subdana dengan strategi investasi pasar uang menggunakan kata pasar uang atau </w:t>
            </w:r>
            <w:r w:rsidRPr="00C61A26">
              <w:rPr>
                <w:rFonts w:ascii="Bookman Old Style" w:eastAsia="Bookman Old Style" w:hAnsi="Bookman Old Style" w:cs="Bookman Old Style"/>
                <w:i/>
                <w:iCs/>
                <w:sz w:val="24"/>
                <w:szCs w:val="24"/>
              </w:rPr>
              <w:t>money market</w:t>
            </w:r>
            <w:r w:rsidRPr="00967AC0">
              <w:rPr>
                <w:rFonts w:ascii="Bookman Old Style" w:eastAsia="Bookman Old Style" w:hAnsi="Bookman Old Style" w:cs="Bookman Old Style"/>
                <w:sz w:val="24"/>
                <w:szCs w:val="24"/>
              </w:rPr>
              <w:t>, untuk Subdana dengan strategi investasi pendapatan tetap menggunakan kata pendapatan tetap atau obligasi.</w:t>
            </w:r>
          </w:p>
          <w:p w14:paraId="3A23F26D" w14:textId="4B7F0721"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Ketentuan ini dimaksudkan agar tidak menimbulkan penafsiran bahwa PAYDI tersebut merupakan produk asuransi syariah.</w:t>
            </w:r>
          </w:p>
        </w:tc>
        <w:tc>
          <w:tcPr>
            <w:tcW w:w="1109" w:type="pct"/>
          </w:tcPr>
          <w:p w14:paraId="101813F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6C2D8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83C0162" w14:textId="77777777" w:rsidTr="00C61A26">
        <w:trPr>
          <w:jc w:val="center"/>
        </w:trPr>
        <w:tc>
          <w:tcPr>
            <w:tcW w:w="1614" w:type="pct"/>
          </w:tcPr>
          <w:p w14:paraId="5ECC1E65" w14:textId="26A0C1B4" w:rsidR="00BA5B70" w:rsidRPr="00952C11" w:rsidRDefault="00BA5B70" w:rsidP="00BA5B70">
            <w:pPr>
              <w:pStyle w:val="ListParagraph"/>
              <w:numPr>
                <w:ilvl w:val="0"/>
                <w:numId w:val="5"/>
              </w:numPr>
              <w:rPr>
                <w:rFonts w:ascii="Bookman Old Style" w:hAnsi="Bookman Old Style"/>
                <w:sz w:val="24"/>
                <w:szCs w:val="24"/>
              </w:rPr>
            </w:pPr>
            <w:r w:rsidRPr="00952C11">
              <w:rPr>
                <w:rFonts w:ascii="Bookman Old Style" w:hAnsi="Bookman Old Style"/>
                <w:sz w:val="24"/>
                <w:szCs w:val="24"/>
              </w:rPr>
              <w:t xml:space="preserve">Bagi Perusahaan Asuransi Syariah, nama Subdana dari PAYDI harus memenuhi ketentuan: </w:t>
            </w:r>
          </w:p>
        </w:tc>
        <w:tc>
          <w:tcPr>
            <w:tcW w:w="1167" w:type="pct"/>
          </w:tcPr>
          <w:p w14:paraId="57B6E5E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9EA74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836EB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D6F10D6" w14:textId="77777777" w:rsidTr="00C61A26">
        <w:trPr>
          <w:jc w:val="center"/>
        </w:trPr>
        <w:tc>
          <w:tcPr>
            <w:tcW w:w="1614" w:type="pct"/>
          </w:tcPr>
          <w:p w14:paraId="28EE00DC" w14:textId="3D9DCE08" w:rsidR="00BA5B70" w:rsidRPr="00952C11" w:rsidRDefault="00BA5B70" w:rsidP="00BA5B70">
            <w:pPr>
              <w:pStyle w:val="ListParagraph"/>
              <w:numPr>
                <w:ilvl w:val="0"/>
                <w:numId w:val="15"/>
              </w:numPr>
              <w:rPr>
                <w:rFonts w:ascii="Bookman Old Style" w:hAnsi="Bookman Old Style"/>
                <w:sz w:val="24"/>
                <w:szCs w:val="24"/>
              </w:rPr>
            </w:pPr>
            <w:r w:rsidRPr="00952C11">
              <w:rPr>
                <w:rFonts w:ascii="Bookman Old Style" w:hAnsi="Bookman Old Style"/>
                <w:sz w:val="24"/>
                <w:szCs w:val="24"/>
              </w:rPr>
              <w:t xml:space="preserve">memuat kata yang mencirikan strategi investasi yang dimiliki; dan </w:t>
            </w:r>
          </w:p>
        </w:tc>
        <w:tc>
          <w:tcPr>
            <w:tcW w:w="1167" w:type="pct"/>
          </w:tcPr>
          <w:p w14:paraId="4DA3C792" w14:textId="7A87258F"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Lihat penjelasan ayat (3) huruf a.</w:t>
            </w:r>
          </w:p>
        </w:tc>
        <w:tc>
          <w:tcPr>
            <w:tcW w:w="1109" w:type="pct"/>
          </w:tcPr>
          <w:p w14:paraId="1F2C091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65F4D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4706995" w14:textId="77777777" w:rsidTr="00C61A26">
        <w:trPr>
          <w:jc w:val="center"/>
        </w:trPr>
        <w:tc>
          <w:tcPr>
            <w:tcW w:w="1614" w:type="pct"/>
          </w:tcPr>
          <w:p w14:paraId="20379DE3" w14:textId="047AB6C3" w:rsidR="00BA5B70" w:rsidRPr="00952C11" w:rsidRDefault="00BA5B70" w:rsidP="00BA5B70">
            <w:pPr>
              <w:pStyle w:val="ListParagraph"/>
              <w:numPr>
                <w:ilvl w:val="0"/>
                <w:numId w:val="15"/>
              </w:numPr>
              <w:rPr>
                <w:rFonts w:ascii="Bookman Old Style" w:hAnsi="Bookman Old Style"/>
                <w:sz w:val="24"/>
                <w:szCs w:val="24"/>
              </w:rPr>
            </w:pPr>
            <w:r w:rsidRPr="00952C11">
              <w:rPr>
                <w:rFonts w:ascii="Bookman Old Style" w:hAnsi="Bookman Old Style"/>
                <w:sz w:val="24"/>
                <w:szCs w:val="24"/>
              </w:rPr>
              <w:t xml:space="preserve">menggunakan kata “syariah” atau kata lain yang memiliki makna sama. </w:t>
            </w:r>
          </w:p>
        </w:tc>
        <w:tc>
          <w:tcPr>
            <w:tcW w:w="1167" w:type="pct"/>
          </w:tcPr>
          <w:p w14:paraId="7FA52216" w14:textId="77777777" w:rsidR="00BA5B70" w:rsidRPr="00967AC0"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Contoh:</w:t>
            </w:r>
          </w:p>
          <w:p w14:paraId="7D1993D5" w14:textId="77777777" w:rsidR="00BA5B70" w:rsidRPr="00967AC0"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 xml:space="preserve">Subdana dengan strategi investasi pasar uang menggunakan kata pasar uang syariah atau sharia </w:t>
            </w:r>
            <w:r w:rsidRPr="00967AC0">
              <w:rPr>
                <w:rFonts w:ascii="Bookman Old Style" w:eastAsia="Bookman Old Style" w:hAnsi="Bookman Old Style" w:cs="Bookman Old Style"/>
                <w:i/>
                <w:iCs/>
                <w:sz w:val="24"/>
                <w:szCs w:val="24"/>
              </w:rPr>
              <w:t>money market</w:t>
            </w:r>
            <w:r w:rsidRPr="00967AC0">
              <w:rPr>
                <w:rFonts w:ascii="Bookman Old Style" w:eastAsia="Bookman Old Style" w:hAnsi="Bookman Old Style" w:cs="Bookman Old Style"/>
                <w:sz w:val="24"/>
                <w:szCs w:val="24"/>
              </w:rPr>
              <w:t>, untuk Subdana dengan strategi investasi pendapatan tetap menggunakan kata pendapatan tetap syariah atau sukuk.</w:t>
            </w:r>
          </w:p>
          <w:p w14:paraId="10B0D327" w14:textId="59495DAB"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Ketentuan ini untuk menunjukkan bahwa PAYDI tersebut merupakan produk asuransi syariah.</w:t>
            </w:r>
          </w:p>
        </w:tc>
        <w:tc>
          <w:tcPr>
            <w:tcW w:w="1109" w:type="pct"/>
          </w:tcPr>
          <w:p w14:paraId="6AA12FC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B37A8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E4815FE" w14:textId="77777777" w:rsidTr="00C61A26">
        <w:trPr>
          <w:jc w:val="center"/>
        </w:trPr>
        <w:tc>
          <w:tcPr>
            <w:tcW w:w="1614" w:type="pct"/>
          </w:tcPr>
          <w:p w14:paraId="00DC98F4" w14:textId="3E13C038" w:rsidR="00BA5B70" w:rsidRPr="00952C11" w:rsidRDefault="00BA5B70" w:rsidP="00BA5B70">
            <w:pPr>
              <w:pStyle w:val="ListParagraph"/>
              <w:numPr>
                <w:ilvl w:val="0"/>
                <w:numId w:val="5"/>
              </w:numPr>
              <w:jc w:val="both"/>
              <w:rPr>
                <w:rFonts w:ascii="Bookman Old Style" w:hAnsi="Bookman Old Style"/>
                <w:sz w:val="24"/>
                <w:szCs w:val="24"/>
              </w:rPr>
            </w:pPr>
            <w:r w:rsidRPr="00952C11">
              <w:rPr>
                <w:rFonts w:ascii="Bookman Old Style" w:hAnsi="Bookman Old Style"/>
                <w:sz w:val="24"/>
                <w:szCs w:val="24"/>
              </w:rPr>
              <w:lastRenderedPageBreak/>
              <w:t>Ketentuan masa pertanggungan tertentu sebagaimana dimaksud pada ayat (1) huruf b paling singkat 5 (lima) tahun.</w:t>
            </w:r>
          </w:p>
        </w:tc>
        <w:tc>
          <w:tcPr>
            <w:tcW w:w="1167" w:type="pct"/>
          </w:tcPr>
          <w:p w14:paraId="29E484F6" w14:textId="4A4908B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3ECD98C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6C1A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5BE97F3" w14:textId="77777777" w:rsidTr="00C61A26">
        <w:trPr>
          <w:jc w:val="center"/>
        </w:trPr>
        <w:tc>
          <w:tcPr>
            <w:tcW w:w="1614" w:type="pct"/>
          </w:tcPr>
          <w:p w14:paraId="51EFD204" w14:textId="2FF4500D" w:rsidR="00BA5B70" w:rsidRPr="00952C11" w:rsidRDefault="00BA5B70" w:rsidP="00BA5B70">
            <w:pPr>
              <w:pStyle w:val="ListParagraph"/>
              <w:numPr>
                <w:ilvl w:val="0"/>
                <w:numId w:val="5"/>
              </w:numPr>
              <w:jc w:val="both"/>
              <w:rPr>
                <w:rFonts w:ascii="Bookman Old Style" w:hAnsi="Bookman Old Style"/>
                <w:sz w:val="24"/>
                <w:szCs w:val="24"/>
              </w:rPr>
            </w:pPr>
            <w:r w:rsidRPr="00952C11">
              <w:rPr>
                <w:rFonts w:ascii="Bookman Old Style" w:hAnsi="Bookman Old Style"/>
                <w:sz w:val="24"/>
                <w:szCs w:val="24"/>
              </w:rPr>
              <w:t>Strategi investasi yang spesifik sebagaimana dimaksud pada ayat (1) huruf c, untuk setiap Subdana meliputi:</w:t>
            </w:r>
          </w:p>
        </w:tc>
        <w:tc>
          <w:tcPr>
            <w:tcW w:w="1167" w:type="pct"/>
          </w:tcPr>
          <w:p w14:paraId="7858B80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9980F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1F5976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ACD5A0F" w14:textId="77777777" w:rsidTr="00C61A26">
        <w:trPr>
          <w:jc w:val="center"/>
        </w:trPr>
        <w:tc>
          <w:tcPr>
            <w:tcW w:w="1614" w:type="pct"/>
          </w:tcPr>
          <w:p w14:paraId="10611371" w14:textId="26C1943E" w:rsidR="00BA5B70" w:rsidRPr="00952C11" w:rsidRDefault="00BA5B70" w:rsidP="00BA5B70">
            <w:pPr>
              <w:pStyle w:val="ListParagraph"/>
              <w:numPr>
                <w:ilvl w:val="0"/>
                <w:numId w:val="16"/>
              </w:numPr>
              <w:rPr>
                <w:rFonts w:ascii="Bookman Old Style" w:hAnsi="Bookman Old Style"/>
                <w:sz w:val="24"/>
                <w:szCs w:val="24"/>
              </w:rPr>
            </w:pPr>
            <w:r w:rsidRPr="00952C11">
              <w:rPr>
                <w:rFonts w:ascii="Bookman Old Style" w:hAnsi="Bookman Old Style"/>
                <w:sz w:val="24"/>
                <w:szCs w:val="24"/>
              </w:rPr>
              <w:t>strategi investasi pasar uang;</w:t>
            </w:r>
          </w:p>
        </w:tc>
        <w:tc>
          <w:tcPr>
            <w:tcW w:w="1167" w:type="pct"/>
          </w:tcPr>
          <w:p w14:paraId="7733863A" w14:textId="29AB4362"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0EB1576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72FFD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09D4F9E" w14:textId="77777777" w:rsidTr="00C61A26">
        <w:trPr>
          <w:jc w:val="center"/>
        </w:trPr>
        <w:tc>
          <w:tcPr>
            <w:tcW w:w="1614" w:type="pct"/>
          </w:tcPr>
          <w:p w14:paraId="0009F3C4" w14:textId="6C79A79C" w:rsidR="00BA5B70" w:rsidRPr="00952C11" w:rsidRDefault="00BA5B70" w:rsidP="00BA5B70">
            <w:pPr>
              <w:pStyle w:val="ListParagraph"/>
              <w:numPr>
                <w:ilvl w:val="0"/>
                <w:numId w:val="16"/>
              </w:numPr>
              <w:rPr>
                <w:rFonts w:ascii="Bookman Old Style" w:hAnsi="Bookman Old Style"/>
                <w:sz w:val="24"/>
                <w:szCs w:val="24"/>
              </w:rPr>
            </w:pPr>
            <w:r w:rsidRPr="00952C11">
              <w:rPr>
                <w:rFonts w:ascii="Bookman Old Style" w:hAnsi="Bookman Old Style"/>
                <w:sz w:val="24"/>
                <w:szCs w:val="24"/>
              </w:rPr>
              <w:t>strategi investasi pendapatan tetap;</w:t>
            </w:r>
          </w:p>
        </w:tc>
        <w:tc>
          <w:tcPr>
            <w:tcW w:w="1167" w:type="pct"/>
          </w:tcPr>
          <w:p w14:paraId="18D94F0B" w14:textId="4F32161F"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63BA0C3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74BD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B525AC6" w14:textId="77777777" w:rsidTr="00C61A26">
        <w:trPr>
          <w:jc w:val="center"/>
        </w:trPr>
        <w:tc>
          <w:tcPr>
            <w:tcW w:w="1614" w:type="pct"/>
          </w:tcPr>
          <w:p w14:paraId="46B95D75" w14:textId="1F429F65" w:rsidR="00BA5B70" w:rsidRPr="00DC3BCE" w:rsidRDefault="00BA5B70" w:rsidP="00BA5B70">
            <w:pPr>
              <w:pStyle w:val="ListParagraph"/>
              <w:numPr>
                <w:ilvl w:val="0"/>
                <w:numId w:val="16"/>
              </w:numPr>
              <w:rPr>
                <w:rFonts w:ascii="Bookman Old Style" w:hAnsi="Bookman Old Style"/>
                <w:sz w:val="24"/>
                <w:szCs w:val="24"/>
              </w:rPr>
            </w:pPr>
            <w:r w:rsidRPr="00DC3BCE">
              <w:rPr>
                <w:rFonts w:ascii="Bookman Old Style" w:hAnsi="Bookman Old Style"/>
                <w:sz w:val="24"/>
                <w:szCs w:val="24"/>
              </w:rPr>
              <w:t>strategi investasi saham;</w:t>
            </w:r>
          </w:p>
        </w:tc>
        <w:tc>
          <w:tcPr>
            <w:tcW w:w="1167" w:type="pct"/>
          </w:tcPr>
          <w:p w14:paraId="504321E7" w14:textId="6FAB85CD"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3A7870F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916EB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6040BE" w:rsidRPr="00C562C1" w14:paraId="2D2D9EEF" w14:textId="77777777" w:rsidTr="00C61A26">
        <w:trPr>
          <w:jc w:val="center"/>
        </w:trPr>
        <w:tc>
          <w:tcPr>
            <w:tcW w:w="1614" w:type="pct"/>
          </w:tcPr>
          <w:p w14:paraId="285F750D" w14:textId="79195B96" w:rsidR="006040BE" w:rsidRPr="006040BE" w:rsidRDefault="006040BE" w:rsidP="006040BE">
            <w:pPr>
              <w:pStyle w:val="ListParagraph"/>
              <w:numPr>
                <w:ilvl w:val="1"/>
                <w:numId w:val="9"/>
              </w:numPr>
              <w:rPr>
                <w:rFonts w:ascii="Bookman Old Style" w:hAnsi="Bookman Old Style"/>
                <w:sz w:val="24"/>
                <w:szCs w:val="24"/>
              </w:rPr>
            </w:pPr>
            <w:r w:rsidRPr="006040BE">
              <w:rPr>
                <w:rFonts w:ascii="Bookman Old Style" w:hAnsi="Bookman Old Style"/>
                <w:sz w:val="24"/>
                <w:szCs w:val="24"/>
              </w:rPr>
              <w:t xml:space="preserve">strategi investasi </w:t>
            </w:r>
            <w:r w:rsidRPr="006040BE">
              <w:rPr>
                <w:rFonts w:ascii="Bookman Old Style" w:hAnsi="Bookman Old Style"/>
                <w:i/>
                <w:iCs/>
                <w:sz w:val="24"/>
                <w:szCs w:val="24"/>
              </w:rPr>
              <w:t>exchange trade fund</w:t>
            </w:r>
            <w:r w:rsidRPr="006040BE">
              <w:rPr>
                <w:rFonts w:ascii="Bookman Old Style" w:hAnsi="Bookman Old Style"/>
                <w:sz w:val="24"/>
                <w:szCs w:val="24"/>
              </w:rPr>
              <w:t xml:space="preserve"> emas atau komoditas lainnya;</w:t>
            </w:r>
          </w:p>
        </w:tc>
        <w:tc>
          <w:tcPr>
            <w:tcW w:w="1167" w:type="pct"/>
          </w:tcPr>
          <w:p w14:paraId="711A35BB" w14:textId="77777777" w:rsidR="006040BE" w:rsidRPr="00967AC0" w:rsidRDefault="006040BE"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58C481D" w14:textId="77777777" w:rsidR="006040BE" w:rsidRPr="00C562C1" w:rsidRDefault="006040BE"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1B739B5" w14:textId="77777777" w:rsidR="006040BE" w:rsidRPr="00C562C1" w:rsidRDefault="006040BE"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A4E5669" w14:textId="77777777" w:rsidTr="00C61A26">
        <w:trPr>
          <w:jc w:val="center"/>
        </w:trPr>
        <w:tc>
          <w:tcPr>
            <w:tcW w:w="1614" w:type="pct"/>
          </w:tcPr>
          <w:p w14:paraId="50BA2C3E" w14:textId="3D74FF3E" w:rsidR="00BA5B70" w:rsidRPr="00DC3BCE" w:rsidRDefault="00BA5B70" w:rsidP="006040BE">
            <w:pPr>
              <w:pStyle w:val="ListParagraph"/>
              <w:numPr>
                <w:ilvl w:val="1"/>
                <w:numId w:val="9"/>
              </w:numPr>
              <w:rPr>
                <w:rFonts w:ascii="Bookman Old Style" w:hAnsi="Bookman Old Style"/>
                <w:sz w:val="24"/>
                <w:szCs w:val="24"/>
              </w:rPr>
            </w:pPr>
            <w:r w:rsidRPr="00DC3BCE">
              <w:rPr>
                <w:rFonts w:ascii="Bookman Old Style" w:hAnsi="Bookman Old Style"/>
                <w:sz w:val="24"/>
                <w:szCs w:val="24"/>
              </w:rPr>
              <w:t>strategi investasi campuran:</w:t>
            </w:r>
          </w:p>
        </w:tc>
        <w:tc>
          <w:tcPr>
            <w:tcW w:w="1167" w:type="pct"/>
          </w:tcPr>
          <w:p w14:paraId="11401AD2" w14:textId="5916DF5A"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6351AB0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1B02F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1E5B60A" w14:textId="77777777" w:rsidTr="00C61A26">
        <w:trPr>
          <w:jc w:val="center"/>
        </w:trPr>
        <w:tc>
          <w:tcPr>
            <w:tcW w:w="1614" w:type="pct"/>
          </w:tcPr>
          <w:p w14:paraId="5B2829DF" w14:textId="1B6D8507" w:rsidR="00BA5B70" w:rsidRPr="00DC3BCE" w:rsidRDefault="00BA5B70" w:rsidP="006040BE">
            <w:pPr>
              <w:pStyle w:val="ListParagraph"/>
              <w:numPr>
                <w:ilvl w:val="1"/>
                <w:numId w:val="9"/>
              </w:numPr>
              <w:rPr>
                <w:rFonts w:ascii="Bookman Old Style" w:hAnsi="Bookman Old Style"/>
                <w:sz w:val="24"/>
                <w:szCs w:val="24"/>
              </w:rPr>
            </w:pPr>
            <w:r w:rsidRPr="00DC3BCE">
              <w:rPr>
                <w:rFonts w:ascii="Bookman Old Style" w:hAnsi="Bookman Old Style"/>
                <w:sz w:val="24"/>
                <w:szCs w:val="24"/>
              </w:rPr>
              <w:t xml:space="preserve">strategi investasi pasar uang syariah; </w:t>
            </w:r>
          </w:p>
        </w:tc>
        <w:tc>
          <w:tcPr>
            <w:tcW w:w="1167" w:type="pct"/>
          </w:tcPr>
          <w:p w14:paraId="2EDB3EFB" w14:textId="21D84CF9"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2C0BFD6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05003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3AD4DF5" w14:textId="77777777" w:rsidTr="00C61A26">
        <w:trPr>
          <w:jc w:val="center"/>
        </w:trPr>
        <w:tc>
          <w:tcPr>
            <w:tcW w:w="1614" w:type="pct"/>
          </w:tcPr>
          <w:p w14:paraId="1A4F2984" w14:textId="2B0CCFC6" w:rsidR="00BA5B70" w:rsidRPr="00DC3BCE" w:rsidRDefault="00BA5B70" w:rsidP="006040BE">
            <w:pPr>
              <w:pStyle w:val="ListParagraph"/>
              <w:numPr>
                <w:ilvl w:val="1"/>
                <w:numId w:val="9"/>
              </w:numPr>
              <w:rPr>
                <w:rFonts w:ascii="Bookman Old Style" w:hAnsi="Bookman Old Style"/>
                <w:sz w:val="24"/>
                <w:szCs w:val="24"/>
              </w:rPr>
            </w:pPr>
            <w:r w:rsidRPr="00DC3BCE">
              <w:rPr>
                <w:rFonts w:ascii="Bookman Old Style" w:hAnsi="Bookman Old Style"/>
                <w:sz w:val="24"/>
                <w:szCs w:val="24"/>
              </w:rPr>
              <w:t xml:space="preserve">strategi investasi pendapatan tetap syariah; </w:t>
            </w:r>
          </w:p>
        </w:tc>
        <w:tc>
          <w:tcPr>
            <w:tcW w:w="1167" w:type="pct"/>
          </w:tcPr>
          <w:p w14:paraId="69F8722F" w14:textId="5A38E7B0"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7B416EF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84B81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8B285EA" w14:textId="77777777" w:rsidTr="00C61A26">
        <w:trPr>
          <w:jc w:val="center"/>
        </w:trPr>
        <w:tc>
          <w:tcPr>
            <w:tcW w:w="1614" w:type="pct"/>
          </w:tcPr>
          <w:p w14:paraId="1BA77D81" w14:textId="04B528C0" w:rsidR="00BA5B70" w:rsidRPr="00DC3BCE" w:rsidRDefault="00BA5B70" w:rsidP="006040BE">
            <w:pPr>
              <w:pStyle w:val="ListParagraph"/>
              <w:numPr>
                <w:ilvl w:val="1"/>
                <w:numId w:val="9"/>
              </w:numPr>
              <w:rPr>
                <w:rFonts w:ascii="Bookman Old Style" w:hAnsi="Bookman Old Style"/>
                <w:sz w:val="24"/>
                <w:szCs w:val="24"/>
              </w:rPr>
            </w:pPr>
            <w:r w:rsidRPr="00DC3BCE">
              <w:rPr>
                <w:rFonts w:ascii="Bookman Old Style" w:hAnsi="Bookman Old Style"/>
                <w:sz w:val="24"/>
                <w:szCs w:val="24"/>
              </w:rPr>
              <w:t>strategi investasi saham syariah;</w:t>
            </w:r>
          </w:p>
        </w:tc>
        <w:tc>
          <w:tcPr>
            <w:tcW w:w="1167" w:type="pct"/>
          </w:tcPr>
          <w:p w14:paraId="0386875F" w14:textId="37DC99C4"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5B04024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3D7610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A515824" w14:textId="77777777" w:rsidTr="00C61A26">
        <w:trPr>
          <w:jc w:val="center"/>
        </w:trPr>
        <w:tc>
          <w:tcPr>
            <w:tcW w:w="1614" w:type="pct"/>
          </w:tcPr>
          <w:p w14:paraId="00285CB4" w14:textId="0D5F2D68" w:rsidR="00BA5B70" w:rsidRPr="00DC3BCE" w:rsidRDefault="00BA5B70" w:rsidP="006040BE">
            <w:pPr>
              <w:pStyle w:val="ListParagraph"/>
              <w:numPr>
                <w:ilvl w:val="1"/>
                <w:numId w:val="9"/>
              </w:numPr>
              <w:rPr>
                <w:rFonts w:ascii="Bookman Old Style" w:hAnsi="Bookman Old Style"/>
                <w:sz w:val="24"/>
                <w:szCs w:val="24"/>
              </w:rPr>
            </w:pPr>
            <w:r w:rsidRPr="00DC3BCE">
              <w:rPr>
                <w:rFonts w:ascii="Bookman Old Style" w:hAnsi="Bookman Old Style"/>
                <w:sz w:val="24"/>
                <w:szCs w:val="24"/>
              </w:rPr>
              <w:t xml:space="preserve">strategi investasi campuran syariah; </w:t>
            </w:r>
          </w:p>
        </w:tc>
        <w:tc>
          <w:tcPr>
            <w:tcW w:w="1167" w:type="pct"/>
          </w:tcPr>
          <w:p w14:paraId="27792801" w14:textId="1B1C1F6C"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6E00743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276957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2BDCA32" w14:textId="77777777" w:rsidTr="00C61A26">
        <w:trPr>
          <w:jc w:val="center"/>
        </w:trPr>
        <w:tc>
          <w:tcPr>
            <w:tcW w:w="1614" w:type="pct"/>
          </w:tcPr>
          <w:p w14:paraId="59FD1C56" w14:textId="22756A03" w:rsidR="00BA5B70" w:rsidRPr="00DC3BCE" w:rsidRDefault="00BA5B70" w:rsidP="006040BE">
            <w:pPr>
              <w:pStyle w:val="ListParagraph"/>
              <w:numPr>
                <w:ilvl w:val="1"/>
                <w:numId w:val="9"/>
              </w:numPr>
              <w:rPr>
                <w:rFonts w:ascii="Bookman Old Style" w:hAnsi="Bookman Old Style"/>
                <w:sz w:val="24"/>
                <w:szCs w:val="24"/>
              </w:rPr>
            </w:pPr>
            <w:r w:rsidRPr="00DC3BCE">
              <w:rPr>
                <w:rFonts w:ascii="Bookman Old Style" w:hAnsi="Bookman Old Style"/>
                <w:sz w:val="24"/>
                <w:szCs w:val="24"/>
              </w:rPr>
              <w:t>strategi investasi lain yang disetujui oleh Otoritas Jasa Keuangan.</w:t>
            </w:r>
          </w:p>
        </w:tc>
        <w:tc>
          <w:tcPr>
            <w:tcW w:w="1167" w:type="pct"/>
          </w:tcPr>
          <w:p w14:paraId="5E34E868" w14:textId="0535D811"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Pemilihan strategi investasi lain setelah terlebih dahulu memperoleh persetujuan Otoritas Jasa Keuangan dengan tetap memenuhi ketentuan mengenai jenis investasi dari PAYDI sebagaimana diatur dalam Peraturan Otoritas Jasa Keuangan mengenai pengelolaan aset dan liabilitas Perusahaan Asuransi dan Perusahaan Asuransi Syariah.</w:t>
            </w:r>
          </w:p>
        </w:tc>
        <w:tc>
          <w:tcPr>
            <w:tcW w:w="1109" w:type="pct"/>
          </w:tcPr>
          <w:p w14:paraId="2EC4CBD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ECD3D8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7F284D7" w14:textId="77777777" w:rsidTr="00C61A26">
        <w:trPr>
          <w:jc w:val="center"/>
        </w:trPr>
        <w:tc>
          <w:tcPr>
            <w:tcW w:w="1614" w:type="pct"/>
          </w:tcPr>
          <w:p w14:paraId="53D0F78B" w14:textId="56496E53" w:rsidR="00BA5B70" w:rsidRPr="00DC3BCE" w:rsidRDefault="00BA5B70" w:rsidP="00BA5B70">
            <w:pPr>
              <w:pStyle w:val="ListParagraph"/>
              <w:numPr>
                <w:ilvl w:val="0"/>
                <w:numId w:val="5"/>
              </w:numPr>
              <w:jc w:val="both"/>
              <w:rPr>
                <w:rFonts w:ascii="Bookman Old Style" w:hAnsi="Bookman Old Style"/>
                <w:sz w:val="24"/>
                <w:szCs w:val="24"/>
              </w:rPr>
            </w:pPr>
            <w:r w:rsidRPr="00DC3BCE">
              <w:rPr>
                <w:rFonts w:ascii="Bookman Old Style" w:hAnsi="Bookman Old Style"/>
                <w:sz w:val="24"/>
                <w:szCs w:val="24"/>
              </w:rPr>
              <w:lastRenderedPageBreak/>
              <w:t>Pemilihan strategi investasi sebagaimana dimaksud pada ayat (6) harus memenuhi ketentuan:</w:t>
            </w:r>
          </w:p>
        </w:tc>
        <w:tc>
          <w:tcPr>
            <w:tcW w:w="1167" w:type="pct"/>
          </w:tcPr>
          <w:p w14:paraId="12B57327" w14:textId="56790B7B"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560F68F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83AEF1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26E3698" w14:textId="77777777" w:rsidTr="00C61A26">
        <w:trPr>
          <w:jc w:val="center"/>
        </w:trPr>
        <w:tc>
          <w:tcPr>
            <w:tcW w:w="1614" w:type="pct"/>
          </w:tcPr>
          <w:p w14:paraId="4A0ACB6E" w14:textId="6E21A134" w:rsidR="00BA5B70" w:rsidRPr="006040BE" w:rsidRDefault="00BA5B70" w:rsidP="006040BE">
            <w:pPr>
              <w:pStyle w:val="ListParagraph"/>
              <w:numPr>
                <w:ilvl w:val="0"/>
                <w:numId w:val="17"/>
              </w:numPr>
              <w:rPr>
                <w:rFonts w:ascii="Bookman Old Style" w:hAnsi="Bookman Old Style"/>
                <w:color w:val="000000" w:themeColor="text1"/>
                <w:sz w:val="24"/>
                <w:szCs w:val="24"/>
              </w:rPr>
            </w:pPr>
            <w:r w:rsidRPr="006040BE">
              <w:rPr>
                <w:rFonts w:ascii="Bookman Old Style" w:hAnsi="Bookman Old Style"/>
                <w:sz w:val="24"/>
                <w:szCs w:val="24"/>
              </w:rPr>
              <w:t>bagi strategi investasi pasar uang sebagaimana dimaksud pada ayat (6) huruf a, penempatan  investasi dilakukan atas seluruh aset Subdana pada instrumen pasar uang, surat berharga bersifat utang yang mempunyai jatuh tempo tidak lebih dari 1 (satu) tahun, deposito berjangka,</w:t>
            </w:r>
            <w:r w:rsidR="006040BE" w:rsidRPr="006040BE">
              <w:rPr>
                <w:rFonts w:ascii="Bookman Old Style" w:hAnsi="Bookman Old Style"/>
                <w:sz w:val="24"/>
                <w:szCs w:val="24"/>
              </w:rPr>
              <w:t xml:space="preserve"> </w:t>
            </w:r>
            <w:r w:rsidRPr="006040BE">
              <w:rPr>
                <w:rFonts w:ascii="Bookman Old Style" w:hAnsi="Bookman Old Style"/>
                <w:color w:val="000000" w:themeColor="text1"/>
                <w:sz w:val="24"/>
                <w:szCs w:val="24"/>
              </w:rPr>
              <w:t>unit penyertaan reksa dana pasar uang</w:t>
            </w:r>
            <w:r w:rsidR="006040BE" w:rsidRPr="006040BE">
              <w:rPr>
                <w:rFonts w:ascii="Bookman Old Style" w:hAnsi="Bookman Old Style"/>
                <w:color w:val="000000" w:themeColor="text1"/>
                <w:sz w:val="24"/>
                <w:szCs w:val="24"/>
              </w:rPr>
              <w:t xml:space="preserve">, </w:t>
            </w:r>
            <w:r w:rsidR="006040BE" w:rsidRPr="006040BE">
              <w:rPr>
                <w:rFonts w:ascii="Bookman Old Style" w:hAnsi="Bookman Old Style"/>
                <w:color w:val="000000" w:themeColor="text1"/>
                <w:sz w:val="24"/>
                <w:szCs w:val="24"/>
              </w:rPr>
              <w:t xml:space="preserve">dan/atau unit penyertaan </w:t>
            </w:r>
            <w:r w:rsidR="006040BE" w:rsidRPr="006040BE">
              <w:rPr>
                <w:rFonts w:ascii="Bookman Old Style" w:hAnsi="Bookman Old Style"/>
                <w:i/>
                <w:iCs/>
                <w:color w:val="000000" w:themeColor="text1"/>
                <w:sz w:val="24"/>
                <w:szCs w:val="24"/>
              </w:rPr>
              <w:t>exchange trade fund</w:t>
            </w:r>
            <w:r w:rsidR="006040BE" w:rsidRPr="006040BE">
              <w:rPr>
                <w:rFonts w:ascii="Bookman Old Style" w:hAnsi="Bookman Old Style"/>
                <w:color w:val="000000" w:themeColor="text1"/>
                <w:sz w:val="24"/>
                <w:szCs w:val="24"/>
              </w:rPr>
              <w:t xml:space="preserve"> pasar uang;</w:t>
            </w:r>
          </w:p>
        </w:tc>
        <w:tc>
          <w:tcPr>
            <w:tcW w:w="1167" w:type="pct"/>
          </w:tcPr>
          <w:p w14:paraId="1B2B24B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12B32B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145EBA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7083E10" w14:textId="77777777" w:rsidTr="00C61A26">
        <w:trPr>
          <w:jc w:val="center"/>
        </w:trPr>
        <w:tc>
          <w:tcPr>
            <w:tcW w:w="1614" w:type="pct"/>
          </w:tcPr>
          <w:p w14:paraId="203F50D6" w14:textId="5F26ECD4" w:rsidR="00BA5B70" w:rsidRPr="00DC3BCE" w:rsidRDefault="00BA5B70" w:rsidP="00BA5B70">
            <w:pPr>
              <w:pStyle w:val="ListParagraph"/>
              <w:numPr>
                <w:ilvl w:val="0"/>
                <w:numId w:val="17"/>
              </w:numPr>
              <w:jc w:val="both"/>
              <w:rPr>
                <w:rFonts w:ascii="Bookman Old Style" w:hAnsi="Bookman Old Style"/>
                <w:sz w:val="24"/>
                <w:szCs w:val="24"/>
              </w:rPr>
            </w:pPr>
            <w:r w:rsidRPr="00DC3BCE">
              <w:rPr>
                <w:rFonts w:ascii="Bookman Old Style" w:hAnsi="Bookman Old Style"/>
                <w:sz w:val="24"/>
                <w:szCs w:val="24"/>
              </w:rPr>
              <w:t>bagi strategi investasi pendapatan tetap sebagaimana dimaksud pada ayat (6) huruf b, penempatan investasi dilakukan atas aset Subdana paling sedikit 80% (delapan puluh persen) dari NAB Subdana dalam bentuk surat berharga bersifat utang</w:t>
            </w:r>
            <w:r w:rsidR="006040BE">
              <w:rPr>
                <w:rFonts w:ascii="Bookman Old Style" w:hAnsi="Bookman Old Style"/>
                <w:sz w:val="24"/>
                <w:szCs w:val="24"/>
              </w:rPr>
              <w:t xml:space="preserve">, </w:t>
            </w:r>
            <w:r w:rsidRPr="006040BE">
              <w:rPr>
                <w:rFonts w:ascii="Bookman Old Style" w:hAnsi="Bookman Old Style"/>
                <w:color w:val="000000" w:themeColor="text1"/>
                <w:sz w:val="24"/>
                <w:szCs w:val="24"/>
              </w:rPr>
              <w:t>unit penyertaan reksa dana pendapatan tetap</w:t>
            </w:r>
            <w:r w:rsidR="006040BE" w:rsidRPr="006040BE">
              <w:rPr>
                <w:rFonts w:ascii="Bookman Old Style" w:hAnsi="Bookman Old Style"/>
                <w:color w:val="000000" w:themeColor="text1"/>
                <w:sz w:val="24"/>
                <w:szCs w:val="24"/>
              </w:rPr>
              <w:t xml:space="preserve">, </w:t>
            </w:r>
            <w:r w:rsidR="006040BE" w:rsidRPr="006040BE">
              <w:rPr>
                <w:rFonts w:ascii="Bookman Old Style" w:hAnsi="Bookman Old Style"/>
                <w:color w:val="000000" w:themeColor="text1"/>
                <w:sz w:val="24"/>
                <w:szCs w:val="24"/>
              </w:rPr>
              <w:t xml:space="preserve">dan/atau </w:t>
            </w:r>
            <w:r w:rsidR="006040BE" w:rsidRPr="006040BE">
              <w:rPr>
                <w:rFonts w:ascii="Bookman Old Style" w:hAnsi="Bookman Old Style"/>
                <w:i/>
                <w:iCs/>
                <w:color w:val="000000" w:themeColor="text1"/>
                <w:sz w:val="24"/>
                <w:szCs w:val="24"/>
              </w:rPr>
              <w:t>exchange trade fund</w:t>
            </w:r>
            <w:r w:rsidR="006040BE" w:rsidRPr="006040BE">
              <w:rPr>
                <w:rFonts w:ascii="Bookman Old Style" w:hAnsi="Bookman Old Style"/>
                <w:color w:val="000000" w:themeColor="text1"/>
                <w:sz w:val="24"/>
                <w:szCs w:val="24"/>
              </w:rPr>
              <w:t xml:space="preserve"> pendapatan tetap</w:t>
            </w:r>
            <w:r w:rsidRPr="006040BE">
              <w:rPr>
                <w:rFonts w:ascii="Bookman Old Style" w:hAnsi="Bookman Old Style"/>
                <w:color w:val="000000" w:themeColor="text1"/>
                <w:sz w:val="24"/>
                <w:szCs w:val="24"/>
              </w:rPr>
              <w:t>;</w:t>
            </w:r>
          </w:p>
        </w:tc>
        <w:tc>
          <w:tcPr>
            <w:tcW w:w="1167" w:type="pct"/>
          </w:tcPr>
          <w:p w14:paraId="380CEA0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7BB31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E914B7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C14E6EB" w14:textId="77777777" w:rsidTr="00C61A26">
        <w:trPr>
          <w:jc w:val="center"/>
        </w:trPr>
        <w:tc>
          <w:tcPr>
            <w:tcW w:w="1614" w:type="pct"/>
          </w:tcPr>
          <w:p w14:paraId="41BF7AA7" w14:textId="3D024141" w:rsidR="00BA5B70" w:rsidRPr="006040BE" w:rsidRDefault="00BA5B70" w:rsidP="006040BE">
            <w:pPr>
              <w:pStyle w:val="ListParagraph"/>
              <w:numPr>
                <w:ilvl w:val="0"/>
                <w:numId w:val="17"/>
              </w:numPr>
              <w:rPr>
                <w:rFonts w:ascii="Bookman Old Style" w:hAnsi="Bookman Old Style"/>
                <w:color w:val="000000" w:themeColor="text1"/>
                <w:sz w:val="24"/>
                <w:szCs w:val="24"/>
              </w:rPr>
            </w:pPr>
            <w:r w:rsidRPr="006040BE">
              <w:rPr>
                <w:rFonts w:ascii="Bookman Old Style" w:hAnsi="Bookman Old Style"/>
                <w:sz w:val="24"/>
                <w:szCs w:val="24"/>
              </w:rPr>
              <w:t>bagi strategi investasi saham sebagaimana dimaksud pada ayat (6) huruf c, penempatan  investasi dilakukan atas aset Subdana paling sedikit 80% (delapan puluh persen) dari NAB Subdana dalam bentuk surat berharga bersifat ekuitas</w:t>
            </w:r>
            <w:r w:rsidR="006040BE" w:rsidRPr="006040BE">
              <w:rPr>
                <w:rFonts w:ascii="Bookman Old Style" w:hAnsi="Bookman Old Style"/>
                <w:sz w:val="24"/>
                <w:szCs w:val="24"/>
              </w:rPr>
              <w:t xml:space="preserve">, unit </w:t>
            </w:r>
            <w:r w:rsidRPr="006040BE">
              <w:rPr>
                <w:rFonts w:ascii="Bookman Old Style" w:hAnsi="Bookman Old Style"/>
                <w:color w:val="000000" w:themeColor="text1"/>
                <w:sz w:val="24"/>
                <w:szCs w:val="24"/>
              </w:rPr>
              <w:t>penyertaan reksa dana saham</w:t>
            </w:r>
            <w:r w:rsidR="006040BE" w:rsidRPr="006040BE">
              <w:rPr>
                <w:rFonts w:ascii="Bookman Old Style" w:hAnsi="Bookman Old Style"/>
                <w:color w:val="000000" w:themeColor="text1"/>
                <w:sz w:val="24"/>
                <w:szCs w:val="24"/>
              </w:rPr>
              <w:t xml:space="preserve">, </w:t>
            </w:r>
            <w:r w:rsidR="006040BE" w:rsidRPr="006040BE">
              <w:rPr>
                <w:rFonts w:ascii="Bookman Old Style" w:hAnsi="Bookman Old Style"/>
                <w:color w:val="000000" w:themeColor="text1"/>
                <w:sz w:val="24"/>
                <w:szCs w:val="24"/>
              </w:rPr>
              <w:t xml:space="preserve">dan/atau </w:t>
            </w:r>
            <w:r w:rsidR="006040BE" w:rsidRPr="005E118C">
              <w:rPr>
                <w:rFonts w:ascii="Bookman Old Style" w:hAnsi="Bookman Old Style"/>
                <w:i/>
                <w:iCs/>
                <w:color w:val="000000" w:themeColor="text1"/>
                <w:sz w:val="24"/>
                <w:szCs w:val="24"/>
              </w:rPr>
              <w:t xml:space="preserve">exchange trade fund </w:t>
            </w:r>
            <w:r w:rsidR="006040BE" w:rsidRPr="006040BE">
              <w:rPr>
                <w:rFonts w:ascii="Bookman Old Style" w:hAnsi="Bookman Old Style"/>
                <w:color w:val="000000" w:themeColor="text1"/>
                <w:sz w:val="24"/>
                <w:szCs w:val="24"/>
              </w:rPr>
              <w:t>saham;</w:t>
            </w:r>
          </w:p>
        </w:tc>
        <w:tc>
          <w:tcPr>
            <w:tcW w:w="1167" w:type="pct"/>
          </w:tcPr>
          <w:p w14:paraId="69D1320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97A37A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0B6B39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5E118C" w:rsidRPr="00C562C1" w14:paraId="5C2C0143" w14:textId="77777777" w:rsidTr="00C61A26">
        <w:trPr>
          <w:jc w:val="center"/>
        </w:trPr>
        <w:tc>
          <w:tcPr>
            <w:tcW w:w="1614" w:type="pct"/>
          </w:tcPr>
          <w:p w14:paraId="7485C6FE" w14:textId="1BB4B997" w:rsidR="005E118C" w:rsidRPr="005E118C" w:rsidRDefault="005E118C" w:rsidP="005E118C">
            <w:pPr>
              <w:pStyle w:val="ListParagraph"/>
              <w:numPr>
                <w:ilvl w:val="0"/>
                <w:numId w:val="17"/>
              </w:numPr>
              <w:jc w:val="both"/>
              <w:rPr>
                <w:rFonts w:ascii="Bookman Old Style" w:hAnsi="Bookman Old Style"/>
                <w:sz w:val="24"/>
                <w:szCs w:val="24"/>
              </w:rPr>
            </w:pPr>
            <w:r w:rsidRPr="005E118C">
              <w:rPr>
                <w:rFonts w:ascii="Bookman Old Style" w:hAnsi="Bookman Old Style"/>
                <w:sz w:val="24"/>
                <w:szCs w:val="24"/>
              </w:rPr>
              <w:t xml:space="preserve">bagi strategi investasi </w:t>
            </w:r>
            <w:r w:rsidRPr="005E118C">
              <w:rPr>
                <w:rFonts w:ascii="Bookman Old Style" w:hAnsi="Bookman Old Style"/>
                <w:i/>
                <w:iCs/>
                <w:sz w:val="24"/>
                <w:szCs w:val="24"/>
              </w:rPr>
              <w:t>exchange trade fund</w:t>
            </w:r>
            <w:r w:rsidRPr="005E118C">
              <w:rPr>
                <w:rFonts w:ascii="Bookman Old Style" w:hAnsi="Bookman Old Style"/>
                <w:sz w:val="24"/>
                <w:szCs w:val="24"/>
              </w:rPr>
              <w:t xml:space="preserve"> emas atau komoditas lainnya sebagaimana dimaksud pada ayat (6) huruf d, penempatan  investasi dilakukan atas aset Subdana paling sedikit 80% (delapan puluh persen) dari NAB </w:t>
            </w:r>
            <w:r w:rsidRPr="005E118C">
              <w:rPr>
                <w:rFonts w:ascii="Bookman Old Style" w:hAnsi="Bookman Old Style"/>
                <w:sz w:val="24"/>
                <w:szCs w:val="24"/>
              </w:rPr>
              <w:lastRenderedPageBreak/>
              <w:t xml:space="preserve">Subdana dalam bentuk unit penyertaan </w:t>
            </w:r>
            <w:r w:rsidRPr="005E118C">
              <w:rPr>
                <w:rFonts w:ascii="Bookman Old Style" w:hAnsi="Bookman Old Style"/>
                <w:i/>
                <w:iCs/>
                <w:sz w:val="24"/>
                <w:szCs w:val="24"/>
              </w:rPr>
              <w:t>exchange trade fund</w:t>
            </w:r>
            <w:r w:rsidRPr="005E118C">
              <w:rPr>
                <w:rFonts w:ascii="Bookman Old Style" w:hAnsi="Bookman Old Style"/>
                <w:sz w:val="24"/>
                <w:szCs w:val="24"/>
              </w:rPr>
              <w:t xml:space="preserve"> emas dan/atau </w:t>
            </w:r>
            <w:r w:rsidRPr="005E118C">
              <w:rPr>
                <w:rFonts w:ascii="Bookman Old Style" w:hAnsi="Bookman Old Style"/>
                <w:i/>
                <w:iCs/>
                <w:sz w:val="24"/>
                <w:szCs w:val="24"/>
              </w:rPr>
              <w:t>exchange trade</w:t>
            </w:r>
            <w:r w:rsidRPr="005E118C">
              <w:rPr>
                <w:rFonts w:ascii="Bookman Old Style" w:hAnsi="Bookman Old Style"/>
                <w:sz w:val="24"/>
                <w:szCs w:val="24"/>
              </w:rPr>
              <w:t xml:space="preserve"> fund komoditas lainnya;</w:t>
            </w:r>
          </w:p>
        </w:tc>
        <w:tc>
          <w:tcPr>
            <w:tcW w:w="1167" w:type="pct"/>
          </w:tcPr>
          <w:p w14:paraId="4B2FEDFE" w14:textId="77777777" w:rsidR="005E118C" w:rsidRPr="00C562C1" w:rsidRDefault="005E118C"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8C9FC86" w14:textId="77777777" w:rsidR="005E118C" w:rsidRPr="00C562C1" w:rsidRDefault="005E118C"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E94C96" w14:textId="77777777" w:rsidR="005E118C" w:rsidRPr="00C562C1" w:rsidRDefault="005E118C"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15BF952" w14:textId="77777777" w:rsidTr="00C61A26">
        <w:trPr>
          <w:jc w:val="center"/>
        </w:trPr>
        <w:tc>
          <w:tcPr>
            <w:tcW w:w="1614" w:type="pct"/>
          </w:tcPr>
          <w:p w14:paraId="377264E6" w14:textId="55C955AF" w:rsidR="00BA5B70" w:rsidRPr="005E118C" w:rsidRDefault="005E118C" w:rsidP="005E118C">
            <w:pPr>
              <w:pStyle w:val="ListParagraph"/>
              <w:numPr>
                <w:ilvl w:val="0"/>
                <w:numId w:val="17"/>
              </w:numPr>
              <w:jc w:val="both"/>
              <w:rPr>
                <w:rFonts w:ascii="Bookman Old Style" w:hAnsi="Bookman Old Style"/>
                <w:sz w:val="24"/>
                <w:szCs w:val="24"/>
              </w:rPr>
            </w:pPr>
            <w:r w:rsidRPr="005E118C">
              <w:rPr>
                <w:rFonts w:ascii="Bookman Old Style" w:hAnsi="Bookman Old Style"/>
                <w:sz w:val="24"/>
                <w:szCs w:val="24"/>
              </w:rPr>
              <w:t xml:space="preserve">bagi strategi investasi campuran sebagaimana dimaksud pada ayat (6) huruf e, penempatan  investasi dilakukan atas aset Subdana dengan melakukan strategi investasi pasar uang, strategi investasi pendapatan tetap, strategi investasi saham, dan/atau strategi investasi </w:t>
            </w:r>
            <w:r w:rsidRPr="002623D1">
              <w:rPr>
                <w:rFonts w:ascii="Bookman Old Style" w:hAnsi="Bookman Old Style"/>
                <w:i/>
                <w:iCs/>
                <w:sz w:val="24"/>
                <w:szCs w:val="24"/>
              </w:rPr>
              <w:t>exchange trade fund</w:t>
            </w:r>
            <w:r w:rsidRPr="005E118C">
              <w:rPr>
                <w:rFonts w:ascii="Bookman Old Style" w:hAnsi="Bookman Old Style"/>
                <w:sz w:val="24"/>
                <w:szCs w:val="24"/>
              </w:rPr>
              <w:t xml:space="preserve"> emas atau komoditas lainnya dengan komposisi masing-masing kurang dari 80% (delapan puluh persen) dari NAB Subdana;</w:t>
            </w:r>
          </w:p>
        </w:tc>
        <w:tc>
          <w:tcPr>
            <w:tcW w:w="1167" w:type="pct"/>
          </w:tcPr>
          <w:p w14:paraId="3A95A95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A8F3E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45DE66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674C7D0" w14:textId="77777777" w:rsidTr="00C61A26">
        <w:trPr>
          <w:jc w:val="center"/>
        </w:trPr>
        <w:tc>
          <w:tcPr>
            <w:tcW w:w="1614" w:type="pct"/>
          </w:tcPr>
          <w:p w14:paraId="500D943A" w14:textId="584C417B" w:rsidR="00BA5B70" w:rsidRPr="002623D1" w:rsidRDefault="002623D1" w:rsidP="002623D1">
            <w:pPr>
              <w:pStyle w:val="ListParagraph"/>
              <w:numPr>
                <w:ilvl w:val="0"/>
                <w:numId w:val="17"/>
              </w:numPr>
              <w:jc w:val="both"/>
              <w:rPr>
                <w:rFonts w:ascii="Bookman Old Style" w:hAnsi="Bookman Old Style"/>
                <w:sz w:val="24"/>
                <w:szCs w:val="24"/>
              </w:rPr>
            </w:pPr>
            <w:r w:rsidRPr="002623D1">
              <w:rPr>
                <w:rFonts w:ascii="Bookman Old Style" w:hAnsi="Bookman Old Style"/>
                <w:sz w:val="24"/>
                <w:szCs w:val="24"/>
              </w:rPr>
              <w:t xml:space="preserve">bagi strategi investasi pasar uang syariah sebagaimana dimaksud pada ayat (6) huruf f, penempatan  investasi dilakukan atas seluruh aset Subdana pada instrumen pasar uang, surat berharga syariah yang mempunyai jatuh tempo tidak lebih dari 1 (satu) tahun, deposito berjangka syariah, unit penyertaan reksa dana syariah pasar uang, dan/atau unit penyertaan </w:t>
            </w:r>
            <w:r w:rsidRPr="002623D1">
              <w:rPr>
                <w:rFonts w:ascii="Bookman Old Style" w:hAnsi="Bookman Old Style"/>
                <w:i/>
                <w:iCs/>
                <w:sz w:val="24"/>
                <w:szCs w:val="24"/>
              </w:rPr>
              <w:t>exchange trade fund</w:t>
            </w:r>
            <w:r w:rsidRPr="002623D1">
              <w:rPr>
                <w:rFonts w:ascii="Bookman Old Style" w:hAnsi="Bookman Old Style"/>
                <w:sz w:val="24"/>
                <w:szCs w:val="24"/>
              </w:rPr>
              <w:t xml:space="preserve"> syariah pasar uang;</w:t>
            </w:r>
          </w:p>
        </w:tc>
        <w:tc>
          <w:tcPr>
            <w:tcW w:w="1167" w:type="pct"/>
          </w:tcPr>
          <w:p w14:paraId="33FC643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49C6D9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024FFC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C5C7D0E" w14:textId="77777777" w:rsidTr="00C61A26">
        <w:trPr>
          <w:jc w:val="center"/>
        </w:trPr>
        <w:tc>
          <w:tcPr>
            <w:tcW w:w="1614" w:type="pct"/>
          </w:tcPr>
          <w:p w14:paraId="77C32E85" w14:textId="298EB52B" w:rsidR="00BA5B70" w:rsidRPr="002623D1" w:rsidRDefault="002623D1" w:rsidP="002623D1">
            <w:pPr>
              <w:pStyle w:val="ListParagraph"/>
              <w:numPr>
                <w:ilvl w:val="0"/>
                <w:numId w:val="17"/>
              </w:numPr>
              <w:jc w:val="both"/>
              <w:rPr>
                <w:rFonts w:ascii="Bookman Old Style" w:hAnsi="Bookman Old Style"/>
                <w:sz w:val="24"/>
                <w:szCs w:val="24"/>
              </w:rPr>
            </w:pPr>
            <w:r w:rsidRPr="002623D1">
              <w:rPr>
                <w:rFonts w:ascii="Bookman Old Style" w:hAnsi="Bookman Old Style"/>
                <w:sz w:val="24"/>
                <w:szCs w:val="24"/>
              </w:rPr>
              <w:t xml:space="preserve">bagi strategi investasi pendapatan tetap syariah sebagaimana dimaksud pada ayat (6) huruf g, penempatan  investasi dilakukan atas aset Subdana paling sedikit 80% (delapan puluh persen) dari NAB Subdana dalam bentuk surat berharga syariah, unit penyertaan reksa dana syariah pendapatan tetap, dan/atau </w:t>
            </w:r>
            <w:r w:rsidRPr="002623D1">
              <w:rPr>
                <w:rFonts w:ascii="Bookman Old Style" w:hAnsi="Bookman Old Style"/>
                <w:i/>
                <w:iCs/>
                <w:sz w:val="24"/>
                <w:szCs w:val="24"/>
              </w:rPr>
              <w:t>exchange trade fund</w:t>
            </w:r>
            <w:r w:rsidRPr="002623D1">
              <w:rPr>
                <w:rFonts w:ascii="Bookman Old Style" w:hAnsi="Bookman Old Style"/>
                <w:sz w:val="24"/>
                <w:szCs w:val="24"/>
              </w:rPr>
              <w:t xml:space="preserve"> syariah pendapatan tetap;</w:t>
            </w:r>
          </w:p>
        </w:tc>
        <w:tc>
          <w:tcPr>
            <w:tcW w:w="1167" w:type="pct"/>
          </w:tcPr>
          <w:p w14:paraId="15DCAB7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ABA7F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5762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E0F2899" w14:textId="77777777" w:rsidTr="00C61A26">
        <w:trPr>
          <w:jc w:val="center"/>
        </w:trPr>
        <w:tc>
          <w:tcPr>
            <w:tcW w:w="1614" w:type="pct"/>
          </w:tcPr>
          <w:p w14:paraId="6DE15928" w14:textId="433953FD" w:rsidR="00BA5B70" w:rsidRPr="002623D1" w:rsidRDefault="002623D1" w:rsidP="002623D1">
            <w:pPr>
              <w:pStyle w:val="ListParagraph"/>
              <w:numPr>
                <w:ilvl w:val="0"/>
                <w:numId w:val="17"/>
              </w:numPr>
              <w:jc w:val="both"/>
              <w:rPr>
                <w:rFonts w:ascii="Bookman Old Style" w:hAnsi="Bookman Old Style"/>
                <w:sz w:val="24"/>
                <w:szCs w:val="24"/>
              </w:rPr>
            </w:pPr>
            <w:r w:rsidRPr="002623D1">
              <w:rPr>
                <w:rFonts w:ascii="Bookman Old Style" w:hAnsi="Bookman Old Style"/>
                <w:sz w:val="24"/>
                <w:szCs w:val="24"/>
              </w:rPr>
              <w:t xml:space="preserve">bagi strategi investasi saham syariah sebagaimana dimaksud pada ayat (6) huruf h, </w:t>
            </w:r>
            <w:r w:rsidRPr="002623D1">
              <w:rPr>
                <w:rFonts w:ascii="Bookman Old Style" w:hAnsi="Bookman Old Style"/>
                <w:sz w:val="24"/>
                <w:szCs w:val="24"/>
              </w:rPr>
              <w:lastRenderedPageBreak/>
              <w:t xml:space="preserve">penempatan  investasi dilakukan atas aset Subdana paling sedikit 80% (delapan puluh persen) dari NAB Subdana dalam bentuk surat berharga bersifat ekuitas syariah, unit penyertaan reksa dana syariah saham, dan/atau </w:t>
            </w:r>
            <w:r w:rsidRPr="002623D1">
              <w:rPr>
                <w:rFonts w:ascii="Bookman Old Style" w:hAnsi="Bookman Old Style"/>
                <w:i/>
                <w:iCs/>
                <w:sz w:val="24"/>
                <w:szCs w:val="24"/>
              </w:rPr>
              <w:t>exchange trade fund</w:t>
            </w:r>
            <w:r w:rsidRPr="002623D1">
              <w:rPr>
                <w:rFonts w:ascii="Bookman Old Style" w:hAnsi="Bookman Old Style"/>
                <w:sz w:val="24"/>
                <w:szCs w:val="24"/>
              </w:rPr>
              <w:t xml:space="preserve"> syariah saham; dan</w:t>
            </w:r>
          </w:p>
        </w:tc>
        <w:tc>
          <w:tcPr>
            <w:tcW w:w="1167" w:type="pct"/>
          </w:tcPr>
          <w:p w14:paraId="79263A0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A8D315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5AA371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5E2A1A6" w14:textId="77777777" w:rsidTr="00C61A26">
        <w:trPr>
          <w:jc w:val="center"/>
        </w:trPr>
        <w:tc>
          <w:tcPr>
            <w:tcW w:w="1614" w:type="pct"/>
          </w:tcPr>
          <w:p w14:paraId="2CC4E929" w14:textId="76FDD192" w:rsidR="00BA5B70" w:rsidRPr="002623D1" w:rsidRDefault="002623D1" w:rsidP="002623D1">
            <w:pPr>
              <w:pStyle w:val="ListParagraph"/>
              <w:numPr>
                <w:ilvl w:val="0"/>
                <w:numId w:val="17"/>
              </w:numPr>
              <w:jc w:val="both"/>
              <w:rPr>
                <w:rFonts w:ascii="Bookman Old Style" w:hAnsi="Bookman Old Style"/>
                <w:sz w:val="24"/>
                <w:szCs w:val="24"/>
              </w:rPr>
            </w:pPr>
            <w:r w:rsidRPr="002623D1">
              <w:rPr>
                <w:rFonts w:ascii="Bookman Old Style" w:hAnsi="Bookman Old Style"/>
                <w:sz w:val="24"/>
                <w:szCs w:val="24"/>
              </w:rPr>
              <w:t xml:space="preserve">bagi strategi investasi campuran syariah sebagaimana dimaksud pada ayat (6) huruf i, penempatan  investasi dilakukan atas aset Subdana dengan melakukan strategi investasi pasar uang, strategi investasi pendapatan tetap, strategi investasi saham, dan/atau strategi investasi </w:t>
            </w:r>
            <w:r w:rsidRPr="002623D1">
              <w:rPr>
                <w:rFonts w:ascii="Bookman Old Style" w:hAnsi="Bookman Old Style"/>
                <w:i/>
                <w:iCs/>
                <w:sz w:val="24"/>
                <w:szCs w:val="24"/>
              </w:rPr>
              <w:t>exchange trade fund</w:t>
            </w:r>
            <w:r w:rsidRPr="002623D1">
              <w:rPr>
                <w:rFonts w:ascii="Bookman Old Style" w:hAnsi="Bookman Old Style"/>
                <w:sz w:val="24"/>
                <w:szCs w:val="24"/>
              </w:rPr>
              <w:t xml:space="preserve"> emas atau komoditas lainnya dengan komposisi masing-masing kurang dari 80% (delapan puluh persen) dari NAB Subdana.</w:t>
            </w:r>
          </w:p>
        </w:tc>
        <w:tc>
          <w:tcPr>
            <w:tcW w:w="1167" w:type="pct"/>
          </w:tcPr>
          <w:p w14:paraId="19318D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D07BBA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B63A2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C3CFA71" w14:textId="77777777" w:rsidTr="00C61A26">
        <w:trPr>
          <w:jc w:val="center"/>
        </w:trPr>
        <w:tc>
          <w:tcPr>
            <w:tcW w:w="1614" w:type="pct"/>
          </w:tcPr>
          <w:p w14:paraId="52276FBB" w14:textId="77777777" w:rsidR="00BA5B70" w:rsidRPr="000E33CE" w:rsidRDefault="00BA5B70" w:rsidP="00BA5B70">
            <w:pPr>
              <w:jc w:val="center"/>
              <w:rPr>
                <w:rFonts w:ascii="Bookman Old Style" w:hAnsi="Bookman Old Style"/>
                <w:sz w:val="24"/>
                <w:szCs w:val="24"/>
              </w:rPr>
            </w:pPr>
          </w:p>
        </w:tc>
        <w:tc>
          <w:tcPr>
            <w:tcW w:w="1167" w:type="pct"/>
          </w:tcPr>
          <w:p w14:paraId="4DF6274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4EDB6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434F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09ECB72" w14:textId="77777777" w:rsidTr="00C61A26">
        <w:trPr>
          <w:jc w:val="center"/>
        </w:trPr>
        <w:tc>
          <w:tcPr>
            <w:tcW w:w="1614" w:type="pct"/>
          </w:tcPr>
          <w:p w14:paraId="7F8C2165" w14:textId="5805B4F8" w:rsidR="00BA5B70" w:rsidRPr="000E33CE" w:rsidRDefault="00BA5B70" w:rsidP="00BA5B70">
            <w:pPr>
              <w:jc w:val="center"/>
              <w:rPr>
                <w:rFonts w:ascii="Bookman Old Style" w:hAnsi="Bookman Old Style"/>
                <w:sz w:val="24"/>
                <w:szCs w:val="24"/>
              </w:rPr>
            </w:pPr>
            <w:r w:rsidRPr="000E33CE">
              <w:rPr>
                <w:rFonts w:ascii="Bookman Old Style" w:hAnsi="Bookman Old Style"/>
                <w:sz w:val="24"/>
                <w:szCs w:val="24"/>
              </w:rPr>
              <w:t>Paragraf 2</w:t>
            </w:r>
          </w:p>
        </w:tc>
        <w:tc>
          <w:tcPr>
            <w:tcW w:w="1167" w:type="pct"/>
          </w:tcPr>
          <w:p w14:paraId="3DEA09F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68C2BE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A7D367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23C93D2" w14:textId="77777777" w:rsidTr="00C61A26">
        <w:trPr>
          <w:jc w:val="center"/>
        </w:trPr>
        <w:tc>
          <w:tcPr>
            <w:tcW w:w="1614" w:type="pct"/>
          </w:tcPr>
          <w:p w14:paraId="3DCB18F0" w14:textId="07FA1914" w:rsidR="00BA5B70" w:rsidRPr="000E33CE" w:rsidRDefault="00BA5B70" w:rsidP="00BA5B70">
            <w:pPr>
              <w:jc w:val="center"/>
              <w:rPr>
                <w:rFonts w:ascii="Bookman Old Style" w:hAnsi="Bookman Old Style"/>
                <w:sz w:val="24"/>
                <w:szCs w:val="24"/>
              </w:rPr>
            </w:pPr>
            <w:r w:rsidRPr="000E33CE">
              <w:rPr>
                <w:rFonts w:ascii="Bookman Old Style" w:hAnsi="Bookman Old Style"/>
                <w:sz w:val="24"/>
                <w:szCs w:val="24"/>
              </w:rPr>
              <w:t>Nilai Uang Pertanggungan Asuransi atau Nilai Manfaat Asuransi Syariah</w:t>
            </w:r>
          </w:p>
        </w:tc>
        <w:tc>
          <w:tcPr>
            <w:tcW w:w="1167" w:type="pct"/>
          </w:tcPr>
          <w:p w14:paraId="338895F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9EEECD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00DD7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EC709C0" w14:textId="77777777" w:rsidTr="00C61A26">
        <w:trPr>
          <w:jc w:val="center"/>
        </w:trPr>
        <w:tc>
          <w:tcPr>
            <w:tcW w:w="1614" w:type="pct"/>
          </w:tcPr>
          <w:p w14:paraId="1458B905" w14:textId="3193A0E0" w:rsidR="00BA5B70" w:rsidRPr="00C562C1" w:rsidRDefault="00BA5B70" w:rsidP="00BA5B70">
            <w:pPr>
              <w:spacing w:after="0" w:line="36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5</w:t>
            </w:r>
          </w:p>
        </w:tc>
        <w:tc>
          <w:tcPr>
            <w:tcW w:w="1167" w:type="pct"/>
          </w:tcPr>
          <w:p w14:paraId="2ABEB8C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1C37A7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3E0EB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782AA7C" w14:textId="77777777" w:rsidTr="00C61A26">
        <w:trPr>
          <w:jc w:val="center"/>
        </w:trPr>
        <w:tc>
          <w:tcPr>
            <w:tcW w:w="1614" w:type="pct"/>
          </w:tcPr>
          <w:p w14:paraId="6B5E698D" w14:textId="77777777" w:rsidR="002623D1" w:rsidRPr="002623D1" w:rsidRDefault="002623D1" w:rsidP="002623D1">
            <w:pPr>
              <w:pStyle w:val="ListParagraph"/>
              <w:numPr>
                <w:ilvl w:val="0"/>
                <w:numId w:val="18"/>
              </w:numPr>
              <w:rPr>
                <w:rFonts w:ascii="Bookman Old Style" w:eastAsia="Bookman Old Style" w:hAnsi="Bookman Old Style" w:cs="Bookman Old Style"/>
                <w:sz w:val="24"/>
                <w:szCs w:val="24"/>
              </w:rPr>
            </w:pPr>
            <w:r w:rsidRPr="002623D1">
              <w:rPr>
                <w:rFonts w:ascii="Bookman Old Style" w:eastAsia="Bookman Old Style" w:hAnsi="Bookman Old Style" w:cs="Bookman Old Style"/>
                <w:sz w:val="24"/>
                <w:szCs w:val="24"/>
              </w:rPr>
              <w:t>Besaran manfaat perlindungan terhadap risiko kematian sebagaimana dimaksud dalam Pasal 4 ayat (1) huruf a dinyatakan dalam bentuk uang pertanggungan asuransi atau manfaat asuransi syariah.</w:t>
            </w:r>
          </w:p>
          <w:p w14:paraId="03E17965" w14:textId="4BF75AAD" w:rsidR="00BA5B70" w:rsidRPr="002623D1" w:rsidRDefault="00BA5B70" w:rsidP="002623D1">
            <w:pPr>
              <w:ind w:left="360"/>
              <w:rPr>
                <w:rFonts w:ascii="Bookman Old Style" w:eastAsia="Bookman Old Style" w:hAnsi="Bookman Old Style" w:cs="Bookman Old Style"/>
                <w:sz w:val="24"/>
                <w:szCs w:val="24"/>
              </w:rPr>
            </w:pPr>
          </w:p>
        </w:tc>
        <w:tc>
          <w:tcPr>
            <w:tcW w:w="1167" w:type="pct"/>
          </w:tcPr>
          <w:p w14:paraId="7BFAC4F2" w14:textId="41C9FFC0"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5E626D0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0FD7BC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E4D7239" w14:textId="77777777" w:rsidTr="00C61A26">
        <w:trPr>
          <w:jc w:val="center"/>
        </w:trPr>
        <w:tc>
          <w:tcPr>
            <w:tcW w:w="1614" w:type="pct"/>
          </w:tcPr>
          <w:p w14:paraId="6111BFD4" w14:textId="595B5698" w:rsidR="00BA5B70" w:rsidRPr="002623D1" w:rsidRDefault="002623D1" w:rsidP="002623D1">
            <w:pPr>
              <w:numPr>
                <w:ilvl w:val="0"/>
                <w:numId w:val="18"/>
              </w:numPr>
              <w:pBdr>
                <w:top w:val="nil"/>
                <w:left w:val="nil"/>
                <w:bottom w:val="nil"/>
                <w:right w:val="nil"/>
                <w:between w:val="nil"/>
              </w:pBdr>
              <w:spacing w:after="0" w:line="240" w:lineRule="auto"/>
              <w:jc w:val="both"/>
              <w:rPr>
                <w:rFonts w:ascii="Bookman Old Style" w:hAnsi="Bookman Old Style"/>
                <w:color w:val="000000" w:themeColor="text1"/>
                <w:sz w:val="24"/>
                <w:szCs w:val="24"/>
              </w:rPr>
            </w:pPr>
            <w:r w:rsidRPr="002623D1">
              <w:rPr>
                <w:rFonts w:ascii="Bookman Old Style" w:hAnsi="Bookman Old Style"/>
                <w:color w:val="000000" w:themeColor="text1"/>
                <w:sz w:val="24"/>
                <w:szCs w:val="24"/>
              </w:rPr>
              <w:t>Nilai uang pertanggungan asuransi atau nilai manfaat asuransi syariah atas risiko kematian untuk Polis Asuransi dalam mata uang rupiah paling sedikit sebesar:</w:t>
            </w:r>
          </w:p>
        </w:tc>
        <w:tc>
          <w:tcPr>
            <w:tcW w:w="1167" w:type="pct"/>
          </w:tcPr>
          <w:p w14:paraId="00F90575" w14:textId="03243F01"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6C52FA0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64E8B9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45F8AEE" w14:textId="77777777" w:rsidTr="00C61A26">
        <w:trPr>
          <w:jc w:val="center"/>
        </w:trPr>
        <w:tc>
          <w:tcPr>
            <w:tcW w:w="1614" w:type="pct"/>
          </w:tcPr>
          <w:p w14:paraId="3D36886D" w14:textId="536ED219" w:rsidR="00BA5B70" w:rsidRPr="000E33CE" w:rsidRDefault="00BA5B70" w:rsidP="00BA5B70">
            <w:pPr>
              <w:pStyle w:val="ListParagraph"/>
              <w:numPr>
                <w:ilvl w:val="0"/>
                <w:numId w:val="19"/>
              </w:numPr>
              <w:jc w:val="both"/>
              <w:rPr>
                <w:rFonts w:ascii="Bookman Old Style" w:eastAsia="Bookman Old Style" w:hAnsi="Bookman Old Style" w:cs="Bookman Old Style"/>
                <w:sz w:val="24"/>
                <w:szCs w:val="24"/>
              </w:rPr>
            </w:pPr>
            <w:r w:rsidRPr="000E33CE">
              <w:rPr>
                <w:rFonts w:ascii="Bookman Old Style" w:eastAsia="Bookman Old Style" w:hAnsi="Bookman Old Style" w:cs="Bookman Old Style"/>
                <w:sz w:val="24"/>
                <w:szCs w:val="24"/>
              </w:rPr>
              <w:lastRenderedPageBreak/>
              <w:t xml:space="preserve">nilai yang lebih besar antara </w:t>
            </w:r>
            <w:r w:rsidRPr="00BA5B70">
              <w:rPr>
                <w:rFonts w:ascii="Bookman Old Style" w:eastAsia="Bookman Old Style" w:hAnsi="Bookman Old Style" w:cs="Bookman Old Style"/>
                <w:color w:val="000000" w:themeColor="text1"/>
                <w:sz w:val="24"/>
                <w:szCs w:val="24"/>
              </w:rPr>
              <w:t xml:space="preserve">Rp100.000.000,00 (seratus juta rupiah) </w:t>
            </w:r>
            <w:r w:rsidRPr="000E33CE">
              <w:rPr>
                <w:rFonts w:ascii="Bookman Old Style" w:eastAsia="Bookman Old Style" w:hAnsi="Bookman Old Style" w:cs="Bookman Old Style"/>
                <w:sz w:val="24"/>
                <w:szCs w:val="24"/>
              </w:rPr>
              <w:t>dan 125% (seratus dua puluh lima persen) dari Premi atau Kontribusi sekaligus, untuk Polis Asuransi dengan pembayaran Premi atau Kontribusi sekaligus; atau</w:t>
            </w:r>
          </w:p>
        </w:tc>
        <w:tc>
          <w:tcPr>
            <w:tcW w:w="1167" w:type="pct"/>
          </w:tcPr>
          <w:p w14:paraId="701C839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0F0B7A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C186D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B37E4E5" w14:textId="77777777" w:rsidTr="00C61A26">
        <w:trPr>
          <w:jc w:val="center"/>
        </w:trPr>
        <w:tc>
          <w:tcPr>
            <w:tcW w:w="1614" w:type="pct"/>
          </w:tcPr>
          <w:p w14:paraId="4A62E9F9" w14:textId="598164FA" w:rsidR="00BA5B70" w:rsidRPr="000E33CE" w:rsidRDefault="00BA5B70" w:rsidP="00BA5B70">
            <w:pPr>
              <w:pStyle w:val="ListParagraph"/>
              <w:numPr>
                <w:ilvl w:val="0"/>
                <w:numId w:val="19"/>
              </w:numPr>
              <w:jc w:val="both"/>
              <w:rPr>
                <w:rFonts w:ascii="Bookman Old Style" w:eastAsia="Bookman Old Style" w:hAnsi="Bookman Old Style" w:cs="Bookman Old Style"/>
                <w:sz w:val="24"/>
                <w:szCs w:val="24"/>
              </w:rPr>
            </w:pPr>
            <w:r w:rsidRPr="000E33CE">
              <w:rPr>
                <w:rFonts w:ascii="Bookman Old Style" w:eastAsia="Bookman Old Style" w:hAnsi="Bookman Old Style" w:cs="Bookman Old Style"/>
                <w:sz w:val="24"/>
                <w:szCs w:val="24"/>
              </w:rPr>
              <w:t xml:space="preserve">nilai yang lebih besar antara </w:t>
            </w:r>
            <w:r w:rsidRPr="00BA5B70">
              <w:rPr>
                <w:rFonts w:ascii="Bookman Old Style" w:eastAsia="Bookman Old Style" w:hAnsi="Bookman Old Style" w:cs="Bookman Old Style"/>
                <w:color w:val="000000" w:themeColor="text1"/>
                <w:sz w:val="24"/>
                <w:szCs w:val="24"/>
              </w:rPr>
              <w:t xml:space="preserve">Rp100.000.000,00 (seratus juta rupiah) </w:t>
            </w:r>
            <w:r w:rsidRPr="000E33CE">
              <w:rPr>
                <w:rFonts w:ascii="Bookman Old Style" w:eastAsia="Bookman Old Style" w:hAnsi="Bookman Old Style" w:cs="Bookman Old Style"/>
                <w:sz w:val="24"/>
                <w:szCs w:val="24"/>
              </w:rPr>
              <w:t>dan 5 (lima) kali Premi atau Kontribusi tahunan, untuk Polis Asuransi dengan pembayaran Premi atau Kontribusi berkala.</w:t>
            </w:r>
          </w:p>
        </w:tc>
        <w:tc>
          <w:tcPr>
            <w:tcW w:w="1167" w:type="pct"/>
          </w:tcPr>
          <w:p w14:paraId="4FB6DFD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5B6ABB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BE5D56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0C47E4D" w14:textId="77777777" w:rsidTr="00C61A26">
        <w:trPr>
          <w:jc w:val="center"/>
        </w:trPr>
        <w:tc>
          <w:tcPr>
            <w:tcW w:w="1614" w:type="pct"/>
          </w:tcPr>
          <w:p w14:paraId="11507B56" w14:textId="3C621C2A" w:rsidR="00BA5B70" w:rsidRPr="002623D1" w:rsidRDefault="002623D1" w:rsidP="002623D1">
            <w:pPr>
              <w:pStyle w:val="ListParagraph"/>
              <w:numPr>
                <w:ilvl w:val="0"/>
                <w:numId w:val="18"/>
              </w:numPr>
              <w:rPr>
                <w:rFonts w:ascii="Bookman Old Style" w:eastAsia="Bookman Old Style" w:hAnsi="Bookman Old Style" w:cs="Bookman Old Style"/>
                <w:sz w:val="24"/>
                <w:szCs w:val="24"/>
              </w:rPr>
            </w:pPr>
            <w:r w:rsidRPr="002623D1">
              <w:rPr>
                <w:rFonts w:ascii="Bookman Old Style" w:eastAsia="Bookman Old Style" w:hAnsi="Bookman Old Style" w:cs="Bookman Old Style"/>
                <w:sz w:val="24"/>
                <w:szCs w:val="24"/>
              </w:rPr>
              <w:t>Nilai uang pertanggungan atau nilai manfaat asuransi syariah atas risiko kematian untuk Polis Asuransi dalam mata uang asing paling sedikit sebesar:</w:t>
            </w:r>
          </w:p>
        </w:tc>
        <w:tc>
          <w:tcPr>
            <w:tcW w:w="1167" w:type="pct"/>
          </w:tcPr>
          <w:p w14:paraId="57984DE2" w14:textId="1F01051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967AC0">
              <w:rPr>
                <w:rFonts w:ascii="Bookman Old Style" w:eastAsia="Bookman Old Style" w:hAnsi="Bookman Old Style" w:cs="Bookman Old Style"/>
                <w:sz w:val="24"/>
                <w:szCs w:val="24"/>
              </w:rPr>
              <w:t>Cukup jelas.</w:t>
            </w:r>
          </w:p>
        </w:tc>
        <w:tc>
          <w:tcPr>
            <w:tcW w:w="1109" w:type="pct"/>
          </w:tcPr>
          <w:p w14:paraId="08F0C76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81F386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97D9AEE" w14:textId="77777777" w:rsidTr="00C61A26">
        <w:trPr>
          <w:jc w:val="center"/>
        </w:trPr>
        <w:tc>
          <w:tcPr>
            <w:tcW w:w="1614" w:type="pct"/>
          </w:tcPr>
          <w:p w14:paraId="645B5BAB" w14:textId="63CF9653" w:rsidR="00BA5B70" w:rsidRPr="00BA5B70" w:rsidRDefault="00BA5B70" w:rsidP="00BA5B70">
            <w:pPr>
              <w:pStyle w:val="ListParagraph"/>
              <w:numPr>
                <w:ilvl w:val="0"/>
                <w:numId w:val="20"/>
              </w:numPr>
              <w:jc w:val="both"/>
              <w:rPr>
                <w:rFonts w:ascii="Bookman Old Style" w:eastAsia="Bookman Old Style" w:hAnsi="Bookman Old Style" w:cs="Bookman Old Style"/>
                <w:color w:val="000000" w:themeColor="text1"/>
                <w:sz w:val="24"/>
                <w:szCs w:val="24"/>
              </w:rPr>
            </w:pPr>
            <w:r w:rsidRPr="00BA5B70">
              <w:rPr>
                <w:rFonts w:ascii="Bookman Old Style" w:eastAsia="Bookman Old Style" w:hAnsi="Bookman Old Style" w:cs="Bookman Old Style"/>
                <w:color w:val="000000" w:themeColor="text1"/>
                <w:sz w:val="24"/>
                <w:szCs w:val="24"/>
              </w:rPr>
              <w:t>nilai yang lebih besar antara Rp500.000.000,00 (lima ratus juta rupiah) dan 125% (seratus dua puluh lima persen) dari Premi atau Kontribusi sekaligus, untuk Polis Asuransi dengan pembayaran Premi atau Kontribusi sekaligus; atau</w:t>
            </w:r>
          </w:p>
        </w:tc>
        <w:tc>
          <w:tcPr>
            <w:tcW w:w="1167" w:type="pct"/>
          </w:tcPr>
          <w:p w14:paraId="1FD8A77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59D026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3720D8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7357538" w14:textId="77777777" w:rsidTr="00C61A26">
        <w:trPr>
          <w:jc w:val="center"/>
        </w:trPr>
        <w:tc>
          <w:tcPr>
            <w:tcW w:w="1614" w:type="pct"/>
          </w:tcPr>
          <w:p w14:paraId="6F0BFF41" w14:textId="007F13E3" w:rsidR="00BA5B70" w:rsidRPr="00BA5B70" w:rsidRDefault="00BA5B70" w:rsidP="00BA5B70">
            <w:pPr>
              <w:pStyle w:val="ListParagraph"/>
              <w:numPr>
                <w:ilvl w:val="0"/>
                <w:numId w:val="20"/>
              </w:numPr>
              <w:jc w:val="both"/>
              <w:rPr>
                <w:rFonts w:ascii="Bookman Old Style" w:eastAsia="Bookman Old Style" w:hAnsi="Bookman Old Style" w:cs="Bookman Old Style"/>
                <w:color w:val="000000" w:themeColor="text1"/>
                <w:sz w:val="24"/>
                <w:szCs w:val="24"/>
              </w:rPr>
            </w:pPr>
            <w:r w:rsidRPr="00BA5B70">
              <w:rPr>
                <w:rFonts w:ascii="Bookman Old Style" w:eastAsia="Bookman Old Style" w:hAnsi="Bookman Old Style" w:cs="Bookman Old Style"/>
                <w:color w:val="000000" w:themeColor="text1"/>
                <w:sz w:val="24"/>
                <w:szCs w:val="24"/>
              </w:rPr>
              <w:t>nilai yang lebih besar antara Rp500.000.000,00 (lima ratus juta rupiah) dan 5 (lima) kali Premi atau Kontribusi tahunan, untuk Polis Asuransi dengan pembayaran Premi atau Kontribusi berkala.</w:t>
            </w:r>
          </w:p>
        </w:tc>
        <w:tc>
          <w:tcPr>
            <w:tcW w:w="1167" w:type="pct"/>
          </w:tcPr>
          <w:p w14:paraId="3A4C622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F5EC15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12C2FE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F9DBA4C" w14:textId="77777777" w:rsidTr="00C61A26">
        <w:trPr>
          <w:jc w:val="center"/>
          <w:hidden/>
        </w:trPr>
        <w:tc>
          <w:tcPr>
            <w:tcW w:w="1614" w:type="pct"/>
          </w:tcPr>
          <w:p w14:paraId="27C015B2" w14:textId="77777777" w:rsidR="00BA5B70" w:rsidRPr="000E33CE" w:rsidRDefault="00BA5B70" w:rsidP="00BA5B70">
            <w:pPr>
              <w:pStyle w:val="ListParagraph"/>
              <w:numPr>
                <w:ilvl w:val="0"/>
                <w:numId w:val="21"/>
              </w:numPr>
              <w:jc w:val="both"/>
              <w:rPr>
                <w:rFonts w:ascii="Bookman Old Style" w:eastAsia="Bookman Old Style" w:hAnsi="Bookman Old Style" w:cs="Bookman Old Style"/>
                <w:vanish/>
                <w:sz w:val="24"/>
                <w:szCs w:val="24"/>
              </w:rPr>
            </w:pPr>
          </w:p>
          <w:p w14:paraId="04D14723" w14:textId="77777777" w:rsidR="00BA5B70" w:rsidRPr="000E33CE" w:rsidRDefault="00BA5B70" w:rsidP="00BA5B70">
            <w:pPr>
              <w:pStyle w:val="ListParagraph"/>
              <w:numPr>
                <w:ilvl w:val="0"/>
                <w:numId w:val="21"/>
              </w:numPr>
              <w:jc w:val="both"/>
              <w:rPr>
                <w:rFonts w:ascii="Bookman Old Style" w:eastAsia="Bookman Old Style" w:hAnsi="Bookman Old Style" w:cs="Bookman Old Style"/>
                <w:vanish/>
                <w:sz w:val="24"/>
                <w:szCs w:val="24"/>
              </w:rPr>
            </w:pPr>
          </w:p>
          <w:p w14:paraId="5CD67742" w14:textId="77777777" w:rsidR="00BA5B70" w:rsidRPr="000E33CE" w:rsidRDefault="00BA5B70" w:rsidP="00BA5B70">
            <w:pPr>
              <w:pStyle w:val="ListParagraph"/>
              <w:numPr>
                <w:ilvl w:val="0"/>
                <w:numId w:val="21"/>
              </w:numPr>
              <w:jc w:val="both"/>
              <w:rPr>
                <w:rFonts w:ascii="Bookman Old Style" w:eastAsia="Bookman Old Style" w:hAnsi="Bookman Old Style" w:cs="Bookman Old Style"/>
                <w:vanish/>
                <w:sz w:val="24"/>
                <w:szCs w:val="24"/>
              </w:rPr>
            </w:pPr>
          </w:p>
          <w:p w14:paraId="0F91D0FA" w14:textId="07F2483C" w:rsidR="00BA5B70" w:rsidRPr="00235C6D" w:rsidRDefault="00BA5B70" w:rsidP="00BA5B70">
            <w:pPr>
              <w:pStyle w:val="ListParagraph"/>
              <w:numPr>
                <w:ilvl w:val="0"/>
                <w:numId w:val="21"/>
              </w:numPr>
              <w:jc w:val="both"/>
              <w:rPr>
                <w:rFonts w:ascii="Bookman Old Style" w:eastAsia="Bookman Old Style" w:hAnsi="Bookman Old Style" w:cs="Bookman Old Style"/>
                <w:sz w:val="24"/>
                <w:szCs w:val="24"/>
              </w:rPr>
            </w:pPr>
            <w:r w:rsidRPr="00235C6D">
              <w:rPr>
                <w:rFonts w:ascii="Bookman Old Style" w:eastAsia="Bookman Old Style" w:hAnsi="Bookman Old Style" w:cs="Bookman Old Style"/>
                <w:sz w:val="24"/>
                <w:szCs w:val="24"/>
              </w:rPr>
              <w:t xml:space="preserve">Nilai uang pertanggungan atau nilai manfaat asuransi syariah atas risiko kematian sebagaimana dimaksud pada ayat (2) dan ayat (3) ditentukan sebesar uang pertanggungan atau manfaat asuransi syariah setelah dikurangi uang pertanggungan atas produk asuransi tambahan yang manfaatnya mengurangi uang pertanggungan atau manfaat </w:t>
            </w:r>
            <w:r w:rsidRPr="00235C6D">
              <w:rPr>
                <w:rFonts w:ascii="Bookman Old Style" w:eastAsia="Bookman Old Style" w:hAnsi="Bookman Old Style" w:cs="Bookman Old Style"/>
                <w:sz w:val="24"/>
                <w:szCs w:val="24"/>
              </w:rPr>
              <w:lastRenderedPageBreak/>
              <w:t xml:space="preserve">asuransi syariah atas risiko kematian pada PAYDI </w:t>
            </w:r>
            <w:r w:rsidRPr="00235C6D">
              <w:rPr>
                <w:rFonts w:ascii="Bookman Old Style" w:eastAsia="Bookman Old Style" w:hAnsi="Bookman Old Style" w:cs="Bookman Old Style"/>
                <w:i/>
                <w:iCs/>
                <w:sz w:val="24"/>
                <w:szCs w:val="24"/>
              </w:rPr>
              <w:t>(accelerated death benefit</w:t>
            </w:r>
            <w:r w:rsidRPr="00235C6D">
              <w:rPr>
                <w:rFonts w:ascii="Bookman Old Style" w:eastAsia="Bookman Old Style" w:hAnsi="Bookman Old Style" w:cs="Bookman Old Style"/>
                <w:sz w:val="24"/>
                <w:szCs w:val="24"/>
              </w:rPr>
              <w:t>).</w:t>
            </w:r>
          </w:p>
        </w:tc>
        <w:tc>
          <w:tcPr>
            <w:tcW w:w="1167" w:type="pct"/>
          </w:tcPr>
          <w:p w14:paraId="7D7598B8" w14:textId="77777777" w:rsidR="00BA5B70" w:rsidRPr="00C61A26" w:rsidRDefault="00BA5B70" w:rsidP="00BA5B70">
            <w:pPr>
              <w:tabs>
                <w:tab w:val="left" w:pos="2552"/>
              </w:tabs>
              <w:spacing w:after="0" w:line="360" w:lineRule="auto"/>
              <w:jc w:val="both"/>
              <w:rPr>
                <w:rFonts w:ascii="Bookman Old Style" w:eastAsia="Bookman Old Style" w:hAnsi="Bookman Old Style" w:cs="Bookman Old Style"/>
                <w:color w:val="000000" w:themeColor="text1"/>
                <w:sz w:val="24"/>
                <w:szCs w:val="24"/>
              </w:rPr>
            </w:pPr>
            <w:r w:rsidRPr="00C61A26">
              <w:rPr>
                <w:rFonts w:ascii="Bookman Old Style" w:eastAsia="Bookman Old Style" w:hAnsi="Bookman Old Style" w:cs="Bookman Old Style"/>
                <w:color w:val="000000" w:themeColor="text1"/>
                <w:sz w:val="24"/>
                <w:szCs w:val="24"/>
              </w:rPr>
              <w:lastRenderedPageBreak/>
              <w:t xml:space="preserve">Yang dimaksud dengan </w:t>
            </w:r>
            <w:r w:rsidRPr="00C61A26">
              <w:rPr>
                <w:rFonts w:ascii="Bookman Old Style" w:eastAsia="Bookman Old Style" w:hAnsi="Bookman Old Style" w:cs="Bookman Old Style"/>
                <w:i/>
                <w:iCs/>
                <w:color w:val="000000" w:themeColor="text1"/>
                <w:sz w:val="24"/>
                <w:szCs w:val="24"/>
              </w:rPr>
              <w:t>accelerated death benefit</w:t>
            </w:r>
            <w:r w:rsidRPr="00C61A26">
              <w:rPr>
                <w:rFonts w:ascii="Bookman Old Style" w:eastAsia="Bookman Old Style" w:hAnsi="Bookman Old Style" w:cs="Bookman Old Style"/>
                <w:color w:val="000000" w:themeColor="text1"/>
                <w:sz w:val="24"/>
                <w:szCs w:val="24"/>
              </w:rPr>
              <w:t xml:space="preserve"> adalah fitur pada produk asuransi jiwa yang memungkinkan sebagian uang pertanggungan dibayarkan lebih awal kepada Tertanggung atau Peserta apabila mengalami kondisi tertentu</w:t>
            </w:r>
          </w:p>
          <w:p w14:paraId="798E496E" w14:textId="77777777" w:rsidR="00BA5B70" w:rsidRPr="00C61A26" w:rsidRDefault="00BA5B70" w:rsidP="00BA5B70">
            <w:pPr>
              <w:tabs>
                <w:tab w:val="left" w:pos="2552"/>
              </w:tabs>
              <w:spacing w:after="0" w:line="360" w:lineRule="auto"/>
              <w:jc w:val="both"/>
              <w:rPr>
                <w:rFonts w:ascii="Bookman Old Style" w:eastAsia="Bookman Old Style" w:hAnsi="Bookman Old Style" w:cs="Bookman Old Style"/>
                <w:b/>
                <w:bCs/>
                <w:color w:val="000000" w:themeColor="text1"/>
                <w:sz w:val="24"/>
                <w:szCs w:val="24"/>
              </w:rPr>
            </w:pPr>
            <w:r w:rsidRPr="00C61A26">
              <w:rPr>
                <w:rFonts w:ascii="Bookman Old Style" w:eastAsia="Bookman Old Style" w:hAnsi="Bookman Old Style" w:cs="Bookman Old Style"/>
                <w:b/>
                <w:bCs/>
                <w:color w:val="000000" w:themeColor="text1"/>
                <w:sz w:val="24"/>
                <w:szCs w:val="24"/>
              </w:rPr>
              <w:lastRenderedPageBreak/>
              <w:t xml:space="preserve">Ilustrasi </w:t>
            </w:r>
            <w:r w:rsidRPr="00C61A26">
              <w:rPr>
                <w:rFonts w:ascii="Bookman Old Style" w:eastAsia="Bookman Old Style" w:hAnsi="Bookman Old Style" w:cs="Bookman Old Style"/>
                <w:b/>
                <w:bCs/>
                <w:i/>
                <w:iCs/>
                <w:color w:val="000000" w:themeColor="text1"/>
                <w:sz w:val="24"/>
                <w:szCs w:val="24"/>
              </w:rPr>
              <w:t>Accelerated Death Benefit</w:t>
            </w:r>
            <w:r w:rsidRPr="00C61A26">
              <w:rPr>
                <w:rFonts w:ascii="Bookman Old Style" w:eastAsia="Bookman Old Style" w:hAnsi="Bookman Old Style" w:cs="Bookman Old Style"/>
                <w:b/>
                <w:bCs/>
                <w:color w:val="000000" w:themeColor="text1"/>
                <w:sz w:val="24"/>
                <w:szCs w:val="24"/>
              </w:rPr>
              <w:t xml:space="preserve"> (ADB) pada Perusahaan Asuransi:</w:t>
            </w:r>
          </w:p>
          <w:p w14:paraId="2EC5B337" w14:textId="77777777" w:rsidR="00BA5B70" w:rsidRPr="00C61A26" w:rsidRDefault="00BA5B70">
            <w:pPr>
              <w:pStyle w:val="ListParagraph"/>
              <w:numPr>
                <w:ilvl w:val="0"/>
                <w:numId w:val="53"/>
              </w:numPr>
              <w:jc w:val="both"/>
              <w:rPr>
                <w:rFonts w:ascii="Bookman Old Style" w:eastAsia="Bookman Old Style" w:hAnsi="Bookman Old Style" w:cs="Bookman Old Style"/>
                <w:color w:val="000000" w:themeColor="text1"/>
                <w:sz w:val="24"/>
                <w:szCs w:val="24"/>
              </w:rPr>
            </w:pPr>
            <w:r w:rsidRPr="00C61A26">
              <w:rPr>
                <w:rFonts w:ascii="Bookman Old Style" w:eastAsia="Bookman Old Style" w:hAnsi="Bookman Old Style" w:cs="Bookman Old Style"/>
                <w:color w:val="000000" w:themeColor="text1"/>
                <w:sz w:val="24"/>
                <w:szCs w:val="24"/>
              </w:rPr>
              <w:t>Uang pertanggungan awal: Rp1.000.000.000,00 (satu miliar rupiah)</w:t>
            </w:r>
          </w:p>
          <w:p w14:paraId="6E0F478B" w14:textId="68B62566" w:rsidR="00BA5B70" w:rsidRPr="00C61A26" w:rsidRDefault="00BA5B70">
            <w:pPr>
              <w:pStyle w:val="ListParagraph"/>
              <w:numPr>
                <w:ilvl w:val="0"/>
                <w:numId w:val="53"/>
              </w:numPr>
              <w:jc w:val="both"/>
              <w:rPr>
                <w:rFonts w:ascii="Bookman Old Style" w:eastAsia="Bookman Old Style" w:hAnsi="Bookman Old Style" w:cs="Bookman Old Style"/>
                <w:color w:val="000000" w:themeColor="text1"/>
                <w:sz w:val="24"/>
                <w:szCs w:val="24"/>
              </w:rPr>
            </w:pPr>
            <w:r w:rsidRPr="00C61A26">
              <w:rPr>
                <w:rFonts w:ascii="Bookman Old Style" w:hAnsi="Bookman Old Style"/>
                <w:color w:val="000000" w:themeColor="text1"/>
                <w:sz w:val="24"/>
                <w:szCs w:val="24"/>
              </w:rPr>
              <w:t xml:space="preserve">Ketentuan ADB: maksimal 50% (lima puluh persen) dari uang pertanggungan dapat dicairkan apabila Tertanggung didiagnosis penyakit terminal sesuai ketentuan Polis Asuransi. </w:t>
            </w:r>
          </w:p>
          <w:p w14:paraId="70747184" w14:textId="77777777" w:rsidR="00BA5B70" w:rsidRPr="00C61A26" w:rsidRDefault="00BA5B70">
            <w:pPr>
              <w:pStyle w:val="ListParagraph"/>
              <w:numPr>
                <w:ilvl w:val="0"/>
                <w:numId w:val="53"/>
              </w:numPr>
              <w:jc w:val="both"/>
              <w:rPr>
                <w:rFonts w:ascii="Bookman Old Style" w:eastAsia="Bookman Old Style" w:hAnsi="Bookman Old Style" w:cs="Bookman Old Style"/>
                <w:color w:val="000000" w:themeColor="text1"/>
                <w:sz w:val="24"/>
                <w:szCs w:val="24"/>
              </w:rPr>
            </w:pPr>
            <w:r w:rsidRPr="00C61A26">
              <w:rPr>
                <w:rFonts w:ascii="Bookman Old Style" w:eastAsia="Bookman Old Style" w:hAnsi="Bookman Old Style" w:cs="Bookman Old Style"/>
                <w:color w:val="000000" w:themeColor="text1"/>
                <w:sz w:val="24"/>
                <w:szCs w:val="24"/>
              </w:rPr>
              <w:t>Tertanggung didiagnosis penyakit terminal dan mengajukan ADB sebesar Rp500.000.000,00 (lima ratus juta rupiah).</w:t>
            </w:r>
          </w:p>
          <w:p w14:paraId="173C0576" w14:textId="63D2CACE" w:rsidR="00BA5B70" w:rsidRPr="00C61A26" w:rsidRDefault="00BA5B70" w:rsidP="00BA5B70">
            <w:pPr>
              <w:tabs>
                <w:tab w:val="left" w:pos="2552"/>
              </w:tabs>
              <w:spacing w:after="0" w:line="360" w:lineRule="auto"/>
              <w:jc w:val="both"/>
              <w:rPr>
                <w:rFonts w:ascii="Bookman Old Style" w:eastAsia="Bookman Old Style" w:hAnsi="Bookman Old Style" w:cs="Bookman Old Style"/>
                <w:b/>
                <w:bCs/>
                <w:color w:val="000000" w:themeColor="text1"/>
                <w:sz w:val="24"/>
                <w:szCs w:val="24"/>
              </w:rPr>
            </w:pPr>
            <w:r w:rsidRPr="00C61A26">
              <w:rPr>
                <w:rFonts w:ascii="Bookman Old Style" w:eastAsia="Bookman Old Style" w:hAnsi="Bookman Old Style" w:cs="Bookman Old Style"/>
                <w:b/>
                <w:bCs/>
                <w:color w:val="000000" w:themeColor="text1"/>
                <w:sz w:val="24"/>
                <w:szCs w:val="24"/>
              </w:rPr>
              <w:t>Pembayaran manfaat:</w:t>
            </w:r>
          </w:p>
          <w:p w14:paraId="585050B5" w14:textId="77777777" w:rsidR="00BA5B70" w:rsidRPr="00C61A26" w:rsidRDefault="00BA5B70">
            <w:pPr>
              <w:pStyle w:val="ListParagraph"/>
              <w:numPr>
                <w:ilvl w:val="0"/>
                <w:numId w:val="54"/>
              </w:numPr>
              <w:jc w:val="both"/>
              <w:rPr>
                <w:rFonts w:ascii="Bookman Old Style" w:eastAsia="Bookman Old Style" w:hAnsi="Bookman Old Style" w:cs="Bookman Old Style"/>
                <w:color w:val="000000" w:themeColor="text1"/>
                <w:sz w:val="24"/>
                <w:szCs w:val="24"/>
              </w:rPr>
            </w:pPr>
            <w:r w:rsidRPr="00C61A26">
              <w:rPr>
                <w:rFonts w:ascii="Bookman Old Style" w:eastAsia="Bookman Old Style" w:hAnsi="Bookman Old Style" w:cs="Bookman Old Style"/>
                <w:color w:val="000000" w:themeColor="text1"/>
                <w:sz w:val="24"/>
                <w:szCs w:val="24"/>
              </w:rPr>
              <w:t xml:space="preserve">Saat klaim ADB disetujui, Perusahaan Asuransi membayar Rp500.000.000,00 (lima ratus juta rupiah) kepada Tertanggung. </w:t>
            </w:r>
          </w:p>
          <w:p w14:paraId="435D9FF9" w14:textId="77777777" w:rsidR="00BA5B70" w:rsidRPr="00C61A26" w:rsidRDefault="00BA5B70">
            <w:pPr>
              <w:pStyle w:val="ListParagraph"/>
              <w:numPr>
                <w:ilvl w:val="0"/>
                <w:numId w:val="54"/>
              </w:numPr>
              <w:jc w:val="both"/>
              <w:rPr>
                <w:rFonts w:ascii="Bookman Old Style" w:eastAsia="Bookman Old Style" w:hAnsi="Bookman Old Style" w:cs="Bookman Old Style"/>
                <w:color w:val="000000" w:themeColor="text1"/>
                <w:sz w:val="24"/>
                <w:szCs w:val="24"/>
              </w:rPr>
            </w:pPr>
            <w:r w:rsidRPr="00C61A26">
              <w:rPr>
                <w:rFonts w:ascii="Bookman Old Style" w:eastAsia="Bookman Old Style" w:hAnsi="Bookman Old Style" w:cs="Bookman Old Style"/>
                <w:color w:val="000000" w:themeColor="text1"/>
                <w:sz w:val="24"/>
                <w:szCs w:val="24"/>
              </w:rPr>
              <w:t xml:space="preserve">Sisa uang pertanggungan setelah pembayaran ADB menjadi Rp500.000.000,00 (lima ratus juta rupiah). </w:t>
            </w:r>
          </w:p>
          <w:p w14:paraId="680AD02C" w14:textId="5FEF9CA1" w:rsidR="00BA5B70" w:rsidRPr="00C61A26" w:rsidRDefault="00BA5B70">
            <w:pPr>
              <w:pStyle w:val="ListParagraph"/>
              <w:numPr>
                <w:ilvl w:val="0"/>
                <w:numId w:val="54"/>
              </w:numPr>
              <w:jc w:val="both"/>
              <w:rPr>
                <w:rFonts w:ascii="Bookman Old Style" w:eastAsia="Bookman Old Style" w:hAnsi="Bookman Old Style" w:cs="Bookman Old Style"/>
                <w:b/>
                <w:bCs/>
                <w:color w:val="000000" w:themeColor="text1"/>
                <w:sz w:val="24"/>
                <w:szCs w:val="24"/>
              </w:rPr>
            </w:pPr>
            <w:r w:rsidRPr="00C61A26">
              <w:rPr>
                <w:rFonts w:ascii="Bookman Old Style" w:eastAsia="Bookman Old Style" w:hAnsi="Bookman Old Style" w:cs="Bookman Old Style"/>
                <w:color w:val="000000" w:themeColor="text1"/>
                <w:sz w:val="24"/>
                <w:szCs w:val="24"/>
              </w:rPr>
              <w:t>Ketika Tertanggung meninggal dunia di kemudian hari, ahli waris menerima manfaat meninggal dunia sebesar Rp500.000.000,00 (lima ratus juta rupiah) dimana nilai tersebut belum memperhitungkan biaya atau penyesuaian lain sesuai Polis Asuransi.</w:t>
            </w:r>
          </w:p>
        </w:tc>
        <w:tc>
          <w:tcPr>
            <w:tcW w:w="1109" w:type="pct"/>
          </w:tcPr>
          <w:p w14:paraId="01E1218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4CFB69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579265E" w14:textId="77777777" w:rsidTr="00C61A26">
        <w:trPr>
          <w:jc w:val="center"/>
        </w:trPr>
        <w:tc>
          <w:tcPr>
            <w:tcW w:w="1614" w:type="pct"/>
          </w:tcPr>
          <w:p w14:paraId="3DA8B787" w14:textId="10F8AD53" w:rsidR="00BA5B70" w:rsidRPr="00235C6D" w:rsidRDefault="00BA5B70" w:rsidP="00BA5B70">
            <w:pPr>
              <w:pStyle w:val="ListParagraph"/>
              <w:numPr>
                <w:ilvl w:val="0"/>
                <w:numId w:val="21"/>
              </w:numPr>
              <w:jc w:val="both"/>
              <w:rPr>
                <w:rFonts w:ascii="Bookman Old Style" w:eastAsia="Bookman Old Style" w:hAnsi="Bookman Old Style" w:cs="Bookman Old Style"/>
                <w:sz w:val="24"/>
                <w:szCs w:val="24"/>
              </w:rPr>
            </w:pPr>
            <w:r w:rsidRPr="00235C6D">
              <w:rPr>
                <w:rFonts w:ascii="Bookman Old Style" w:eastAsia="Bookman Old Style" w:hAnsi="Bookman Old Style" w:cs="Bookman Old Style"/>
                <w:sz w:val="24"/>
                <w:szCs w:val="24"/>
              </w:rPr>
              <w:lastRenderedPageBreak/>
              <w:t>Premi atau Kontribusi sebagaimana dimaksud pada ayat (2) dan ayat (3) tidak termasuk Premi atau Kontribusi yang secara khusus ditujukan untuk penambahan Nilai Tunai.</w:t>
            </w:r>
          </w:p>
        </w:tc>
        <w:tc>
          <w:tcPr>
            <w:tcW w:w="1167" w:type="pct"/>
          </w:tcPr>
          <w:p w14:paraId="0C959415" w14:textId="17D08599"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615E9B8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581893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DAF966B" w14:textId="77777777" w:rsidTr="00C61A26">
        <w:trPr>
          <w:jc w:val="center"/>
        </w:trPr>
        <w:tc>
          <w:tcPr>
            <w:tcW w:w="1614" w:type="pct"/>
          </w:tcPr>
          <w:p w14:paraId="2F885E1B" w14:textId="4B18BD71" w:rsidR="00BA5B70" w:rsidRPr="00235C6D" w:rsidRDefault="00BA5B70" w:rsidP="00BA5B70">
            <w:pPr>
              <w:pStyle w:val="ListParagraph"/>
              <w:numPr>
                <w:ilvl w:val="0"/>
                <w:numId w:val="21"/>
              </w:numPr>
              <w:jc w:val="both"/>
              <w:rPr>
                <w:rFonts w:ascii="Bookman Old Style" w:eastAsia="Bookman Old Style" w:hAnsi="Bookman Old Style" w:cs="Bookman Old Style"/>
                <w:sz w:val="24"/>
                <w:szCs w:val="24"/>
              </w:rPr>
            </w:pPr>
            <w:r w:rsidRPr="00235C6D">
              <w:rPr>
                <w:rFonts w:ascii="Bookman Old Style" w:eastAsia="Bookman Old Style" w:hAnsi="Bookman Old Style" w:cs="Bookman Old Style"/>
                <w:sz w:val="24"/>
                <w:szCs w:val="24"/>
              </w:rPr>
              <w:t>Ketentuan lebih lanjut mengenai nilai uang pertanggungan asuransi atau nilai manfaat asuransi syariah atas risiko kematian sebagaimana dimaksud pada ayat (1) ditetapkan oleh Otoritas Jasa Keuangan.</w:t>
            </w:r>
          </w:p>
        </w:tc>
        <w:tc>
          <w:tcPr>
            <w:tcW w:w="1167" w:type="pct"/>
          </w:tcPr>
          <w:p w14:paraId="1D8F0009" w14:textId="7362291F"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r>
              <w:rPr>
                <w:rFonts w:ascii="Bookman Old Style" w:eastAsia="Bookman Old Style" w:hAnsi="Bookman Old Style" w:cs="Bookman Old Style"/>
                <w:sz w:val="24"/>
                <w:szCs w:val="24"/>
              </w:rPr>
              <w:t>.</w:t>
            </w:r>
          </w:p>
        </w:tc>
        <w:tc>
          <w:tcPr>
            <w:tcW w:w="1109" w:type="pct"/>
          </w:tcPr>
          <w:p w14:paraId="1201250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0F6232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C6FFBFB" w14:textId="77777777" w:rsidTr="00C61A26">
        <w:trPr>
          <w:jc w:val="center"/>
        </w:trPr>
        <w:tc>
          <w:tcPr>
            <w:tcW w:w="1614" w:type="pct"/>
          </w:tcPr>
          <w:p w14:paraId="5D80D637" w14:textId="77777777" w:rsidR="00BA5B70" w:rsidRPr="00235C6D" w:rsidRDefault="00BA5B70" w:rsidP="00BA5B70">
            <w:pPr>
              <w:pStyle w:val="ListParagraph"/>
              <w:rPr>
                <w:rFonts w:ascii="Bookman Old Style" w:eastAsia="Bookman Old Style" w:hAnsi="Bookman Old Style" w:cs="Bookman Old Style"/>
                <w:sz w:val="24"/>
                <w:szCs w:val="24"/>
              </w:rPr>
            </w:pPr>
          </w:p>
        </w:tc>
        <w:tc>
          <w:tcPr>
            <w:tcW w:w="1167" w:type="pct"/>
          </w:tcPr>
          <w:p w14:paraId="32A6E2D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59D47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3871B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C47734" w14:textId="1398FB3D" w:rsidTr="00C61A26">
        <w:trPr>
          <w:jc w:val="center"/>
        </w:trPr>
        <w:tc>
          <w:tcPr>
            <w:tcW w:w="1614" w:type="pct"/>
          </w:tcPr>
          <w:p w14:paraId="69F93DCB" w14:textId="796B8EA0" w:rsidR="00BA5B70" w:rsidRPr="00C562C1" w:rsidRDefault="00BA5B70" w:rsidP="00BA5B70">
            <w:pPr>
              <w:spacing w:after="0" w:line="36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Paragraf 3</w:t>
            </w:r>
          </w:p>
        </w:tc>
        <w:tc>
          <w:tcPr>
            <w:tcW w:w="1167" w:type="pct"/>
          </w:tcPr>
          <w:p w14:paraId="4B0E5A1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18354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EEAFC7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03FB014" w14:textId="47E37E7A" w:rsidTr="00C61A26">
        <w:trPr>
          <w:jc w:val="center"/>
        </w:trPr>
        <w:tc>
          <w:tcPr>
            <w:tcW w:w="1614" w:type="pct"/>
          </w:tcPr>
          <w:p w14:paraId="211DD34B" w14:textId="634D9FB1" w:rsidR="00BA5B70" w:rsidRPr="00C562C1" w:rsidRDefault="00BA5B70" w:rsidP="00BA5B70">
            <w:pPr>
              <w:spacing w:after="0" w:line="36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Nilai Tunai </w:t>
            </w:r>
          </w:p>
        </w:tc>
        <w:tc>
          <w:tcPr>
            <w:tcW w:w="1167" w:type="pct"/>
          </w:tcPr>
          <w:p w14:paraId="755AEC8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AFFC55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77D8D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9A9885C" w14:textId="1BE5A2DB" w:rsidTr="00C61A26">
        <w:trPr>
          <w:jc w:val="center"/>
        </w:trPr>
        <w:tc>
          <w:tcPr>
            <w:tcW w:w="1614" w:type="pct"/>
          </w:tcPr>
          <w:p w14:paraId="22F204A9" w14:textId="5183887B" w:rsidR="00BA5B70" w:rsidRPr="00C562C1" w:rsidRDefault="00BA5B70" w:rsidP="00BA5B70">
            <w:pP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z w:val="24"/>
                <w:szCs w:val="24"/>
              </w:rPr>
              <w:t>6</w:t>
            </w:r>
          </w:p>
        </w:tc>
        <w:tc>
          <w:tcPr>
            <w:tcW w:w="1167" w:type="pct"/>
          </w:tcPr>
          <w:p w14:paraId="6C7245A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91101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3A56B8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F47A8DB" w14:textId="0C1BCF5A" w:rsidTr="00C61A26">
        <w:trPr>
          <w:jc w:val="center"/>
        </w:trPr>
        <w:tc>
          <w:tcPr>
            <w:tcW w:w="1614" w:type="pct"/>
          </w:tcPr>
          <w:p w14:paraId="15A753D4" w14:textId="16DB92BA" w:rsidR="00BA5B70" w:rsidRPr="002623D1" w:rsidRDefault="002623D1" w:rsidP="002623D1">
            <w:pPr>
              <w:pStyle w:val="ListParagraph"/>
              <w:numPr>
                <w:ilvl w:val="0"/>
                <w:numId w:val="22"/>
              </w:numPr>
              <w:jc w:val="both"/>
              <w:rPr>
                <w:rFonts w:ascii="Bookman Old Style" w:hAnsi="Bookman Old Style"/>
                <w:sz w:val="24"/>
                <w:szCs w:val="24"/>
              </w:rPr>
            </w:pPr>
            <w:r w:rsidRPr="002623D1">
              <w:rPr>
                <w:rFonts w:ascii="Bookman Old Style" w:hAnsi="Bookman Old Style"/>
                <w:sz w:val="24"/>
                <w:szCs w:val="24"/>
              </w:rPr>
              <w:t>Besaran manfaat yang dikaitkan dengan hasil investasi sebagaimana dimaksud dalam Pasal 4 ayat (1) huruf a ditentukan berdasarkan Nilai Tunai pada waktu tertentu.</w:t>
            </w:r>
          </w:p>
        </w:tc>
        <w:tc>
          <w:tcPr>
            <w:tcW w:w="1167" w:type="pct"/>
          </w:tcPr>
          <w:p w14:paraId="187D8F5A" w14:textId="14754EF1"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r>
              <w:rPr>
                <w:rFonts w:ascii="Bookman Old Style" w:eastAsia="Bookman Old Style" w:hAnsi="Bookman Old Style" w:cs="Bookman Old Style"/>
                <w:sz w:val="24"/>
                <w:szCs w:val="24"/>
              </w:rPr>
              <w:t>.</w:t>
            </w:r>
          </w:p>
        </w:tc>
        <w:tc>
          <w:tcPr>
            <w:tcW w:w="1109" w:type="pct"/>
          </w:tcPr>
          <w:p w14:paraId="187B93A8"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1EE5BFB"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11AE66B4" w14:textId="504B6D12" w:rsidTr="00C61A26">
        <w:trPr>
          <w:jc w:val="center"/>
        </w:trPr>
        <w:tc>
          <w:tcPr>
            <w:tcW w:w="1614" w:type="pct"/>
          </w:tcPr>
          <w:p w14:paraId="12318B01" w14:textId="5BB1248F" w:rsidR="00BA5B70" w:rsidRPr="002623D1" w:rsidRDefault="002623D1" w:rsidP="002623D1">
            <w:pPr>
              <w:pStyle w:val="ListParagraph"/>
              <w:numPr>
                <w:ilvl w:val="0"/>
                <w:numId w:val="22"/>
              </w:numPr>
              <w:jc w:val="both"/>
              <w:rPr>
                <w:rFonts w:ascii="Bookman Old Style" w:hAnsi="Bookman Old Style"/>
                <w:sz w:val="24"/>
                <w:szCs w:val="24"/>
              </w:rPr>
            </w:pPr>
            <w:r w:rsidRPr="002623D1">
              <w:rPr>
                <w:rFonts w:ascii="Bookman Old Style" w:hAnsi="Bookman Old Style"/>
                <w:sz w:val="24"/>
                <w:szCs w:val="24"/>
              </w:rPr>
              <w:t>Dalam desain PAYDI, Perusahaan Asuransi atau Perusahaan Asuransi Syariah dilarang memberikan garansi, target tertentu, dan/atau sejenisnya atas hasil investasi dan/atau Nilai Tunai.</w:t>
            </w:r>
          </w:p>
        </w:tc>
        <w:tc>
          <w:tcPr>
            <w:tcW w:w="1167" w:type="pct"/>
          </w:tcPr>
          <w:p w14:paraId="789975B8" w14:textId="53933800"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C562C1">
              <w:rPr>
                <w:rFonts w:ascii="Bookman Old Style" w:hAnsi="Bookman Old Style"/>
                <w:sz w:val="24"/>
                <w:szCs w:val="24"/>
              </w:rPr>
              <w:t>Cukup jelas.</w:t>
            </w:r>
          </w:p>
        </w:tc>
        <w:tc>
          <w:tcPr>
            <w:tcW w:w="1109" w:type="pct"/>
          </w:tcPr>
          <w:p w14:paraId="3BEED286"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8A430EA"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7D1D3F83" w14:textId="77777777" w:rsidTr="00C61A26">
        <w:trPr>
          <w:jc w:val="center"/>
        </w:trPr>
        <w:tc>
          <w:tcPr>
            <w:tcW w:w="1614" w:type="pct"/>
          </w:tcPr>
          <w:p w14:paraId="2DB0B7F1" w14:textId="760BA2AC" w:rsidR="00BA5B70" w:rsidRPr="00235C6D" w:rsidRDefault="00BA5B70" w:rsidP="002623D1">
            <w:pPr>
              <w:pStyle w:val="ListParagraph"/>
              <w:numPr>
                <w:ilvl w:val="0"/>
                <w:numId w:val="22"/>
              </w:numPr>
              <w:jc w:val="both"/>
              <w:rPr>
                <w:rFonts w:ascii="Bookman Old Style" w:hAnsi="Bookman Old Style"/>
                <w:sz w:val="24"/>
                <w:szCs w:val="24"/>
              </w:rPr>
            </w:pPr>
            <w:r w:rsidRPr="00235C6D">
              <w:rPr>
                <w:rFonts w:ascii="Bookman Old Style" w:hAnsi="Bookman Old Style"/>
                <w:sz w:val="24"/>
                <w:szCs w:val="24"/>
              </w:rPr>
              <w:t xml:space="preserve">Nilai Tunai untuk PAYDI </w:t>
            </w:r>
            <w:r w:rsidRPr="002623D1">
              <w:rPr>
                <w:rFonts w:ascii="Bookman Old Style" w:hAnsi="Bookman Old Style"/>
                <w:sz w:val="24"/>
                <w:szCs w:val="24"/>
              </w:rPr>
              <w:t>wajib</w:t>
            </w:r>
            <w:r w:rsidRPr="00235C6D">
              <w:rPr>
                <w:rFonts w:ascii="Bookman Old Style" w:hAnsi="Bookman Old Style"/>
                <w:sz w:val="24"/>
                <w:szCs w:val="24"/>
              </w:rPr>
              <w:t xml:space="preserve"> memenuhi ketentuan:</w:t>
            </w:r>
          </w:p>
        </w:tc>
        <w:tc>
          <w:tcPr>
            <w:tcW w:w="1167" w:type="pct"/>
          </w:tcPr>
          <w:p w14:paraId="6F8D6F77" w14:textId="6BA5FC9E" w:rsidR="00BA5B70" w:rsidRPr="00C562C1" w:rsidRDefault="00BA5B70" w:rsidP="00BA5B70">
            <w:pPr>
              <w:tabs>
                <w:tab w:val="left" w:pos="2552"/>
              </w:tabs>
              <w:spacing w:after="0" w:line="360" w:lineRule="auto"/>
              <w:jc w:val="both"/>
              <w:rPr>
                <w:rFonts w:ascii="Bookman Old Style" w:hAnsi="Bookman Old Style"/>
                <w:sz w:val="24"/>
                <w:szCs w:val="24"/>
              </w:rPr>
            </w:pPr>
            <w:r>
              <w:rPr>
                <w:rFonts w:ascii="Bookman Old Style" w:eastAsia="Bookman Old Style" w:hAnsi="Bookman Old Style" w:cs="Bookman Old Style"/>
                <w:sz w:val="24"/>
                <w:szCs w:val="24"/>
              </w:rPr>
              <w:t>Cukup jelas.</w:t>
            </w:r>
          </w:p>
        </w:tc>
        <w:tc>
          <w:tcPr>
            <w:tcW w:w="1109" w:type="pct"/>
          </w:tcPr>
          <w:p w14:paraId="1FFA1D0C"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9390FBA"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002E69B8" w14:textId="4DF577FE" w:rsidTr="00C61A26">
        <w:trPr>
          <w:jc w:val="center"/>
        </w:trPr>
        <w:tc>
          <w:tcPr>
            <w:tcW w:w="1614" w:type="pct"/>
          </w:tcPr>
          <w:p w14:paraId="01F3C738" w14:textId="3CA509A2" w:rsidR="00BA5B70" w:rsidRPr="00235C6D" w:rsidRDefault="00BA5B70" w:rsidP="00BA5B70">
            <w:pPr>
              <w:pStyle w:val="ListParagraph"/>
              <w:numPr>
                <w:ilvl w:val="1"/>
                <w:numId w:val="23"/>
              </w:numPr>
              <w:jc w:val="both"/>
              <w:rPr>
                <w:rFonts w:ascii="Bookman Old Style" w:hAnsi="Bookman Old Style"/>
                <w:sz w:val="24"/>
                <w:szCs w:val="24"/>
              </w:rPr>
            </w:pPr>
            <w:r w:rsidRPr="00235C6D">
              <w:rPr>
                <w:rFonts w:ascii="Bookman Old Style" w:hAnsi="Bookman Old Style"/>
                <w:sz w:val="24"/>
                <w:szCs w:val="24"/>
              </w:rPr>
              <w:t xml:space="preserve">bagi PAYDI yang memiliki Subdana yang dinyatakan dalam bentuk unit ditentukan berdasarkan jumlah unit dan NAB per unit untuk Subdana yang bersangkutan pada waktu tertentu; dan </w:t>
            </w:r>
          </w:p>
        </w:tc>
        <w:tc>
          <w:tcPr>
            <w:tcW w:w="1167" w:type="pct"/>
          </w:tcPr>
          <w:p w14:paraId="13C48F2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A4BBB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09363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94072B8" w14:textId="4570FDB8" w:rsidTr="00C61A26">
        <w:trPr>
          <w:jc w:val="center"/>
        </w:trPr>
        <w:tc>
          <w:tcPr>
            <w:tcW w:w="1614" w:type="pct"/>
          </w:tcPr>
          <w:p w14:paraId="39136CC4" w14:textId="01BB0750" w:rsidR="00BA5B70" w:rsidRPr="00235C6D" w:rsidRDefault="00BA5B70">
            <w:pPr>
              <w:pStyle w:val="ListParagraph"/>
              <w:numPr>
                <w:ilvl w:val="0"/>
                <w:numId w:val="51"/>
              </w:numPr>
              <w:jc w:val="both"/>
              <w:rPr>
                <w:rFonts w:ascii="Bookman Old Style" w:hAnsi="Bookman Old Style"/>
                <w:sz w:val="24"/>
                <w:szCs w:val="24"/>
              </w:rPr>
            </w:pPr>
            <w:r w:rsidRPr="00235C6D">
              <w:rPr>
                <w:rFonts w:ascii="Bookman Old Style" w:hAnsi="Bookman Old Style"/>
                <w:sz w:val="24"/>
                <w:szCs w:val="24"/>
              </w:rPr>
              <w:t xml:space="preserve">bagi PAYDI yang memiliki Subdana yang dinyatakan dalam bentuk bukan unit ditentukan berdasarkan bagian dari Premi </w:t>
            </w:r>
            <w:r w:rsidRPr="00235C6D">
              <w:rPr>
                <w:rFonts w:ascii="Bookman Old Style" w:hAnsi="Bookman Old Style"/>
                <w:sz w:val="24"/>
                <w:szCs w:val="24"/>
              </w:rPr>
              <w:lastRenderedPageBreak/>
              <w:t>atau Kontribusi yang dialokasikan untuk pembentukan Nilai Tunai, ditambah hasil pengembangan dana, dan dikurangi biaya yang dibebankan sesuai dengan ketentuan Polis Asuransi.</w:t>
            </w:r>
          </w:p>
        </w:tc>
        <w:tc>
          <w:tcPr>
            <w:tcW w:w="1167" w:type="pct"/>
          </w:tcPr>
          <w:p w14:paraId="090EA7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09B285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AC268B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982339D" w14:textId="2F380B66" w:rsidTr="00C61A26">
        <w:trPr>
          <w:jc w:val="center"/>
        </w:trPr>
        <w:tc>
          <w:tcPr>
            <w:tcW w:w="1614" w:type="pct"/>
          </w:tcPr>
          <w:p w14:paraId="1F8080F0" w14:textId="0F1D4DEB" w:rsidR="00BA5B70" w:rsidRPr="00235C6D" w:rsidRDefault="00BA5B70" w:rsidP="002623D1">
            <w:pPr>
              <w:pStyle w:val="ListParagraph"/>
              <w:numPr>
                <w:ilvl w:val="0"/>
                <w:numId w:val="22"/>
              </w:numPr>
              <w:jc w:val="both"/>
              <w:rPr>
                <w:rFonts w:ascii="Bookman Old Style" w:hAnsi="Bookman Old Style"/>
                <w:sz w:val="24"/>
                <w:szCs w:val="24"/>
              </w:rPr>
            </w:pPr>
            <w:r w:rsidRPr="00235C6D">
              <w:rPr>
                <w:rFonts w:ascii="Bookman Old Style" w:hAnsi="Bookman Old Style"/>
                <w:sz w:val="24"/>
                <w:szCs w:val="24"/>
              </w:rPr>
              <w:t>Nilai penebusan Polis Asuransi PAYDI paling sedikit sebesar Nilai Tunai sebagaimana dimaksud pada ayat (3) pada saat pengakhiran Polis Asuransi oleh Pemegang Polis, Tertanggung, atau Peserta dikurangi dengan biaya sehubungan dengan pengakhiran Polis Asuransi sesuai ketentuan dalam Polis Asuransi.</w:t>
            </w:r>
          </w:p>
        </w:tc>
        <w:tc>
          <w:tcPr>
            <w:tcW w:w="1167" w:type="pct"/>
          </w:tcPr>
          <w:p w14:paraId="1FDF3D66" w14:textId="348A07F7" w:rsidR="00BA5B70" w:rsidRPr="00C562C1" w:rsidRDefault="00F3495A" w:rsidP="00BA5B70">
            <w:pPr>
              <w:tabs>
                <w:tab w:val="left" w:pos="2552"/>
              </w:tabs>
              <w:spacing w:after="0" w:line="360" w:lineRule="auto"/>
              <w:jc w:val="both"/>
              <w:rPr>
                <w:rFonts w:ascii="Bookman Old Style" w:eastAsia="Bookman Old Style" w:hAnsi="Bookman Old Style" w:cs="Bookman Old Style"/>
                <w:sz w:val="24"/>
                <w:szCs w:val="24"/>
              </w:rPr>
            </w:pPr>
            <w:r w:rsidRPr="00F3495A">
              <w:rPr>
                <w:rFonts w:ascii="Bookman Old Style" w:eastAsia="Bookman Old Style" w:hAnsi="Bookman Old Style" w:cs="Bookman Old Style"/>
                <w:sz w:val="24"/>
                <w:szCs w:val="24"/>
              </w:rPr>
              <w:t xml:space="preserve">Nilai penebusan biasa dikenal dengan istilah </w:t>
            </w:r>
            <w:r w:rsidRPr="00F3495A">
              <w:rPr>
                <w:rFonts w:ascii="Bookman Old Style" w:eastAsia="Bookman Old Style" w:hAnsi="Bookman Old Style" w:cs="Bookman Old Style"/>
                <w:i/>
                <w:iCs/>
                <w:sz w:val="24"/>
                <w:szCs w:val="24"/>
              </w:rPr>
              <w:t>surrender value</w:t>
            </w:r>
            <w:r w:rsidRPr="00F3495A">
              <w:rPr>
                <w:rFonts w:ascii="Bookman Old Style" w:eastAsia="Bookman Old Style" w:hAnsi="Bookman Old Style" w:cs="Bookman Old Style"/>
                <w:sz w:val="24"/>
                <w:szCs w:val="24"/>
              </w:rPr>
              <w:t>.</w:t>
            </w:r>
          </w:p>
        </w:tc>
        <w:tc>
          <w:tcPr>
            <w:tcW w:w="1109" w:type="pct"/>
          </w:tcPr>
          <w:p w14:paraId="58C55FD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1A16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F87BEE7" w14:textId="5B9A2E40" w:rsidTr="00C61A26">
        <w:trPr>
          <w:jc w:val="center"/>
        </w:trPr>
        <w:tc>
          <w:tcPr>
            <w:tcW w:w="1614" w:type="pct"/>
          </w:tcPr>
          <w:p w14:paraId="787DDCAD" w14:textId="1D9110CC" w:rsidR="00BA5B70" w:rsidRPr="00C562C1" w:rsidRDefault="00BA5B70" w:rsidP="00BA5B70">
            <w:pPr>
              <w:spacing w:after="0" w:line="360" w:lineRule="auto"/>
              <w:jc w:val="both"/>
              <w:rPr>
                <w:rFonts w:ascii="Bookman Old Style" w:hAnsi="Bookman Old Style"/>
                <w:sz w:val="24"/>
                <w:szCs w:val="24"/>
              </w:rPr>
            </w:pPr>
          </w:p>
        </w:tc>
        <w:tc>
          <w:tcPr>
            <w:tcW w:w="1167" w:type="pct"/>
          </w:tcPr>
          <w:p w14:paraId="753EDE4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4F90C0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ED3D9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99C5014" w14:textId="5C5FC83A" w:rsidTr="00C61A26">
        <w:trPr>
          <w:jc w:val="center"/>
        </w:trPr>
        <w:tc>
          <w:tcPr>
            <w:tcW w:w="1614" w:type="pct"/>
          </w:tcPr>
          <w:p w14:paraId="495AC09E" w14:textId="1EE67559" w:rsidR="00BA5B70" w:rsidRPr="00C562C1" w:rsidRDefault="00BA5B70" w:rsidP="00BA5B70">
            <w:pPr>
              <w:spacing w:after="0" w:line="360" w:lineRule="auto"/>
              <w:jc w:val="center"/>
              <w:rPr>
                <w:rFonts w:ascii="Bookman Old Style" w:hAnsi="Bookman Old Style"/>
                <w:sz w:val="24"/>
                <w:szCs w:val="24"/>
              </w:rPr>
            </w:pPr>
            <w:r w:rsidRPr="00C562C1">
              <w:rPr>
                <w:rFonts w:ascii="Bookman Old Style" w:eastAsia="Bookman Old Style" w:hAnsi="Bookman Old Style" w:cs="Bookman Old Style"/>
                <w:sz w:val="24"/>
                <w:szCs w:val="24"/>
              </w:rPr>
              <w:t>Pa</w:t>
            </w:r>
            <w:r>
              <w:rPr>
                <w:rFonts w:ascii="Bookman Old Style" w:eastAsia="Bookman Old Style" w:hAnsi="Bookman Old Style" w:cs="Bookman Old Style"/>
                <w:sz w:val="24"/>
                <w:szCs w:val="24"/>
              </w:rPr>
              <w:t>ragraf 4</w:t>
            </w:r>
          </w:p>
        </w:tc>
        <w:tc>
          <w:tcPr>
            <w:tcW w:w="1167" w:type="pct"/>
          </w:tcPr>
          <w:p w14:paraId="70A1ADEC" w14:textId="095CBEA0"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45897F"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c>
          <w:tcPr>
            <w:tcW w:w="1109" w:type="pct"/>
          </w:tcPr>
          <w:p w14:paraId="61915021"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r>
      <w:tr w:rsidR="00BA5B70" w:rsidRPr="00C562C1" w14:paraId="3E194CBB" w14:textId="77777777" w:rsidTr="00C61A26">
        <w:trPr>
          <w:jc w:val="center"/>
        </w:trPr>
        <w:tc>
          <w:tcPr>
            <w:tcW w:w="1614" w:type="pct"/>
          </w:tcPr>
          <w:p w14:paraId="043EAEDD" w14:textId="55AF2685" w:rsidR="00BA5B70" w:rsidRPr="00C562C1" w:rsidRDefault="00BA5B70" w:rsidP="00BA5B70">
            <w:pPr>
              <w:spacing w:after="0" w:line="36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Polis Asuransi</w:t>
            </w:r>
          </w:p>
        </w:tc>
        <w:tc>
          <w:tcPr>
            <w:tcW w:w="1167" w:type="pct"/>
          </w:tcPr>
          <w:p w14:paraId="73C6F6F9"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c>
          <w:tcPr>
            <w:tcW w:w="1109" w:type="pct"/>
          </w:tcPr>
          <w:p w14:paraId="32FDB27B"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c>
          <w:tcPr>
            <w:tcW w:w="1109" w:type="pct"/>
          </w:tcPr>
          <w:p w14:paraId="49B4F49F"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r>
      <w:tr w:rsidR="00BA5B70" w:rsidRPr="00C562C1" w14:paraId="6E734C3A" w14:textId="77777777" w:rsidTr="00C61A26">
        <w:trPr>
          <w:jc w:val="center"/>
        </w:trPr>
        <w:tc>
          <w:tcPr>
            <w:tcW w:w="1614" w:type="pct"/>
          </w:tcPr>
          <w:p w14:paraId="74210524" w14:textId="24E9ABAE" w:rsidR="00BA5B70" w:rsidRDefault="00BA5B70" w:rsidP="00BA5B70">
            <w:pPr>
              <w:spacing w:after="0" w:line="36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7</w:t>
            </w:r>
          </w:p>
        </w:tc>
        <w:tc>
          <w:tcPr>
            <w:tcW w:w="1167" w:type="pct"/>
          </w:tcPr>
          <w:p w14:paraId="31CF1DA1"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c>
          <w:tcPr>
            <w:tcW w:w="1109" w:type="pct"/>
          </w:tcPr>
          <w:p w14:paraId="71B08486"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c>
          <w:tcPr>
            <w:tcW w:w="1109" w:type="pct"/>
          </w:tcPr>
          <w:p w14:paraId="1BD8FD1F" w14:textId="77777777" w:rsidR="00BA5B70" w:rsidRPr="00C562C1" w:rsidRDefault="00BA5B70" w:rsidP="00BA5B70">
            <w:pPr>
              <w:tabs>
                <w:tab w:val="left" w:pos="2552"/>
              </w:tabs>
              <w:spacing w:after="0" w:line="360" w:lineRule="auto"/>
              <w:jc w:val="both"/>
              <w:rPr>
                <w:rFonts w:ascii="Bookman Old Style" w:hAnsi="Bookman Old Style"/>
                <w:sz w:val="24"/>
                <w:szCs w:val="24"/>
                <w:lang w:val="en-US"/>
              </w:rPr>
            </w:pPr>
          </w:p>
        </w:tc>
      </w:tr>
      <w:tr w:rsidR="00BA5B70" w:rsidRPr="00C562C1" w14:paraId="1E1853DE" w14:textId="1EBBF3E2" w:rsidTr="00C61A26">
        <w:trPr>
          <w:jc w:val="center"/>
        </w:trPr>
        <w:tc>
          <w:tcPr>
            <w:tcW w:w="1614" w:type="pct"/>
          </w:tcPr>
          <w:p w14:paraId="3CB8F192" w14:textId="6B96F496" w:rsidR="00BA5B70" w:rsidRPr="008C71DA" w:rsidRDefault="00BA5B70" w:rsidP="00BA5B70">
            <w:pPr>
              <w:pStyle w:val="ListParagraph"/>
              <w:numPr>
                <w:ilvl w:val="0"/>
                <w:numId w:val="24"/>
              </w:numPr>
              <w:jc w:val="both"/>
              <w:rPr>
                <w:rFonts w:ascii="Bookman Old Style" w:hAnsi="Bookman Old Style"/>
                <w:sz w:val="24"/>
                <w:szCs w:val="24"/>
              </w:rPr>
            </w:pPr>
            <w:r w:rsidRPr="008C71DA">
              <w:rPr>
                <w:rFonts w:ascii="Bookman Old Style" w:hAnsi="Bookman Old Style"/>
                <w:sz w:val="24"/>
                <w:szCs w:val="24"/>
              </w:rPr>
              <w:t xml:space="preserve">Polis Asuransi untuk PAYDI </w:t>
            </w:r>
            <w:r w:rsidRPr="00E566C4">
              <w:rPr>
                <w:rFonts w:ascii="Bookman Old Style" w:hAnsi="Bookman Old Style"/>
                <w:sz w:val="24"/>
                <w:szCs w:val="24"/>
              </w:rPr>
              <w:t>dilarang</w:t>
            </w:r>
            <w:r w:rsidRPr="008C71DA">
              <w:rPr>
                <w:rFonts w:ascii="Bookman Old Style" w:hAnsi="Bookman Old Style"/>
                <w:sz w:val="24"/>
                <w:szCs w:val="24"/>
              </w:rPr>
              <w:t xml:space="preserve"> mencantumkan garansi, target tertentu, dan/atau sejenisnya atas </w:t>
            </w:r>
            <w:r w:rsidRPr="00001681">
              <w:rPr>
                <w:rFonts w:ascii="Bookman Old Style" w:hAnsi="Bookman Old Style"/>
                <w:color w:val="000000" w:themeColor="text1"/>
                <w:sz w:val="24"/>
                <w:szCs w:val="24"/>
              </w:rPr>
              <w:t xml:space="preserve">hasil </w:t>
            </w:r>
            <w:r w:rsidRPr="008C71DA">
              <w:rPr>
                <w:rFonts w:ascii="Bookman Old Style" w:hAnsi="Bookman Old Style"/>
                <w:sz w:val="24"/>
                <w:szCs w:val="24"/>
              </w:rPr>
              <w:t>investasi dan/atau Nilai Tunai.</w:t>
            </w:r>
          </w:p>
        </w:tc>
        <w:tc>
          <w:tcPr>
            <w:tcW w:w="1167" w:type="pct"/>
          </w:tcPr>
          <w:p w14:paraId="083D46BC" w14:textId="15B8F8B9"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34E9C86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B87DC2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CE8E336" w14:textId="1616713C" w:rsidTr="00C61A26">
        <w:trPr>
          <w:jc w:val="center"/>
        </w:trPr>
        <w:tc>
          <w:tcPr>
            <w:tcW w:w="1614" w:type="pct"/>
          </w:tcPr>
          <w:p w14:paraId="2CEF8C5F" w14:textId="63879997" w:rsidR="00BA5B70" w:rsidRPr="008C71DA" w:rsidRDefault="00BA5B70" w:rsidP="00BA5B70">
            <w:pPr>
              <w:pStyle w:val="ListParagraph"/>
              <w:numPr>
                <w:ilvl w:val="0"/>
                <w:numId w:val="25"/>
              </w:numPr>
              <w:jc w:val="both"/>
              <w:rPr>
                <w:rFonts w:ascii="Bookman Old Style" w:hAnsi="Bookman Old Style"/>
                <w:sz w:val="24"/>
                <w:szCs w:val="24"/>
              </w:rPr>
            </w:pPr>
            <w:r w:rsidRPr="008C71DA">
              <w:rPr>
                <w:rFonts w:ascii="Bookman Old Style" w:hAnsi="Bookman Old Style"/>
                <w:sz w:val="24"/>
                <w:szCs w:val="24"/>
              </w:rPr>
              <w:t xml:space="preserve">Polis Asuransi untuk PAYDI </w:t>
            </w:r>
            <w:r w:rsidRPr="00E566C4">
              <w:rPr>
                <w:rFonts w:ascii="Bookman Old Style" w:hAnsi="Bookman Old Style"/>
                <w:sz w:val="24"/>
                <w:szCs w:val="24"/>
              </w:rPr>
              <w:t>wajib</w:t>
            </w:r>
            <w:r w:rsidRPr="008C71DA">
              <w:rPr>
                <w:rFonts w:ascii="Bookman Old Style" w:hAnsi="Bookman Old Style"/>
                <w:sz w:val="24"/>
                <w:szCs w:val="24"/>
              </w:rPr>
              <w:t xml:space="preserve"> memenuhi ketentuan mengenai Polis Asuransi yang dipersyaratkan sebagaimana diatur dalam Peraturan Otoritas Jasa Keuangan mengenai produk asuransi dan pemasaran produk asuransi dan paling sedikit memuat:</w:t>
            </w:r>
          </w:p>
        </w:tc>
        <w:tc>
          <w:tcPr>
            <w:tcW w:w="1167" w:type="pct"/>
          </w:tcPr>
          <w:p w14:paraId="78381E7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90681F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02B7D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C9B2471" w14:textId="61532039" w:rsidTr="00C61A26">
        <w:trPr>
          <w:jc w:val="center"/>
        </w:trPr>
        <w:tc>
          <w:tcPr>
            <w:tcW w:w="1614" w:type="pct"/>
          </w:tcPr>
          <w:p w14:paraId="24972E74" w14:textId="1A7AB785" w:rsidR="00BA5B70" w:rsidRPr="008C71DA" w:rsidRDefault="00BA5B70" w:rsidP="00BA5B70">
            <w:pPr>
              <w:pStyle w:val="ListParagraph"/>
              <w:numPr>
                <w:ilvl w:val="0"/>
                <w:numId w:val="26"/>
              </w:numPr>
              <w:jc w:val="both"/>
              <w:rPr>
                <w:rFonts w:ascii="Bookman Old Style" w:hAnsi="Bookman Old Style"/>
                <w:sz w:val="24"/>
                <w:szCs w:val="24"/>
              </w:rPr>
            </w:pPr>
            <w:r w:rsidRPr="008C71DA">
              <w:rPr>
                <w:rFonts w:ascii="Bookman Old Style" w:hAnsi="Bookman Old Style"/>
                <w:sz w:val="24"/>
                <w:szCs w:val="24"/>
              </w:rPr>
              <w:t xml:space="preserve">cara pembatalan Polis Asuransi dalam periode mempelajari polis, serta besaran dana yang dikembalikan dan waktu pengembalian dana kepada Pemegang Polis, Tertanggung, atau Peserta dalam hal dilakukan pembatalan Polis Asuransi dalam periode mempelajari polis; </w:t>
            </w:r>
          </w:p>
        </w:tc>
        <w:tc>
          <w:tcPr>
            <w:tcW w:w="1167" w:type="pct"/>
          </w:tcPr>
          <w:p w14:paraId="5CFF5419" w14:textId="60FEB8A3" w:rsidR="00BA5B70" w:rsidRPr="001D24E3"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 xml:space="preserve">Periode mempelajari polis biasa dikenal dengan istilah </w:t>
            </w:r>
            <w:r w:rsidRPr="001D24E3">
              <w:rPr>
                <w:rFonts w:ascii="Bookman Old Style" w:eastAsia="Bookman Old Style" w:hAnsi="Bookman Old Style" w:cs="Bookman Old Style"/>
                <w:i/>
                <w:iCs/>
                <w:sz w:val="24"/>
                <w:szCs w:val="24"/>
              </w:rPr>
              <w:t>free look period</w:t>
            </w:r>
            <w:r>
              <w:rPr>
                <w:rFonts w:ascii="Bookman Old Style" w:eastAsia="Bookman Old Style" w:hAnsi="Bookman Old Style" w:cs="Bookman Old Style"/>
                <w:sz w:val="24"/>
                <w:szCs w:val="24"/>
              </w:rPr>
              <w:t>.</w:t>
            </w:r>
          </w:p>
        </w:tc>
        <w:tc>
          <w:tcPr>
            <w:tcW w:w="1109" w:type="pct"/>
          </w:tcPr>
          <w:p w14:paraId="23BD2746"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080D3D"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A46B778" w14:textId="48F0B187" w:rsidTr="00C61A26">
        <w:trPr>
          <w:jc w:val="center"/>
        </w:trPr>
        <w:tc>
          <w:tcPr>
            <w:tcW w:w="1614" w:type="pct"/>
          </w:tcPr>
          <w:p w14:paraId="0270A362" w14:textId="74C05C60" w:rsidR="00BA5B70" w:rsidRPr="008C71DA" w:rsidRDefault="00BA5B70" w:rsidP="00BA5B70">
            <w:pPr>
              <w:pStyle w:val="ListParagraph"/>
              <w:numPr>
                <w:ilvl w:val="0"/>
                <w:numId w:val="26"/>
              </w:numPr>
              <w:jc w:val="both"/>
              <w:rPr>
                <w:rFonts w:ascii="Bookman Old Style" w:hAnsi="Bookman Old Style"/>
                <w:sz w:val="24"/>
                <w:szCs w:val="24"/>
              </w:rPr>
            </w:pPr>
            <w:r w:rsidRPr="008C71DA">
              <w:rPr>
                <w:rFonts w:ascii="Bookman Old Style" w:hAnsi="Bookman Old Style"/>
                <w:sz w:val="24"/>
                <w:szCs w:val="24"/>
              </w:rPr>
              <w:lastRenderedPageBreak/>
              <w:t xml:space="preserve">nama Subdana, strategi investasi, dan proporsi alokasi investasi dari Subdana; </w:t>
            </w:r>
          </w:p>
        </w:tc>
        <w:tc>
          <w:tcPr>
            <w:tcW w:w="1167" w:type="pct"/>
          </w:tcPr>
          <w:p w14:paraId="199A6C05" w14:textId="5212BD79"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3643745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D7761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3748D03" w14:textId="68DB09DA" w:rsidTr="00C61A26">
        <w:trPr>
          <w:jc w:val="center"/>
        </w:trPr>
        <w:tc>
          <w:tcPr>
            <w:tcW w:w="1614" w:type="pct"/>
          </w:tcPr>
          <w:p w14:paraId="25F94160" w14:textId="28C568F6" w:rsidR="00BA5B70" w:rsidRPr="008C71DA" w:rsidRDefault="00BA5B70" w:rsidP="00BA5B70">
            <w:pPr>
              <w:pStyle w:val="ListParagraph"/>
              <w:numPr>
                <w:ilvl w:val="0"/>
                <w:numId w:val="26"/>
              </w:numPr>
              <w:jc w:val="both"/>
              <w:rPr>
                <w:rFonts w:ascii="Bookman Old Style" w:hAnsi="Bookman Old Style"/>
                <w:sz w:val="24"/>
                <w:szCs w:val="24"/>
              </w:rPr>
            </w:pPr>
            <w:r w:rsidRPr="008C71DA">
              <w:rPr>
                <w:rFonts w:ascii="Bookman Old Style" w:hAnsi="Bookman Old Style"/>
                <w:sz w:val="24"/>
                <w:szCs w:val="24"/>
              </w:rPr>
              <w:t xml:space="preserve">pembentukan Subdana, meliputi tata cara dan waktu: </w:t>
            </w:r>
          </w:p>
        </w:tc>
        <w:tc>
          <w:tcPr>
            <w:tcW w:w="1167" w:type="pct"/>
          </w:tcPr>
          <w:p w14:paraId="1F357457" w14:textId="73EC6258"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2B42136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615EFCD"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66741F7" w14:textId="029D4BC4" w:rsidTr="00C61A26">
        <w:trPr>
          <w:jc w:val="center"/>
        </w:trPr>
        <w:tc>
          <w:tcPr>
            <w:tcW w:w="1614" w:type="pct"/>
          </w:tcPr>
          <w:p w14:paraId="69528926" w14:textId="529A63A8" w:rsidR="00BA5B70" w:rsidRPr="008C71DA" w:rsidRDefault="00BA5B70" w:rsidP="00BA5B70">
            <w:pPr>
              <w:pStyle w:val="ListParagraph"/>
              <w:numPr>
                <w:ilvl w:val="1"/>
                <w:numId w:val="27"/>
              </w:numPr>
              <w:jc w:val="both"/>
              <w:rPr>
                <w:rFonts w:ascii="Bookman Old Style" w:hAnsi="Bookman Old Style"/>
                <w:sz w:val="24"/>
                <w:szCs w:val="24"/>
              </w:rPr>
            </w:pPr>
            <w:r w:rsidRPr="008C71DA">
              <w:rPr>
                <w:rFonts w:ascii="Bookman Old Style" w:hAnsi="Bookman Old Style"/>
                <w:sz w:val="24"/>
                <w:szCs w:val="24"/>
              </w:rPr>
              <w:t xml:space="preserve">alokasi Premi atau Kontribusi untuk investasi Subdana; </w:t>
            </w:r>
          </w:p>
        </w:tc>
        <w:tc>
          <w:tcPr>
            <w:tcW w:w="1167" w:type="pct"/>
          </w:tcPr>
          <w:p w14:paraId="4D27255B"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5C9AF9B"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7704BD5"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DA225B2" w14:textId="77777777" w:rsidTr="00C61A26">
        <w:trPr>
          <w:jc w:val="center"/>
        </w:trPr>
        <w:tc>
          <w:tcPr>
            <w:tcW w:w="1614" w:type="pct"/>
          </w:tcPr>
          <w:p w14:paraId="25D0CA1F" w14:textId="7CEF9FBA" w:rsidR="00BA5B70" w:rsidRPr="008C71DA" w:rsidRDefault="00BA5B70" w:rsidP="00BA5B70">
            <w:pPr>
              <w:pStyle w:val="ListParagraph"/>
              <w:numPr>
                <w:ilvl w:val="1"/>
                <w:numId w:val="27"/>
              </w:numPr>
              <w:jc w:val="both"/>
              <w:rPr>
                <w:rFonts w:ascii="Bookman Old Style" w:hAnsi="Bookman Old Style"/>
                <w:sz w:val="24"/>
                <w:szCs w:val="24"/>
              </w:rPr>
            </w:pPr>
            <w:r w:rsidRPr="008C71DA">
              <w:rPr>
                <w:rFonts w:ascii="Bookman Old Style" w:hAnsi="Bookman Old Style"/>
                <w:sz w:val="24"/>
                <w:szCs w:val="24"/>
              </w:rPr>
              <w:t>alokasi hasil investasi untuk masing-masing Subdana;</w:t>
            </w:r>
          </w:p>
        </w:tc>
        <w:tc>
          <w:tcPr>
            <w:tcW w:w="1167" w:type="pct"/>
          </w:tcPr>
          <w:p w14:paraId="55E6CB25"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0C3A03"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A1A4A52"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B5423D9" w14:textId="77777777" w:rsidTr="00C61A26">
        <w:trPr>
          <w:jc w:val="center"/>
        </w:trPr>
        <w:tc>
          <w:tcPr>
            <w:tcW w:w="1614" w:type="pct"/>
          </w:tcPr>
          <w:p w14:paraId="24948040" w14:textId="43100090" w:rsidR="00BA5B70" w:rsidRPr="008C71DA" w:rsidRDefault="00BA5B70" w:rsidP="00BA5B70">
            <w:pPr>
              <w:pStyle w:val="ListParagraph"/>
              <w:numPr>
                <w:ilvl w:val="1"/>
                <w:numId w:val="27"/>
              </w:numPr>
              <w:jc w:val="both"/>
              <w:rPr>
                <w:rFonts w:ascii="Bookman Old Style" w:hAnsi="Bookman Old Style"/>
                <w:sz w:val="24"/>
                <w:szCs w:val="24"/>
              </w:rPr>
            </w:pPr>
            <w:r w:rsidRPr="008C71DA">
              <w:rPr>
                <w:rFonts w:ascii="Bookman Old Style" w:hAnsi="Bookman Old Style"/>
                <w:sz w:val="24"/>
                <w:szCs w:val="24"/>
              </w:rPr>
              <w:t>pembebanan biaya untuk masing-masing Subdana, termasuk besaran biaya;</w:t>
            </w:r>
          </w:p>
        </w:tc>
        <w:tc>
          <w:tcPr>
            <w:tcW w:w="1167" w:type="pct"/>
          </w:tcPr>
          <w:p w14:paraId="7008D79C"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447D0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7C3042"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063D6C" w14:textId="77777777" w:rsidTr="00C61A26">
        <w:trPr>
          <w:jc w:val="center"/>
        </w:trPr>
        <w:tc>
          <w:tcPr>
            <w:tcW w:w="1614" w:type="pct"/>
          </w:tcPr>
          <w:p w14:paraId="27296924" w14:textId="594DA807" w:rsidR="00BA5B70" w:rsidRPr="008C71DA" w:rsidRDefault="00BA5B70" w:rsidP="00BA5B70">
            <w:pPr>
              <w:pStyle w:val="ListParagraph"/>
              <w:numPr>
                <w:ilvl w:val="1"/>
                <w:numId w:val="27"/>
              </w:numPr>
              <w:jc w:val="both"/>
              <w:rPr>
                <w:rFonts w:ascii="Bookman Old Style" w:hAnsi="Bookman Old Style"/>
                <w:sz w:val="24"/>
                <w:szCs w:val="24"/>
              </w:rPr>
            </w:pPr>
            <w:r w:rsidRPr="008C71DA">
              <w:rPr>
                <w:rFonts w:ascii="Bookman Old Style" w:hAnsi="Bookman Old Style"/>
                <w:sz w:val="24"/>
                <w:szCs w:val="24"/>
              </w:rPr>
              <w:t xml:space="preserve">penghitungan NAB; dan </w:t>
            </w:r>
          </w:p>
        </w:tc>
        <w:tc>
          <w:tcPr>
            <w:tcW w:w="1167" w:type="pct"/>
          </w:tcPr>
          <w:p w14:paraId="7AB3547B"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BCDAA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41E49E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9368DE2" w14:textId="77777777" w:rsidTr="00C61A26">
        <w:trPr>
          <w:jc w:val="center"/>
        </w:trPr>
        <w:tc>
          <w:tcPr>
            <w:tcW w:w="1614" w:type="pct"/>
          </w:tcPr>
          <w:p w14:paraId="0C1CF8DE" w14:textId="7124A7FA" w:rsidR="00BA5B70" w:rsidRPr="008C71DA" w:rsidRDefault="00BA5B70" w:rsidP="00BA5B70">
            <w:pPr>
              <w:pStyle w:val="ListParagraph"/>
              <w:numPr>
                <w:ilvl w:val="1"/>
                <w:numId w:val="27"/>
              </w:numPr>
              <w:jc w:val="both"/>
              <w:rPr>
                <w:rFonts w:ascii="Bookman Old Style" w:hAnsi="Bookman Old Style"/>
                <w:sz w:val="24"/>
                <w:szCs w:val="24"/>
              </w:rPr>
            </w:pPr>
            <w:r w:rsidRPr="008C71DA">
              <w:rPr>
                <w:rFonts w:ascii="Bookman Old Style" w:hAnsi="Bookman Old Style"/>
                <w:sz w:val="24"/>
                <w:szCs w:val="24"/>
              </w:rPr>
              <w:t>penghitungan NAB per unit untuk Subdana yang dinyatakan dalam bentuk unit;</w:t>
            </w:r>
          </w:p>
        </w:tc>
        <w:tc>
          <w:tcPr>
            <w:tcW w:w="1167" w:type="pct"/>
          </w:tcPr>
          <w:p w14:paraId="4E841C9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D4897D4"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4F57FD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A386BD3" w14:textId="5A1A1BF9" w:rsidTr="00C61A26">
        <w:trPr>
          <w:jc w:val="center"/>
        </w:trPr>
        <w:tc>
          <w:tcPr>
            <w:tcW w:w="1614" w:type="pct"/>
          </w:tcPr>
          <w:p w14:paraId="757CBA54" w14:textId="7A21FA45" w:rsidR="00BA5B70" w:rsidRPr="008C71DA" w:rsidRDefault="00BA5B70">
            <w:pPr>
              <w:pStyle w:val="ListParagraph"/>
              <w:numPr>
                <w:ilvl w:val="0"/>
                <w:numId w:val="91"/>
              </w:numPr>
              <w:jc w:val="both"/>
              <w:rPr>
                <w:rFonts w:ascii="Bookman Old Style" w:hAnsi="Bookman Old Style"/>
                <w:sz w:val="24"/>
                <w:szCs w:val="24"/>
              </w:rPr>
            </w:pPr>
            <w:r w:rsidRPr="008C71DA">
              <w:rPr>
                <w:rFonts w:ascii="Bookman Old Style" w:hAnsi="Bookman Old Style"/>
                <w:sz w:val="24"/>
                <w:szCs w:val="24"/>
              </w:rPr>
              <w:t>pembentukan Nilai Tunai, meliputi tata cara, waktu, dan NAB atau NAB per unit yang digunakan sebagai acuan dalam:</w:t>
            </w:r>
          </w:p>
        </w:tc>
        <w:tc>
          <w:tcPr>
            <w:tcW w:w="1167" w:type="pct"/>
          </w:tcPr>
          <w:p w14:paraId="773AC29D" w14:textId="5181C75C"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37D24A8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6AFF80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297B7EE" w14:textId="17CACC7C" w:rsidTr="00C61A26">
        <w:trPr>
          <w:jc w:val="center"/>
        </w:trPr>
        <w:tc>
          <w:tcPr>
            <w:tcW w:w="1614" w:type="pct"/>
          </w:tcPr>
          <w:p w14:paraId="1ED65CEE" w14:textId="78515032" w:rsidR="00BA5B70" w:rsidRPr="008C71DA" w:rsidRDefault="00BA5B70" w:rsidP="00BA5B70">
            <w:pPr>
              <w:pStyle w:val="ListParagraph"/>
              <w:numPr>
                <w:ilvl w:val="1"/>
                <w:numId w:val="28"/>
              </w:numPr>
              <w:jc w:val="both"/>
              <w:rPr>
                <w:rFonts w:ascii="Bookman Old Style" w:hAnsi="Bookman Old Style"/>
                <w:sz w:val="24"/>
                <w:szCs w:val="24"/>
              </w:rPr>
            </w:pPr>
            <w:r w:rsidRPr="008C71DA">
              <w:rPr>
                <w:rFonts w:ascii="Bookman Old Style" w:hAnsi="Bookman Old Style"/>
                <w:sz w:val="24"/>
                <w:szCs w:val="24"/>
              </w:rPr>
              <w:t xml:space="preserve">alokasi Premi atau Kontribusi untuk pembentukan Nilai Tunai; </w:t>
            </w:r>
          </w:p>
        </w:tc>
        <w:tc>
          <w:tcPr>
            <w:tcW w:w="1167" w:type="pct"/>
          </w:tcPr>
          <w:p w14:paraId="1BCD806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4E147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A135D6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C263705" w14:textId="33F326A3" w:rsidTr="00C61A26">
        <w:trPr>
          <w:jc w:val="center"/>
        </w:trPr>
        <w:tc>
          <w:tcPr>
            <w:tcW w:w="1614" w:type="pct"/>
          </w:tcPr>
          <w:p w14:paraId="1177C994" w14:textId="76230409" w:rsidR="00BA5B70" w:rsidRPr="008C71DA" w:rsidRDefault="00BA5B70" w:rsidP="00BA5B70">
            <w:pPr>
              <w:pStyle w:val="ListParagraph"/>
              <w:numPr>
                <w:ilvl w:val="1"/>
                <w:numId w:val="28"/>
              </w:numPr>
              <w:jc w:val="both"/>
              <w:rPr>
                <w:rFonts w:ascii="Bookman Old Style" w:hAnsi="Bookman Old Style"/>
                <w:sz w:val="24"/>
                <w:szCs w:val="24"/>
              </w:rPr>
            </w:pPr>
            <w:r w:rsidRPr="008C71DA">
              <w:rPr>
                <w:rFonts w:ascii="Bookman Old Style" w:hAnsi="Bookman Old Style"/>
                <w:sz w:val="24"/>
                <w:szCs w:val="24"/>
              </w:rPr>
              <w:t>pembebanan biaya atas Premi atau Kontribusi dan Nilai Tunai, termasuk besaran biaya;</w:t>
            </w:r>
          </w:p>
        </w:tc>
        <w:tc>
          <w:tcPr>
            <w:tcW w:w="1167" w:type="pct"/>
          </w:tcPr>
          <w:p w14:paraId="5B310C4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51432D"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1E1C7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C3B6513" w14:textId="28371EF5" w:rsidTr="00C61A26">
        <w:trPr>
          <w:jc w:val="center"/>
        </w:trPr>
        <w:tc>
          <w:tcPr>
            <w:tcW w:w="1614" w:type="pct"/>
          </w:tcPr>
          <w:p w14:paraId="7E05E675" w14:textId="4B78F47B" w:rsidR="00BA5B70" w:rsidRPr="008C71DA" w:rsidRDefault="00BA5B70" w:rsidP="00BA5B70">
            <w:pPr>
              <w:pStyle w:val="ListParagraph"/>
              <w:numPr>
                <w:ilvl w:val="1"/>
                <w:numId w:val="28"/>
              </w:numPr>
              <w:jc w:val="both"/>
              <w:rPr>
                <w:rFonts w:ascii="Bookman Old Style" w:eastAsia="Bookman Old Style" w:hAnsi="Bookman Old Style" w:cs="Bookman Old Style"/>
                <w:sz w:val="24"/>
                <w:szCs w:val="24"/>
              </w:rPr>
            </w:pPr>
            <w:r w:rsidRPr="008C71DA">
              <w:rPr>
                <w:rFonts w:ascii="Bookman Old Style" w:eastAsia="Bookman Old Style" w:hAnsi="Bookman Old Style" w:cs="Bookman Old Style"/>
                <w:sz w:val="24"/>
                <w:szCs w:val="24"/>
              </w:rPr>
              <w:t>pengalihan Subdana;</w:t>
            </w:r>
          </w:p>
        </w:tc>
        <w:tc>
          <w:tcPr>
            <w:tcW w:w="1167" w:type="pct"/>
          </w:tcPr>
          <w:p w14:paraId="43670D1E"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8A26625"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5AB5E0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A20559E" w14:textId="7A4398F2" w:rsidTr="00C61A26">
        <w:trPr>
          <w:jc w:val="center"/>
        </w:trPr>
        <w:tc>
          <w:tcPr>
            <w:tcW w:w="1614" w:type="pct"/>
          </w:tcPr>
          <w:p w14:paraId="0B7DE3F2" w14:textId="7BDA8E04" w:rsidR="00BA5B70" w:rsidRPr="008C71DA" w:rsidRDefault="00BA5B70" w:rsidP="00BA5B70">
            <w:pPr>
              <w:pStyle w:val="ListParagraph"/>
              <w:numPr>
                <w:ilvl w:val="1"/>
                <w:numId w:val="28"/>
              </w:numPr>
              <w:jc w:val="both"/>
              <w:rPr>
                <w:rFonts w:ascii="Bookman Old Style" w:eastAsia="Bookman Old Style" w:hAnsi="Bookman Old Style" w:cs="Bookman Old Style"/>
                <w:sz w:val="24"/>
                <w:szCs w:val="24"/>
              </w:rPr>
            </w:pPr>
            <w:r w:rsidRPr="008C71DA">
              <w:rPr>
                <w:rFonts w:ascii="Bookman Old Style" w:eastAsia="Bookman Old Style" w:hAnsi="Bookman Old Style" w:cs="Bookman Old Style"/>
                <w:sz w:val="24"/>
                <w:szCs w:val="24"/>
              </w:rPr>
              <w:t xml:space="preserve">penarikan sebagian Nilai Tunai; </w:t>
            </w:r>
          </w:p>
        </w:tc>
        <w:tc>
          <w:tcPr>
            <w:tcW w:w="1167" w:type="pct"/>
          </w:tcPr>
          <w:p w14:paraId="779E635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5A8E65"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E4F6AA9"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085FDD4" w14:textId="77777777" w:rsidTr="00C61A26">
        <w:trPr>
          <w:jc w:val="center"/>
        </w:trPr>
        <w:tc>
          <w:tcPr>
            <w:tcW w:w="1614" w:type="pct"/>
          </w:tcPr>
          <w:p w14:paraId="42D2A58C" w14:textId="7E51BE59" w:rsidR="00BA5B70" w:rsidRPr="008C71DA" w:rsidRDefault="00BA5B70" w:rsidP="00BA5B70">
            <w:pPr>
              <w:pStyle w:val="ListParagraph"/>
              <w:numPr>
                <w:ilvl w:val="1"/>
                <w:numId w:val="28"/>
              </w:numPr>
              <w:jc w:val="both"/>
              <w:rPr>
                <w:rFonts w:ascii="Bookman Old Style" w:eastAsia="Bookman Old Style" w:hAnsi="Bookman Old Style" w:cs="Bookman Old Style"/>
                <w:sz w:val="24"/>
                <w:szCs w:val="24"/>
              </w:rPr>
            </w:pPr>
            <w:r w:rsidRPr="008C71DA">
              <w:rPr>
                <w:rFonts w:ascii="Bookman Old Style" w:eastAsia="Bookman Old Style" w:hAnsi="Bookman Old Style" w:cs="Bookman Old Style"/>
                <w:sz w:val="24"/>
                <w:szCs w:val="24"/>
              </w:rPr>
              <w:t xml:space="preserve">penarikan seluruh Nilai Tunai; </w:t>
            </w:r>
          </w:p>
        </w:tc>
        <w:tc>
          <w:tcPr>
            <w:tcW w:w="1167" w:type="pct"/>
          </w:tcPr>
          <w:p w14:paraId="2625B90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0386B8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F8305E5"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F9D530D" w14:textId="77777777" w:rsidTr="00C61A26">
        <w:trPr>
          <w:jc w:val="center"/>
        </w:trPr>
        <w:tc>
          <w:tcPr>
            <w:tcW w:w="1614" w:type="pct"/>
          </w:tcPr>
          <w:p w14:paraId="0BCBB7EE" w14:textId="14CA7BA3" w:rsidR="00BA5B70" w:rsidRPr="008C71DA" w:rsidRDefault="00BA5B70" w:rsidP="00BA5B70">
            <w:pPr>
              <w:pStyle w:val="ListParagraph"/>
              <w:numPr>
                <w:ilvl w:val="1"/>
                <w:numId w:val="28"/>
              </w:numPr>
              <w:jc w:val="both"/>
              <w:rPr>
                <w:rFonts w:ascii="Bookman Old Style" w:eastAsia="Bookman Old Style" w:hAnsi="Bookman Old Style" w:cs="Bookman Old Style"/>
                <w:sz w:val="24"/>
                <w:szCs w:val="24"/>
              </w:rPr>
            </w:pPr>
            <w:r w:rsidRPr="008C71DA">
              <w:rPr>
                <w:rFonts w:ascii="Bookman Old Style" w:eastAsia="Bookman Old Style" w:hAnsi="Bookman Old Style" w:cs="Bookman Old Style"/>
                <w:sz w:val="24"/>
                <w:szCs w:val="24"/>
              </w:rPr>
              <w:t xml:space="preserve">alokasi hasil investasi kepada masing-masing  Tertanggung atau Peserta </w:t>
            </w:r>
            <w:r w:rsidRPr="008C71DA">
              <w:rPr>
                <w:rFonts w:ascii="Bookman Old Style" w:eastAsia="Bookman Old Style" w:hAnsi="Bookman Old Style" w:cs="Bookman Old Style"/>
                <w:sz w:val="24"/>
                <w:szCs w:val="24"/>
              </w:rPr>
              <w:lastRenderedPageBreak/>
              <w:t xml:space="preserve">untuk PAYDI yang  dinyatakan dalam bentuk bukan unit; dan </w:t>
            </w:r>
          </w:p>
        </w:tc>
        <w:tc>
          <w:tcPr>
            <w:tcW w:w="1167" w:type="pct"/>
          </w:tcPr>
          <w:p w14:paraId="215BE2D4"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19AFC9"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D79AAE1"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A2F8ADE" w14:textId="77777777" w:rsidTr="00C61A26">
        <w:trPr>
          <w:jc w:val="center"/>
        </w:trPr>
        <w:tc>
          <w:tcPr>
            <w:tcW w:w="1614" w:type="pct"/>
          </w:tcPr>
          <w:p w14:paraId="767B80F3" w14:textId="1B01E627" w:rsidR="00BA5B70" w:rsidRPr="008C71DA" w:rsidRDefault="00BA5B70" w:rsidP="00BA5B70">
            <w:pPr>
              <w:pStyle w:val="ListParagraph"/>
              <w:numPr>
                <w:ilvl w:val="1"/>
                <w:numId w:val="28"/>
              </w:numPr>
              <w:jc w:val="both"/>
              <w:rPr>
                <w:rFonts w:ascii="Bookman Old Style" w:eastAsia="Bookman Old Style" w:hAnsi="Bookman Old Style" w:cs="Bookman Old Style"/>
                <w:sz w:val="24"/>
                <w:szCs w:val="24"/>
              </w:rPr>
            </w:pPr>
            <w:r w:rsidRPr="008C71DA">
              <w:rPr>
                <w:rFonts w:ascii="Bookman Old Style" w:eastAsia="Bookman Old Style" w:hAnsi="Bookman Old Style" w:cs="Bookman Old Style"/>
                <w:sz w:val="24"/>
                <w:szCs w:val="24"/>
              </w:rPr>
              <w:t>penghitungan saldo Nilai Tunai masing-masing Tertanggung atau Peserta;</w:t>
            </w:r>
          </w:p>
        </w:tc>
        <w:tc>
          <w:tcPr>
            <w:tcW w:w="1167" w:type="pct"/>
          </w:tcPr>
          <w:p w14:paraId="7B0EE7EE"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5E486D5"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B15461D"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0EE34D4" w14:textId="17BB9ADB" w:rsidTr="00C61A26">
        <w:trPr>
          <w:jc w:val="center"/>
        </w:trPr>
        <w:tc>
          <w:tcPr>
            <w:tcW w:w="1614" w:type="pct"/>
          </w:tcPr>
          <w:p w14:paraId="6774D423" w14:textId="43F7DAD0" w:rsidR="00BA5B70" w:rsidRPr="008C71DA" w:rsidRDefault="00BA5B70">
            <w:pPr>
              <w:pStyle w:val="ListParagraph"/>
              <w:numPr>
                <w:ilvl w:val="0"/>
                <w:numId w:val="91"/>
              </w:numPr>
              <w:jc w:val="both"/>
              <w:rPr>
                <w:rFonts w:ascii="Bookman Old Style" w:eastAsia="Bookman Old Style" w:hAnsi="Bookman Old Style" w:cs="Bookman Old Style"/>
                <w:sz w:val="24"/>
                <w:szCs w:val="24"/>
                <w:lang w:val="en-ID"/>
              </w:rPr>
            </w:pPr>
            <w:proofErr w:type="spellStart"/>
            <w:r w:rsidRPr="008C71DA">
              <w:rPr>
                <w:rFonts w:ascii="Bookman Old Style" w:eastAsia="Bookman Old Style" w:hAnsi="Bookman Old Style" w:cs="Bookman Old Style"/>
                <w:sz w:val="24"/>
                <w:szCs w:val="24"/>
                <w:lang w:val="en-ID"/>
              </w:rPr>
              <w:t>besaran</w:t>
            </w:r>
            <w:proofErr w:type="spellEnd"/>
            <w:r w:rsidRPr="008C71DA">
              <w:rPr>
                <w:rFonts w:ascii="Bookman Old Style" w:eastAsia="Bookman Old Style" w:hAnsi="Bookman Old Style" w:cs="Bookman Old Style"/>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cara</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waktu</w:t>
            </w:r>
            <w:proofErr w:type="spellEnd"/>
            <w:r w:rsidRPr="00E566C4">
              <w:rPr>
                <w:rFonts w:ascii="Bookman Old Style" w:eastAsia="Bookman Old Style" w:hAnsi="Bookman Old Style" w:cs="Bookman Old Style"/>
                <w:color w:val="000000" w:themeColor="text1"/>
                <w:sz w:val="24"/>
                <w:szCs w:val="24"/>
                <w:lang w:val="en-ID"/>
              </w:rPr>
              <w:t xml:space="preserve">, dan </w:t>
            </w:r>
            <w:proofErr w:type="spellStart"/>
            <w:r w:rsidRPr="00E566C4">
              <w:rPr>
                <w:rFonts w:ascii="Bookman Old Style" w:eastAsia="Bookman Old Style" w:hAnsi="Bookman Old Style" w:cs="Bookman Old Style"/>
                <w:color w:val="000000" w:themeColor="text1"/>
                <w:sz w:val="24"/>
                <w:szCs w:val="24"/>
                <w:lang w:val="en-ID"/>
              </w:rPr>
              <w:t>jangka</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waktu</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8C71DA">
              <w:rPr>
                <w:rFonts w:ascii="Bookman Old Style" w:eastAsia="Bookman Old Style" w:hAnsi="Bookman Old Style" w:cs="Bookman Old Style"/>
                <w:sz w:val="24"/>
                <w:szCs w:val="24"/>
                <w:lang w:val="en-ID"/>
              </w:rPr>
              <w:t>pembayaran</w:t>
            </w:r>
            <w:proofErr w:type="spellEnd"/>
            <w:r w:rsidRPr="008C71DA">
              <w:rPr>
                <w:rFonts w:ascii="Bookman Old Style" w:eastAsia="Bookman Old Style" w:hAnsi="Bookman Old Style" w:cs="Bookman Old Style"/>
                <w:sz w:val="24"/>
                <w:szCs w:val="24"/>
                <w:lang w:val="en-ID"/>
              </w:rPr>
              <w:t xml:space="preserve"> Premi </w:t>
            </w:r>
            <w:proofErr w:type="spellStart"/>
            <w:r w:rsidRPr="008C71DA">
              <w:rPr>
                <w:rFonts w:ascii="Bookman Old Style" w:eastAsia="Bookman Old Style" w:hAnsi="Bookman Old Style" w:cs="Bookman Old Style"/>
                <w:sz w:val="24"/>
                <w:szCs w:val="24"/>
                <w:lang w:val="en-ID"/>
              </w:rPr>
              <w:t>atau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Kontribusi</w:t>
            </w:r>
            <w:proofErr w:type="spellEnd"/>
            <w:r w:rsidRPr="008C71DA">
              <w:rPr>
                <w:rFonts w:ascii="Bookman Old Style" w:eastAsia="Bookman Old Style" w:hAnsi="Bookman Old Style" w:cs="Bookman Old Style"/>
                <w:sz w:val="24"/>
                <w:szCs w:val="24"/>
                <w:lang w:val="en-ID"/>
              </w:rPr>
              <w:t xml:space="preserve">; </w:t>
            </w:r>
          </w:p>
        </w:tc>
        <w:tc>
          <w:tcPr>
            <w:tcW w:w="1167" w:type="pct"/>
          </w:tcPr>
          <w:p w14:paraId="07FB43E5" w14:textId="44E0D672"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23BA3C0C"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33085A6"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8EF6888" w14:textId="77777777" w:rsidTr="00C61A26">
        <w:trPr>
          <w:jc w:val="center"/>
        </w:trPr>
        <w:tc>
          <w:tcPr>
            <w:tcW w:w="1614" w:type="pct"/>
          </w:tcPr>
          <w:p w14:paraId="4213B27E" w14:textId="0408D6D1" w:rsidR="00BA5B70" w:rsidRPr="008C71DA" w:rsidRDefault="00BA5B70">
            <w:pPr>
              <w:pStyle w:val="ListParagraph"/>
              <w:numPr>
                <w:ilvl w:val="0"/>
                <w:numId w:val="91"/>
              </w:numPr>
              <w:jc w:val="both"/>
              <w:rPr>
                <w:rFonts w:ascii="Bookman Old Style" w:eastAsia="Bookman Old Style" w:hAnsi="Bookman Old Style" w:cs="Bookman Old Style"/>
                <w:sz w:val="24"/>
                <w:szCs w:val="24"/>
                <w:lang w:val="en-ID"/>
              </w:rPr>
            </w:pPr>
            <w:proofErr w:type="spellStart"/>
            <w:r w:rsidRPr="008C71DA">
              <w:rPr>
                <w:rFonts w:ascii="Bookman Old Style" w:eastAsia="Bookman Old Style" w:hAnsi="Bookman Old Style" w:cs="Bookman Old Style"/>
                <w:sz w:val="24"/>
                <w:szCs w:val="24"/>
                <w:lang w:val="en-ID"/>
              </w:rPr>
              <w:t>seluruh</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biaya</w:t>
            </w:r>
            <w:proofErr w:type="spellEnd"/>
            <w:r w:rsidRPr="008C71DA">
              <w:rPr>
                <w:rFonts w:ascii="Bookman Old Style" w:eastAsia="Bookman Old Style" w:hAnsi="Bookman Old Style" w:cs="Bookman Old Style"/>
                <w:sz w:val="24"/>
                <w:szCs w:val="24"/>
                <w:lang w:val="en-ID"/>
              </w:rPr>
              <w:t xml:space="preserve"> yang </w:t>
            </w:r>
            <w:proofErr w:type="spellStart"/>
            <w:r w:rsidRPr="008C71DA">
              <w:rPr>
                <w:rFonts w:ascii="Bookman Old Style" w:eastAsia="Bookman Old Style" w:hAnsi="Bookman Old Style" w:cs="Bookman Old Style"/>
                <w:sz w:val="24"/>
                <w:szCs w:val="24"/>
                <w:lang w:val="en-ID"/>
              </w:rPr>
              <w:t>dikenakan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selama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periode</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pertanggungan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atau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kepesertaan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termasuk</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jenis</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besaran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cara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pengenaan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waktu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pengenaan</w:t>
            </w:r>
            <w:proofErr w:type="spellEnd"/>
            <w:r w:rsidRPr="008C71DA">
              <w:rPr>
                <w:rFonts w:ascii="Bookman Old Style" w:eastAsia="Bookman Old Style" w:hAnsi="Bookman Old Style" w:cs="Bookman Old Style"/>
                <w:sz w:val="24"/>
                <w:szCs w:val="24"/>
                <w:lang w:val="en-ID"/>
              </w:rPr>
              <w:t xml:space="preserve">, dan </w:t>
            </w:r>
            <w:proofErr w:type="spellStart"/>
            <w:r w:rsidRPr="008C71DA">
              <w:rPr>
                <w:rFonts w:ascii="Bookman Old Style" w:eastAsia="Bookman Old Style" w:hAnsi="Bookman Old Style" w:cs="Bookman Old Style"/>
                <w:sz w:val="24"/>
                <w:szCs w:val="24"/>
                <w:lang w:val="en-ID"/>
              </w:rPr>
              <w:t>jangka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waktu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pengenaan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biaya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tersebut</w:t>
            </w:r>
            <w:proofErr w:type="spellEnd"/>
            <w:r w:rsidRPr="008C71DA">
              <w:rPr>
                <w:rFonts w:ascii="Bookman Old Style" w:eastAsia="Bookman Old Style" w:hAnsi="Bookman Old Style" w:cs="Bookman Old Style"/>
                <w:sz w:val="24"/>
                <w:szCs w:val="24"/>
                <w:lang w:val="en-ID"/>
              </w:rPr>
              <w:t xml:space="preserve">; </w:t>
            </w:r>
          </w:p>
        </w:tc>
        <w:tc>
          <w:tcPr>
            <w:tcW w:w="1167" w:type="pct"/>
          </w:tcPr>
          <w:p w14:paraId="08B35728" w14:textId="15B60C9E"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632342A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AC1693E"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6B762C2" w14:textId="77777777" w:rsidTr="00C61A26">
        <w:trPr>
          <w:jc w:val="center"/>
        </w:trPr>
        <w:tc>
          <w:tcPr>
            <w:tcW w:w="1614" w:type="pct"/>
          </w:tcPr>
          <w:p w14:paraId="4E4C2B1D" w14:textId="6A9610DF" w:rsidR="00BA5B70" w:rsidRPr="008C71DA" w:rsidRDefault="00BA5B70">
            <w:pPr>
              <w:pStyle w:val="ListParagraph"/>
              <w:numPr>
                <w:ilvl w:val="0"/>
                <w:numId w:val="91"/>
              </w:numPr>
              <w:jc w:val="both"/>
              <w:rPr>
                <w:rFonts w:ascii="Bookman Old Style" w:eastAsia="Bookman Old Style" w:hAnsi="Bookman Old Style" w:cs="Bookman Old Style"/>
                <w:sz w:val="24"/>
                <w:szCs w:val="24"/>
                <w:lang w:val="en-ID"/>
              </w:rPr>
            </w:pPr>
            <w:proofErr w:type="spellStart"/>
            <w:r w:rsidRPr="008C71DA">
              <w:rPr>
                <w:rFonts w:ascii="Bookman Old Style" w:eastAsia="Bookman Old Style" w:hAnsi="Bookman Old Style" w:cs="Bookman Old Style"/>
                <w:sz w:val="24"/>
                <w:szCs w:val="24"/>
                <w:lang w:val="en-ID"/>
              </w:rPr>
              <w:t>cara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penghitungan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besaran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manfaat</w:t>
            </w:r>
            <w:proofErr w:type="spellEnd"/>
            <w:r w:rsidRPr="008C71DA">
              <w:rPr>
                <w:rFonts w:ascii="Bookman Old Style" w:eastAsia="Bookman Old Style" w:hAnsi="Bookman Old Style" w:cs="Bookman Old Style"/>
                <w:sz w:val="24"/>
                <w:szCs w:val="24"/>
                <w:lang w:val="en-ID"/>
              </w:rPr>
              <w:t xml:space="preserve"> yang </w:t>
            </w:r>
            <w:proofErr w:type="spellStart"/>
            <w:r w:rsidRPr="008C71DA">
              <w:rPr>
                <w:rFonts w:ascii="Bookman Old Style" w:eastAsia="Bookman Old Style" w:hAnsi="Bookman Old Style" w:cs="Bookman Old Style"/>
                <w:sz w:val="24"/>
                <w:szCs w:val="24"/>
                <w:lang w:val="en-ID"/>
              </w:rPr>
              <w:t>dikaitkan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dengan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investasi</w:t>
            </w:r>
            <w:proofErr w:type="spellEnd"/>
            <w:r w:rsidRPr="008C71DA">
              <w:rPr>
                <w:rFonts w:ascii="Bookman Old Style" w:eastAsia="Bookman Old Style" w:hAnsi="Bookman Old Style" w:cs="Bookman Old Style"/>
                <w:sz w:val="24"/>
                <w:szCs w:val="24"/>
                <w:lang w:val="en-ID"/>
              </w:rPr>
              <w:t xml:space="preserve">, yang </w:t>
            </w:r>
            <w:proofErr w:type="spellStart"/>
            <w:r w:rsidRPr="008C71DA">
              <w:rPr>
                <w:rFonts w:ascii="Bookman Old Style" w:eastAsia="Bookman Old Style" w:hAnsi="Bookman Old Style" w:cs="Bookman Old Style"/>
                <w:sz w:val="24"/>
                <w:szCs w:val="24"/>
                <w:lang w:val="en-ID"/>
              </w:rPr>
              <w:t>dapat</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diterima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Pemegang</w:t>
            </w:r>
            <w:proofErr w:type="spellEnd"/>
            <w:r w:rsidRPr="008C71DA">
              <w:rPr>
                <w:rFonts w:ascii="Bookman Old Style" w:eastAsia="Bookman Old Style" w:hAnsi="Bookman Old Style" w:cs="Bookman Old Style"/>
                <w:sz w:val="24"/>
                <w:szCs w:val="24"/>
                <w:lang w:val="en-ID"/>
              </w:rPr>
              <w:t xml:space="preserve"> Polis, </w:t>
            </w:r>
            <w:proofErr w:type="spellStart"/>
            <w:r w:rsidRPr="008C71DA">
              <w:rPr>
                <w:rFonts w:ascii="Bookman Old Style" w:eastAsia="Bookman Old Style" w:hAnsi="Bookman Old Style" w:cs="Bookman Old Style"/>
                <w:sz w:val="24"/>
                <w:szCs w:val="24"/>
                <w:lang w:val="en-ID"/>
              </w:rPr>
              <w:t>Tertanggung</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atau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Peserta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apabila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dilakukan</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penarikan</w:t>
            </w:r>
            <w:proofErr w:type="spellEnd"/>
            <w:r w:rsidRPr="008C71DA">
              <w:rPr>
                <w:rFonts w:ascii="Bookman Old Style" w:eastAsia="Bookman Old Style" w:hAnsi="Bookman Old Style" w:cs="Bookman Old Style"/>
                <w:sz w:val="24"/>
                <w:szCs w:val="24"/>
                <w:lang w:val="en-ID"/>
              </w:rPr>
              <w:t xml:space="preserve"> dana </w:t>
            </w:r>
            <w:proofErr w:type="spellStart"/>
            <w:r w:rsidRPr="008C71DA">
              <w:rPr>
                <w:rFonts w:ascii="Bookman Old Style" w:eastAsia="Bookman Old Style" w:hAnsi="Bookman Old Style" w:cs="Bookman Old Style"/>
                <w:sz w:val="24"/>
                <w:szCs w:val="24"/>
                <w:lang w:val="en-ID"/>
              </w:rPr>
              <w:t>atau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pengakhiran</w:t>
            </w:r>
            <w:proofErr w:type="spellEnd"/>
            <w:r w:rsidRPr="008C71DA">
              <w:rPr>
                <w:rFonts w:ascii="Bookman Old Style" w:eastAsia="Bookman Old Style" w:hAnsi="Bookman Old Style" w:cs="Bookman Old Style"/>
                <w:sz w:val="24"/>
                <w:szCs w:val="24"/>
                <w:lang w:val="en-ID"/>
              </w:rPr>
              <w:t xml:space="preserve"> Polis Asuransi;</w:t>
            </w:r>
          </w:p>
        </w:tc>
        <w:tc>
          <w:tcPr>
            <w:tcW w:w="1167" w:type="pct"/>
          </w:tcPr>
          <w:p w14:paraId="5B1EC486" w14:textId="2DEBCD90"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466627B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80D711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8648D42" w14:textId="77777777" w:rsidTr="00C61A26">
        <w:trPr>
          <w:jc w:val="center"/>
        </w:trPr>
        <w:tc>
          <w:tcPr>
            <w:tcW w:w="1614" w:type="pct"/>
          </w:tcPr>
          <w:p w14:paraId="73B9DB8B" w14:textId="4D7A3D67" w:rsidR="00BA5B70" w:rsidRPr="008C71DA" w:rsidRDefault="00BA5B70">
            <w:pPr>
              <w:pStyle w:val="ListParagraph"/>
              <w:numPr>
                <w:ilvl w:val="0"/>
                <w:numId w:val="91"/>
              </w:numPr>
              <w:jc w:val="both"/>
              <w:rPr>
                <w:rFonts w:ascii="Bookman Old Style" w:eastAsia="Bookman Old Style" w:hAnsi="Bookman Old Style" w:cs="Bookman Old Style"/>
                <w:sz w:val="24"/>
                <w:szCs w:val="24"/>
                <w:lang w:val="en-ID"/>
              </w:rPr>
            </w:pPr>
            <w:proofErr w:type="spellStart"/>
            <w:r w:rsidRPr="008C71DA">
              <w:rPr>
                <w:rFonts w:ascii="Bookman Old Style" w:eastAsia="Bookman Old Style" w:hAnsi="Bookman Old Style" w:cs="Bookman Old Style"/>
                <w:sz w:val="24"/>
                <w:szCs w:val="24"/>
                <w:lang w:val="en-ID"/>
              </w:rPr>
              <w:t>hak</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Pemegang</w:t>
            </w:r>
            <w:proofErr w:type="spellEnd"/>
            <w:r w:rsidRPr="008C71DA">
              <w:rPr>
                <w:rFonts w:ascii="Bookman Old Style" w:eastAsia="Bookman Old Style" w:hAnsi="Bookman Old Style" w:cs="Bookman Old Style"/>
                <w:sz w:val="24"/>
                <w:szCs w:val="24"/>
                <w:lang w:val="en-ID"/>
              </w:rPr>
              <w:t xml:space="preserve"> Polis, </w:t>
            </w:r>
            <w:proofErr w:type="spellStart"/>
            <w:r w:rsidRPr="008C71DA">
              <w:rPr>
                <w:rFonts w:ascii="Bookman Old Style" w:eastAsia="Bookman Old Style" w:hAnsi="Bookman Old Style" w:cs="Bookman Old Style"/>
                <w:sz w:val="24"/>
                <w:szCs w:val="24"/>
                <w:lang w:val="en-ID"/>
              </w:rPr>
              <w:t>Tertanggung</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atau</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Peserta</w:t>
            </w:r>
            <w:proofErr w:type="spellEnd"/>
            <w:r w:rsidRPr="008C71DA">
              <w:rPr>
                <w:rFonts w:ascii="Bookman Old Style" w:eastAsia="Bookman Old Style" w:hAnsi="Bookman Old Style" w:cs="Bookman Old Style"/>
                <w:sz w:val="24"/>
                <w:szCs w:val="24"/>
                <w:lang w:val="en-ID"/>
              </w:rPr>
              <w:t xml:space="preserve"> </w:t>
            </w:r>
            <w:proofErr w:type="spellStart"/>
            <w:r w:rsidRPr="008C71DA">
              <w:rPr>
                <w:rFonts w:ascii="Bookman Old Style" w:eastAsia="Bookman Old Style" w:hAnsi="Bookman Old Style" w:cs="Bookman Old Style"/>
                <w:sz w:val="24"/>
                <w:szCs w:val="24"/>
                <w:lang w:val="en-ID"/>
              </w:rPr>
              <w:t>untuk</w:t>
            </w:r>
            <w:proofErr w:type="spellEnd"/>
            <w:r w:rsidRPr="008C71DA">
              <w:rPr>
                <w:rFonts w:ascii="Bookman Old Style" w:eastAsia="Bookman Old Style" w:hAnsi="Bookman Old Style" w:cs="Bookman Old Style"/>
                <w:sz w:val="24"/>
                <w:szCs w:val="24"/>
                <w:lang w:val="en-ID"/>
              </w:rPr>
              <w:t xml:space="preserve">: </w:t>
            </w:r>
          </w:p>
        </w:tc>
        <w:tc>
          <w:tcPr>
            <w:tcW w:w="1167" w:type="pct"/>
          </w:tcPr>
          <w:p w14:paraId="3C2856D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2973204"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66B618"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B9B61FF" w14:textId="77777777" w:rsidTr="00C61A26">
        <w:trPr>
          <w:jc w:val="center"/>
        </w:trPr>
        <w:tc>
          <w:tcPr>
            <w:tcW w:w="1614" w:type="pct"/>
          </w:tcPr>
          <w:p w14:paraId="4B42E783" w14:textId="5C6EF2D6" w:rsidR="00BA5B70" w:rsidRPr="00851039" w:rsidRDefault="00BA5B70" w:rsidP="00BA5B70">
            <w:pPr>
              <w:pStyle w:val="ListParagraph"/>
              <w:numPr>
                <w:ilvl w:val="0"/>
                <w:numId w:val="29"/>
              </w:numPr>
              <w:jc w:val="both"/>
              <w:rPr>
                <w:rFonts w:ascii="Bookman Old Style" w:eastAsia="Bookman Old Style" w:hAnsi="Bookman Old Style" w:cs="Bookman Old Style"/>
                <w:sz w:val="24"/>
                <w:szCs w:val="24"/>
                <w:lang w:val="en-ID"/>
              </w:rPr>
            </w:pPr>
            <w:proofErr w:type="spellStart"/>
            <w:r w:rsidRPr="00851039">
              <w:rPr>
                <w:rFonts w:ascii="Bookman Old Style" w:eastAsia="Bookman Old Style" w:hAnsi="Bookman Old Style" w:cs="Bookman Old Style"/>
                <w:sz w:val="24"/>
                <w:szCs w:val="24"/>
                <w:lang w:val="en-ID"/>
              </w:rPr>
              <w:t>memilih</w:t>
            </w:r>
            <w:proofErr w:type="spellEnd"/>
            <w:r w:rsidRPr="00851039">
              <w:rPr>
                <w:rFonts w:ascii="Bookman Old Style" w:eastAsia="Bookman Old Style" w:hAnsi="Bookman Old Style" w:cs="Bookman Old Style"/>
                <w:sz w:val="24"/>
                <w:szCs w:val="24"/>
                <w:lang w:val="en-ID"/>
              </w:rPr>
              <w:t xml:space="preserve"> 1 (</w:t>
            </w:r>
            <w:proofErr w:type="spellStart"/>
            <w:r w:rsidRPr="00851039">
              <w:rPr>
                <w:rFonts w:ascii="Bookman Old Style" w:eastAsia="Bookman Old Style" w:hAnsi="Bookman Old Style" w:cs="Bookman Old Style"/>
                <w:sz w:val="24"/>
                <w:szCs w:val="24"/>
                <w:lang w:val="en-ID"/>
              </w:rPr>
              <w:t>satu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lebih</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Subdana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dalam</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hal</w:t>
            </w:r>
            <w:proofErr w:type="spellEnd"/>
            <w:r w:rsidRPr="00851039">
              <w:rPr>
                <w:rFonts w:ascii="Bookman Old Style" w:eastAsia="Bookman Old Style" w:hAnsi="Bookman Old Style" w:cs="Bookman Old Style"/>
                <w:sz w:val="24"/>
                <w:szCs w:val="24"/>
                <w:lang w:val="en-ID"/>
              </w:rPr>
              <w:t xml:space="preserve"> PAYDI </w:t>
            </w:r>
            <w:proofErr w:type="spellStart"/>
            <w:r w:rsidRPr="00851039">
              <w:rPr>
                <w:rFonts w:ascii="Bookman Old Style" w:eastAsia="Bookman Old Style" w:hAnsi="Bookman Old Style" w:cs="Bookman Old Style"/>
                <w:sz w:val="24"/>
                <w:szCs w:val="24"/>
                <w:lang w:val="en-ID"/>
              </w:rPr>
              <w:t>memiliki</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lebih</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dari</w:t>
            </w:r>
            <w:proofErr w:type="spellEnd"/>
            <w:r w:rsidRPr="00851039">
              <w:rPr>
                <w:rFonts w:ascii="Bookman Old Style" w:eastAsia="Bookman Old Style" w:hAnsi="Bookman Old Style" w:cs="Bookman Old Style"/>
                <w:sz w:val="24"/>
                <w:szCs w:val="24"/>
                <w:lang w:val="en-ID"/>
              </w:rPr>
              <w:t xml:space="preserve"> 1 (</w:t>
            </w:r>
            <w:proofErr w:type="spellStart"/>
            <w:r w:rsidRPr="00851039">
              <w:rPr>
                <w:rFonts w:ascii="Bookman Old Style" w:eastAsia="Bookman Old Style" w:hAnsi="Bookman Old Style" w:cs="Bookman Old Style"/>
                <w:sz w:val="24"/>
                <w:szCs w:val="24"/>
                <w:lang w:val="en-ID"/>
              </w:rPr>
              <w:t>satu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Subdana</w:t>
            </w:r>
            <w:proofErr w:type="spellEnd"/>
            <w:r w:rsidRPr="00851039">
              <w:rPr>
                <w:rFonts w:ascii="Bookman Old Style" w:eastAsia="Bookman Old Style" w:hAnsi="Bookman Old Style" w:cs="Bookman Old Style"/>
                <w:sz w:val="24"/>
                <w:szCs w:val="24"/>
                <w:lang w:val="en-ID"/>
              </w:rPr>
              <w:t xml:space="preserve">; </w:t>
            </w:r>
          </w:p>
        </w:tc>
        <w:tc>
          <w:tcPr>
            <w:tcW w:w="1167" w:type="pct"/>
          </w:tcPr>
          <w:p w14:paraId="60B85CE9" w14:textId="280B889D"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1BD14C0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5FA72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6D03BA6" w14:textId="77777777" w:rsidTr="00C61A26">
        <w:trPr>
          <w:jc w:val="center"/>
        </w:trPr>
        <w:tc>
          <w:tcPr>
            <w:tcW w:w="1614" w:type="pct"/>
          </w:tcPr>
          <w:p w14:paraId="1C37985E" w14:textId="6B163242" w:rsidR="00BA5B70" w:rsidRPr="00851039" w:rsidRDefault="00BA5B70" w:rsidP="00BA5B70">
            <w:pPr>
              <w:pStyle w:val="ListParagraph"/>
              <w:numPr>
                <w:ilvl w:val="0"/>
                <w:numId w:val="29"/>
              </w:numPr>
              <w:jc w:val="both"/>
              <w:rPr>
                <w:rFonts w:ascii="Bookman Old Style" w:eastAsia="Bookman Old Style" w:hAnsi="Bookman Old Style" w:cs="Bookman Old Style"/>
                <w:sz w:val="24"/>
                <w:szCs w:val="24"/>
                <w:lang w:val="en-ID"/>
              </w:rPr>
            </w:pPr>
            <w:proofErr w:type="spellStart"/>
            <w:r w:rsidRPr="00851039">
              <w:rPr>
                <w:rFonts w:ascii="Bookman Old Style" w:eastAsia="Bookman Old Style" w:hAnsi="Bookman Old Style" w:cs="Bookman Old Style"/>
                <w:sz w:val="24"/>
                <w:szCs w:val="24"/>
                <w:lang w:val="en-ID"/>
              </w:rPr>
              <w:t>memindahkan</w:t>
            </w:r>
            <w:proofErr w:type="spellEnd"/>
            <w:r w:rsidRPr="00851039">
              <w:rPr>
                <w:rFonts w:ascii="Bookman Old Style" w:eastAsia="Bookman Old Style" w:hAnsi="Bookman Old Style" w:cs="Bookman Old Style"/>
                <w:sz w:val="24"/>
                <w:szCs w:val="24"/>
                <w:lang w:val="en-ID"/>
              </w:rPr>
              <w:t xml:space="preserve"> dana </w:t>
            </w:r>
            <w:proofErr w:type="spellStart"/>
            <w:r w:rsidRPr="00851039">
              <w:rPr>
                <w:rFonts w:ascii="Bookman Old Style" w:eastAsia="Bookman Old Style" w:hAnsi="Bookman Old Style" w:cs="Bookman Old Style"/>
                <w:sz w:val="24"/>
                <w:szCs w:val="24"/>
                <w:lang w:val="en-ID"/>
              </w:rPr>
              <w:t>dari</w:t>
            </w:r>
            <w:proofErr w:type="spellEnd"/>
            <w:r w:rsidRPr="00851039">
              <w:rPr>
                <w:rFonts w:ascii="Bookman Old Style" w:eastAsia="Bookman Old Style" w:hAnsi="Bookman Old Style" w:cs="Bookman Old Style"/>
                <w:sz w:val="24"/>
                <w:szCs w:val="24"/>
                <w:lang w:val="en-ID"/>
              </w:rPr>
              <w:t xml:space="preserve"> 1 (</w:t>
            </w:r>
            <w:proofErr w:type="spellStart"/>
            <w:r w:rsidRPr="00851039">
              <w:rPr>
                <w:rFonts w:ascii="Bookman Old Style" w:eastAsia="Bookman Old Style" w:hAnsi="Bookman Old Style" w:cs="Bookman Old Style"/>
                <w:sz w:val="24"/>
                <w:szCs w:val="24"/>
                <w:lang w:val="en-ID"/>
              </w:rPr>
              <w:t>satu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Subdana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ke</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Subdana</w:t>
            </w:r>
            <w:proofErr w:type="spellEnd"/>
            <w:r w:rsidRPr="00851039">
              <w:rPr>
                <w:rFonts w:ascii="Bookman Old Style" w:eastAsia="Bookman Old Style" w:hAnsi="Bookman Old Style" w:cs="Bookman Old Style"/>
                <w:sz w:val="24"/>
                <w:szCs w:val="24"/>
                <w:lang w:val="en-ID"/>
              </w:rPr>
              <w:t xml:space="preserve"> yang lain, </w:t>
            </w:r>
            <w:proofErr w:type="spellStart"/>
            <w:r w:rsidRPr="00851039">
              <w:rPr>
                <w:rFonts w:ascii="Bookman Old Style" w:eastAsia="Bookman Old Style" w:hAnsi="Bookman Old Style" w:cs="Bookman Old Style"/>
                <w:sz w:val="24"/>
                <w:szCs w:val="24"/>
                <w:lang w:val="en-ID"/>
              </w:rPr>
              <w:t>dalam</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hal</w:t>
            </w:r>
            <w:proofErr w:type="spellEnd"/>
            <w:r w:rsidRPr="00851039">
              <w:rPr>
                <w:rFonts w:ascii="Bookman Old Style" w:eastAsia="Bookman Old Style" w:hAnsi="Bookman Old Style" w:cs="Bookman Old Style"/>
                <w:sz w:val="24"/>
                <w:szCs w:val="24"/>
                <w:lang w:val="en-ID"/>
              </w:rPr>
              <w:t xml:space="preserve"> PAYDI </w:t>
            </w:r>
            <w:proofErr w:type="spellStart"/>
            <w:r w:rsidRPr="00851039">
              <w:rPr>
                <w:rFonts w:ascii="Bookman Old Style" w:eastAsia="Bookman Old Style" w:hAnsi="Bookman Old Style" w:cs="Bookman Old Style"/>
                <w:sz w:val="24"/>
                <w:szCs w:val="24"/>
                <w:lang w:val="en-ID"/>
              </w:rPr>
              <w:t>memiliki</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lebih</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dari</w:t>
            </w:r>
            <w:proofErr w:type="spellEnd"/>
            <w:r w:rsidRPr="00851039">
              <w:rPr>
                <w:rFonts w:ascii="Bookman Old Style" w:eastAsia="Bookman Old Style" w:hAnsi="Bookman Old Style" w:cs="Bookman Old Style"/>
                <w:sz w:val="24"/>
                <w:szCs w:val="24"/>
                <w:lang w:val="en-ID"/>
              </w:rPr>
              <w:t xml:space="preserve"> 1 (</w:t>
            </w:r>
            <w:proofErr w:type="spellStart"/>
            <w:r w:rsidRPr="00851039">
              <w:rPr>
                <w:rFonts w:ascii="Bookman Old Style" w:eastAsia="Bookman Old Style" w:hAnsi="Bookman Old Style" w:cs="Bookman Old Style"/>
                <w:sz w:val="24"/>
                <w:szCs w:val="24"/>
                <w:lang w:val="en-ID"/>
              </w:rPr>
              <w:t>satu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Subdana</w:t>
            </w:r>
            <w:proofErr w:type="spellEnd"/>
            <w:r w:rsidRPr="00851039">
              <w:rPr>
                <w:rFonts w:ascii="Bookman Old Style" w:eastAsia="Bookman Old Style" w:hAnsi="Bookman Old Style" w:cs="Bookman Old Style"/>
                <w:sz w:val="24"/>
                <w:szCs w:val="24"/>
                <w:lang w:val="en-ID"/>
              </w:rPr>
              <w:t xml:space="preserve">; dan </w:t>
            </w:r>
          </w:p>
        </w:tc>
        <w:tc>
          <w:tcPr>
            <w:tcW w:w="1167" w:type="pct"/>
          </w:tcPr>
          <w:p w14:paraId="1BDD0A78" w14:textId="3B101BDD"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09E7598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B62C29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C730BBC" w14:textId="77777777" w:rsidTr="00C61A26">
        <w:trPr>
          <w:jc w:val="center"/>
        </w:trPr>
        <w:tc>
          <w:tcPr>
            <w:tcW w:w="1614" w:type="pct"/>
          </w:tcPr>
          <w:p w14:paraId="4F421DA7" w14:textId="5C3B6C56" w:rsidR="00BA5B70" w:rsidRPr="00851039" w:rsidRDefault="00BA5B70" w:rsidP="00BA5B70">
            <w:pPr>
              <w:pStyle w:val="ListParagraph"/>
              <w:numPr>
                <w:ilvl w:val="0"/>
                <w:numId w:val="29"/>
              </w:numPr>
              <w:jc w:val="both"/>
              <w:rPr>
                <w:rFonts w:ascii="Bookman Old Style" w:eastAsia="Bookman Old Style" w:hAnsi="Bookman Old Style" w:cs="Bookman Old Style"/>
                <w:sz w:val="24"/>
                <w:szCs w:val="24"/>
                <w:lang w:val="en-ID"/>
              </w:rPr>
            </w:pPr>
            <w:proofErr w:type="spellStart"/>
            <w:r w:rsidRPr="00851039">
              <w:rPr>
                <w:rFonts w:ascii="Bookman Old Style" w:eastAsia="Bookman Old Style" w:hAnsi="Bookman Old Style" w:cs="Bookman Old Style"/>
                <w:sz w:val="24"/>
                <w:szCs w:val="24"/>
                <w:lang w:val="en-ID"/>
              </w:rPr>
              <w:t>tidak</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membayar</w:t>
            </w:r>
            <w:proofErr w:type="spellEnd"/>
            <w:r w:rsidRPr="00851039">
              <w:rPr>
                <w:rFonts w:ascii="Bookman Old Style" w:eastAsia="Bookman Old Style" w:hAnsi="Bookman Old Style" w:cs="Bookman Old Style"/>
                <w:sz w:val="24"/>
                <w:szCs w:val="24"/>
                <w:lang w:val="en-ID"/>
              </w:rPr>
              <w:t xml:space="preserve"> Premi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Kontribusi</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dalam</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suatu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periode</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tertentu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atas</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permintaan</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persetujuan</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Pemegang</w:t>
            </w:r>
            <w:proofErr w:type="spellEnd"/>
            <w:r w:rsidRPr="00851039">
              <w:rPr>
                <w:rFonts w:ascii="Bookman Old Style" w:eastAsia="Bookman Old Style" w:hAnsi="Bookman Old Style" w:cs="Bookman Old Style"/>
                <w:sz w:val="24"/>
                <w:szCs w:val="24"/>
                <w:lang w:val="en-ID"/>
              </w:rPr>
              <w:t xml:space="preserve"> Polis, </w:t>
            </w:r>
            <w:proofErr w:type="spellStart"/>
            <w:r w:rsidRPr="00851039">
              <w:rPr>
                <w:rFonts w:ascii="Bookman Old Style" w:eastAsia="Bookman Old Style" w:hAnsi="Bookman Old Style" w:cs="Bookman Old Style"/>
                <w:sz w:val="24"/>
                <w:szCs w:val="24"/>
                <w:lang w:val="en-ID"/>
              </w:rPr>
              <w:t>Tertanggung</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Peserta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beserta</w:t>
            </w:r>
            <w:proofErr w:type="spellEnd"/>
            <w:r w:rsidRPr="00851039">
              <w:rPr>
                <w:rFonts w:ascii="Bookman Old Style" w:eastAsia="Bookman Old Style" w:hAnsi="Bookman Old Style" w:cs="Bookman Old Style"/>
                <w:sz w:val="24"/>
                <w:szCs w:val="24"/>
                <w:lang w:val="en-ID"/>
              </w:rPr>
              <w:t xml:space="preserve"> tata </w:t>
            </w:r>
            <w:proofErr w:type="spellStart"/>
            <w:r w:rsidRPr="00851039">
              <w:rPr>
                <w:rFonts w:ascii="Bookman Old Style" w:eastAsia="Bookman Old Style" w:hAnsi="Bookman Old Style" w:cs="Bookman Old Style"/>
                <w:sz w:val="24"/>
                <w:szCs w:val="24"/>
                <w:lang w:val="en-ID"/>
              </w:rPr>
              <w:t>cara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pemberlakuan</w:t>
            </w:r>
            <w:proofErr w:type="spellEnd"/>
            <w:r w:rsidRPr="00851039">
              <w:rPr>
                <w:rFonts w:ascii="Bookman Old Style" w:eastAsia="Bookman Old Style" w:hAnsi="Bookman Old Style" w:cs="Bookman Old Style"/>
                <w:sz w:val="24"/>
                <w:szCs w:val="24"/>
                <w:lang w:val="en-ID"/>
              </w:rPr>
              <w:t xml:space="preserve"> dan </w:t>
            </w:r>
            <w:proofErr w:type="spellStart"/>
            <w:r w:rsidRPr="00851039">
              <w:rPr>
                <w:rFonts w:ascii="Bookman Old Style" w:eastAsia="Bookman Old Style" w:hAnsi="Bookman Old Style" w:cs="Bookman Old Style"/>
                <w:sz w:val="24"/>
                <w:szCs w:val="24"/>
                <w:lang w:val="en-ID"/>
              </w:rPr>
              <w:lastRenderedPageBreak/>
              <w:t>konsekuensinya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dalam</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hal</w:t>
            </w:r>
            <w:proofErr w:type="spellEnd"/>
            <w:r w:rsidRPr="00851039">
              <w:rPr>
                <w:rFonts w:ascii="Bookman Old Style" w:eastAsia="Bookman Old Style" w:hAnsi="Bookman Old Style" w:cs="Bookman Old Style"/>
                <w:sz w:val="24"/>
                <w:szCs w:val="24"/>
                <w:lang w:val="en-ID"/>
              </w:rPr>
              <w:t xml:space="preserve"> Premi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Kontribusi</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dibayarkan</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secara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berkala</w:t>
            </w:r>
            <w:proofErr w:type="spellEnd"/>
            <w:r w:rsidRPr="00851039">
              <w:rPr>
                <w:rFonts w:ascii="Bookman Old Style" w:eastAsia="Bookman Old Style" w:hAnsi="Bookman Old Style" w:cs="Bookman Old Style"/>
                <w:sz w:val="24"/>
                <w:szCs w:val="24"/>
                <w:lang w:val="en-ID"/>
              </w:rPr>
              <w:t>;</w:t>
            </w:r>
          </w:p>
        </w:tc>
        <w:tc>
          <w:tcPr>
            <w:tcW w:w="1167" w:type="pct"/>
          </w:tcPr>
          <w:p w14:paraId="367863D0" w14:textId="2716C121"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lastRenderedPageBreak/>
              <w:t xml:space="preserve">Tidak membayar Premi atau Kontribusi dalam suatu periode tertentu biasa dikenal dengan istilah cuti </w:t>
            </w:r>
            <w:r w:rsidRPr="001D24E3">
              <w:rPr>
                <w:rFonts w:ascii="Bookman Old Style" w:eastAsia="Bookman Old Style" w:hAnsi="Bookman Old Style" w:cs="Bookman Old Style"/>
                <w:sz w:val="24"/>
                <w:szCs w:val="24"/>
              </w:rPr>
              <w:lastRenderedPageBreak/>
              <w:t>premi/kontribusi atau</w:t>
            </w:r>
            <w:r>
              <w:rPr>
                <w:rFonts w:ascii="Bookman Old Style" w:eastAsia="Bookman Old Style" w:hAnsi="Bookman Old Style" w:cs="Bookman Old Style"/>
                <w:sz w:val="24"/>
                <w:szCs w:val="24"/>
              </w:rPr>
              <w:t xml:space="preserve"> </w:t>
            </w:r>
            <w:r w:rsidRPr="001D24E3">
              <w:rPr>
                <w:rFonts w:ascii="Bookman Old Style" w:eastAsia="Bookman Old Style" w:hAnsi="Bookman Old Style" w:cs="Bookman Old Style"/>
                <w:i/>
                <w:iCs/>
                <w:sz w:val="24"/>
                <w:szCs w:val="24"/>
              </w:rPr>
              <w:t>premium/contribution holiday</w:t>
            </w:r>
            <w:r w:rsidRPr="001D24E3">
              <w:rPr>
                <w:rFonts w:ascii="Bookman Old Style" w:eastAsia="Bookman Old Style" w:hAnsi="Bookman Old Style" w:cs="Bookman Old Style"/>
                <w:sz w:val="24"/>
                <w:szCs w:val="24"/>
              </w:rPr>
              <w:t>.</w:t>
            </w:r>
          </w:p>
        </w:tc>
        <w:tc>
          <w:tcPr>
            <w:tcW w:w="1109" w:type="pct"/>
          </w:tcPr>
          <w:p w14:paraId="4399FBB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55AEE42"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2134569" w14:textId="77777777" w:rsidTr="00C61A26">
        <w:trPr>
          <w:jc w:val="center"/>
        </w:trPr>
        <w:tc>
          <w:tcPr>
            <w:tcW w:w="1614" w:type="pct"/>
          </w:tcPr>
          <w:p w14:paraId="219E4F56" w14:textId="672E99E4" w:rsidR="00BA5B70" w:rsidRPr="00851039" w:rsidRDefault="00BA5B70">
            <w:pPr>
              <w:pStyle w:val="ListParagraph"/>
              <w:numPr>
                <w:ilvl w:val="0"/>
                <w:numId w:val="91"/>
              </w:numPr>
              <w:jc w:val="both"/>
              <w:rPr>
                <w:rFonts w:ascii="Bookman Old Style" w:eastAsia="Bookman Old Style" w:hAnsi="Bookman Old Style" w:cs="Bookman Old Style"/>
                <w:sz w:val="24"/>
                <w:szCs w:val="24"/>
                <w:lang w:val="en-ID"/>
              </w:rPr>
            </w:pPr>
            <w:proofErr w:type="spellStart"/>
            <w:r w:rsidRPr="00851039">
              <w:rPr>
                <w:rFonts w:ascii="Bookman Old Style" w:eastAsia="Bookman Old Style" w:hAnsi="Bookman Old Style" w:cs="Bookman Old Style"/>
                <w:sz w:val="24"/>
                <w:szCs w:val="24"/>
                <w:lang w:val="en-ID"/>
              </w:rPr>
              <w:t>fitur</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tambahan</w:t>
            </w:r>
            <w:proofErr w:type="spellEnd"/>
            <w:r w:rsidRPr="00851039">
              <w:rPr>
                <w:rFonts w:ascii="Bookman Old Style" w:eastAsia="Bookman Old Style" w:hAnsi="Bookman Old Style" w:cs="Bookman Old Style"/>
                <w:sz w:val="24"/>
                <w:szCs w:val="24"/>
                <w:lang w:val="en-ID"/>
              </w:rPr>
              <w:t xml:space="preserve"> yang </w:t>
            </w:r>
            <w:proofErr w:type="spellStart"/>
            <w:r w:rsidRPr="00851039">
              <w:rPr>
                <w:rFonts w:ascii="Bookman Old Style" w:eastAsia="Bookman Old Style" w:hAnsi="Bookman Old Style" w:cs="Bookman Old Style"/>
                <w:sz w:val="24"/>
                <w:szCs w:val="24"/>
                <w:lang w:val="en-ID"/>
              </w:rPr>
              <w:t>dimiliki</w:t>
            </w:r>
            <w:proofErr w:type="spellEnd"/>
            <w:r w:rsidRPr="00851039">
              <w:rPr>
                <w:rFonts w:ascii="Bookman Old Style" w:eastAsia="Bookman Old Style" w:hAnsi="Bookman Old Style" w:cs="Bookman Old Style"/>
                <w:sz w:val="24"/>
                <w:szCs w:val="24"/>
                <w:lang w:val="en-ID"/>
              </w:rPr>
              <w:t xml:space="preserve"> PAYDI dan </w:t>
            </w:r>
            <w:proofErr w:type="spellStart"/>
            <w:r w:rsidRPr="00851039">
              <w:rPr>
                <w:rFonts w:ascii="Bookman Old Style" w:eastAsia="Bookman Old Style" w:hAnsi="Bookman Old Style" w:cs="Bookman Old Style"/>
                <w:sz w:val="24"/>
                <w:szCs w:val="24"/>
                <w:lang w:val="en-ID"/>
              </w:rPr>
              <w:t>persyaratan</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kriteria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untuk</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memperoleh</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fitur</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tersebut</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jika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ada</w:t>
            </w:r>
            <w:proofErr w:type="spellEnd"/>
            <w:r w:rsidRPr="00851039">
              <w:rPr>
                <w:rFonts w:ascii="Bookman Old Style" w:eastAsia="Bookman Old Style" w:hAnsi="Bookman Old Style" w:cs="Bookman Old Style"/>
                <w:sz w:val="24"/>
                <w:szCs w:val="24"/>
                <w:lang w:val="en-ID"/>
              </w:rPr>
              <w:t>; dan</w:t>
            </w:r>
          </w:p>
        </w:tc>
        <w:tc>
          <w:tcPr>
            <w:tcW w:w="1167" w:type="pct"/>
          </w:tcPr>
          <w:p w14:paraId="51565302" w14:textId="404CF388"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77BB597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6490C8"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A10CFC1" w14:textId="77777777" w:rsidTr="00C61A26">
        <w:trPr>
          <w:jc w:val="center"/>
        </w:trPr>
        <w:tc>
          <w:tcPr>
            <w:tcW w:w="1614" w:type="pct"/>
          </w:tcPr>
          <w:p w14:paraId="6088C54A" w14:textId="7ADD39BD" w:rsidR="00BA5B70" w:rsidRPr="00851039" w:rsidRDefault="00BA5B70">
            <w:pPr>
              <w:pStyle w:val="ListParagraph"/>
              <w:numPr>
                <w:ilvl w:val="0"/>
                <w:numId w:val="91"/>
              </w:numPr>
              <w:jc w:val="both"/>
              <w:rPr>
                <w:rFonts w:ascii="Bookman Old Style" w:eastAsia="Bookman Old Style" w:hAnsi="Bookman Old Style" w:cs="Bookman Old Style"/>
                <w:sz w:val="24"/>
                <w:szCs w:val="24"/>
                <w:lang w:val="en-ID"/>
              </w:rPr>
            </w:pPr>
            <w:proofErr w:type="spellStart"/>
            <w:r w:rsidRPr="00851039">
              <w:rPr>
                <w:rFonts w:ascii="Bookman Old Style" w:eastAsia="Bookman Old Style" w:hAnsi="Bookman Old Style" w:cs="Bookman Old Style"/>
                <w:sz w:val="24"/>
                <w:szCs w:val="24"/>
                <w:lang w:val="en-ID"/>
              </w:rPr>
              <w:t>biaya</w:t>
            </w:r>
            <w:proofErr w:type="spellEnd"/>
            <w:r w:rsidRPr="00851039">
              <w:rPr>
                <w:rFonts w:ascii="Bookman Old Style" w:eastAsia="Bookman Old Style" w:hAnsi="Bookman Old Style" w:cs="Bookman Old Style"/>
                <w:sz w:val="24"/>
                <w:szCs w:val="24"/>
                <w:lang w:val="en-ID"/>
              </w:rPr>
              <w:t xml:space="preserve"> yang </w:t>
            </w:r>
            <w:proofErr w:type="spellStart"/>
            <w:r w:rsidRPr="00851039">
              <w:rPr>
                <w:rFonts w:ascii="Bookman Old Style" w:eastAsia="Bookman Old Style" w:hAnsi="Bookman Old Style" w:cs="Bookman Old Style"/>
                <w:sz w:val="24"/>
                <w:szCs w:val="24"/>
                <w:lang w:val="en-ID"/>
              </w:rPr>
              <w:t>dibebankan</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kepada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Pemegang</w:t>
            </w:r>
            <w:proofErr w:type="spellEnd"/>
            <w:r w:rsidRPr="00851039">
              <w:rPr>
                <w:rFonts w:ascii="Bookman Old Style" w:eastAsia="Bookman Old Style" w:hAnsi="Bookman Old Style" w:cs="Bookman Old Style"/>
                <w:sz w:val="24"/>
                <w:szCs w:val="24"/>
                <w:lang w:val="en-ID"/>
              </w:rPr>
              <w:t xml:space="preserve"> Polis, </w:t>
            </w:r>
            <w:proofErr w:type="spellStart"/>
            <w:r w:rsidRPr="00851039">
              <w:rPr>
                <w:rFonts w:ascii="Bookman Old Style" w:eastAsia="Bookman Old Style" w:hAnsi="Bookman Old Style" w:cs="Bookman Old Style"/>
                <w:sz w:val="24"/>
                <w:szCs w:val="24"/>
                <w:lang w:val="en-ID"/>
              </w:rPr>
              <w:t>Tertanggung</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Peserta</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dalam</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hal</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Pemegang</w:t>
            </w:r>
            <w:proofErr w:type="spellEnd"/>
            <w:r w:rsidRPr="00851039">
              <w:rPr>
                <w:rFonts w:ascii="Bookman Old Style" w:eastAsia="Bookman Old Style" w:hAnsi="Bookman Old Style" w:cs="Bookman Old Style"/>
                <w:sz w:val="24"/>
                <w:szCs w:val="24"/>
                <w:lang w:val="en-ID"/>
              </w:rPr>
              <w:t xml:space="preserve"> Polis </w:t>
            </w:r>
            <w:proofErr w:type="spellStart"/>
            <w:r w:rsidRPr="00851039">
              <w:rPr>
                <w:rFonts w:ascii="Bookman Old Style" w:eastAsia="Bookman Old Style" w:hAnsi="Bookman Old Style" w:cs="Bookman Old Style"/>
                <w:sz w:val="24"/>
                <w:szCs w:val="24"/>
                <w:lang w:val="en-ID"/>
              </w:rPr>
              <w:t>tidak</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membatalkan</w:t>
            </w:r>
            <w:proofErr w:type="spellEnd"/>
            <w:r w:rsidRPr="00851039">
              <w:rPr>
                <w:rFonts w:ascii="Bookman Old Style" w:eastAsia="Bookman Old Style" w:hAnsi="Bookman Old Style" w:cs="Bookman Old Style"/>
                <w:sz w:val="24"/>
                <w:szCs w:val="24"/>
                <w:lang w:val="en-ID"/>
              </w:rPr>
              <w:t xml:space="preserve"> Polis Asuransi </w:t>
            </w:r>
            <w:proofErr w:type="spellStart"/>
            <w:r w:rsidRPr="00851039">
              <w:rPr>
                <w:rFonts w:ascii="Bookman Old Style" w:eastAsia="Bookman Old Style" w:hAnsi="Bookman Old Style" w:cs="Bookman Old Style"/>
                <w:sz w:val="24"/>
                <w:szCs w:val="24"/>
                <w:lang w:val="en-ID"/>
              </w:rPr>
              <w:t>setelah</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periode</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pembayaran</w:t>
            </w:r>
            <w:proofErr w:type="spellEnd"/>
            <w:r w:rsidRPr="00851039">
              <w:rPr>
                <w:rFonts w:ascii="Bookman Old Style" w:eastAsia="Bookman Old Style" w:hAnsi="Bookman Old Style" w:cs="Bookman Old Style"/>
                <w:sz w:val="24"/>
                <w:szCs w:val="24"/>
                <w:lang w:val="en-ID"/>
              </w:rPr>
              <w:t xml:space="preserve"> Premi </w:t>
            </w:r>
            <w:proofErr w:type="spellStart"/>
            <w:r w:rsidRPr="00851039">
              <w:rPr>
                <w:rFonts w:ascii="Bookman Old Style" w:eastAsia="Bookman Old Style" w:hAnsi="Bookman Old Style" w:cs="Bookman Old Style"/>
                <w:sz w:val="24"/>
                <w:szCs w:val="24"/>
                <w:lang w:val="en-ID"/>
              </w:rPr>
              <w:t>atau</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Kontribusi</w:t>
            </w:r>
            <w:proofErr w:type="spellEnd"/>
            <w:r w:rsidRPr="00851039">
              <w:rPr>
                <w:rFonts w:ascii="Bookman Old Style" w:eastAsia="Bookman Old Style" w:hAnsi="Bookman Old Style" w:cs="Bookman Old Style"/>
                <w:sz w:val="24"/>
                <w:szCs w:val="24"/>
                <w:lang w:val="en-ID"/>
              </w:rPr>
              <w:t xml:space="preserve"> </w:t>
            </w:r>
            <w:proofErr w:type="spellStart"/>
            <w:r w:rsidRPr="00851039">
              <w:rPr>
                <w:rFonts w:ascii="Bookman Old Style" w:eastAsia="Bookman Old Style" w:hAnsi="Bookman Old Style" w:cs="Bookman Old Style"/>
                <w:sz w:val="24"/>
                <w:szCs w:val="24"/>
                <w:lang w:val="en-ID"/>
              </w:rPr>
              <w:t>berakhir</w:t>
            </w:r>
            <w:proofErr w:type="spellEnd"/>
            <w:r w:rsidRPr="00851039">
              <w:rPr>
                <w:rFonts w:ascii="Bookman Old Style" w:eastAsia="Bookman Old Style" w:hAnsi="Bookman Old Style" w:cs="Bookman Old Style"/>
                <w:sz w:val="24"/>
                <w:szCs w:val="24"/>
                <w:lang w:val="en-ID"/>
              </w:rPr>
              <w:t>.</w:t>
            </w:r>
          </w:p>
        </w:tc>
        <w:tc>
          <w:tcPr>
            <w:tcW w:w="1167" w:type="pct"/>
          </w:tcPr>
          <w:p w14:paraId="7A05957E" w14:textId="16CC2BA5"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4344E9B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5C74E3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735CB7E" w14:textId="77777777" w:rsidTr="00C61A26">
        <w:trPr>
          <w:jc w:val="center"/>
        </w:trPr>
        <w:tc>
          <w:tcPr>
            <w:tcW w:w="1614" w:type="pct"/>
          </w:tcPr>
          <w:p w14:paraId="6BFAD7AC" w14:textId="271DDCAB" w:rsidR="00BA5B70" w:rsidRPr="00E566C4" w:rsidRDefault="00BA5B70" w:rsidP="00BA5B70">
            <w:pPr>
              <w:pStyle w:val="ListParagraph"/>
              <w:numPr>
                <w:ilvl w:val="0"/>
                <w:numId w:val="30"/>
              </w:numPr>
              <w:jc w:val="both"/>
              <w:rPr>
                <w:rFonts w:ascii="Bookman Old Style" w:eastAsia="Bookman Old Style" w:hAnsi="Bookman Old Style" w:cs="Bookman Old Style"/>
                <w:color w:val="000000" w:themeColor="text1"/>
                <w:sz w:val="24"/>
                <w:szCs w:val="24"/>
                <w:lang w:val="en-ID"/>
              </w:rPr>
            </w:pPr>
            <w:r w:rsidRPr="00E566C4">
              <w:rPr>
                <w:rFonts w:ascii="Bookman Old Style" w:eastAsia="Bookman Old Style" w:hAnsi="Bookman Old Style" w:cs="Bookman Old Style"/>
                <w:color w:val="000000" w:themeColor="text1"/>
                <w:sz w:val="24"/>
                <w:szCs w:val="24"/>
                <w:lang w:val="en-ID"/>
              </w:rPr>
              <w:t xml:space="preserve">Perusahaan Asuransi </w:t>
            </w:r>
            <w:proofErr w:type="spellStart"/>
            <w:r w:rsidRPr="00E566C4">
              <w:rPr>
                <w:rFonts w:ascii="Bookman Old Style" w:eastAsia="Bookman Old Style" w:hAnsi="Bookman Old Style" w:cs="Bookman Old Style"/>
                <w:color w:val="000000" w:themeColor="text1"/>
                <w:sz w:val="24"/>
                <w:szCs w:val="24"/>
                <w:lang w:val="en-ID"/>
              </w:rPr>
              <w:t>atau</w:t>
            </w:r>
            <w:proofErr w:type="spellEnd"/>
            <w:r w:rsidRPr="00E566C4">
              <w:rPr>
                <w:rFonts w:ascii="Bookman Old Style" w:eastAsia="Bookman Old Style" w:hAnsi="Bookman Old Style" w:cs="Bookman Old Style"/>
                <w:color w:val="000000" w:themeColor="text1"/>
                <w:sz w:val="24"/>
                <w:szCs w:val="24"/>
                <w:lang w:val="en-ID"/>
              </w:rPr>
              <w:t xml:space="preserve"> Perusahaan Asuransi Syariah </w:t>
            </w:r>
            <w:proofErr w:type="spellStart"/>
            <w:r w:rsidRPr="00E566C4">
              <w:rPr>
                <w:rFonts w:ascii="Bookman Old Style" w:eastAsia="Bookman Old Style" w:hAnsi="Bookman Old Style" w:cs="Bookman Old Style"/>
                <w:color w:val="000000" w:themeColor="text1"/>
                <w:sz w:val="24"/>
                <w:szCs w:val="24"/>
                <w:lang w:val="en-ID"/>
              </w:rPr>
              <w:t>dilarang</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memberlakukan</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periode</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tunggu</w:t>
            </w:r>
            <w:proofErr w:type="spellEnd"/>
            <w:r w:rsidRPr="00E566C4">
              <w:rPr>
                <w:rFonts w:ascii="Bookman Old Style" w:eastAsia="Bookman Old Style" w:hAnsi="Bookman Old Style" w:cs="Bookman Old Style"/>
                <w:color w:val="000000" w:themeColor="text1"/>
                <w:sz w:val="24"/>
                <w:szCs w:val="24"/>
                <w:lang w:val="en-ID"/>
              </w:rPr>
              <w:t xml:space="preserve"> pada PAYDI </w:t>
            </w:r>
            <w:proofErr w:type="spellStart"/>
            <w:r w:rsidRPr="00E566C4">
              <w:rPr>
                <w:rFonts w:ascii="Bookman Old Style" w:eastAsia="Bookman Old Style" w:hAnsi="Bookman Old Style" w:cs="Bookman Old Style"/>
                <w:color w:val="000000" w:themeColor="text1"/>
                <w:sz w:val="24"/>
                <w:szCs w:val="24"/>
                <w:lang w:val="en-ID"/>
              </w:rPr>
              <w:t>kecuali</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Tertanggung</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atau</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Peserta</w:t>
            </w:r>
            <w:proofErr w:type="spellEnd"/>
            <w:r w:rsidRPr="00E566C4">
              <w:rPr>
                <w:rFonts w:ascii="Bookman Old Style" w:eastAsia="Bookman Old Style" w:hAnsi="Bookman Old Style" w:cs="Bookman Old Style"/>
                <w:color w:val="000000" w:themeColor="text1"/>
                <w:sz w:val="24"/>
                <w:szCs w:val="24"/>
                <w:lang w:val="en-ID"/>
              </w:rPr>
              <w:t xml:space="preserve"> </w:t>
            </w:r>
            <w:proofErr w:type="spellStart"/>
            <w:r w:rsidRPr="00E566C4">
              <w:rPr>
                <w:rFonts w:ascii="Bookman Old Style" w:eastAsia="Bookman Old Style" w:hAnsi="Bookman Old Style" w:cs="Bookman Old Style"/>
                <w:color w:val="000000" w:themeColor="text1"/>
                <w:sz w:val="24"/>
                <w:szCs w:val="24"/>
                <w:lang w:val="en-ID"/>
              </w:rPr>
              <w:t>telah</w:t>
            </w:r>
            <w:proofErr w:type="spellEnd"/>
            <w:r w:rsidRPr="00E566C4">
              <w:rPr>
                <w:rFonts w:ascii="Bookman Old Style" w:eastAsia="Bookman Old Style" w:hAnsi="Bookman Old Style" w:cs="Bookman Old Style"/>
                <w:color w:val="000000" w:themeColor="text1"/>
                <w:sz w:val="24"/>
                <w:szCs w:val="24"/>
                <w:lang w:val="en-ID"/>
              </w:rPr>
              <w:t>:</w:t>
            </w:r>
          </w:p>
        </w:tc>
        <w:tc>
          <w:tcPr>
            <w:tcW w:w="1167" w:type="pct"/>
          </w:tcPr>
          <w:p w14:paraId="1130E0C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B2C703D"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DA993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20F4471" w14:textId="77777777" w:rsidTr="00C61A26">
        <w:trPr>
          <w:jc w:val="center"/>
        </w:trPr>
        <w:tc>
          <w:tcPr>
            <w:tcW w:w="1614" w:type="pct"/>
          </w:tcPr>
          <w:p w14:paraId="202EE327" w14:textId="6F275F21" w:rsidR="00BA5B70" w:rsidRPr="001E7244" w:rsidRDefault="00BA5B70" w:rsidP="00BA5B70">
            <w:pPr>
              <w:pStyle w:val="ListParagraph"/>
              <w:numPr>
                <w:ilvl w:val="1"/>
                <w:numId w:val="31"/>
              </w:numPr>
              <w:jc w:val="both"/>
              <w:rPr>
                <w:rFonts w:ascii="Bookman Old Style" w:eastAsia="Bookman Old Style" w:hAnsi="Bookman Old Style" w:cs="Bookman Old Style"/>
                <w:sz w:val="24"/>
                <w:szCs w:val="24"/>
                <w:lang w:val="en-ID"/>
              </w:rPr>
            </w:pPr>
            <w:proofErr w:type="spellStart"/>
            <w:r w:rsidRPr="001E7244">
              <w:rPr>
                <w:rFonts w:ascii="Bookman Old Style" w:eastAsia="Bookman Old Style" w:hAnsi="Bookman Old Style" w:cs="Bookman Old Style"/>
                <w:sz w:val="24"/>
                <w:szCs w:val="24"/>
                <w:lang w:val="en-ID"/>
              </w:rPr>
              <w:t>memilih</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tidak</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dilakukan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pemeriksaan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kesehatan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sesuai</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dengan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ketentuan</w:t>
            </w:r>
            <w:proofErr w:type="spellEnd"/>
            <w:r w:rsidRPr="001E7244">
              <w:rPr>
                <w:rFonts w:ascii="Bookman Old Style" w:eastAsia="Bookman Old Style" w:hAnsi="Bookman Old Style" w:cs="Bookman Old Style"/>
                <w:sz w:val="24"/>
                <w:szCs w:val="24"/>
                <w:lang w:val="en-ID"/>
              </w:rPr>
              <w:t xml:space="preserve"> </w:t>
            </w:r>
            <w:r w:rsidRPr="001E7244">
              <w:rPr>
                <w:rFonts w:ascii="Bookman Old Style" w:eastAsia="Bookman Old Style" w:hAnsi="Bookman Old Style" w:cs="Bookman Old Style"/>
                <w:i/>
                <w:iCs/>
                <w:sz w:val="24"/>
                <w:szCs w:val="24"/>
                <w:lang w:val="en-ID"/>
              </w:rPr>
              <w:t>underwriting</w:t>
            </w:r>
            <w:r w:rsidRPr="001E7244">
              <w:rPr>
                <w:rFonts w:ascii="Bookman Old Style" w:eastAsia="Bookman Old Style" w:hAnsi="Bookman Old Style" w:cs="Bookman Old Style"/>
                <w:sz w:val="24"/>
                <w:szCs w:val="24"/>
                <w:lang w:val="en-ID"/>
              </w:rPr>
              <w:t xml:space="preserve">; dan </w:t>
            </w:r>
          </w:p>
        </w:tc>
        <w:tc>
          <w:tcPr>
            <w:tcW w:w="1167" w:type="pct"/>
          </w:tcPr>
          <w:p w14:paraId="41CD2184" w14:textId="42395C50"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 xml:space="preserve">Pemeriksaan kesehatan biasa dikenal dengan istilah </w:t>
            </w:r>
            <w:r w:rsidRPr="001D24E3">
              <w:rPr>
                <w:rFonts w:ascii="Bookman Old Style" w:eastAsia="Bookman Old Style" w:hAnsi="Bookman Old Style" w:cs="Bookman Old Style"/>
                <w:i/>
                <w:iCs/>
                <w:sz w:val="24"/>
                <w:szCs w:val="24"/>
              </w:rPr>
              <w:t>medical check-up</w:t>
            </w:r>
            <w:r w:rsidRPr="001D24E3">
              <w:rPr>
                <w:rFonts w:ascii="Bookman Old Style" w:eastAsia="Bookman Old Style" w:hAnsi="Bookman Old Style" w:cs="Bookman Old Style"/>
                <w:sz w:val="24"/>
                <w:szCs w:val="24"/>
              </w:rPr>
              <w:t>.</w:t>
            </w:r>
          </w:p>
        </w:tc>
        <w:tc>
          <w:tcPr>
            <w:tcW w:w="1109" w:type="pct"/>
          </w:tcPr>
          <w:p w14:paraId="758B9054"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62CDC62"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A2D2128" w14:textId="77777777" w:rsidTr="00C61A26">
        <w:trPr>
          <w:jc w:val="center"/>
        </w:trPr>
        <w:tc>
          <w:tcPr>
            <w:tcW w:w="1614" w:type="pct"/>
          </w:tcPr>
          <w:p w14:paraId="56F739E9" w14:textId="2B186564" w:rsidR="00BA5B70" w:rsidRPr="001E7244" w:rsidRDefault="00BA5B70" w:rsidP="00BA5B70">
            <w:pPr>
              <w:pStyle w:val="ListParagraph"/>
              <w:numPr>
                <w:ilvl w:val="1"/>
                <w:numId w:val="31"/>
              </w:numPr>
              <w:jc w:val="both"/>
              <w:rPr>
                <w:rFonts w:ascii="Bookman Old Style" w:eastAsia="Bookman Old Style" w:hAnsi="Bookman Old Style" w:cs="Bookman Old Style"/>
                <w:sz w:val="24"/>
                <w:szCs w:val="24"/>
                <w:lang w:val="en-ID"/>
              </w:rPr>
            </w:pPr>
            <w:proofErr w:type="spellStart"/>
            <w:r w:rsidRPr="001E7244">
              <w:rPr>
                <w:rFonts w:ascii="Bookman Old Style" w:eastAsia="Bookman Old Style" w:hAnsi="Bookman Old Style" w:cs="Bookman Old Style"/>
                <w:sz w:val="24"/>
                <w:szCs w:val="24"/>
                <w:lang w:val="en-ID"/>
              </w:rPr>
              <w:t>memahami</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konsekuensi</w:t>
            </w:r>
            <w:proofErr w:type="spellEnd"/>
            <w:r w:rsidRPr="001E7244">
              <w:rPr>
                <w:rFonts w:ascii="Bookman Old Style" w:eastAsia="Bookman Old Style" w:hAnsi="Bookman Old Style" w:cs="Bookman Old Style"/>
                <w:sz w:val="24"/>
                <w:szCs w:val="24"/>
                <w:lang w:val="en-ID"/>
              </w:rPr>
              <w:t xml:space="preserve"> masa </w:t>
            </w:r>
            <w:proofErr w:type="spellStart"/>
            <w:r w:rsidRPr="001E7244">
              <w:rPr>
                <w:rFonts w:ascii="Bookman Old Style" w:eastAsia="Bookman Old Style" w:hAnsi="Bookman Old Style" w:cs="Bookman Old Style"/>
                <w:sz w:val="24"/>
                <w:szCs w:val="24"/>
                <w:lang w:val="en-ID"/>
              </w:rPr>
              <w:t>tunggu</w:t>
            </w:r>
            <w:proofErr w:type="spellEnd"/>
          </w:p>
        </w:tc>
        <w:tc>
          <w:tcPr>
            <w:tcW w:w="1167" w:type="pct"/>
          </w:tcPr>
          <w:p w14:paraId="65758D7D" w14:textId="187F685E"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69C1D93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B5EC0A"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1313E13" w14:textId="77777777" w:rsidTr="00C61A26">
        <w:trPr>
          <w:jc w:val="center"/>
        </w:trPr>
        <w:tc>
          <w:tcPr>
            <w:tcW w:w="1614" w:type="pct"/>
          </w:tcPr>
          <w:p w14:paraId="733CA56B" w14:textId="0D66FC18" w:rsidR="00BA5B70" w:rsidRPr="001E7244" w:rsidRDefault="00BA5B70" w:rsidP="00BA5B70">
            <w:pPr>
              <w:pStyle w:val="ListParagraph"/>
              <w:numPr>
                <w:ilvl w:val="0"/>
                <w:numId w:val="32"/>
              </w:numPr>
              <w:jc w:val="both"/>
              <w:rPr>
                <w:rFonts w:ascii="Bookman Old Style" w:eastAsia="Bookman Old Style" w:hAnsi="Bookman Old Style" w:cs="Bookman Old Style"/>
                <w:sz w:val="24"/>
                <w:szCs w:val="24"/>
                <w:lang w:val="en-ID"/>
              </w:rPr>
            </w:pPr>
            <w:proofErr w:type="spellStart"/>
            <w:r w:rsidRPr="001E7244">
              <w:rPr>
                <w:rFonts w:ascii="Bookman Old Style" w:eastAsia="Bookman Old Style" w:hAnsi="Bookman Old Style" w:cs="Bookman Old Style"/>
                <w:sz w:val="24"/>
                <w:szCs w:val="24"/>
                <w:lang w:val="en-ID"/>
              </w:rPr>
              <w:t>Ketentuan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mengenai</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cuti</w:t>
            </w:r>
            <w:proofErr w:type="spellEnd"/>
            <w:r w:rsidRPr="001E7244">
              <w:rPr>
                <w:rFonts w:ascii="Bookman Old Style" w:eastAsia="Bookman Old Style" w:hAnsi="Bookman Old Style" w:cs="Bookman Old Style"/>
                <w:sz w:val="24"/>
                <w:szCs w:val="24"/>
                <w:lang w:val="en-ID"/>
              </w:rPr>
              <w:t xml:space="preserve"> Premi </w:t>
            </w:r>
            <w:proofErr w:type="spellStart"/>
            <w:r w:rsidRPr="001E7244">
              <w:rPr>
                <w:rFonts w:ascii="Bookman Old Style" w:eastAsia="Bookman Old Style" w:hAnsi="Bookman Old Style" w:cs="Bookman Old Style"/>
                <w:sz w:val="24"/>
                <w:szCs w:val="24"/>
                <w:lang w:val="en-ID"/>
              </w:rPr>
              <w:t>atau</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Kontribusi</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bagi</w:t>
            </w:r>
            <w:proofErr w:type="spellEnd"/>
            <w:r w:rsidRPr="001E7244">
              <w:rPr>
                <w:rFonts w:ascii="Bookman Old Style" w:eastAsia="Bookman Old Style" w:hAnsi="Bookman Old Style" w:cs="Bookman Old Style"/>
                <w:sz w:val="24"/>
                <w:szCs w:val="24"/>
                <w:lang w:val="en-ID"/>
              </w:rPr>
              <w:t xml:space="preserve"> PAYDI </w:t>
            </w:r>
            <w:proofErr w:type="spellStart"/>
            <w:r w:rsidRPr="001E7244">
              <w:rPr>
                <w:rFonts w:ascii="Bookman Old Style" w:eastAsia="Bookman Old Style" w:hAnsi="Bookman Old Style" w:cs="Bookman Old Style"/>
                <w:sz w:val="24"/>
                <w:szCs w:val="24"/>
                <w:lang w:val="en-ID"/>
              </w:rPr>
              <w:t>hanya</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dapat</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diberlakukan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atas</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permintaan</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Pemegang</w:t>
            </w:r>
            <w:proofErr w:type="spellEnd"/>
            <w:r w:rsidRPr="001E7244">
              <w:rPr>
                <w:rFonts w:ascii="Bookman Old Style" w:eastAsia="Bookman Old Style" w:hAnsi="Bookman Old Style" w:cs="Bookman Old Style"/>
                <w:sz w:val="24"/>
                <w:szCs w:val="24"/>
                <w:lang w:val="en-ID"/>
              </w:rPr>
              <w:t xml:space="preserve"> Polis, </w:t>
            </w:r>
            <w:proofErr w:type="spellStart"/>
            <w:r w:rsidRPr="001E7244">
              <w:rPr>
                <w:rFonts w:ascii="Bookman Old Style" w:eastAsia="Bookman Old Style" w:hAnsi="Bookman Old Style" w:cs="Bookman Old Style"/>
                <w:sz w:val="24"/>
                <w:szCs w:val="24"/>
                <w:lang w:val="en-ID"/>
              </w:rPr>
              <w:t>Tertanggung</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atau</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Peserta</w:t>
            </w:r>
            <w:proofErr w:type="spellEnd"/>
            <w:r w:rsidRPr="001E7244">
              <w:rPr>
                <w:rFonts w:ascii="Bookman Old Style" w:eastAsia="Bookman Old Style" w:hAnsi="Bookman Old Style" w:cs="Bookman Old Style"/>
                <w:sz w:val="24"/>
                <w:szCs w:val="24"/>
                <w:lang w:val="en-ID"/>
              </w:rPr>
              <w:t xml:space="preserve"> paling lama 30 (</w:t>
            </w:r>
            <w:proofErr w:type="spellStart"/>
            <w:r w:rsidRPr="001E7244">
              <w:rPr>
                <w:rFonts w:ascii="Bookman Old Style" w:eastAsia="Bookman Old Style" w:hAnsi="Bookman Old Style" w:cs="Bookman Old Style"/>
                <w:sz w:val="24"/>
                <w:szCs w:val="24"/>
                <w:lang w:val="en-ID"/>
              </w:rPr>
              <w:t>tiga</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puluh</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hari</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kalender</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sebelum</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berlakunya</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cuti</w:t>
            </w:r>
            <w:proofErr w:type="spellEnd"/>
            <w:r w:rsidRPr="001E7244">
              <w:rPr>
                <w:rFonts w:ascii="Bookman Old Style" w:eastAsia="Bookman Old Style" w:hAnsi="Bookman Old Style" w:cs="Bookman Old Style"/>
                <w:sz w:val="24"/>
                <w:szCs w:val="24"/>
                <w:lang w:val="en-ID"/>
              </w:rPr>
              <w:t xml:space="preserve"> Premi </w:t>
            </w:r>
            <w:proofErr w:type="spellStart"/>
            <w:r w:rsidRPr="001E7244">
              <w:rPr>
                <w:rFonts w:ascii="Bookman Old Style" w:eastAsia="Bookman Old Style" w:hAnsi="Bookman Old Style" w:cs="Bookman Old Style"/>
                <w:sz w:val="24"/>
                <w:szCs w:val="24"/>
                <w:lang w:val="en-ID"/>
              </w:rPr>
              <w:t>atau</w:t>
            </w:r>
            <w:proofErr w:type="spellEnd"/>
            <w:r w:rsidRPr="001E7244">
              <w:rPr>
                <w:rFonts w:ascii="Bookman Old Style" w:eastAsia="Bookman Old Style" w:hAnsi="Bookman Old Style" w:cs="Bookman Old Style"/>
                <w:sz w:val="24"/>
                <w:szCs w:val="24"/>
                <w:lang w:val="en-ID"/>
              </w:rPr>
              <w:t xml:space="preserve"> </w:t>
            </w:r>
            <w:proofErr w:type="spellStart"/>
            <w:r w:rsidRPr="001E7244">
              <w:rPr>
                <w:rFonts w:ascii="Bookman Old Style" w:eastAsia="Bookman Old Style" w:hAnsi="Bookman Old Style" w:cs="Bookman Old Style"/>
                <w:sz w:val="24"/>
                <w:szCs w:val="24"/>
                <w:lang w:val="en-ID"/>
              </w:rPr>
              <w:t>Kontribusi</w:t>
            </w:r>
            <w:proofErr w:type="spellEnd"/>
            <w:r w:rsidRPr="001E7244">
              <w:rPr>
                <w:rFonts w:ascii="Bookman Old Style" w:eastAsia="Bookman Old Style" w:hAnsi="Bookman Old Style" w:cs="Bookman Old Style"/>
                <w:sz w:val="24"/>
                <w:szCs w:val="24"/>
                <w:lang w:val="en-ID"/>
              </w:rPr>
              <w:t xml:space="preserve">. </w:t>
            </w:r>
          </w:p>
        </w:tc>
        <w:tc>
          <w:tcPr>
            <w:tcW w:w="1167" w:type="pct"/>
          </w:tcPr>
          <w:p w14:paraId="78A2EDA2" w14:textId="5F13E3EA" w:rsidR="00BA5B70" w:rsidRPr="00C562C1" w:rsidRDefault="00BA5B70" w:rsidP="009940C8">
            <w:pPr>
              <w:pBdr>
                <w:top w:val="nil"/>
                <w:left w:val="nil"/>
                <w:bottom w:val="nil"/>
                <w:right w:val="nil"/>
                <w:between w:val="nil"/>
              </w:pBdr>
              <w:tabs>
                <w:tab w:val="left" w:pos="1890"/>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Yang dimaksud cuti Premi atau Kontribusi adalah kondisi dimana Pemegang Polis, Tertanggung, atau Peserta tidak melakukan pembayaran Premi atau Kontribusi berkala yang telah ditetapkan dalam Polis Asuransi, namun pertanggungan atau kepesertaan tetap berlaku dan Perusahaan tetap mengenakan seluruh atau sebagian biaya-biaya sesuai dengan ketentuan Polis Asuransi.</w:t>
            </w:r>
          </w:p>
        </w:tc>
        <w:tc>
          <w:tcPr>
            <w:tcW w:w="1109" w:type="pct"/>
          </w:tcPr>
          <w:p w14:paraId="1D83521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1F222E3"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AD39947" w14:textId="77777777" w:rsidTr="00C61A26">
        <w:trPr>
          <w:jc w:val="center"/>
        </w:trPr>
        <w:tc>
          <w:tcPr>
            <w:tcW w:w="1614" w:type="pct"/>
          </w:tcPr>
          <w:p w14:paraId="68A84065" w14:textId="77777777" w:rsidR="00BA5B70" w:rsidRPr="001E7244" w:rsidRDefault="00BA5B70" w:rsidP="00BA5B70">
            <w:pPr>
              <w:pStyle w:val="ListParagraph"/>
              <w:rPr>
                <w:rFonts w:ascii="Bookman Old Style" w:eastAsia="Bookman Old Style" w:hAnsi="Bookman Old Style" w:cs="Bookman Old Style"/>
                <w:sz w:val="24"/>
                <w:szCs w:val="24"/>
                <w:lang w:val="en-ID"/>
              </w:rPr>
            </w:pPr>
          </w:p>
        </w:tc>
        <w:tc>
          <w:tcPr>
            <w:tcW w:w="1167" w:type="pct"/>
          </w:tcPr>
          <w:p w14:paraId="19BB47F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0C5CB4B"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F14C4EC"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3CBCC22" w14:textId="4783ECB9" w:rsidTr="00C61A26">
        <w:trPr>
          <w:jc w:val="center"/>
        </w:trPr>
        <w:tc>
          <w:tcPr>
            <w:tcW w:w="1614" w:type="pct"/>
          </w:tcPr>
          <w:p w14:paraId="2119806D" w14:textId="38643185" w:rsidR="00BA5B70" w:rsidRPr="00C562C1" w:rsidRDefault="00BA5B70" w:rsidP="00BA5B70">
            <w:pPr>
              <w:spacing w:after="0" w:line="36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Paragraf 5</w:t>
            </w:r>
          </w:p>
        </w:tc>
        <w:tc>
          <w:tcPr>
            <w:tcW w:w="1167" w:type="pct"/>
          </w:tcPr>
          <w:p w14:paraId="6055BEC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8DD9E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B1D509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760D5F4" w14:textId="1EAAAE51" w:rsidTr="00C61A26">
        <w:trPr>
          <w:jc w:val="center"/>
        </w:trPr>
        <w:tc>
          <w:tcPr>
            <w:tcW w:w="1614" w:type="pct"/>
          </w:tcPr>
          <w:p w14:paraId="1C631E3A" w14:textId="2F924507" w:rsidR="00BA5B70" w:rsidRPr="00C562C1" w:rsidRDefault="00BA5B70" w:rsidP="00BA5B70">
            <w:pPr>
              <w:pBdr>
                <w:top w:val="nil"/>
                <w:left w:val="nil"/>
                <w:bottom w:val="nil"/>
                <w:right w:val="nil"/>
                <w:between w:val="nil"/>
              </w:pBdr>
              <w:spacing w:after="0" w:line="360" w:lineRule="auto"/>
              <w:jc w:val="center"/>
              <w:rPr>
                <w:rFonts w:ascii="Bookman Old Style" w:eastAsia="Bookman Old Style" w:hAnsi="Bookman Old Style" w:cs="Bookman Old Style"/>
                <w:sz w:val="24"/>
                <w:szCs w:val="24"/>
              </w:rPr>
            </w:pPr>
            <w:r w:rsidRPr="001E7244">
              <w:rPr>
                <w:rFonts w:ascii="Bookman Old Style" w:eastAsia="Bookman Old Style" w:hAnsi="Bookman Old Style" w:cs="Bookman Old Style"/>
                <w:sz w:val="24"/>
                <w:szCs w:val="24"/>
              </w:rPr>
              <w:t>Pertanggungan Asuransi Tambahan dan Fitur Tambahan pada PAYDI</w:t>
            </w:r>
          </w:p>
        </w:tc>
        <w:tc>
          <w:tcPr>
            <w:tcW w:w="1167" w:type="pct"/>
          </w:tcPr>
          <w:p w14:paraId="045615A3"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992942B"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EE2901"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6A4A472" w14:textId="0FA7BB19" w:rsidTr="00C61A26">
        <w:trPr>
          <w:jc w:val="center"/>
        </w:trPr>
        <w:tc>
          <w:tcPr>
            <w:tcW w:w="1614" w:type="pct"/>
          </w:tcPr>
          <w:p w14:paraId="28FCA4D2" w14:textId="36FD2837" w:rsidR="00BA5B70" w:rsidRPr="00C562C1" w:rsidRDefault="00BA5B70" w:rsidP="00BA5B70">
            <w:pPr>
              <w:pBdr>
                <w:top w:val="nil"/>
                <w:left w:val="nil"/>
                <w:bottom w:val="nil"/>
                <w:right w:val="nil"/>
                <w:between w:val="nil"/>
              </w:pBdr>
              <w:spacing w:after="0" w:line="360" w:lineRule="auto"/>
              <w:jc w:val="center"/>
              <w:rPr>
                <w:rFonts w:ascii="Bookman Old Style" w:eastAsia="Bookman Old Style" w:hAnsi="Bookman Old Style" w:cs="Bookman Old Style"/>
                <w:sz w:val="24"/>
                <w:szCs w:val="24"/>
              </w:rPr>
            </w:pPr>
            <w:r w:rsidRPr="00C562C1">
              <w:rPr>
                <w:rFonts w:ascii="Bookman Old Style" w:eastAsia="Bookman Old Style" w:hAnsi="Bookman Old Style" w:cs="Bookman Old Style"/>
                <w:sz w:val="24"/>
                <w:szCs w:val="24"/>
              </w:rPr>
              <w:t>Pasal 8</w:t>
            </w:r>
          </w:p>
        </w:tc>
        <w:tc>
          <w:tcPr>
            <w:tcW w:w="1167" w:type="pct"/>
          </w:tcPr>
          <w:p w14:paraId="1902E5EB" w14:textId="191B70C3"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D7051B0"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hAnsi="Bookman Old Style"/>
                <w:sz w:val="24"/>
                <w:szCs w:val="24"/>
                <w:lang w:val="en-US"/>
              </w:rPr>
            </w:pPr>
          </w:p>
        </w:tc>
        <w:tc>
          <w:tcPr>
            <w:tcW w:w="1109" w:type="pct"/>
          </w:tcPr>
          <w:p w14:paraId="30C1563F" w14:textId="77777777" w:rsidR="00BA5B70" w:rsidRPr="00C562C1" w:rsidRDefault="00BA5B70" w:rsidP="00BA5B70">
            <w:pPr>
              <w:pBdr>
                <w:top w:val="nil"/>
                <w:left w:val="nil"/>
                <w:bottom w:val="nil"/>
                <w:right w:val="nil"/>
                <w:between w:val="nil"/>
              </w:pBdr>
              <w:tabs>
                <w:tab w:val="left" w:pos="2552"/>
              </w:tabs>
              <w:spacing w:after="0" w:line="360" w:lineRule="auto"/>
              <w:jc w:val="both"/>
              <w:rPr>
                <w:rFonts w:ascii="Bookman Old Style" w:hAnsi="Bookman Old Style"/>
                <w:sz w:val="24"/>
                <w:szCs w:val="24"/>
                <w:lang w:val="en-US"/>
              </w:rPr>
            </w:pPr>
          </w:p>
        </w:tc>
      </w:tr>
      <w:tr w:rsidR="00BA5B70" w:rsidRPr="00C562C1" w14:paraId="74E7A5FA" w14:textId="04167027" w:rsidTr="00C61A26">
        <w:trPr>
          <w:jc w:val="center"/>
        </w:trPr>
        <w:tc>
          <w:tcPr>
            <w:tcW w:w="1614" w:type="pct"/>
          </w:tcPr>
          <w:p w14:paraId="2F51EC6C" w14:textId="28D49338" w:rsidR="00BA5B70" w:rsidRPr="00E566C4" w:rsidRDefault="00E566C4" w:rsidP="00E566C4">
            <w:pPr>
              <w:pStyle w:val="ListParagraph"/>
              <w:numPr>
                <w:ilvl w:val="0"/>
                <w:numId w:val="33"/>
              </w:numPr>
              <w:rPr>
                <w:rFonts w:ascii="Bookman Old Style" w:hAnsi="Bookman Old Style"/>
                <w:color w:val="000000" w:themeColor="text1"/>
                <w:sz w:val="24"/>
                <w:szCs w:val="24"/>
              </w:rPr>
            </w:pPr>
            <w:r w:rsidRPr="00E566C4">
              <w:rPr>
                <w:rFonts w:ascii="Bookman Old Style" w:hAnsi="Bookman Old Style"/>
                <w:color w:val="000000" w:themeColor="text1"/>
                <w:sz w:val="24"/>
                <w:szCs w:val="24"/>
              </w:rPr>
              <w:t>Perusahaan Asuransi atau Perusahaan Asuransi Syariah dapat menambahkan produk asuransi tambahan dengan persetujuan dari Pemegang Polis, Tertanggung, dan/atau Peserta.</w:t>
            </w:r>
          </w:p>
        </w:tc>
        <w:tc>
          <w:tcPr>
            <w:tcW w:w="1167" w:type="pct"/>
          </w:tcPr>
          <w:p w14:paraId="3A04215E" w14:textId="0AD74A1F"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 xml:space="preserve">Produk asuransi tambahan biasa dikenal dengan istilah </w:t>
            </w:r>
            <w:r w:rsidRPr="001D24E3">
              <w:rPr>
                <w:rFonts w:ascii="Bookman Old Style" w:eastAsia="Bookman Old Style" w:hAnsi="Bookman Old Style" w:cs="Bookman Old Style"/>
                <w:i/>
                <w:iCs/>
                <w:sz w:val="24"/>
                <w:szCs w:val="24"/>
              </w:rPr>
              <w:t>rider</w:t>
            </w:r>
            <w:r w:rsidRPr="001D24E3">
              <w:rPr>
                <w:rFonts w:ascii="Bookman Old Style" w:eastAsia="Bookman Old Style" w:hAnsi="Bookman Old Style" w:cs="Bookman Old Style"/>
                <w:sz w:val="24"/>
                <w:szCs w:val="24"/>
              </w:rPr>
              <w:t>.</w:t>
            </w:r>
          </w:p>
        </w:tc>
        <w:tc>
          <w:tcPr>
            <w:tcW w:w="1109" w:type="pct"/>
          </w:tcPr>
          <w:p w14:paraId="13F6A55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BD943A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E120E86" w14:textId="09058CC7" w:rsidTr="00C61A26">
        <w:trPr>
          <w:jc w:val="center"/>
        </w:trPr>
        <w:tc>
          <w:tcPr>
            <w:tcW w:w="1614" w:type="pct"/>
          </w:tcPr>
          <w:p w14:paraId="5DFDD645" w14:textId="39601CE3" w:rsidR="00BA5B70" w:rsidRPr="00E566C4" w:rsidRDefault="00E566C4" w:rsidP="00E566C4">
            <w:pPr>
              <w:pStyle w:val="ListParagraph"/>
              <w:numPr>
                <w:ilvl w:val="0"/>
                <w:numId w:val="34"/>
              </w:numPr>
              <w:rPr>
                <w:rFonts w:ascii="Bookman Old Style" w:hAnsi="Bookman Old Style"/>
                <w:color w:val="000000" w:themeColor="text1"/>
                <w:sz w:val="24"/>
                <w:szCs w:val="24"/>
              </w:rPr>
            </w:pPr>
            <w:r w:rsidRPr="00E566C4">
              <w:rPr>
                <w:rFonts w:ascii="Bookman Old Style" w:hAnsi="Bookman Old Style"/>
                <w:color w:val="000000" w:themeColor="text1"/>
                <w:sz w:val="24"/>
                <w:szCs w:val="24"/>
              </w:rPr>
              <w:t>Pertanggungan produk asuransi tambahan sebagaimana dimaksud pada ayat (1) tidak termasuk dalam perhitungan nilai uang pertanggungan atau nilai manfaat asuransi syariah sebagaimana dimaksud dalam pasal 5 ayat (2) dan ayat (3).</w:t>
            </w:r>
          </w:p>
        </w:tc>
        <w:tc>
          <w:tcPr>
            <w:tcW w:w="1167" w:type="pct"/>
          </w:tcPr>
          <w:p w14:paraId="297B5554" w14:textId="4F1F2AEC"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50E0133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4F674C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694F333" w14:textId="6DEBB363" w:rsidTr="00C61A26">
        <w:trPr>
          <w:jc w:val="center"/>
        </w:trPr>
        <w:tc>
          <w:tcPr>
            <w:tcW w:w="1614" w:type="pct"/>
          </w:tcPr>
          <w:p w14:paraId="1A9CA5E5" w14:textId="5E618988" w:rsidR="00BA5B70" w:rsidRPr="00E566C4" w:rsidRDefault="00BA5B70" w:rsidP="00BA5B70">
            <w:pPr>
              <w:pStyle w:val="ListParagraph"/>
              <w:numPr>
                <w:ilvl w:val="0"/>
                <w:numId w:val="35"/>
              </w:numPr>
              <w:jc w:val="both"/>
              <w:rPr>
                <w:rFonts w:ascii="Bookman Old Style" w:hAnsi="Bookman Old Style"/>
                <w:color w:val="000000" w:themeColor="text1"/>
                <w:sz w:val="24"/>
                <w:szCs w:val="24"/>
              </w:rPr>
            </w:pPr>
            <w:r w:rsidRPr="00E566C4">
              <w:rPr>
                <w:rFonts w:ascii="Bookman Old Style" w:hAnsi="Bookman Old Style"/>
                <w:color w:val="000000" w:themeColor="text1"/>
                <w:sz w:val="24"/>
                <w:szCs w:val="24"/>
              </w:rPr>
              <w:t>Dalam hal Perusahaan Asuransi atau Perusahaan Asuransi Syariah memasarkan PAYDI yang memberikan produk asuransi tambahan sebagaimana dimaksud pada ayat (1) dan fitur tambahan, Perusahaan Asuransi atau Perusahaan Asuransi Syariah wajib:</w:t>
            </w:r>
          </w:p>
        </w:tc>
        <w:tc>
          <w:tcPr>
            <w:tcW w:w="1167" w:type="pct"/>
          </w:tcPr>
          <w:p w14:paraId="42CE75E8" w14:textId="46709F65"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 xml:space="preserve">Contoh fitur tambahan: </w:t>
            </w:r>
            <w:r w:rsidRPr="001D24E3">
              <w:rPr>
                <w:rFonts w:ascii="Bookman Old Style" w:eastAsia="Bookman Old Style" w:hAnsi="Bookman Old Style" w:cs="Bookman Old Style"/>
                <w:i/>
                <w:iCs/>
                <w:sz w:val="24"/>
                <w:szCs w:val="24"/>
              </w:rPr>
              <w:t>loyalty bonus</w:t>
            </w:r>
            <w:r w:rsidRPr="001D24E3">
              <w:rPr>
                <w:rFonts w:ascii="Bookman Old Style" w:eastAsia="Bookman Old Style" w:hAnsi="Bookman Old Style" w:cs="Bookman Old Style"/>
                <w:sz w:val="24"/>
                <w:szCs w:val="24"/>
              </w:rPr>
              <w:t xml:space="preserve">, bonus Premi atau Kontribusi </w:t>
            </w:r>
            <w:r w:rsidRPr="001D24E3">
              <w:rPr>
                <w:rFonts w:ascii="Bookman Old Style" w:eastAsia="Bookman Old Style" w:hAnsi="Bookman Old Style" w:cs="Bookman Old Style"/>
                <w:i/>
                <w:iCs/>
                <w:sz w:val="24"/>
                <w:szCs w:val="24"/>
              </w:rPr>
              <w:t>top-up</w:t>
            </w:r>
            <w:r w:rsidRPr="001D24E3">
              <w:rPr>
                <w:rFonts w:ascii="Bookman Old Style" w:eastAsia="Bookman Old Style" w:hAnsi="Bookman Old Style" w:cs="Bookman Old Style"/>
                <w:sz w:val="24"/>
                <w:szCs w:val="24"/>
              </w:rPr>
              <w:t>, dan bonus pengembalian biaya administrasi dalam hal terpenuhi kriteria atau kondisi tertentu yang tercantum di dalam Polis Asuransi.</w:t>
            </w:r>
          </w:p>
        </w:tc>
        <w:tc>
          <w:tcPr>
            <w:tcW w:w="1109" w:type="pct"/>
          </w:tcPr>
          <w:p w14:paraId="5FEDD34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64DD1C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9290B5E" w14:textId="7275A006" w:rsidTr="00C61A26">
        <w:trPr>
          <w:jc w:val="center"/>
        </w:trPr>
        <w:tc>
          <w:tcPr>
            <w:tcW w:w="1614" w:type="pct"/>
          </w:tcPr>
          <w:p w14:paraId="3DC99369" w14:textId="33819AA6" w:rsidR="00BA5B70" w:rsidRPr="00E566C4" w:rsidRDefault="00BA5B70" w:rsidP="00BA5B70">
            <w:pPr>
              <w:pStyle w:val="ListParagraph"/>
              <w:numPr>
                <w:ilvl w:val="0"/>
                <w:numId w:val="36"/>
              </w:numPr>
              <w:jc w:val="both"/>
              <w:rPr>
                <w:rFonts w:ascii="Bookman Old Style" w:hAnsi="Bookman Old Style"/>
                <w:color w:val="000000" w:themeColor="text1"/>
                <w:sz w:val="24"/>
                <w:szCs w:val="24"/>
              </w:rPr>
            </w:pPr>
            <w:r w:rsidRPr="00E566C4">
              <w:rPr>
                <w:rFonts w:ascii="Bookman Old Style" w:hAnsi="Bookman Old Style"/>
                <w:color w:val="000000" w:themeColor="text1"/>
                <w:sz w:val="24"/>
                <w:szCs w:val="24"/>
              </w:rPr>
              <w:t>memperhitungkan manfaat asuransi tambahan dan fitur tambahan dalam penetapan Premi atau Kontribusi;</w:t>
            </w:r>
          </w:p>
        </w:tc>
        <w:tc>
          <w:tcPr>
            <w:tcW w:w="1167" w:type="pct"/>
          </w:tcPr>
          <w:p w14:paraId="36DCCA7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D8878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588F3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56E4195" w14:textId="11E3F0AA" w:rsidTr="00C61A26">
        <w:trPr>
          <w:jc w:val="center"/>
        </w:trPr>
        <w:tc>
          <w:tcPr>
            <w:tcW w:w="1614" w:type="pct"/>
          </w:tcPr>
          <w:p w14:paraId="304D6D7E" w14:textId="78EC385C" w:rsidR="00BA5B70" w:rsidRPr="00E566C4" w:rsidRDefault="00BA5B70" w:rsidP="00BA5B70">
            <w:pPr>
              <w:pStyle w:val="ListParagraph"/>
              <w:numPr>
                <w:ilvl w:val="0"/>
                <w:numId w:val="36"/>
              </w:numPr>
              <w:jc w:val="both"/>
              <w:rPr>
                <w:rFonts w:ascii="Bookman Old Style" w:hAnsi="Bookman Old Style"/>
                <w:color w:val="000000" w:themeColor="text1"/>
                <w:sz w:val="24"/>
                <w:szCs w:val="24"/>
              </w:rPr>
            </w:pPr>
            <w:r w:rsidRPr="00E566C4">
              <w:rPr>
                <w:rFonts w:ascii="Bookman Old Style" w:hAnsi="Bookman Old Style"/>
                <w:color w:val="000000" w:themeColor="text1"/>
                <w:sz w:val="24"/>
                <w:szCs w:val="24"/>
              </w:rPr>
              <w:t xml:space="preserve">memperhitungkan manfaat asuransi tambahan dan fitur tambahan dalam pembentukan cadangan atau penyisihan teknis; dan </w:t>
            </w:r>
          </w:p>
        </w:tc>
        <w:tc>
          <w:tcPr>
            <w:tcW w:w="1167" w:type="pct"/>
          </w:tcPr>
          <w:p w14:paraId="6EA8F54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D3C5B3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945BA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AD0A43B" w14:textId="068D3B30" w:rsidTr="00C61A26">
        <w:trPr>
          <w:jc w:val="center"/>
        </w:trPr>
        <w:tc>
          <w:tcPr>
            <w:tcW w:w="1614" w:type="pct"/>
          </w:tcPr>
          <w:p w14:paraId="434C2267" w14:textId="601A8F46" w:rsidR="00BA5B70" w:rsidRPr="00E566C4" w:rsidRDefault="00BA5B70" w:rsidP="00BA5B70">
            <w:pPr>
              <w:pStyle w:val="ListParagraph"/>
              <w:numPr>
                <w:ilvl w:val="0"/>
                <w:numId w:val="36"/>
              </w:numPr>
              <w:jc w:val="both"/>
              <w:rPr>
                <w:rFonts w:ascii="Bookman Old Style" w:hAnsi="Bookman Old Style"/>
                <w:color w:val="000000" w:themeColor="text1"/>
                <w:sz w:val="24"/>
                <w:szCs w:val="24"/>
              </w:rPr>
            </w:pPr>
            <w:r w:rsidRPr="00E566C4">
              <w:rPr>
                <w:rFonts w:ascii="Bookman Old Style" w:hAnsi="Bookman Old Style"/>
                <w:color w:val="000000" w:themeColor="text1"/>
                <w:sz w:val="24"/>
                <w:szCs w:val="24"/>
              </w:rPr>
              <w:t xml:space="preserve">memiliki sistem informasi yang dapat mengidentifikasi Tertanggung atau Peserta yang telah memenuhi kriteria untuk </w:t>
            </w:r>
            <w:r w:rsidRPr="00E566C4">
              <w:rPr>
                <w:rFonts w:ascii="Bookman Old Style" w:hAnsi="Bookman Old Style"/>
                <w:color w:val="000000" w:themeColor="text1"/>
                <w:sz w:val="24"/>
                <w:szCs w:val="24"/>
              </w:rPr>
              <w:lastRenderedPageBreak/>
              <w:t xml:space="preserve">memperoleh manfaat asuransi tambahan dan fitur tambahan. </w:t>
            </w:r>
          </w:p>
        </w:tc>
        <w:tc>
          <w:tcPr>
            <w:tcW w:w="1167" w:type="pct"/>
          </w:tcPr>
          <w:p w14:paraId="33BA14C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62540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245D5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2DADDA2" w14:textId="551E3962" w:rsidTr="00C61A26">
        <w:trPr>
          <w:jc w:val="center"/>
        </w:trPr>
        <w:tc>
          <w:tcPr>
            <w:tcW w:w="1614" w:type="pct"/>
          </w:tcPr>
          <w:p w14:paraId="125786CB" w14:textId="3534FCD7" w:rsidR="00BA5B70" w:rsidRPr="00E566C4" w:rsidRDefault="00BA5B70" w:rsidP="00BA5B70">
            <w:pPr>
              <w:pStyle w:val="ListParagraph"/>
              <w:numPr>
                <w:ilvl w:val="0"/>
                <w:numId w:val="37"/>
              </w:numPr>
              <w:jc w:val="both"/>
              <w:rPr>
                <w:rFonts w:ascii="Bookman Old Style" w:hAnsi="Bookman Old Style"/>
                <w:color w:val="000000" w:themeColor="text1"/>
                <w:sz w:val="24"/>
                <w:szCs w:val="24"/>
              </w:rPr>
            </w:pPr>
            <w:r w:rsidRPr="00E566C4">
              <w:rPr>
                <w:rFonts w:ascii="Bookman Old Style" w:hAnsi="Bookman Old Style"/>
                <w:color w:val="000000" w:themeColor="text1"/>
                <w:sz w:val="24"/>
                <w:szCs w:val="24"/>
              </w:rPr>
              <w:t>Perusahaan Asuransi Umum dilarang menawarkan produk asuransi tambahan sebagaimana dimaksud pada ayat (</w:t>
            </w:r>
            <w:r w:rsidR="009940C8" w:rsidRPr="00E566C4">
              <w:rPr>
                <w:rFonts w:ascii="Bookman Old Style" w:hAnsi="Bookman Old Style"/>
                <w:color w:val="000000" w:themeColor="text1"/>
                <w:sz w:val="24"/>
                <w:szCs w:val="24"/>
              </w:rPr>
              <w:t>1</w:t>
            </w:r>
            <w:r w:rsidRPr="00E566C4">
              <w:rPr>
                <w:rFonts w:ascii="Bookman Old Style" w:hAnsi="Bookman Old Style"/>
                <w:color w:val="000000" w:themeColor="text1"/>
                <w:sz w:val="24"/>
                <w:szCs w:val="24"/>
              </w:rPr>
              <w:t>) selain produk asuransi untuk perorangan pada lini usaha asuransi kesehatan, asuransi kecelakaan diri, asuransi kendaraan bermotor, dan/atau asuransi harta benda.</w:t>
            </w:r>
          </w:p>
        </w:tc>
        <w:tc>
          <w:tcPr>
            <w:tcW w:w="1167" w:type="pct"/>
          </w:tcPr>
          <w:p w14:paraId="17233FAF" w14:textId="6EE4175E"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7D7C11B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38C4FD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6CA7DAD" w14:textId="77777777" w:rsidTr="00C61A26">
        <w:trPr>
          <w:jc w:val="center"/>
        </w:trPr>
        <w:tc>
          <w:tcPr>
            <w:tcW w:w="1614" w:type="pct"/>
          </w:tcPr>
          <w:p w14:paraId="365EC93F" w14:textId="77777777" w:rsidR="00E566C4" w:rsidRPr="00C61A26" w:rsidRDefault="00E566C4" w:rsidP="00C61A26">
            <w:pPr>
              <w:pStyle w:val="ListParagraph"/>
              <w:numPr>
                <w:ilvl w:val="0"/>
                <w:numId w:val="37"/>
              </w:numPr>
              <w:rPr>
                <w:rFonts w:ascii="Bookman Old Style" w:hAnsi="Bookman Old Style"/>
                <w:color w:val="000000" w:themeColor="text1"/>
                <w:sz w:val="24"/>
                <w:szCs w:val="24"/>
              </w:rPr>
            </w:pPr>
            <w:r w:rsidRPr="00C61A26">
              <w:rPr>
                <w:rFonts w:ascii="Bookman Old Style" w:hAnsi="Bookman Old Style"/>
                <w:color w:val="000000" w:themeColor="text1"/>
                <w:sz w:val="24"/>
                <w:szCs w:val="24"/>
              </w:rPr>
              <w:t>Ketentuan lebih lanjut mengenai asuransi tambahan dan fitur tambahan pada PAYDI ditetapkan oleh Otoritas Jasa Keuangan.</w:t>
            </w:r>
          </w:p>
          <w:p w14:paraId="7B2B9D55" w14:textId="6C94A7A8" w:rsidR="00BA5B70" w:rsidRPr="00E566C4" w:rsidRDefault="00BA5B70" w:rsidP="00E566C4">
            <w:pPr>
              <w:ind w:left="360"/>
              <w:jc w:val="both"/>
              <w:rPr>
                <w:rFonts w:ascii="Bookman Old Style" w:hAnsi="Bookman Old Style"/>
                <w:color w:val="000000" w:themeColor="text1"/>
                <w:sz w:val="24"/>
                <w:szCs w:val="24"/>
              </w:rPr>
            </w:pPr>
          </w:p>
        </w:tc>
        <w:tc>
          <w:tcPr>
            <w:tcW w:w="1167" w:type="pct"/>
          </w:tcPr>
          <w:p w14:paraId="533FB4FF" w14:textId="2389E643" w:rsidR="00BA5B70" w:rsidRPr="001D24E3" w:rsidRDefault="00C61A26"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4E0F82D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1C252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9311868" w14:textId="38DF28B8" w:rsidTr="00C61A26">
        <w:trPr>
          <w:jc w:val="center"/>
        </w:trPr>
        <w:tc>
          <w:tcPr>
            <w:tcW w:w="1614" w:type="pct"/>
          </w:tcPr>
          <w:p w14:paraId="7833758A" w14:textId="12603975" w:rsidR="00BA5B70" w:rsidRPr="00C562C1" w:rsidRDefault="00BA5B70" w:rsidP="00BA5B70">
            <w:pPr>
              <w:pStyle w:val="ListParagraph"/>
              <w:spacing w:after="0" w:line="360" w:lineRule="auto"/>
              <w:ind w:left="873"/>
              <w:jc w:val="both"/>
              <w:rPr>
                <w:rFonts w:ascii="Bookman Old Style" w:hAnsi="Bookman Old Style"/>
                <w:sz w:val="24"/>
                <w:szCs w:val="24"/>
              </w:rPr>
            </w:pPr>
          </w:p>
        </w:tc>
        <w:tc>
          <w:tcPr>
            <w:tcW w:w="1167" w:type="pct"/>
          </w:tcPr>
          <w:p w14:paraId="744D895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4646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429F73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21473C" w14:textId="38FE6ADA" w:rsidTr="00C61A26">
        <w:trPr>
          <w:jc w:val="center"/>
        </w:trPr>
        <w:tc>
          <w:tcPr>
            <w:tcW w:w="1614" w:type="pct"/>
          </w:tcPr>
          <w:p w14:paraId="33BDF308" w14:textId="4122A72D" w:rsidR="00BA5B70" w:rsidRPr="00E566C4" w:rsidRDefault="00BA5B70" w:rsidP="00BA5B70">
            <w:pPr>
              <w:pStyle w:val="ListParagraph"/>
              <w:spacing w:after="0" w:line="360" w:lineRule="auto"/>
              <w:ind w:left="873"/>
              <w:jc w:val="center"/>
              <w:rPr>
                <w:rFonts w:ascii="Bookman Old Style" w:hAnsi="Bookman Old Style"/>
                <w:color w:val="000000" w:themeColor="text1"/>
                <w:sz w:val="24"/>
                <w:szCs w:val="24"/>
              </w:rPr>
            </w:pPr>
            <w:r w:rsidRPr="00E566C4">
              <w:rPr>
                <w:rFonts w:ascii="Bookman Old Style" w:hAnsi="Bookman Old Style"/>
                <w:color w:val="000000" w:themeColor="text1"/>
                <w:sz w:val="24"/>
                <w:szCs w:val="24"/>
              </w:rPr>
              <w:t>Bagian Ketiga</w:t>
            </w:r>
          </w:p>
        </w:tc>
        <w:tc>
          <w:tcPr>
            <w:tcW w:w="1167" w:type="pct"/>
          </w:tcPr>
          <w:p w14:paraId="013CC78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0B506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355ED9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44D5996" w14:textId="77777777" w:rsidTr="00C61A26">
        <w:trPr>
          <w:jc w:val="center"/>
        </w:trPr>
        <w:tc>
          <w:tcPr>
            <w:tcW w:w="1614" w:type="pct"/>
          </w:tcPr>
          <w:p w14:paraId="35F45D6B" w14:textId="3F4B50C3" w:rsidR="00BA5B70" w:rsidRPr="00E566C4" w:rsidRDefault="00BA5B70" w:rsidP="00BA5B70">
            <w:pPr>
              <w:pStyle w:val="ListParagraph"/>
              <w:spacing w:after="0" w:line="360" w:lineRule="auto"/>
              <w:ind w:left="873"/>
              <w:jc w:val="center"/>
              <w:rPr>
                <w:rFonts w:ascii="Bookman Old Style" w:hAnsi="Bookman Old Style"/>
                <w:color w:val="000000" w:themeColor="text1"/>
                <w:sz w:val="24"/>
                <w:szCs w:val="24"/>
              </w:rPr>
            </w:pPr>
            <w:r w:rsidRPr="00E566C4">
              <w:rPr>
                <w:rFonts w:ascii="Bookman Old Style" w:hAnsi="Bookman Old Style"/>
                <w:color w:val="000000" w:themeColor="text1"/>
                <w:sz w:val="24"/>
                <w:szCs w:val="24"/>
              </w:rPr>
              <w:t>Tenaga Pemasar</w:t>
            </w:r>
          </w:p>
        </w:tc>
        <w:tc>
          <w:tcPr>
            <w:tcW w:w="1167" w:type="pct"/>
          </w:tcPr>
          <w:p w14:paraId="7AB0A71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05FE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F0D178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61ABB5B" w14:textId="77777777" w:rsidTr="00C61A26">
        <w:trPr>
          <w:jc w:val="center"/>
        </w:trPr>
        <w:tc>
          <w:tcPr>
            <w:tcW w:w="1614" w:type="pct"/>
          </w:tcPr>
          <w:p w14:paraId="7C7905F5" w14:textId="64EA99B3" w:rsidR="00BA5B70" w:rsidRPr="00E566C4" w:rsidRDefault="00BA5B70" w:rsidP="00BA5B70">
            <w:pPr>
              <w:pStyle w:val="ListParagraph"/>
              <w:spacing w:after="0" w:line="360" w:lineRule="auto"/>
              <w:ind w:left="873"/>
              <w:jc w:val="center"/>
              <w:rPr>
                <w:rFonts w:ascii="Bookman Old Style" w:hAnsi="Bookman Old Style"/>
                <w:color w:val="000000" w:themeColor="text1"/>
                <w:sz w:val="24"/>
                <w:szCs w:val="24"/>
              </w:rPr>
            </w:pPr>
            <w:r w:rsidRPr="00E566C4">
              <w:rPr>
                <w:rFonts w:ascii="Bookman Old Style" w:hAnsi="Bookman Old Style"/>
                <w:color w:val="000000" w:themeColor="text1"/>
                <w:sz w:val="24"/>
                <w:szCs w:val="24"/>
              </w:rPr>
              <w:t>Pasal 9</w:t>
            </w:r>
          </w:p>
        </w:tc>
        <w:tc>
          <w:tcPr>
            <w:tcW w:w="1167" w:type="pct"/>
          </w:tcPr>
          <w:p w14:paraId="49E67E2A" w14:textId="0FB88F5C" w:rsidR="00BA5B70" w:rsidRPr="00C562C1" w:rsidRDefault="00C61A26"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2A82FC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17120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1F78DBC" w14:textId="77777777" w:rsidTr="00C61A26">
        <w:trPr>
          <w:jc w:val="center"/>
        </w:trPr>
        <w:tc>
          <w:tcPr>
            <w:tcW w:w="1614" w:type="pct"/>
          </w:tcPr>
          <w:p w14:paraId="41706124" w14:textId="0F685288" w:rsidR="00BA5B70" w:rsidRPr="00706278" w:rsidRDefault="00BA5B70">
            <w:pPr>
              <w:pStyle w:val="ListParagraph"/>
              <w:numPr>
                <w:ilvl w:val="0"/>
                <w:numId w:val="79"/>
              </w:numPr>
              <w:jc w:val="both"/>
              <w:rPr>
                <w:rFonts w:ascii="Bookman Old Style" w:hAnsi="Bookman Old Style"/>
                <w:color w:val="EE0000"/>
                <w:sz w:val="24"/>
                <w:szCs w:val="24"/>
              </w:rPr>
            </w:pPr>
            <w:r w:rsidRPr="00706278">
              <w:rPr>
                <w:rFonts w:ascii="Bookman Old Style" w:hAnsi="Bookman Old Style"/>
                <w:sz w:val="24"/>
                <w:szCs w:val="24"/>
              </w:rPr>
              <w:t xml:space="preserve">Dalam melakukan pemasaran PAYDI, Perusahaan Asuransi atau Perusahaan Asuransi Syariah </w:t>
            </w:r>
            <w:r w:rsidRPr="00E566C4">
              <w:rPr>
                <w:rFonts w:ascii="Bookman Old Style" w:hAnsi="Bookman Old Style"/>
                <w:sz w:val="24"/>
                <w:szCs w:val="24"/>
              </w:rPr>
              <w:t>wajib</w:t>
            </w:r>
            <w:r w:rsidRPr="00706278">
              <w:rPr>
                <w:rFonts w:ascii="Bookman Old Style" w:hAnsi="Bookman Old Style"/>
                <w:sz w:val="24"/>
                <w:szCs w:val="24"/>
              </w:rPr>
              <w:t xml:space="preserve"> memastikan bahwa </w:t>
            </w:r>
            <w:r w:rsidRPr="00E566C4">
              <w:rPr>
                <w:rFonts w:ascii="Bookman Old Style" w:hAnsi="Bookman Old Style"/>
                <w:color w:val="000000" w:themeColor="text1"/>
                <w:sz w:val="24"/>
                <w:szCs w:val="24"/>
              </w:rPr>
              <w:t xml:space="preserve">tenaga </w:t>
            </w:r>
            <w:r w:rsidRPr="00706278">
              <w:rPr>
                <w:rFonts w:ascii="Bookman Old Style" w:hAnsi="Bookman Old Style"/>
                <w:sz w:val="24"/>
                <w:szCs w:val="24"/>
              </w:rPr>
              <w:t>pemasar PAYDI memahami PAYDI yang dipasarkan melalui:</w:t>
            </w:r>
          </w:p>
        </w:tc>
        <w:tc>
          <w:tcPr>
            <w:tcW w:w="1167" w:type="pct"/>
          </w:tcPr>
          <w:p w14:paraId="0F4B6F8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036D6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A88176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997D27C" w14:textId="77777777" w:rsidTr="00C61A26">
        <w:trPr>
          <w:jc w:val="center"/>
        </w:trPr>
        <w:tc>
          <w:tcPr>
            <w:tcW w:w="1614" w:type="pct"/>
          </w:tcPr>
          <w:p w14:paraId="1C30199A" w14:textId="1A62CABF" w:rsidR="00BA5B70" w:rsidRPr="00E566C4" w:rsidRDefault="00BA5B70">
            <w:pPr>
              <w:pStyle w:val="ListParagraph"/>
              <w:numPr>
                <w:ilvl w:val="0"/>
                <w:numId w:val="80"/>
              </w:numPr>
              <w:jc w:val="both"/>
              <w:rPr>
                <w:rFonts w:ascii="Bookman Old Style" w:hAnsi="Bookman Old Style"/>
                <w:color w:val="000000" w:themeColor="text1"/>
                <w:sz w:val="24"/>
                <w:szCs w:val="24"/>
              </w:rPr>
            </w:pPr>
            <w:r w:rsidRPr="00E566C4">
              <w:rPr>
                <w:rFonts w:ascii="Bookman Old Style" w:hAnsi="Bookman Old Style"/>
                <w:color w:val="000000" w:themeColor="text1"/>
                <w:sz w:val="24"/>
                <w:szCs w:val="24"/>
              </w:rPr>
              <w:t>penetapan standar pelatihan bagi tenaga pemasar PAYDI; dan</w:t>
            </w:r>
          </w:p>
        </w:tc>
        <w:tc>
          <w:tcPr>
            <w:tcW w:w="1167" w:type="pct"/>
          </w:tcPr>
          <w:p w14:paraId="7C52D9C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17A517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C92DF9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7B0B4D" w14:textId="77777777" w:rsidTr="00C61A26">
        <w:trPr>
          <w:jc w:val="center"/>
        </w:trPr>
        <w:tc>
          <w:tcPr>
            <w:tcW w:w="1614" w:type="pct"/>
          </w:tcPr>
          <w:p w14:paraId="084160D3" w14:textId="12E5F28D" w:rsidR="00BA5B70" w:rsidRPr="00534439" w:rsidRDefault="00BA5B70">
            <w:pPr>
              <w:pStyle w:val="ListParagraph"/>
              <w:numPr>
                <w:ilvl w:val="0"/>
                <w:numId w:val="80"/>
              </w:numPr>
              <w:jc w:val="both"/>
              <w:rPr>
                <w:rFonts w:ascii="Bookman Old Style" w:hAnsi="Bookman Old Style"/>
                <w:sz w:val="24"/>
                <w:szCs w:val="24"/>
              </w:rPr>
            </w:pPr>
            <w:r w:rsidRPr="00534439">
              <w:rPr>
                <w:rFonts w:ascii="Bookman Old Style" w:hAnsi="Bookman Old Style"/>
                <w:sz w:val="24"/>
                <w:szCs w:val="24"/>
              </w:rPr>
              <w:t>pelaksanaan pelatihan mengenai PAYDI yang dipasarkan dan setiap perubahannya yang diselenggarakan oleh internal Perusahaan Asuransi atau Perusahaan Asuransi Syariah atau pihak eksternal.</w:t>
            </w:r>
          </w:p>
        </w:tc>
        <w:tc>
          <w:tcPr>
            <w:tcW w:w="1167" w:type="pct"/>
          </w:tcPr>
          <w:p w14:paraId="4F2C36E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E43E56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DC3BEC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CDADCBD" w14:textId="77777777" w:rsidTr="00C61A26">
        <w:trPr>
          <w:jc w:val="center"/>
        </w:trPr>
        <w:tc>
          <w:tcPr>
            <w:tcW w:w="1614" w:type="pct"/>
          </w:tcPr>
          <w:p w14:paraId="2FAADF2E" w14:textId="54D61D7E" w:rsidR="00BA5B70" w:rsidRPr="0090694C" w:rsidRDefault="00BA5B70">
            <w:pPr>
              <w:pStyle w:val="ListParagraph"/>
              <w:numPr>
                <w:ilvl w:val="0"/>
                <w:numId w:val="81"/>
              </w:numPr>
              <w:jc w:val="both"/>
              <w:rPr>
                <w:rFonts w:ascii="Bookman Old Style" w:hAnsi="Bookman Old Style"/>
                <w:sz w:val="24"/>
                <w:szCs w:val="24"/>
              </w:rPr>
            </w:pPr>
            <w:r w:rsidRPr="0090694C">
              <w:rPr>
                <w:rFonts w:ascii="Bookman Old Style" w:hAnsi="Bookman Old Style"/>
                <w:sz w:val="24"/>
                <w:szCs w:val="24"/>
              </w:rPr>
              <w:t xml:space="preserve">Tenaga pemasar PAYDI </w:t>
            </w:r>
            <w:r w:rsidRPr="0070319D">
              <w:rPr>
                <w:rFonts w:ascii="Bookman Old Style" w:hAnsi="Bookman Old Style"/>
                <w:sz w:val="24"/>
                <w:szCs w:val="24"/>
              </w:rPr>
              <w:t>wajib</w:t>
            </w:r>
            <w:r w:rsidRPr="0090694C">
              <w:rPr>
                <w:rFonts w:ascii="Bookman Old Style" w:hAnsi="Bookman Old Style"/>
                <w:sz w:val="24"/>
                <w:szCs w:val="24"/>
              </w:rPr>
              <w:t xml:space="preserve"> memiliki sertifikasi keagenan khusus untuk PAYDI dari lembaga </w:t>
            </w:r>
            <w:r w:rsidRPr="0090694C">
              <w:rPr>
                <w:rFonts w:ascii="Bookman Old Style" w:hAnsi="Bookman Old Style"/>
                <w:sz w:val="24"/>
                <w:szCs w:val="24"/>
              </w:rPr>
              <w:lastRenderedPageBreak/>
              <w:t>sertifikasi profesi yang terdaftar di Otoritas Jasa Keuangan sesuai dengan bidang usahanya.</w:t>
            </w:r>
          </w:p>
        </w:tc>
        <w:tc>
          <w:tcPr>
            <w:tcW w:w="1167" w:type="pct"/>
          </w:tcPr>
          <w:p w14:paraId="4940B63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29C036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63C281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C3C0E7D" w14:textId="77777777" w:rsidTr="00C61A26">
        <w:trPr>
          <w:jc w:val="center"/>
        </w:trPr>
        <w:tc>
          <w:tcPr>
            <w:tcW w:w="1614" w:type="pct"/>
          </w:tcPr>
          <w:p w14:paraId="1D361D6E" w14:textId="742E9743" w:rsidR="00BA5B70" w:rsidRPr="0070319D" w:rsidRDefault="0070319D">
            <w:pPr>
              <w:pStyle w:val="ListParagraph"/>
              <w:numPr>
                <w:ilvl w:val="0"/>
                <w:numId w:val="81"/>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Agen Asuransi yang memasarkan produk asuransi bersama yang merupakan PAYDI wajib memiliki perjanjian kerja sama keagenan dengan masing-masing perusahaan yang melakukan koasuransi dalam rangka produk asuransi bersama yang merupakan PAYDI tersebut.</w:t>
            </w:r>
          </w:p>
        </w:tc>
        <w:tc>
          <w:tcPr>
            <w:tcW w:w="1167" w:type="pct"/>
          </w:tcPr>
          <w:p w14:paraId="4013B5B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2FF70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2428B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283E634" w14:textId="77777777" w:rsidTr="00C61A26">
        <w:trPr>
          <w:jc w:val="center"/>
        </w:trPr>
        <w:tc>
          <w:tcPr>
            <w:tcW w:w="1614" w:type="pct"/>
          </w:tcPr>
          <w:p w14:paraId="2637D70A" w14:textId="77777777" w:rsidR="00BA5B70" w:rsidRPr="0090694C" w:rsidRDefault="00BA5B70" w:rsidP="00BA5B70">
            <w:pPr>
              <w:pStyle w:val="ListParagraph"/>
              <w:rPr>
                <w:rFonts w:ascii="Bookman Old Style" w:hAnsi="Bookman Old Style"/>
                <w:color w:val="EE0000"/>
                <w:sz w:val="24"/>
                <w:szCs w:val="24"/>
              </w:rPr>
            </w:pPr>
          </w:p>
        </w:tc>
        <w:tc>
          <w:tcPr>
            <w:tcW w:w="1167" w:type="pct"/>
          </w:tcPr>
          <w:p w14:paraId="47414F9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97D74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F29D2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241190E" w14:textId="77777777" w:rsidTr="00C61A26">
        <w:trPr>
          <w:jc w:val="center"/>
        </w:trPr>
        <w:tc>
          <w:tcPr>
            <w:tcW w:w="1614" w:type="pct"/>
          </w:tcPr>
          <w:p w14:paraId="4B0277FD" w14:textId="0B3725BE" w:rsidR="00BA5B70" w:rsidRPr="0070319D" w:rsidRDefault="00BA5B70" w:rsidP="00BA5B70">
            <w:pPr>
              <w:pStyle w:val="ListParagraph"/>
              <w:jc w:val="center"/>
              <w:rPr>
                <w:rFonts w:ascii="Bookman Old Style" w:hAnsi="Bookman Old Style"/>
                <w:color w:val="000000" w:themeColor="text1"/>
                <w:sz w:val="24"/>
                <w:szCs w:val="24"/>
              </w:rPr>
            </w:pPr>
            <w:r w:rsidRPr="0070319D">
              <w:rPr>
                <w:rFonts w:ascii="Bookman Old Style" w:hAnsi="Bookman Old Style"/>
                <w:color w:val="000000" w:themeColor="text1"/>
                <w:sz w:val="24"/>
                <w:szCs w:val="24"/>
              </w:rPr>
              <w:t>Bagian Ke</w:t>
            </w:r>
            <w:r w:rsidR="00356A67">
              <w:rPr>
                <w:rFonts w:ascii="Bookman Old Style" w:hAnsi="Bookman Old Style"/>
                <w:color w:val="000000" w:themeColor="text1"/>
                <w:sz w:val="24"/>
                <w:szCs w:val="24"/>
              </w:rPr>
              <w:t>empat</w:t>
            </w:r>
          </w:p>
        </w:tc>
        <w:tc>
          <w:tcPr>
            <w:tcW w:w="1167" w:type="pct"/>
          </w:tcPr>
          <w:p w14:paraId="38C211D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833DC7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89CCBB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2653D18" w14:textId="628761E9" w:rsidTr="00C61A26">
        <w:trPr>
          <w:jc w:val="center"/>
        </w:trPr>
        <w:tc>
          <w:tcPr>
            <w:tcW w:w="1614" w:type="pct"/>
          </w:tcPr>
          <w:p w14:paraId="2CB68DA8" w14:textId="1526825E" w:rsidR="00BA5B70" w:rsidRPr="0070319D" w:rsidRDefault="00BA5B70" w:rsidP="00BA5B70">
            <w:pPr>
              <w:pStyle w:val="ListParagraph"/>
              <w:spacing w:after="0" w:line="360" w:lineRule="auto"/>
              <w:ind w:left="873"/>
              <w:jc w:val="center"/>
              <w:rPr>
                <w:rFonts w:ascii="Bookman Old Style" w:hAnsi="Bookman Old Style"/>
                <w:color w:val="000000" w:themeColor="text1"/>
                <w:sz w:val="24"/>
                <w:szCs w:val="24"/>
              </w:rPr>
            </w:pPr>
            <w:r w:rsidRPr="0070319D">
              <w:rPr>
                <w:rFonts w:ascii="Bookman Old Style" w:hAnsi="Bookman Old Style"/>
                <w:color w:val="000000" w:themeColor="text1"/>
                <w:sz w:val="24"/>
                <w:szCs w:val="24"/>
              </w:rPr>
              <w:t>Sanksi Administratif</w:t>
            </w:r>
          </w:p>
        </w:tc>
        <w:tc>
          <w:tcPr>
            <w:tcW w:w="1167" w:type="pct"/>
          </w:tcPr>
          <w:p w14:paraId="2C83F8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F1A03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C4151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9AF0815" w14:textId="436AE1D6" w:rsidTr="00C61A26">
        <w:trPr>
          <w:jc w:val="center"/>
        </w:trPr>
        <w:tc>
          <w:tcPr>
            <w:tcW w:w="1614" w:type="pct"/>
          </w:tcPr>
          <w:p w14:paraId="30E5C478" w14:textId="3B4481B8" w:rsidR="00BA5B70" w:rsidRPr="0070319D" w:rsidRDefault="00BA5B70" w:rsidP="00BA5B70">
            <w:pPr>
              <w:pStyle w:val="ListParagraph"/>
              <w:spacing w:after="0" w:line="360" w:lineRule="auto"/>
              <w:ind w:left="873"/>
              <w:jc w:val="center"/>
              <w:rPr>
                <w:rFonts w:ascii="Bookman Old Style" w:hAnsi="Bookman Old Style"/>
                <w:color w:val="000000" w:themeColor="text1"/>
                <w:sz w:val="24"/>
                <w:szCs w:val="24"/>
              </w:rPr>
            </w:pPr>
            <w:r w:rsidRPr="0070319D">
              <w:rPr>
                <w:rFonts w:ascii="Bookman Old Style" w:hAnsi="Bookman Old Style"/>
                <w:color w:val="000000" w:themeColor="text1"/>
                <w:sz w:val="24"/>
                <w:szCs w:val="24"/>
              </w:rPr>
              <w:t>Pasal 10</w:t>
            </w:r>
          </w:p>
        </w:tc>
        <w:tc>
          <w:tcPr>
            <w:tcW w:w="1167" w:type="pct"/>
          </w:tcPr>
          <w:p w14:paraId="167A1BC1" w14:textId="192A3DC5"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15AD752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66A29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2E57B96" w14:textId="5A783825" w:rsidTr="00C61A26">
        <w:trPr>
          <w:jc w:val="center"/>
        </w:trPr>
        <w:tc>
          <w:tcPr>
            <w:tcW w:w="1614" w:type="pct"/>
          </w:tcPr>
          <w:p w14:paraId="7A23E6F9" w14:textId="29CCC404" w:rsidR="00BA5B70" w:rsidRPr="0070319D" w:rsidRDefault="0070319D" w:rsidP="0070319D">
            <w:pPr>
              <w:pStyle w:val="ListParagraph"/>
              <w:numPr>
                <w:ilvl w:val="0"/>
                <w:numId w:val="38"/>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Pelanggaran terhadap ketentuan sebagaimana dimaksud dalam Pasal 2 ayat (1), ayat (2), Pasal 3, Pasal 4 ayat (1), ayat (2), Pasal 6 ayat (2), ayat (3), Pasal 7 ayat (1), ayat (2), ayat (3), Pasal 8 ayat (3) ayat (4), dan/atau Pasal 9  dikenakan sanksi administratif berupa: </w:t>
            </w:r>
          </w:p>
        </w:tc>
        <w:tc>
          <w:tcPr>
            <w:tcW w:w="1167" w:type="pct"/>
          </w:tcPr>
          <w:p w14:paraId="4E60DA7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CB85C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10ED3C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E1775FF" w14:textId="40DE9E08" w:rsidTr="00C61A26">
        <w:trPr>
          <w:jc w:val="center"/>
        </w:trPr>
        <w:tc>
          <w:tcPr>
            <w:tcW w:w="1614" w:type="pct"/>
          </w:tcPr>
          <w:p w14:paraId="4AD5FB53" w14:textId="1CBEB374" w:rsidR="00BA5B70" w:rsidRPr="0070319D" w:rsidRDefault="00BA5B70" w:rsidP="00BA5B70">
            <w:pPr>
              <w:pStyle w:val="ListParagraph"/>
              <w:numPr>
                <w:ilvl w:val="1"/>
                <w:numId w:val="39"/>
              </w:numPr>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peringatan tertulis; </w:t>
            </w:r>
          </w:p>
        </w:tc>
        <w:tc>
          <w:tcPr>
            <w:tcW w:w="1167" w:type="pct"/>
          </w:tcPr>
          <w:p w14:paraId="1AC6A4B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A2F268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761699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50B309" w14:textId="77777777" w:rsidTr="00C61A26">
        <w:trPr>
          <w:jc w:val="center"/>
        </w:trPr>
        <w:tc>
          <w:tcPr>
            <w:tcW w:w="1614" w:type="pct"/>
          </w:tcPr>
          <w:p w14:paraId="3B72889B" w14:textId="7BA7DAB2" w:rsidR="00BA5B70" w:rsidRPr="0070319D" w:rsidRDefault="00BA5B70" w:rsidP="00BA5B70">
            <w:pPr>
              <w:pStyle w:val="ListParagraph"/>
              <w:numPr>
                <w:ilvl w:val="1"/>
                <w:numId w:val="39"/>
              </w:numPr>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larangan untuk memasarkan PAYDI; dan/atau </w:t>
            </w:r>
          </w:p>
        </w:tc>
        <w:tc>
          <w:tcPr>
            <w:tcW w:w="1167" w:type="pct"/>
          </w:tcPr>
          <w:p w14:paraId="33EF6E5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369A74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742F8D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07A17BE" w14:textId="77777777" w:rsidTr="00C61A26">
        <w:trPr>
          <w:jc w:val="center"/>
        </w:trPr>
        <w:tc>
          <w:tcPr>
            <w:tcW w:w="1614" w:type="pct"/>
          </w:tcPr>
          <w:p w14:paraId="4E6C8634" w14:textId="0272B770" w:rsidR="00BA5B70" w:rsidRPr="0070319D" w:rsidRDefault="00BA5B70" w:rsidP="00BA5B70">
            <w:pPr>
              <w:pStyle w:val="ListParagraph"/>
              <w:numPr>
                <w:ilvl w:val="1"/>
                <w:numId w:val="39"/>
              </w:numPr>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penurunan tingkat kesehatan. </w:t>
            </w:r>
          </w:p>
        </w:tc>
        <w:tc>
          <w:tcPr>
            <w:tcW w:w="1167" w:type="pct"/>
          </w:tcPr>
          <w:p w14:paraId="3465637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0A4B03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099A8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526539E" w14:textId="2F1D2AD6" w:rsidTr="00C61A26">
        <w:trPr>
          <w:jc w:val="center"/>
        </w:trPr>
        <w:tc>
          <w:tcPr>
            <w:tcW w:w="1614" w:type="pct"/>
          </w:tcPr>
          <w:p w14:paraId="558B8D74" w14:textId="1F73D152" w:rsidR="00BA5B70" w:rsidRPr="0070319D" w:rsidRDefault="00BA5B70" w:rsidP="00BA5B70">
            <w:pPr>
              <w:pStyle w:val="ListParagraph"/>
              <w:numPr>
                <w:ilvl w:val="0"/>
                <w:numId w:val="40"/>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Dalam hal terjadi pelanggaran ketentuan sebagaimana dimaksud pada ayat (1) dan pelanggaran telah diperbaiki, Otoritas Jasa Keuangan memberikan sanksi peringatan tertulis yang berakhir dengan sendirinya. </w:t>
            </w:r>
          </w:p>
        </w:tc>
        <w:tc>
          <w:tcPr>
            <w:tcW w:w="1167" w:type="pct"/>
          </w:tcPr>
          <w:p w14:paraId="65BE7D8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13C3E6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D01312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9FE7D37" w14:textId="77777777" w:rsidTr="00C61A26">
        <w:trPr>
          <w:jc w:val="center"/>
        </w:trPr>
        <w:tc>
          <w:tcPr>
            <w:tcW w:w="1614" w:type="pct"/>
          </w:tcPr>
          <w:p w14:paraId="6330D27D" w14:textId="4BDA5681" w:rsidR="00BA5B70" w:rsidRPr="0070319D" w:rsidRDefault="00BA5B70" w:rsidP="00BA5B70">
            <w:pPr>
              <w:pStyle w:val="ListParagraph"/>
              <w:numPr>
                <w:ilvl w:val="0"/>
                <w:numId w:val="40"/>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Dalam hal pelanggaran atas ketentuan sebagaimana dimaksud pada ayat (1) huruf a dan huruf b telah </w:t>
            </w:r>
            <w:r w:rsidRPr="0070319D">
              <w:rPr>
                <w:rFonts w:ascii="Bookman Old Style" w:hAnsi="Bookman Old Style"/>
                <w:color w:val="000000" w:themeColor="text1"/>
                <w:sz w:val="24"/>
                <w:szCs w:val="24"/>
              </w:rPr>
              <w:lastRenderedPageBreak/>
              <w:t>dipenuhi, Otoritas Jasa Keuangan mencabut sanksi administratif.</w:t>
            </w:r>
          </w:p>
        </w:tc>
        <w:tc>
          <w:tcPr>
            <w:tcW w:w="1167" w:type="pct"/>
          </w:tcPr>
          <w:p w14:paraId="6307FEC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C6957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1613A1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CD0FFE8" w14:textId="7A2F6730" w:rsidTr="00C61A26">
        <w:trPr>
          <w:jc w:val="center"/>
        </w:trPr>
        <w:tc>
          <w:tcPr>
            <w:tcW w:w="1614" w:type="pct"/>
          </w:tcPr>
          <w:p w14:paraId="2C646C11" w14:textId="77777777" w:rsidR="00BA5B70" w:rsidRPr="00C562C1" w:rsidRDefault="00BA5B70" w:rsidP="00BA5B70">
            <w:pPr>
              <w:spacing w:after="0" w:line="360" w:lineRule="auto"/>
              <w:jc w:val="both"/>
              <w:rPr>
                <w:rFonts w:ascii="Bookman Old Style" w:hAnsi="Bookman Old Style"/>
                <w:sz w:val="24"/>
                <w:szCs w:val="24"/>
              </w:rPr>
            </w:pPr>
          </w:p>
        </w:tc>
        <w:tc>
          <w:tcPr>
            <w:tcW w:w="1167" w:type="pct"/>
          </w:tcPr>
          <w:p w14:paraId="2392825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A38317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796911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BD17829" w14:textId="68075133" w:rsidTr="00C61A26">
        <w:trPr>
          <w:jc w:val="center"/>
        </w:trPr>
        <w:tc>
          <w:tcPr>
            <w:tcW w:w="1614" w:type="pct"/>
          </w:tcPr>
          <w:p w14:paraId="3B1FD25A" w14:textId="788E2CEF" w:rsidR="00BA5B70" w:rsidRPr="0070319D" w:rsidRDefault="00BA5B70" w:rsidP="00BA5B70">
            <w:pPr>
              <w:spacing w:after="0" w:line="360" w:lineRule="auto"/>
              <w:jc w:val="center"/>
              <w:rPr>
                <w:rFonts w:ascii="Bookman Old Style" w:hAnsi="Bookman Old Style"/>
                <w:color w:val="000000" w:themeColor="text1"/>
                <w:sz w:val="24"/>
                <w:szCs w:val="24"/>
              </w:rPr>
            </w:pPr>
            <w:r w:rsidRPr="0070319D">
              <w:rPr>
                <w:rFonts w:ascii="Bookman Old Style" w:hAnsi="Bookman Old Style"/>
                <w:color w:val="000000" w:themeColor="text1"/>
                <w:sz w:val="24"/>
                <w:szCs w:val="24"/>
              </w:rPr>
              <w:t>Pasal</w:t>
            </w:r>
            <w:r w:rsidRPr="0070319D">
              <w:rPr>
                <w:rFonts w:ascii="Bookman Old Style" w:hAnsi="Bookman Old Style"/>
                <w:color w:val="000000" w:themeColor="text1"/>
                <w:sz w:val="24"/>
                <w:szCs w:val="24"/>
                <w:lang w:val="en-ID"/>
              </w:rPr>
              <w:t xml:space="preserve"> </w:t>
            </w:r>
            <w:r w:rsidRPr="0070319D">
              <w:rPr>
                <w:rFonts w:ascii="Bookman Old Style" w:hAnsi="Bookman Old Style"/>
                <w:color w:val="000000" w:themeColor="text1"/>
                <w:sz w:val="24"/>
                <w:szCs w:val="24"/>
              </w:rPr>
              <w:t>1</w:t>
            </w:r>
            <w:r w:rsidR="0070319D">
              <w:rPr>
                <w:rFonts w:ascii="Bookman Old Style" w:hAnsi="Bookman Old Style"/>
                <w:color w:val="000000" w:themeColor="text1"/>
                <w:sz w:val="24"/>
                <w:szCs w:val="24"/>
              </w:rPr>
              <w:t>1</w:t>
            </w:r>
          </w:p>
        </w:tc>
        <w:tc>
          <w:tcPr>
            <w:tcW w:w="1167" w:type="pct"/>
          </w:tcPr>
          <w:p w14:paraId="4ED59B4A" w14:textId="43FCC8A0"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C562C1">
              <w:rPr>
                <w:rFonts w:ascii="Bookman Old Style" w:hAnsi="Bookman Old Style"/>
                <w:sz w:val="24"/>
                <w:szCs w:val="24"/>
              </w:rPr>
              <w:t>Cukup jelas.</w:t>
            </w:r>
          </w:p>
        </w:tc>
        <w:tc>
          <w:tcPr>
            <w:tcW w:w="1109" w:type="pct"/>
          </w:tcPr>
          <w:p w14:paraId="04355B9F"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BC2F913"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4778BFA5" w14:textId="01DA4F28" w:rsidTr="00C61A26">
        <w:trPr>
          <w:jc w:val="center"/>
        </w:trPr>
        <w:tc>
          <w:tcPr>
            <w:tcW w:w="1614" w:type="pct"/>
          </w:tcPr>
          <w:p w14:paraId="4DFB7996" w14:textId="5DA230DE" w:rsidR="00BA5B70" w:rsidRPr="0070319D" w:rsidRDefault="0070319D" w:rsidP="00BA5B70">
            <w:pPr>
              <w:spacing w:after="0" w:line="360" w:lineRule="auto"/>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Terhadap pelanggaran ketentuan sanksi administratif sebagaimana dimaksud dalam Pasal 10  ayat (1), Otoritas Jasa Keuangan dapat melakukan penilaian kembali terhadap pihak utama Perusahaan Asuransi atau Perusahaan Asuransi Syariah sesuai dengan Peraturan Otoritas Jasa Keuangan mengenai penilaian kembali bagi pihak utama lembaga jasa keuangan.</w:t>
            </w:r>
          </w:p>
        </w:tc>
        <w:tc>
          <w:tcPr>
            <w:tcW w:w="1167" w:type="pct"/>
          </w:tcPr>
          <w:p w14:paraId="43744E4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C3BBF8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1B71B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35B5C0E" w14:textId="4AE7796A" w:rsidTr="00C61A26">
        <w:trPr>
          <w:jc w:val="center"/>
        </w:trPr>
        <w:tc>
          <w:tcPr>
            <w:tcW w:w="1614" w:type="pct"/>
          </w:tcPr>
          <w:p w14:paraId="7E5CE698" w14:textId="1A184878" w:rsidR="00BA5B70" w:rsidRPr="0070319D" w:rsidRDefault="00BA5B70" w:rsidP="00BA5B70">
            <w:pPr>
              <w:pStyle w:val="ListParagraph"/>
              <w:spacing w:after="0" w:line="360" w:lineRule="auto"/>
              <w:ind w:left="447"/>
              <w:jc w:val="both"/>
              <w:rPr>
                <w:rFonts w:ascii="Bookman Old Style" w:hAnsi="Bookman Old Style"/>
                <w:color w:val="000000" w:themeColor="text1"/>
                <w:sz w:val="24"/>
                <w:szCs w:val="24"/>
              </w:rPr>
            </w:pPr>
          </w:p>
        </w:tc>
        <w:tc>
          <w:tcPr>
            <w:tcW w:w="1167" w:type="pct"/>
          </w:tcPr>
          <w:p w14:paraId="4D07444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7CC02C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29BDD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B398F23" w14:textId="35657F68" w:rsidTr="00C61A26">
        <w:trPr>
          <w:jc w:val="center"/>
        </w:trPr>
        <w:tc>
          <w:tcPr>
            <w:tcW w:w="1614" w:type="pct"/>
          </w:tcPr>
          <w:p w14:paraId="12E778DA" w14:textId="4FEE3393" w:rsidR="00BA5B70" w:rsidRPr="0070319D" w:rsidRDefault="00BA5B70" w:rsidP="00BA5B70">
            <w:pPr>
              <w:spacing w:after="0" w:line="360" w:lineRule="auto"/>
              <w:jc w:val="center"/>
              <w:rPr>
                <w:rFonts w:ascii="Bookman Old Style" w:hAnsi="Bookman Old Style"/>
                <w:color w:val="000000" w:themeColor="text1"/>
                <w:sz w:val="24"/>
                <w:szCs w:val="24"/>
              </w:rPr>
            </w:pPr>
            <w:r w:rsidRPr="0070319D">
              <w:rPr>
                <w:rFonts w:ascii="Bookman Old Style" w:hAnsi="Bookman Old Style"/>
                <w:color w:val="000000" w:themeColor="text1"/>
                <w:sz w:val="24"/>
                <w:szCs w:val="24"/>
              </w:rPr>
              <w:t>BAB III</w:t>
            </w:r>
          </w:p>
        </w:tc>
        <w:tc>
          <w:tcPr>
            <w:tcW w:w="1167" w:type="pct"/>
          </w:tcPr>
          <w:p w14:paraId="55140F1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75DB39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1D5947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A0CD485" w14:textId="49AE8C33" w:rsidTr="00C61A26">
        <w:trPr>
          <w:jc w:val="center"/>
        </w:trPr>
        <w:tc>
          <w:tcPr>
            <w:tcW w:w="1614" w:type="pct"/>
          </w:tcPr>
          <w:p w14:paraId="7CC4161B" w14:textId="69CBDCEA" w:rsidR="00BA5B70" w:rsidRPr="0075396B" w:rsidRDefault="002106EF" w:rsidP="00BA5B70">
            <w:pPr>
              <w:spacing w:after="0" w:line="360" w:lineRule="auto"/>
              <w:jc w:val="center"/>
              <w:rPr>
                <w:rFonts w:ascii="Bookman Old Style" w:hAnsi="Bookman Old Style"/>
                <w:sz w:val="24"/>
                <w:szCs w:val="24"/>
              </w:rPr>
            </w:pPr>
            <w:r w:rsidRPr="002106EF">
              <w:rPr>
                <w:rFonts w:ascii="Bookman Old Style" w:hAnsi="Bookman Old Style"/>
                <w:sz w:val="24"/>
                <w:szCs w:val="24"/>
              </w:rPr>
              <w:t>PENGELOLAAN ASET DAN LIABILITAS PAYDI</w:t>
            </w:r>
          </w:p>
        </w:tc>
        <w:tc>
          <w:tcPr>
            <w:tcW w:w="1167" w:type="pct"/>
          </w:tcPr>
          <w:p w14:paraId="0990F67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0600F1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84565F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A28A8EC" w14:textId="296625C7" w:rsidTr="00C61A26">
        <w:trPr>
          <w:jc w:val="center"/>
        </w:trPr>
        <w:tc>
          <w:tcPr>
            <w:tcW w:w="1614" w:type="pct"/>
          </w:tcPr>
          <w:p w14:paraId="1941BD3F" w14:textId="5A0A6231" w:rsidR="00BA5B70" w:rsidRPr="00C562C1" w:rsidRDefault="00BA5B70" w:rsidP="00BA5B70">
            <w:pPr>
              <w:pStyle w:val="ListParagraph"/>
              <w:spacing w:after="0" w:line="360" w:lineRule="auto"/>
              <w:ind w:left="873"/>
              <w:jc w:val="both"/>
              <w:rPr>
                <w:rFonts w:ascii="Bookman Old Style" w:hAnsi="Bookman Old Style"/>
                <w:sz w:val="24"/>
                <w:szCs w:val="24"/>
              </w:rPr>
            </w:pPr>
          </w:p>
        </w:tc>
        <w:tc>
          <w:tcPr>
            <w:tcW w:w="1167" w:type="pct"/>
          </w:tcPr>
          <w:p w14:paraId="0A05E5F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D8CF6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EC403B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F45BB59" w14:textId="77777777" w:rsidTr="00C61A26">
        <w:trPr>
          <w:jc w:val="center"/>
        </w:trPr>
        <w:tc>
          <w:tcPr>
            <w:tcW w:w="1614" w:type="pct"/>
          </w:tcPr>
          <w:p w14:paraId="71E6D96A" w14:textId="343F5A94" w:rsidR="00BA5B70" w:rsidRPr="0075396B" w:rsidRDefault="00BA5B70" w:rsidP="00BA5B70">
            <w:pPr>
              <w:spacing w:after="0" w:line="360" w:lineRule="auto"/>
              <w:jc w:val="center"/>
              <w:rPr>
                <w:rFonts w:ascii="Bookman Old Style" w:hAnsi="Bookman Old Style"/>
                <w:sz w:val="24"/>
                <w:szCs w:val="24"/>
              </w:rPr>
            </w:pPr>
            <w:r w:rsidRPr="0075396B">
              <w:rPr>
                <w:rFonts w:ascii="Bookman Old Style" w:hAnsi="Bookman Old Style"/>
                <w:sz w:val="24"/>
                <w:szCs w:val="24"/>
              </w:rPr>
              <w:t>Bagian Kesatu</w:t>
            </w:r>
          </w:p>
        </w:tc>
        <w:tc>
          <w:tcPr>
            <w:tcW w:w="1167" w:type="pct"/>
          </w:tcPr>
          <w:p w14:paraId="402F99E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2F86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341682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052D19B" w14:textId="50CFFEDD" w:rsidTr="00C61A26">
        <w:trPr>
          <w:jc w:val="center"/>
        </w:trPr>
        <w:tc>
          <w:tcPr>
            <w:tcW w:w="1614" w:type="pct"/>
          </w:tcPr>
          <w:p w14:paraId="34E553A8" w14:textId="2704BDC6" w:rsidR="00BA5B70" w:rsidRPr="0075396B" w:rsidRDefault="00BA5B70" w:rsidP="00BA5B70">
            <w:pPr>
              <w:spacing w:after="0" w:line="360" w:lineRule="auto"/>
              <w:jc w:val="center"/>
              <w:rPr>
                <w:rFonts w:ascii="Bookman Old Style" w:hAnsi="Bookman Old Style"/>
                <w:sz w:val="24"/>
                <w:szCs w:val="24"/>
              </w:rPr>
            </w:pPr>
            <w:r w:rsidRPr="0075396B">
              <w:rPr>
                <w:rFonts w:ascii="Bookman Old Style" w:hAnsi="Bookman Old Style"/>
                <w:sz w:val="24"/>
                <w:szCs w:val="24"/>
              </w:rPr>
              <w:t>Umum</w:t>
            </w:r>
          </w:p>
        </w:tc>
        <w:tc>
          <w:tcPr>
            <w:tcW w:w="1167" w:type="pct"/>
          </w:tcPr>
          <w:p w14:paraId="5CC7196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9812B9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6714DA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E9ABFFC" w14:textId="53BC2887" w:rsidTr="00C61A26">
        <w:trPr>
          <w:jc w:val="center"/>
        </w:trPr>
        <w:tc>
          <w:tcPr>
            <w:tcW w:w="1614" w:type="pct"/>
          </w:tcPr>
          <w:p w14:paraId="043FCF06" w14:textId="68CAF8A9" w:rsidR="00BA5B70" w:rsidRPr="00C562C1" w:rsidRDefault="00BA5B70" w:rsidP="00BA5B70">
            <w:pPr>
              <w:pStyle w:val="ListParagraph"/>
              <w:spacing w:after="0" w:line="360" w:lineRule="auto"/>
              <w:ind w:left="447"/>
              <w:jc w:val="center"/>
              <w:rPr>
                <w:rFonts w:ascii="Bookman Old Style" w:hAnsi="Bookman Old Style"/>
                <w:sz w:val="24"/>
                <w:szCs w:val="24"/>
              </w:rPr>
            </w:pPr>
            <w:r>
              <w:rPr>
                <w:rFonts w:ascii="Bookman Old Style" w:hAnsi="Bookman Old Style"/>
                <w:sz w:val="24"/>
                <w:szCs w:val="24"/>
              </w:rPr>
              <w:t>Pasal 1</w:t>
            </w:r>
            <w:r w:rsidR="0070319D">
              <w:rPr>
                <w:rFonts w:ascii="Bookman Old Style" w:hAnsi="Bookman Old Style"/>
                <w:sz w:val="24"/>
                <w:szCs w:val="24"/>
              </w:rPr>
              <w:t>2</w:t>
            </w:r>
          </w:p>
        </w:tc>
        <w:tc>
          <w:tcPr>
            <w:tcW w:w="1167" w:type="pct"/>
          </w:tcPr>
          <w:p w14:paraId="1EF5D700" w14:textId="1D604418"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0BD0420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46B935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E40C074" w14:textId="77777777" w:rsidTr="00C61A26">
        <w:trPr>
          <w:jc w:val="center"/>
        </w:trPr>
        <w:tc>
          <w:tcPr>
            <w:tcW w:w="1614" w:type="pct"/>
          </w:tcPr>
          <w:p w14:paraId="1FB7A70E" w14:textId="7B9D796E" w:rsidR="00BA5B70" w:rsidRPr="002C3EE1" w:rsidRDefault="00BA5B70" w:rsidP="002106EF">
            <w:pPr>
              <w:spacing w:after="0" w:line="360" w:lineRule="auto"/>
              <w:jc w:val="both"/>
              <w:rPr>
                <w:rFonts w:ascii="Bookman Old Style" w:hAnsi="Bookman Old Style"/>
                <w:sz w:val="24"/>
                <w:szCs w:val="24"/>
              </w:rPr>
            </w:pPr>
            <w:r w:rsidRPr="002C3EE1">
              <w:rPr>
                <w:rFonts w:ascii="Bookman Old Style" w:hAnsi="Bookman Old Style"/>
                <w:sz w:val="24"/>
                <w:szCs w:val="24"/>
              </w:rPr>
              <w:t xml:space="preserve">Perusahaan Asuransi atau Perusahaan Asuransi Syariah yang menyelenggarakan PAYDI </w:t>
            </w:r>
            <w:r w:rsidRPr="0070319D">
              <w:rPr>
                <w:rFonts w:ascii="Bookman Old Style" w:hAnsi="Bookman Old Style"/>
                <w:sz w:val="24"/>
                <w:szCs w:val="24"/>
              </w:rPr>
              <w:t>wajib</w:t>
            </w:r>
            <w:r w:rsidRPr="002C3EE1">
              <w:rPr>
                <w:rFonts w:ascii="Bookman Old Style" w:hAnsi="Bookman Old Style"/>
                <w:sz w:val="24"/>
                <w:szCs w:val="24"/>
              </w:rPr>
              <w:t>:</w:t>
            </w:r>
          </w:p>
        </w:tc>
        <w:tc>
          <w:tcPr>
            <w:tcW w:w="1167" w:type="pct"/>
          </w:tcPr>
          <w:p w14:paraId="639088F1" w14:textId="77777777" w:rsidR="00BA5B70" w:rsidRPr="001D24E3"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AE282F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C7B39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01DB855" w14:textId="77777777" w:rsidTr="00C61A26">
        <w:trPr>
          <w:jc w:val="center"/>
        </w:trPr>
        <w:tc>
          <w:tcPr>
            <w:tcW w:w="1614" w:type="pct"/>
          </w:tcPr>
          <w:p w14:paraId="21018E33" w14:textId="6AD5E2AA" w:rsidR="00BA5B70" w:rsidRPr="002C3EE1" w:rsidRDefault="00BA5B70">
            <w:pPr>
              <w:pStyle w:val="ListParagraph"/>
              <w:numPr>
                <w:ilvl w:val="0"/>
                <w:numId w:val="82"/>
              </w:numPr>
              <w:jc w:val="both"/>
              <w:rPr>
                <w:rFonts w:ascii="Bookman Old Style" w:hAnsi="Bookman Old Style"/>
                <w:sz w:val="24"/>
                <w:szCs w:val="24"/>
              </w:rPr>
            </w:pPr>
            <w:r w:rsidRPr="002C3EE1">
              <w:rPr>
                <w:rFonts w:ascii="Bookman Old Style" w:hAnsi="Bookman Old Style"/>
                <w:sz w:val="24"/>
                <w:szCs w:val="24"/>
              </w:rPr>
              <w:t xml:space="preserve">melakukan pencatatan dan pelaporan aset dan liabilitas setiap Subdana secara terpisah dengan aset dan liabilitas lain yang dimiliki atau dikelola Perusahaan </w:t>
            </w:r>
            <w:r w:rsidRPr="0070319D">
              <w:rPr>
                <w:rFonts w:ascii="Bookman Old Style" w:hAnsi="Bookman Old Style"/>
                <w:color w:val="000000" w:themeColor="text1"/>
                <w:sz w:val="24"/>
                <w:szCs w:val="24"/>
              </w:rPr>
              <w:t xml:space="preserve">Asuransi atau Perusahaan Asuransi Syariah; </w:t>
            </w:r>
          </w:p>
        </w:tc>
        <w:tc>
          <w:tcPr>
            <w:tcW w:w="1167" w:type="pct"/>
          </w:tcPr>
          <w:p w14:paraId="53B8FF3C" w14:textId="77777777" w:rsidR="00BA5B70" w:rsidRPr="001D24E3"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B24904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C04B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F4D8374" w14:textId="77777777" w:rsidTr="00C61A26">
        <w:trPr>
          <w:jc w:val="center"/>
        </w:trPr>
        <w:tc>
          <w:tcPr>
            <w:tcW w:w="1614" w:type="pct"/>
          </w:tcPr>
          <w:p w14:paraId="71859AC8" w14:textId="67E92DE9" w:rsidR="00BA5B70" w:rsidRPr="0070319D" w:rsidRDefault="0070319D">
            <w:pPr>
              <w:pStyle w:val="ListParagraph"/>
              <w:numPr>
                <w:ilvl w:val="0"/>
                <w:numId w:val="82"/>
              </w:numPr>
              <w:rPr>
                <w:rFonts w:ascii="Bookman Old Style" w:hAnsi="Bookman Old Style"/>
                <w:color w:val="000000" w:themeColor="text1"/>
                <w:sz w:val="24"/>
                <w:szCs w:val="24"/>
              </w:rPr>
            </w:pPr>
            <w:r w:rsidRPr="0070319D">
              <w:rPr>
                <w:rFonts w:ascii="Bookman Old Style" w:hAnsi="Bookman Old Style"/>
                <w:color w:val="000000" w:themeColor="text1"/>
                <w:sz w:val="24"/>
                <w:szCs w:val="24"/>
              </w:rPr>
              <w:t>memiliki dan menerapkan kebijakan dan strategi investasi untuk PAYDI;</w:t>
            </w:r>
          </w:p>
        </w:tc>
        <w:tc>
          <w:tcPr>
            <w:tcW w:w="1167" w:type="pct"/>
          </w:tcPr>
          <w:p w14:paraId="2D8FE1DE" w14:textId="77777777" w:rsidR="00BA5B70" w:rsidRPr="001D24E3"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3D8DB3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15D9C9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70319D" w:rsidRPr="00C562C1" w14:paraId="534BE886" w14:textId="77777777" w:rsidTr="00C61A26">
        <w:trPr>
          <w:jc w:val="center"/>
        </w:trPr>
        <w:tc>
          <w:tcPr>
            <w:tcW w:w="1614" w:type="pct"/>
          </w:tcPr>
          <w:p w14:paraId="2D9D76BB" w14:textId="21DE9AF5" w:rsidR="0070319D" w:rsidRPr="0070319D" w:rsidRDefault="0070319D">
            <w:pPr>
              <w:pStyle w:val="ListParagraph"/>
              <w:numPr>
                <w:ilvl w:val="0"/>
                <w:numId w:val="82"/>
              </w:numPr>
              <w:rPr>
                <w:rFonts w:ascii="Bookman Old Style" w:hAnsi="Bookman Old Style"/>
                <w:color w:val="000000" w:themeColor="text1"/>
                <w:sz w:val="24"/>
                <w:szCs w:val="24"/>
              </w:rPr>
            </w:pPr>
            <w:r w:rsidRPr="0070319D">
              <w:rPr>
                <w:rFonts w:ascii="Bookman Old Style" w:hAnsi="Bookman Old Style"/>
                <w:color w:val="000000" w:themeColor="text1"/>
                <w:sz w:val="24"/>
                <w:szCs w:val="24"/>
              </w:rPr>
              <w:lastRenderedPageBreak/>
              <w:t>menerapkan manajemen risiko yang efektif terhadap risiko nilai tukar atas liabilitas dalam mata uang asing.</w:t>
            </w:r>
          </w:p>
        </w:tc>
        <w:tc>
          <w:tcPr>
            <w:tcW w:w="1167" w:type="pct"/>
          </w:tcPr>
          <w:p w14:paraId="0CE0AF04" w14:textId="77777777" w:rsidR="0070319D" w:rsidRPr="001D24E3"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2A6E015" w14:textId="77777777" w:rsidR="0070319D" w:rsidRPr="00C562C1"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EF3EDF" w14:textId="77777777" w:rsidR="0070319D" w:rsidRPr="00C562C1"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A1D8361" w14:textId="77777777" w:rsidTr="00C61A26">
        <w:trPr>
          <w:jc w:val="center"/>
        </w:trPr>
        <w:tc>
          <w:tcPr>
            <w:tcW w:w="1614" w:type="pct"/>
          </w:tcPr>
          <w:p w14:paraId="7CA89381" w14:textId="77777777" w:rsidR="00BA5B70" w:rsidRPr="00FE3A6B" w:rsidRDefault="00BA5B70" w:rsidP="002106EF">
            <w:pPr>
              <w:pStyle w:val="ListParagraph"/>
              <w:jc w:val="both"/>
              <w:rPr>
                <w:rFonts w:ascii="Bookman Old Style" w:hAnsi="Bookman Old Style"/>
                <w:color w:val="EE0000"/>
                <w:sz w:val="24"/>
                <w:szCs w:val="24"/>
              </w:rPr>
            </w:pPr>
          </w:p>
        </w:tc>
        <w:tc>
          <w:tcPr>
            <w:tcW w:w="1167" w:type="pct"/>
          </w:tcPr>
          <w:p w14:paraId="6A2FBD56" w14:textId="77777777" w:rsidR="00BA5B70" w:rsidRPr="001D24E3"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7F87A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B83CB5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8CEE730" w14:textId="77777777" w:rsidTr="00C61A26">
        <w:trPr>
          <w:jc w:val="center"/>
        </w:trPr>
        <w:tc>
          <w:tcPr>
            <w:tcW w:w="1614" w:type="pct"/>
          </w:tcPr>
          <w:p w14:paraId="12737D0D" w14:textId="29AED0AE" w:rsidR="00BA5B70" w:rsidRPr="00FE3A6B" w:rsidRDefault="00BA5B70" w:rsidP="002106EF">
            <w:pPr>
              <w:pStyle w:val="ListParagraph"/>
              <w:spacing w:after="0" w:line="360" w:lineRule="auto"/>
              <w:ind w:left="447"/>
              <w:jc w:val="center"/>
              <w:rPr>
                <w:rFonts w:ascii="Bookman Old Style" w:hAnsi="Bookman Old Style"/>
                <w:sz w:val="24"/>
                <w:szCs w:val="24"/>
              </w:rPr>
            </w:pPr>
            <w:r>
              <w:rPr>
                <w:rFonts w:ascii="Bookman Old Style" w:hAnsi="Bookman Old Style"/>
                <w:sz w:val="24"/>
                <w:szCs w:val="24"/>
              </w:rPr>
              <w:t>Pasal 1</w:t>
            </w:r>
            <w:r w:rsidR="0070319D">
              <w:rPr>
                <w:rFonts w:ascii="Bookman Old Style" w:hAnsi="Bookman Old Style"/>
                <w:sz w:val="24"/>
                <w:szCs w:val="24"/>
              </w:rPr>
              <w:t>3</w:t>
            </w:r>
          </w:p>
        </w:tc>
        <w:tc>
          <w:tcPr>
            <w:tcW w:w="1167" w:type="pct"/>
          </w:tcPr>
          <w:p w14:paraId="739117F6" w14:textId="77777777" w:rsidR="00BA5B70" w:rsidRPr="001D24E3"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0513A1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72D883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8E0BDBC" w14:textId="5E014C32" w:rsidTr="00C61A26">
        <w:trPr>
          <w:jc w:val="center"/>
        </w:trPr>
        <w:tc>
          <w:tcPr>
            <w:tcW w:w="1614" w:type="pct"/>
          </w:tcPr>
          <w:p w14:paraId="41C4161E" w14:textId="4923EF0A" w:rsidR="00BA5B70" w:rsidRPr="0070319D" w:rsidRDefault="00BA5B70" w:rsidP="002106EF">
            <w:pPr>
              <w:pStyle w:val="ListParagraph"/>
              <w:numPr>
                <w:ilvl w:val="0"/>
                <w:numId w:val="41"/>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Perusahaan Asuransi atau Perusahaan Asuransi Syariah yang memasarkan PAYDI wajib memisahkan pencatatan dan pelaporan aset dan Liabilitas Subdana dengan aset dan liabilitas selain Subdana. </w:t>
            </w:r>
          </w:p>
        </w:tc>
        <w:tc>
          <w:tcPr>
            <w:tcW w:w="1167" w:type="pct"/>
          </w:tcPr>
          <w:p w14:paraId="1A914236" w14:textId="739F0528" w:rsidR="00BA5B70" w:rsidRPr="00C562C1" w:rsidRDefault="00C61A26"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324513B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2D50C4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BE8D4AF" w14:textId="7244F221" w:rsidTr="00C61A26">
        <w:trPr>
          <w:jc w:val="center"/>
        </w:trPr>
        <w:tc>
          <w:tcPr>
            <w:tcW w:w="1614" w:type="pct"/>
          </w:tcPr>
          <w:p w14:paraId="20DBA6E5" w14:textId="4EA0CF6D" w:rsidR="00BA5B70" w:rsidRPr="0070319D" w:rsidRDefault="00BA5B70" w:rsidP="002106EF">
            <w:pPr>
              <w:numPr>
                <w:ilvl w:val="0"/>
                <w:numId w:val="41"/>
              </w:numPr>
              <w:spacing w:after="0" w:line="240" w:lineRule="auto"/>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Perusahaan Asuransi atau Perusahaan Asuransi Syariah dilarang mengalihkan aset dan liabilitas Subdana kepada aset dan liabilitas selain Subdana, atau sebaliknya.</w:t>
            </w:r>
          </w:p>
        </w:tc>
        <w:tc>
          <w:tcPr>
            <w:tcW w:w="1167" w:type="pct"/>
          </w:tcPr>
          <w:p w14:paraId="259E719D" w14:textId="2731033F" w:rsidR="00BA5B70" w:rsidRPr="00C562C1" w:rsidRDefault="00C61A26"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6DC7739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A09E36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AF52E5C" w14:textId="48650922" w:rsidTr="00C61A26">
        <w:trPr>
          <w:jc w:val="center"/>
        </w:trPr>
        <w:tc>
          <w:tcPr>
            <w:tcW w:w="1614" w:type="pct"/>
          </w:tcPr>
          <w:p w14:paraId="6E340CB2" w14:textId="1D6E91D9" w:rsidR="00BA5B70" w:rsidRPr="0070319D" w:rsidRDefault="00BA5B70">
            <w:pPr>
              <w:pStyle w:val="ListParagraph"/>
              <w:numPr>
                <w:ilvl w:val="0"/>
                <w:numId w:val="83"/>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Dalam hal Perusahaan Asuransi atau Perusahaan Asuransi Syariah membentuk lebih dari 1 (satu) Subdana, Perusahaan Asuransi atau Perusahaan Asuransi Syariah:</w:t>
            </w:r>
          </w:p>
        </w:tc>
        <w:tc>
          <w:tcPr>
            <w:tcW w:w="1167" w:type="pct"/>
          </w:tcPr>
          <w:p w14:paraId="5DD801AC" w14:textId="2C5201D8" w:rsidR="00BA5B70" w:rsidRPr="00C562C1" w:rsidRDefault="00C61A26"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Cukup jelas.</w:t>
            </w:r>
          </w:p>
        </w:tc>
        <w:tc>
          <w:tcPr>
            <w:tcW w:w="1109" w:type="pct"/>
          </w:tcPr>
          <w:p w14:paraId="1C116EF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71C31B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E98AFB9" w14:textId="77777777" w:rsidTr="00C61A26">
        <w:trPr>
          <w:jc w:val="center"/>
        </w:trPr>
        <w:tc>
          <w:tcPr>
            <w:tcW w:w="1614" w:type="pct"/>
          </w:tcPr>
          <w:p w14:paraId="62B700BA" w14:textId="20F00A35" w:rsidR="00BA5B70" w:rsidRPr="0070319D" w:rsidRDefault="00BA5B70">
            <w:pPr>
              <w:pStyle w:val="ListParagraph"/>
              <w:numPr>
                <w:ilvl w:val="0"/>
                <w:numId w:val="84"/>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wajib melakukan pemisahan pencatatan aset dan liabilitas Subdana sebagaimana dimaksud pada ayat (1) untuk masing-masing Subdana yang dibentuk Perusahaan Asuransi atau Perusahaan Asuransi Syariah;</w:t>
            </w:r>
          </w:p>
        </w:tc>
        <w:tc>
          <w:tcPr>
            <w:tcW w:w="1167" w:type="pct"/>
          </w:tcPr>
          <w:p w14:paraId="21A3DB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634277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DA81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0B4A99A" w14:textId="77777777" w:rsidTr="00C61A26">
        <w:trPr>
          <w:jc w:val="center"/>
        </w:trPr>
        <w:tc>
          <w:tcPr>
            <w:tcW w:w="1614" w:type="pct"/>
          </w:tcPr>
          <w:p w14:paraId="1B1B4361" w14:textId="17131DC5" w:rsidR="00BA5B70" w:rsidRPr="0070319D" w:rsidRDefault="00BA5B70">
            <w:pPr>
              <w:pStyle w:val="ListParagraph"/>
              <w:numPr>
                <w:ilvl w:val="0"/>
                <w:numId w:val="84"/>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dilarang mengalihkan aset dan liabilitas dari satu Subdana kepada Subdana lain yang dibentuk Perusahaan Asuransi atau Perusahaan Asuransi Syariah; dan </w:t>
            </w:r>
          </w:p>
        </w:tc>
        <w:tc>
          <w:tcPr>
            <w:tcW w:w="1167" w:type="pct"/>
          </w:tcPr>
          <w:p w14:paraId="7FF48F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4216D2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165FD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BA78668" w14:textId="77777777" w:rsidTr="00C61A26">
        <w:trPr>
          <w:jc w:val="center"/>
        </w:trPr>
        <w:tc>
          <w:tcPr>
            <w:tcW w:w="1614" w:type="pct"/>
          </w:tcPr>
          <w:p w14:paraId="092372C1" w14:textId="2B8A1C96" w:rsidR="00BA5B70" w:rsidRPr="0086256D" w:rsidRDefault="00BA5B70">
            <w:pPr>
              <w:pStyle w:val="ListParagraph"/>
              <w:numPr>
                <w:ilvl w:val="0"/>
                <w:numId w:val="84"/>
              </w:numPr>
              <w:jc w:val="both"/>
              <w:rPr>
                <w:rFonts w:ascii="Bookman Old Style" w:hAnsi="Bookman Old Style"/>
                <w:sz w:val="24"/>
                <w:szCs w:val="24"/>
              </w:rPr>
            </w:pPr>
            <w:r w:rsidRPr="0070319D">
              <w:rPr>
                <w:rFonts w:ascii="Bookman Old Style" w:hAnsi="Bookman Old Style"/>
                <w:sz w:val="24"/>
                <w:szCs w:val="24"/>
              </w:rPr>
              <w:t>wajib</w:t>
            </w:r>
            <w:r w:rsidRPr="00CE0968">
              <w:rPr>
                <w:rFonts w:ascii="Bookman Old Style" w:hAnsi="Bookman Old Style"/>
                <w:sz w:val="24"/>
                <w:szCs w:val="24"/>
              </w:rPr>
              <w:t xml:space="preserve"> mengelola bagian premi yang ditujukan untuk memberikan manfaat yang mengacu pada hasil investasi, sesuai dengan Subdana yang dipilih Pemegang Polis atau Tertanggung.</w:t>
            </w:r>
          </w:p>
        </w:tc>
        <w:tc>
          <w:tcPr>
            <w:tcW w:w="1167" w:type="pct"/>
          </w:tcPr>
          <w:p w14:paraId="2FF6108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DE60B8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54074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86256D" w:rsidRPr="00C562C1" w14:paraId="14B7A0F1" w14:textId="77777777" w:rsidTr="00C61A26">
        <w:trPr>
          <w:jc w:val="center"/>
        </w:trPr>
        <w:tc>
          <w:tcPr>
            <w:tcW w:w="1614" w:type="pct"/>
          </w:tcPr>
          <w:p w14:paraId="3C5DA778" w14:textId="67B11C98" w:rsidR="0086256D" w:rsidRPr="0070319D" w:rsidRDefault="0086256D">
            <w:pPr>
              <w:pStyle w:val="ListParagraph"/>
              <w:numPr>
                <w:ilvl w:val="0"/>
                <w:numId w:val="85"/>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lastRenderedPageBreak/>
              <w:t>Larangan pengalihan aset dan liabilitas Subdana sebagaimana dimaksud pada ayat (3) huruf b, dikecualikan untuk pengalihan aset dari 1 (satu) Subdana kepada Subdana lain yang dilakukan untuk penyesuaian portofolio investasi Subdana yang tidak merugikan Pemegang Polis atau Tertanggung.</w:t>
            </w:r>
          </w:p>
        </w:tc>
        <w:tc>
          <w:tcPr>
            <w:tcW w:w="1167" w:type="pct"/>
          </w:tcPr>
          <w:p w14:paraId="2C4AD5A3" w14:textId="77777777" w:rsidR="0086256D" w:rsidRPr="0086256D" w:rsidRDefault="0086256D" w:rsidP="0086256D">
            <w:pPr>
              <w:spacing w:after="0" w:line="360" w:lineRule="auto"/>
              <w:jc w:val="both"/>
              <w:rPr>
                <w:rFonts w:ascii="Bookman Old Style" w:eastAsia="Bookman Old Style" w:hAnsi="Bookman Old Style" w:cs="Bookman Old Style"/>
                <w:sz w:val="24"/>
                <w:szCs w:val="24"/>
              </w:rPr>
            </w:pPr>
            <w:r w:rsidRPr="0086256D">
              <w:rPr>
                <w:rFonts w:ascii="Bookman Old Style" w:eastAsia="Bookman Old Style" w:hAnsi="Bookman Old Style" w:cs="Bookman Old Style"/>
                <w:sz w:val="24"/>
                <w:szCs w:val="24"/>
              </w:rPr>
              <w:t xml:space="preserve">Yang dimaksud dengan “penyesuaian portofolio investasi Subdana” antara lain pengurangan atas investasi pada 1 (satu) Pihak yang bukan Pihak Terkait dari 1 (satu) Subdana yang telah terjadi kelebihan investasi pada 1 (satu) Pihak yang bukan Pihak Terkait kepada Subdana lain yang belum terjadi kelebihan investasi pada 1 (satu) Pihak yang bukan Pihak Terkait. </w:t>
            </w:r>
          </w:p>
          <w:p w14:paraId="4DF2AB80" w14:textId="77777777" w:rsidR="0086256D" w:rsidRPr="0086256D" w:rsidRDefault="0086256D" w:rsidP="0086256D">
            <w:pPr>
              <w:spacing w:after="0" w:line="360" w:lineRule="auto"/>
              <w:jc w:val="both"/>
              <w:rPr>
                <w:rFonts w:ascii="Bookman Old Style" w:eastAsia="Bookman Old Style" w:hAnsi="Bookman Old Style" w:cs="Bookman Old Style"/>
                <w:sz w:val="24"/>
                <w:szCs w:val="24"/>
              </w:rPr>
            </w:pPr>
            <w:r w:rsidRPr="0086256D">
              <w:rPr>
                <w:rFonts w:ascii="Bookman Old Style" w:eastAsia="Bookman Old Style" w:hAnsi="Bookman Old Style" w:cs="Bookman Old Style"/>
                <w:sz w:val="24"/>
                <w:szCs w:val="24"/>
              </w:rPr>
              <w:t xml:space="preserve">Yang dimaksud dengan "tidak merugikan Pemegang Polis atau Tertanggung" adalah pengalihan aset dari 1 (satu) Subdana kepada Subdana lain dilakukan dengan harga wajar, diikuti dengan pengalihan aset dari Subdana lain kepada Subdana yang bersangkutan dengan harga wajar yang sama, dan didasarkan pada analisis perusahaan bahwa aset yang dialihkan tidak dalam masalah hukum dan/atau penurunan kinerja investasi. </w:t>
            </w:r>
          </w:p>
          <w:p w14:paraId="71AA2CCE" w14:textId="77777777" w:rsidR="0086256D" w:rsidRPr="0086256D" w:rsidRDefault="0086256D" w:rsidP="0086256D">
            <w:pPr>
              <w:spacing w:after="0" w:line="360" w:lineRule="auto"/>
              <w:jc w:val="both"/>
              <w:rPr>
                <w:rFonts w:ascii="Bookman Old Style" w:eastAsia="Bookman Old Style" w:hAnsi="Bookman Old Style" w:cs="Bookman Old Style"/>
                <w:sz w:val="24"/>
                <w:szCs w:val="24"/>
              </w:rPr>
            </w:pPr>
            <w:r w:rsidRPr="0086256D">
              <w:rPr>
                <w:rFonts w:ascii="Bookman Old Style" w:eastAsia="Bookman Old Style" w:hAnsi="Bookman Old Style" w:cs="Bookman Old Style"/>
                <w:sz w:val="24"/>
                <w:szCs w:val="24"/>
              </w:rPr>
              <w:t xml:space="preserve">Contoh 1: </w:t>
            </w:r>
          </w:p>
          <w:p w14:paraId="2885DCD7" w14:textId="77777777" w:rsidR="0086256D" w:rsidRPr="0086256D" w:rsidRDefault="0086256D" w:rsidP="0086256D">
            <w:pPr>
              <w:spacing w:after="0" w:line="360" w:lineRule="auto"/>
              <w:jc w:val="both"/>
              <w:rPr>
                <w:rFonts w:ascii="Bookman Old Style" w:eastAsia="Bookman Old Style" w:hAnsi="Bookman Old Style" w:cs="Bookman Old Style"/>
                <w:sz w:val="24"/>
                <w:szCs w:val="24"/>
              </w:rPr>
            </w:pPr>
            <w:r w:rsidRPr="0086256D">
              <w:rPr>
                <w:rFonts w:ascii="Bookman Old Style" w:eastAsia="Bookman Old Style" w:hAnsi="Bookman Old Style" w:cs="Bookman Old Style"/>
                <w:sz w:val="24"/>
                <w:szCs w:val="24"/>
              </w:rPr>
              <w:t xml:space="preserve">Subdana 1 memiliki investasi pada saham A yang melebihi batasan maksimum investasi pada satu Pihak, sedangkan Subdana 2 belum memiliki investasi pada saham A. Perusahaan mengalihkan sebagian investasi pada </w:t>
            </w:r>
            <w:r w:rsidRPr="0086256D">
              <w:rPr>
                <w:rFonts w:ascii="Bookman Old Style" w:eastAsia="Bookman Old Style" w:hAnsi="Bookman Old Style" w:cs="Bookman Old Style"/>
                <w:sz w:val="24"/>
                <w:szCs w:val="24"/>
              </w:rPr>
              <w:lastRenderedPageBreak/>
              <w:t xml:space="preserve">saham A dari Subdana 1 kepada Subdana 2 dengan harga wajar pada waktu yang sama, dengan diikuti pengalihan aset berupa deposito syariah dari Subdana 2 kepada Subdana 1 dengan nilai yang sama. Sebelum dilakukan pengalihan aset, perusahaan telah melakukan analisis atas kinerja investasi pada saham A dan tidak terdapat indikasi pemburukan kinerja investasi pada saham A. </w:t>
            </w:r>
          </w:p>
          <w:p w14:paraId="3275DD47" w14:textId="77777777" w:rsidR="0086256D" w:rsidRPr="0086256D" w:rsidRDefault="0086256D" w:rsidP="0086256D">
            <w:pPr>
              <w:spacing w:after="0" w:line="360" w:lineRule="auto"/>
              <w:jc w:val="both"/>
              <w:rPr>
                <w:rFonts w:ascii="Bookman Old Style" w:eastAsia="Bookman Old Style" w:hAnsi="Bookman Old Style" w:cs="Bookman Old Style"/>
                <w:sz w:val="24"/>
                <w:szCs w:val="24"/>
              </w:rPr>
            </w:pPr>
            <w:r w:rsidRPr="0086256D">
              <w:rPr>
                <w:rFonts w:ascii="Bookman Old Style" w:eastAsia="Bookman Old Style" w:hAnsi="Bookman Old Style" w:cs="Bookman Old Style"/>
                <w:sz w:val="24"/>
                <w:szCs w:val="24"/>
              </w:rPr>
              <w:t xml:space="preserve">Contoh 2: </w:t>
            </w:r>
          </w:p>
          <w:p w14:paraId="6FEE72DE" w14:textId="6EB6B6F8" w:rsidR="0086256D" w:rsidRPr="00C562C1" w:rsidRDefault="0086256D" w:rsidP="0086256D">
            <w:pPr>
              <w:spacing w:after="0" w:line="360" w:lineRule="auto"/>
              <w:jc w:val="both"/>
              <w:rPr>
                <w:rFonts w:ascii="Bookman Old Style" w:eastAsia="Bookman Old Style" w:hAnsi="Bookman Old Style" w:cs="Bookman Old Style"/>
                <w:sz w:val="24"/>
                <w:szCs w:val="24"/>
              </w:rPr>
            </w:pPr>
            <w:r w:rsidRPr="0086256D">
              <w:rPr>
                <w:rFonts w:ascii="Bookman Old Style" w:eastAsia="Bookman Old Style" w:hAnsi="Bookman Old Style" w:cs="Bookman Old Style"/>
                <w:sz w:val="24"/>
                <w:szCs w:val="24"/>
              </w:rPr>
              <w:t>Subdana 1 membutuhkan likuiditas, sedangkan Subdana 2 memiliki likuiditas yang cukup. Maka, perusahaan mengalihkan sebagian aset kas/bank dari Subdana 2 kepada Subdana 1, dengan diikuti pengalihan sukuk atau obligasi A dari Subdana 1 kepada Subdana 2 dengan menggunakan nilai wajar. Perusahaan telah melakukan analisis atas kinerja investasi pada obligasi A dan tidak terdapat indikasi pemburukan kinerja investasi pada obligasi A.</w:t>
            </w:r>
          </w:p>
        </w:tc>
        <w:tc>
          <w:tcPr>
            <w:tcW w:w="1109" w:type="pct"/>
          </w:tcPr>
          <w:p w14:paraId="29B9AB68"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2F178E4"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880CA67" w14:textId="0D60FF71" w:rsidTr="00C61A26">
        <w:trPr>
          <w:jc w:val="center"/>
        </w:trPr>
        <w:tc>
          <w:tcPr>
            <w:tcW w:w="1614" w:type="pct"/>
          </w:tcPr>
          <w:p w14:paraId="471DEC4D" w14:textId="77777777" w:rsidR="00BA5B70" w:rsidRPr="00C562C1" w:rsidRDefault="00BA5B70" w:rsidP="00BA5B70">
            <w:pPr>
              <w:spacing w:after="0" w:line="360" w:lineRule="auto"/>
              <w:jc w:val="both"/>
              <w:rPr>
                <w:rFonts w:ascii="Bookman Old Style" w:hAnsi="Bookman Old Style"/>
                <w:sz w:val="24"/>
                <w:szCs w:val="24"/>
              </w:rPr>
            </w:pPr>
          </w:p>
        </w:tc>
        <w:tc>
          <w:tcPr>
            <w:tcW w:w="1167" w:type="pct"/>
          </w:tcPr>
          <w:p w14:paraId="61FF0DF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804A9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3446E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CDA5C72" w14:textId="398FDB63" w:rsidTr="00C61A26">
        <w:trPr>
          <w:jc w:val="center"/>
        </w:trPr>
        <w:tc>
          <w:tcPr>
            <w:tcW w:w="1614" w:type="pct"/>
          </w:tcPr>
          <w:p w14:paraId="7FE1BDB0" w14:textId="093428B5" w:rsidR="00BA5B70" w:rsidRPr="00C562C1" w:rsidRDefault="00BA5B70" w:rsidP="00BA5B70">
            <w:pPr>
              <w:spacing w:after="0" w:line="360" w:lineRule="auto"/>
              <w:jc w:val="center"/>
              <w:rPr>
                <w:rFonts w:ascii="Bookman Old Style" w:hAnsi="Bookman Old Style"/>
                <w:sz w:val="24"/>
                <w:szCs w:val="24"/>
              </w:rPr>
            </w:pPr>
            <w:r w:rsidRPr="00C936F3">
              <w:rPr>
                <w:rFonts w:ascii="Bookman Old Style" w:hAnsi="Bookman Old Style"/>
                <w:sz w:val="24"/>
                <w:szCs w:val="24"/>
              </w:rPr>
              <w:t>Bagian Kedua</w:t>
            </w:r>
          </w:p>
        </w:tc>
        <w:tc>
          <w:tcPr>
            <w:tcW w:w="1167" w:type="pct"/>
          </w:tcPr>
          <w:p w14:paraId="1236F4EA" w14:textId="0DE4CF38"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B4091A4"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EE040E6"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7B980AF1" w14:textId="5C26B2E3" w:rsidTr="00C61A26">
        <w:trPr>
          <w:jc w:val="center"/>
        </w:trPr>
        <w:tc>
          <w:tcPr>
            <w:tcW w:w="1614" w:type="pct"/>
          </w:tcPr>
          <w:p w14:paraId="40196BBD" w14:textId="5C679334" w:rsidR="00BA5B70" w:rsidRPr="00C936F3" w:rsidRDefault="00BA5B70" w:rsidP="00BA5B70">
            <w:pPr>
              <w:spacing w:after="0" w:line="360" w:lineRule="auto"/>
              <w:jc w:val="center"/>
              <w:rPr>
                <w:rFonts w:ascii="Bookman Old Style" w:hAnsi="Bookman Old Style"/>
                <w:sz w:val="24"/>
                <w:szCs w:val="24"/>
              </w:rPr>
            </w:pPr>
            <w:r w:rsidRPr="00C936F3">
              <w:rPr>
                <w:rFonts w:ascii="Bookman Old Style" w:hAnsi="Bookman Old Style"/>
                <w:sz w:val="24"/>
                <w:szCs w:val="24"/>
              </w:rPr>
              <w:t>Kecukupan dan Alokasi Premi atau Kontribusi</w:t>
            </w:r>
          </w:p>
        </w:tc>
        <w:tc>
          <w:tcPr>
            <w:tcW w:w="1167" w:type="pct"/>
          </w:tcPr>
          <w:p w14:paraId="2A4701D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76D77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3A9878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86256D" w:rsidRPr="00C562C1" w14:paraId="236D78A1" w14:textId="77777777" w:rsidTr="00C61A26">
        <w:trPr>
          <w:jc w:val="center"/>
        </w:trPr>
        <w:tc>
          <w:tcPr>
            <w:tcW w:w="1614" w:type="pct"/>
          </w:tcPr>
          <w:p w14:paraId="2E346B32" w14:textId="77777777" w:rsidR="0086256D" w:rsidRPr="00C936F3" w:rsidRDefault="0086256D" w:rsidP="00BA5B70">
            <w:pPr>
              <w:spacing w:after="0" w:line="360" w:lineRule="auto"/>
              <w:jc w:val="center"/>
              <w:rPr>
                <w:rFonts w:ascii="Bookman Old Style" w:hAnsi="Bookman Old Style"/>
                <w:sz w:val="24"/>
                <w:szCs w:val="24"/>
              </w:rPr>
            </w:pPr>
          </w:p>
        </w:tc>
        <w:tc>
          <w:tcPr>
            <w:tcW w:w="1167" w:type="pct"/>
          </w:tcPr>
          <w:p w14:paraId="2C0131D6"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E19BF5"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28EF35"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F5B4E98" w14:textId="29C22B4D" w:rsidTr="00C61A26">
        <w:trPr>
          <w:jc w:val="center"/>
        </w:trPr>
        <w:tc>
          <w:tcPr>
            <w:tcW w:w="1614" w:type="pct"/>
          </w:tcPr>
          <w:p w14:paraId="11F34EAA" w14:textId="721A0E5B" w:rsidR="00BA5B70" w:rsidRPr="00C562C1" w:rsidRDefault="00BA5B70" w:rsidP="00BA5B70">
            <w:pPr>
              <w:pStyle w:val="ListParagraph"/>
              <w:spacing w:after="0" w:line="360" w:lineRule="auto"/>
              <w:ind w:left="447"/>
              <w:jc w:val="center"/>
              <w:rPr>
                <w:rFonts w:ascii="Bookman Old Style" w:hAnsi="Bookman Old Style"/>
                <w:sz w:val="24"/>
                <w:szCs w:val="24"/>
              </w:rPr>
            </w:pPr>
            <w:r>
              <w:rPr>
                <w:rFonts w:ascii="Bookman Old Style" w:hAnsi="Bookman Old Style"/>
                <w:sz w:val="24"/>
                <w:szCs w:val="24"/>
              </w:rPr>
              <w:t>Pasal 1</w:t>
            </w:r>
            <w:r w:rsidR="0070319D">
              <w:rPr>
                <w:rFonts w:ascii="Bookman Old Style" w:hAnsi="Bookman Old Style"/>
                <w:sz w:val="24"/>
                <w:szCs w:val="24"/>
              </w:rPr>
              <w:t>4</w:t>
            </w:r>
          </w:p>
        </w:tc>
        <w:tc>
          <w:tcPr>
            <w:tcW w:w="1167" w:type="pct"/>
          </w:tcPr>
          <w:p w14:paraId="3E1D7E5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23968B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904053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03B6BAC" w14:textId="4A48B318" w:rsidTr="00C61A26">
        <w:trPr>
          <w:jc w:val="center"/>
        </w:trPr>
        <w:tc>
          <w:tcPr>
            <w:tcW w:w="1614" w:type="pct"/>
          </w:tcPr>
          <w:p w14:paraId="2CE2E7C6" w14:textId="482C2D48" w:rsidR="00BA5B70" w:rsidRPr="0070319D" w:rsidRDefault="00BA5B70">
            <w:pPr>
              <w:pStyle w:val="ListParagraph"/>
              <w:numPr>
                <w:ilvl w:val="0"/>
                <w:numId w:val="43"/>
              </w:numPr>
              <w:jc w:val="both"/>
              <w:rPr>
                <w:rFonts w:ascii="Bookman Old Style" w:hAnsi="Bookman Old Style"/>
                <w:color w:val="000000" w:themeColor="text1"/>
                <w:sz w:val="24"/>
                <w:szCs w:val="24"/>
              </w:rPr>
            </w:pPr>
            <w:r w:rsidRPr="0070319D">
              <w:rPr>
                <w:rFonts w:ascii="Bookman Old Style" w:hAnsi="Bookman Old Style"/>
                <w:color w:val="000000" w:themeColor="text1"/>
                <w:sz w:val="24"/>
                <w:szCs w:val="24"/>
              </w:rPr>
              <w:t xml:space="preserve">Dalam rangka menjaga keberlangsungan pertanggungan atau kepesertaan, Perusahaan Asuransi atau Perusahaan Asuransi Syariah wajib: </w:t>
            </w:r>
          </w:p>
        </w:tc>
        <w:tc>
          <w:tcPr>
            <w:tcW w:w="1167" w:type="pct"/>
          </w:tcPr>
          <w:p w14:paraId="17E266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25197F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0B8EB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85FEE05" w14:textId="706DD026" w:rsidTr="00C61A26">
        <w:trPr>
          <w:jc w:val="center"/>
        </w:trPr>
        <w:tc>
          <w:tcPr>
            <w:tcW w:w="1614" w:type="pct"/>
          </w:tcPr>
          <w:p w14:paraId="229E60FB" w14:textId="4C556C97" w:rsidR="00BA5B70" w:rsidRPr="00C936F3" w:rsidRDefault="00BA5B70">
            <w:pPr>
              <w:pStyle w:val="ListParagraph"/>
              <w:numPr>
                <w:ilvl w:val="0"/>
                <w:numId w:val="44"/>
              </w:numPr>
              <w:jc w:val="both"/>
              <w:rPr>
                <w:rFonts w:ascii="Bookman Old Style" w:hAnsi="Bookman Old Style"/>
                <w:sz w:val="24"/>
                <w:szCs w:val="24"/>
              </w:rPr>
            </w:pPr>
            <w:r w:rsidRPr="00C936F3">
              <w:rPr>
                <w:rFonts w:ascii="Bookman Old Style" w:hAnsi="Bookman Old Style"/>
                <w:sz w:val="24"/>
                <w:szCs w:val="24"/>
              </w:rPr>
              <w:t>menetapkan Premi atau Kontribusi yang cukup untuk membayar seluruh biaya yang dibebankan kepada Pemegang Polis dan untuk pembentukan Nilai Tunai, sepanjang periode asuransi;</w:t>
            </w:r>
          </w:p>
        </w:tc>
        <w:tc>
          <w:tcPr>
            <w:tcW w:w="1167" w:type="pct"/>
          </w:tcPr>
          <w:p w14:paraId="30FB3934" w14:textId="11B717C4"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1D24E3">
              <w:rPr>
                <w:rFonts w:ascii="Bookman Old Style" w:eastAsia="Bookman Old Style" w:hAnsi="Bookman Old Style" w:cs="Bookman Old Style"/>
                <w:sz w:val="24"/>
                <w:szCs w:val="24"/>
              </w:rPr>
              <w:t xml:space="preserve">Biaya-biaya </w:t>
            </w:r>
            <w:r w:rsidRPr="00C61A26">
              <w:rPr>
                <w:rFonts w:ascii="Bookman Old Style" w:eastAsia="Bookman Old Style" w:hAnsi="Bookman Old Style" w:cs="Bookman Old Style"/>
                <w:color w:val="000000" w:themeColor="text1"/>
                <w:sz w:val="24"/>
                <w:szCs w:val="24"/>
              </w:rPr>
              <w:t xml:space="preserve">termasuk </w:t>
            </w:r>
            <w:r w:rsidRPr="00C61A26">
              <w:rPr>
                <w:rFonts w:ascii="Bookman Old Style" w:eastAsia="Bookman Old Style" w:hAnsi="Bookman Old Style" w:cs="Bookman Old Style"/>
                <w:i/>
                <w:iCs/>
                <w:color w:val="000000" w:themeColor="text1"/>
                <w:sz w:val="24"/>
                <w:szCs w:val="24"/>
              </w:rPr>
              <w:t>cost of insurance</w:t>
            </w:r>
            <w:r w:rsidRPr="00C61A26">
              <w:rPr>
                <w:rFonts w:ascii="Bookman Old Style" w:eastAsia="Bookman Old Style" w:hAnsi="Bookman Old Style" w:cs="Bookman Old Style"/>
                <w:color w:val="000000" w:themeColor="text1"/>
                <w:sz w:val="24"/>
                <w:szCs w:val="24"/>
              </w:rPr>
              <w:t xml:space="preserve"> </w:t>
            </w:r>
            <w:r w:rsidRPr="001D24E3">
              <w:rPr>
                <w:rFonts w:ascii="Bookman Old Style" w:eastAsia="Bookman Old Style" w:hAnsi="Bookman Old Style" w:cs="Bookman Old Style"/>
                <w:sz w:val="24"/>
                <w:szCs w:val="24"/>
              </w:rPr>
              <w:t>(COI) dari asuransi dasar, asuransi tambahan dan seluruh fitur tambahan.</w:t>
            </w:r>
          </w:p>
        </w:tc>
        <w:tc>
          <w:tcPr>
            <w:tcW w:w="1109" w:type="pct"/>
          </w:tcPr>
          <w:p w14:paraId="57C14B6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FD7365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573FA66" w14:textId="3E4BACA6" w:rsidTr="00C61A26">
        <w:trPr>
          <w:jc w:val="center"/>
        </w:trPr>
        <w:tc>
          <w:tcPr>
            <w:tcW w:w="1614" w:type="pct"/>
          </w:tcPr>
          <w:p w14:paraId="633AEFE2" w14:textId="724C9519" w:rsidR="00BA5B70" w:rsidRPr="00C936F3" w:rsidRDefault="00BA5B70">
            <w:pPr>
              <w:pStyle w:val="ListParagraph"/>
              <w:numPr>
                <w:ilvl w:val="0"/>
                <w:numId w:val="44"/>
              </w:numPr>
              <w:jc w:val="both"/>
              <w:rPr>
                <w:rFonts w:ascii="Bookman Old Style" w:hAnsi="Bookman Old Style"/>
                <w:sz w:val="24"/>
                <w:szCs w:val="24"/>
              </w:rPr>
            </w:pPr>
            <w:r w:rsidRPr="00C936F3">
              <w:rPr>
                <w:rFonts w:ascii="Bookman Old Style" w:hAnsi="Bookman Old Style"/>
                <w:sz w:val="24"/>
                <w:szCs w:val="24"/>
              </w:rPr>
              <w:t>melakukan evaluasi setiap</w:t>
            </w:r>
            <w:r w:rsidRPr="00C936F3">
              <w:rPr>
                <w:rFonts w:ascii="Bookman Old Style" w:hAnsi="Bookman Old Style"/>
                <w:color w:val="EE0000"/>
                <w:sz w:val="24"/>
                <w:szCs w:val="24"/>
              </w:rPr>
              <w:t xml:space="preserve"> </w:t>
            </w:r>
            <w:r w:rsidRPr="0070319D">
              <w:rPr>
                <w:rFonts w:ascii="Bookman Old Style" w:hAnsi="Bookman Old Style"/>
                <w:color w:val="000000" w:themeColor="text1"/>
                <w:sz w:val="24"/>
                <w:szCs w:val="24"/>
              </w:rPr>
              <w:t xml:space="preserve">1 (satu) tahun sekali </w:t>
            </w:r>
            <w:r w:rsidRPr="00C936F3">
              <w:rPr>
                <w:rFonts w:ascii="Bookman Old Style" w:hAnsi="Bookman Old Style"/>
                <w:sz w:val="24"/>
                <w:szCs w:val="24"/>
              </w:rPr>
              <w:t>atas</w:t>
            </w:r>
            <w:r w:rsidR="0070319D">
              <w:rPr>
                <w:rFonts w:ascii="Bookman Old Style" w:hAnsi="Bookman Old Style"/>
                <w:sz w:val="24"/>
                <w:szCs w:val="24"/>
              </w:rPr>
              <w:t>:</w:t>
            </w:r>
          </w:p>
        </w:tc>
        <w:tc>
          <w:tcPr>
            <w:tcW w:w="1167" w:type="pct"/>
          </w:tcPr>
          <w:p w14:paraId="6711A889" w14:textId="23CE78BA"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6088A32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82B335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70319D" w:rsidRPr="00C562C1" w14:paraId="6E9084AB" w14:textId="77777777" w:rsidTr="00C61A26">
        <w:trPr>
          <w:jc w:val="center"/>
        </w:trPr>
        <w:tc>
          <w:tcPr>
            <w:tcW w:w="1614" w:type="pct"/>
          </w:tcPr>
          <w:p w14:paraId="423EBDF6" w14:textId="3E10618A" w:rsidR="0070319D" w:rsidRPr="0070319D" w:rsidRDefault="0070319D">
            <w:pPr>
              <w:pStyle w:val="ListParagraph"/>
              <w:numPr>
                <w:ilvl w:val="0"/>
                <w:numId w:val="92"/>
              </w:numPr>
              <w:rPr>
                <w:rFonts w:ascii="Bookman Old Style" w:hAnsi="Bookman Old Style"/>
                <w:sz w:val="24"/>
                <w:szCs w:val="24"/>
              </w:rPr>
            </w:pPr>
            <w:r w:rsidRPr="0070319D">
              <w:rPr>
                <w:rFonts w:ascii="Bookman Old Style" w:hAnsi="Bookman Old Style"/>
                <w:sz w:val="24"/>
                <w:szCs w:val="24"/>
              </w:rPr>
              <w:t xml:space="preserve">kecukupan Premi atau Kontribusi untuk membayar seluruh biaya sepanjang periode asuransi; dan </w:t>
            </w:r>
          </w:p>
        </w:tc>
        <w:tc>
          <w:tcPr>
            <w:tcW w:w="1167" w:type="pct"/>
          </w:tcPr>
          <w:p w14:paraId="7C0A4B26" w14:textId="77777777" w:rsidR="0070319D"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1F1F2BB" w14:textId="77777777" w:rsidR="0070319D" w:rsidRPr="00C562C1"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9F9C893" w14:textId="77777777" w:rsidR="0070319D" w:rsidRPr="00C562C1"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r>
      <w:tr w:rsidR="0070319D" w:rsidRPr="00C562C1" w14:paraId="64A0BC5A" w14:textId="77777777" w:rsidTr="00C61A26">
        <w:trPr>
          <w:jc w:val="center"/>
        </w:trPr>
        <w:tc>
          <w:tcPr>
            <w:tcW w:w="1614" w:type="pct"/>
          </w:tcPr>
          <w:p w14:paraId="2706EA51" w14:textId="48980A5A" w:rsidR="0070319D" w:rsidRPr="0070319D" w:rsidRDefault="0070319D">
            <w:pPr>
              <w:pStyle w:val="ListParagraph"/>
              <w:numPr>
                <w:ilvl w:val="0"/>
                <w:numId w:val="93"/>
              </w:numPr>
              <w:rPr>
                <w:rFonts w:ascii="Bookman Old Style" w:hAnsi="Bookman Old Style"/>
                <w:sz w:val="24"/>
                <w:szCs w:val="24"/>
              </w:rPr>
            </w:pPr>
            <w:r w:rsidRPr="0070319D">
              <w:rPr>
                <w:rFonts w:ascii="Bookman Old Style" w:hAnsi="Bookman Old Style"/>
                <w:sz w:val="24"/>
                <w:szCs w:val="24"/>
              </w:rPr>
              <w:t>kecukupan Premi atau Kontribusi untuk membentuk Nilai Tunai.</w:t>
            </w:r>
          </w:p>
        </w:tc>
        <w:tc>
          <w:tcPr>
            <w:tcW w:w="1167" w:type="pct"/>
          </w:tcPr>
          <w:p w14:paraId="4F57DD66" w14:textId="77777777" w:rsidR="0070319D"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8D55FD4" w14:textId="77777777" w:rsidR="0070319D" w:rsidRPr="00C562C1"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CCA36B0" w14:textId="77777777" w:rsidR="0070319D" w:rsidRPr="00C562C1" w:rsidRDefault="0070319D"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B134902" w14:textId="53CC7AB1" w:rsidTr="00C61A26">
        <w:trPr>
          <w:jc w:val="center"/>
        </w:trPr>
        <w:tc>
          <w:tcPr>
            <w:tcW w:w="1614" w:type="pct"/>
          </w:tcPr>
          <w:p w14:paraId="28B4FF58" w14:textId="34A7E908" w:rsidR="00BA5B70" w:rsidRPr="0056328B" w:rsidRDefault="0056328B">
            <w:pPr>
              <w:pStyle w:val="ListParagraph"/>
              <w:numPr>
                <w:ilvl w:val="0"/>
                <w:numId w:val="94"/>
              </w:numPr>
              <w:rPr>
                <w:rFonts w:ascii="Bookman Old Style" w:hAnsi="Bookman Old Style"/>
                <w:sz w:val="24"/>
                <w:szCs w:val="24"/>
              </w:rPr>
            </w:pPr>
            <w:r w:rsidRPr="0056328B">
              <w:rPr>
                <w:rFonts w:ascii="Bookman Old Style" w:hAnsi="Bookman Old Style"/>
                <w:sz w:val="24"/>
                <w:szCs w:val="24"/>
              </w:rPr>
              <w:t>Perusahaan Asuransi atau Perusahaan Asuransi Syariah wajib melakukan evaluasi sebagaimana dimaksud pada ayat (1) huruf b dilakukan paling sedikit dalam hal Pemegang Polis akan:</w:t>
            </w:r>
          </w:p>
        </w:tc>
        <w:tc>
          <w:tcPr>
            <w:tcW w:w="1167" w:type="pct"/>
          </w:tcPr>
          <w:p w14:paraId="42B48B51" w14:textId="786146A3"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00A459C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8BAF2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E3BDAFA" w14:textId="17CAE5ED" w:rsidTr="00C61A26">
        <w:trPr>
          <w:jc w:val="center"/>
        </w:trPr>
        <w:tc>
          <w:tcPr>
            <w:tcW w:w="1614" w:type="pct"/>
          </w:tcPr>
          <w:p w14:paraId="1DE49EC1" w14:textId="067ADA85" w:rsidR="00BA5B70" w:rsidRPr="00C936F3" w:rsidRDefault="00BA5B70">
            <w:pPr>
              <w:pStyle w:val="ListParagraph"/>
              <w:numPr>
                <w:ilvl w:val="0"/>
                <w:numId w:val="95"/>
              </w:numPr>
              <w:jc w:val="both"/>
              <w:rPr>
                <w:rFonts w:ascii="Bookman Old Style" w:hAnsi="Bookman Old Style"/>
                <w:sz w:val="24"/>
                <w:szCs w:val="24"/>
              </w:rPr>
            </w:pPr>
            <w:r w:rsidRPr="00C936F3">
              <w:rPr>
                <w:rFonts w:ascii="Bookman Old Style" w:hAnsi="Bookman Old Style"/>
                <w:sz w:val="24"/>
                <w:szCs w:val="24"/>
              </w:rPr>
              <w:t>menambah produk asuransi</w:t>
            </w:r>
            <w:r>
              <w:rPr>
                <w:rFonts w:ascii="Bookman Old Style" w:hAnsi="Bookman Old Style"/>
                <w:sz w:val="24"/>
                <w:szCs w:val="24"/>
              </w:rPr>
              <w:t xml:space="preserve"> </w:t>
            </w:r>
            <w:r w:rsidRPr="00C936F3">
              <w:rPr>
                <w:rFonts w:ascii="Bookman Old Style" w:hAnsi="Bookman Old Style"/>
                <w:sz w:val="24"/>
                <w:szCs w:val="24"/>
              </w:rPr>
              <w:t xml:space="preserve">tambahan; </w:t>
            </w:r>
          </w:p>
        </w:tc>
        <w:tc>
          <w:tcPr>
            <w:tcW w:w="1167" w:type="pct"/>
          </w:tcPr>
          <w:p w14:paraId="66AB217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F1C9C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E373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927D043" w14:textId="77777777" w:rsidTr="00C61A26">
        <w:trPr>
          <w:jc w:val="center"/>
        </w:trPr>
        <w:tc>
          <w:tcPr>
            <w:tcW w:w="1614" w:type="pct"/>
          </w:tcPr>
          <w:p w14:paraId="4E90AB98" w14:textId="4F5E95AD" w:rsidR="00BA5B70" w:rsidRPr="00C936F3" w:rsidRDefault="00BA5B70">
            <w:pPr>
              <w:pStyle w:val="ListParagraph"/>
              <w:numPr>
                <w:ilvl w:val="0"/>
                <w:numId w:val="95"/>
              </w:numPr>
              <w:jc w:val="both"/>
              <w:rPr>
                <w:rFonts w:ascii="Bookman Old Style" w:hAnsi="Bookman Old Style"/>
                <w:sz w:val="24"/>
                <w:szCs w:val="24"/>
              </w:rPr>
            </w:pPr>
            <w:r w:rsidRPr="00C936F3">
              <w:rPr>
                <w:rFonts w:ascii="Bookman Old Style" w:hAnsi="Bookman Old Style"/>
                <w:sz w:val="24"/>
                <w:szCs w:val="24"/>
              </w:rPr>
              <w:t>mengambil cuti Premi atau Kontribusi;</w:t>
            </w:r>
          </w:p>
        </w:tc>
        <w:tc>
          <w:tcPr>
            <w:tcW w:w="1167" w:type="pct"/>
          </w:tcPr>
          <w:p w14:paraId="1F13C4A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6B293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E19A6F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A72C09D" w14:textId="77777777" w:rsidTr="00C61A26">
        <w:trPr>
          <w:jc w:val="center"/>
        </w:trPr>
        <w:tc>
          <w:tcPr>
            <w:tcW w:w="1614" w:type="pct"/>
          </w:tcPr>
          <w:p w14:paraId="3EB21D73" w14:textId="11806555" w:rsidR="00BA5B70" w:rsidRPr="00C936F3" w:rsidRDefault="00BA5B70">
            <w:pPr>
              <w:pStyle w:val="ListParagraph"/>
              <w:numPr>
                <w:ilvl w:val="0"/>
                <w:numId w:val="95"/>
              </w:numPr>
              <w:jc w:val="both"/>
              <w:rPr>
                <w:rFonts w:ascii="Bookman Old Style" w:hAnsi="Bookman Old Style"/>
                <w:sz w:val="24"/>
                <w:szCs w:val="24"/>
              </w:rPr>
            </w:pPr>
            <w:r w:rsidRPr="00C936F3">
              <w:rPr>
                <w:rFonts w:ascii="Bookman Old Style" w:hAnsi="Bookman Old Style"/>
                <w:sz w:val="24"/>
                <w:szCs w:val="24"/>
              </w:rPr>
              <w:t>menaikkan besaran uang</w:t>
            </w:r>
            <w:r>
              <w:rPr>
                <w:rFonts w:ascii="Bookman Old Style" w:hAnsi="Bookman Old Style"/>
                <w:sz w:val="24"/>
                <w:szCs w:val="24"/>
              </w:rPr>
              <w:t xml:space="preserve"> </w:t>
            </w:r>
            <w:r w:rsidRPr="00C936F3">
              <w:rPr>
                <w:rFonts w:ascii="Bookman Old Style" w:hAnsi="Bookman Old Style"/>
                <w:sz w:val="24"/>
                <w:szCs w:val="24"/>
              </w:rPr>
              <w:t>pertanggungan; dan/atau</w:t>
            </w:r>
          </w:p>
        </w:tc>
        <w:tc>
          <w:tcPr>
            <w:tcW w:w="1167" w:type="pct"/>
          </w:tcPr>
          <w:p w14:paraId="5220973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5551E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32C9C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119ED62" w14:textId="79D34E30" w:rsidTr="00C61A26">
        <w:trPr>
          <w:jc w:val="center"/>
        </w:trPr>
        <w:tc>
          <w:tcPr>
            <w:tcW w:w="1614" w:type="pct"/>
          </w:tcPr>
          <w:p w14:paraId="094C953F" w14:textId="5394D56F" w:rsidR="00BA5B70" w:rsidRPr="009C0241" w:rsidRDefault="00BA5B70">
            <w:pPr>
              <w:pStyle w:val="ListParagraph"/>
              <w:numPr>
                <w:ilvl w:val="0"/>
                <w:numId w:val="95"/>
              </w:numPr>
              <w:jc w:val="both"/>
              <w:rPr>
                <w:rFonts w:ascii="Bookman Old Style" w:hAnsi="Bookman Old Style"/>
                <w:sz w:val="24"/>
                <w:szCs w:val="24"/>
              </w:rPr>
            </w:pPr>
            <w:r w:rsidRPr="009C0241">
              <w:rPr>
                <w:rFonts w:ascii="Bookman Old Style" w:hAnsi="Bookman Old Style"/>
                <w:sz w:val="24"/>
                <w:szCs w:val="24"/>
              </w:rPr>
              <w:t>melakukan penarikan Nilai Tunai.</w:t>
            </w:r>
          </w:p>
        </w:tc>
        <w:tc>
          <w:tcPr>
            <w:tcW w:w="1167" w:type="pct"/>
          </w:tcPr>
          <w:p w14:paraId="5A063F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E247FA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A6B935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BA8C519" w14:textId="4BFFDC26" w:rsidTr="00C61A26">
        <w:trPr>
          <w:jc w:val="center"/>
        </w:trPr>
        <w:tc>
          <w:tcPr>
            <w:tcW w:w="1614" w:type="pct"/>
          </w:tcPr>
          <w:p w14:paraId="0AB4AFA2" w14:textId="58F7273F" w:rsidR="00BA5B70" w:rsidRPr="0056328B" w:rsidRDefault="0056328B">
            <w:pPr>
              <w:pStyle w:val="ListParagraph"/>
              <w:numPr>
                <w:ilvl w:val="0"/>
                <w:numId w:val="94"/>
              </w:numPr>
              <w:rPr>
                <w:rFonts w:ascii="Bookman Old Style" w:hAnsi="Bookman Old Style"/>
                <w:sz w:val="24"/>
                <w:szCs w:val="24"/>
              </w:rPr>
            </w:pPr>
            <w:r w:rsidRPr="0056328B">
              <w:rPr>
                <w:rFonts w:ascii="Bookman Old Style" w:hAnsi="Bookman Old Style"/>
                <w:sz w:val="24"/>
                <w:szCs w:val="24"/>
              </w:rPr>
              <w:t>Perusahaan Asuransi atau Perusahaan Asuransi Syariah wajib mengalokasikan bagian Premi atau Kontribusi untuk pembentukan Nilai Tunai.</w:t>
            </w:r>
          </w:p>
        </w:tc>
        <w:tc>
          <w:tcPr>
            <w:tcW w:w="1167" w:type="pct"/>
          </w:tcPr>
          <w:p w14:paraId="50C28409" w14:textId="4E58037A"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315D580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1AD877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0D93752" w14:textId="69324B53" w:rsidTr="00C61A26">
        <w:trPr>
          <w:jc w:val="center"/>
        </w:trPr>
        <w:tc>
          <w:tcPr>
            <w:tcW w:w="1614" w:type="pct"/>
          </w:tcPr>
          <w:p w14:paraId="549E2A85" w14:textId="355A993B" w:rsidR="00BA5B70" w:rsidRPr="009C0241" w:rsidRDefault="00BA5B70">
            <w:pPr>
              <w:pStyle w:val="ListParagraph"/>
              <w:numPr>
                <w:ilvl w:val="0"/>
                <w:numId w:val="94"/>
              </w:numPr>
              <w:jc w:val="both"/>
              <w:rPr>
                <w:rFonts w:ascii="Bookman Old Style" w:hAnsi="Bookman Old Style"/>
                <w:sz w:val="24"/>
                <w:szCs w:val="24"/>
              </w:rPr>
            </w:pPr>
            <w:r w:rsidRPr="009C0241">
              <w:rPr>
                <w:rFonts w:ascii="Bookman Old Style" w:hAnsi="Bookman Old Style"/>
                <w:sz w:val="24"/>
                <w:szCs w:val="24"/>
              </w:rPr>
              <w:lastRenderedPageBreak/>
              <w:t>Ketentuan mengenai Premi atau Kontribusi yang dialokasikan untuk pembentukan Nilai Tunai sebagaimana dimaksud pada ayat (2) ditetapkan oleh Otoritas Jasa Keuangan.</w:t>
            </w:r>
          </w:p>
        </w:tc>
        <w:tc>
          <w:tcPr>
            <w:tcW w:w="1167" w:type="pct"/>
          </w:tcPr>
          <w:p w14:paraId="52D2135F" w14:textId="10DEF144"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7246C56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980955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13F50B6" w14:textId="64EE949B" w:rsidTr="00C61A26">
        <w:trPr>
          <w:jc w:val="center"/>
        </w:trPr>
        <w:tc>
          <w:tcPr>
            <w:tcW w:w="1614" w:type="pct"/>
          </w:tcPr>
          <w:p w14:paraId="082C2BBF" w14:textId="297B5AF8" w:rsidR="00BA5B70" w:rsidRPr="009C0241" w:rsidRDefault="00BA5B70" w:rsidP="00BA5B70">
            <w:pPr>
              <w:spacing w:after="0" w:line="360" w:lineRule="auto"/>
              <w:jc w:val="both"/>
              <w:rPr>
                <w:rFonts w:ascii="Bookman Old Style" w:hAnsi="Bookman Old Style"/>
                <w:sz w:val="24"/>
                <w:szCs w:val="24"/>
              </w:rPr>
            </w:pPr>
          </w:p>
        </w:tc>
        <w:tc>
          <w:tcPr>
            <w:tcW w:w="1167" w:type="pct"/>
          </w:tcPr>
          <w:p w14:paraId="2196E18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6B4E5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C7E24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BAFE26" w14:textId="77777777" w:rsidTr="00C61A26">
        <w:trPr>
          <w:jc w:val="center"/>
        </w:trPr>
        <w:tc>
          <w:tcPr>
            <w:tcW w:w="1614" w:type="pct"/>
          </w:tcPr>
          <w:p w14:paraId="2776F082" w14:textId="03F717A1" w:rsidR="00BA5B70" w:rsidRPr="009C0241" w:rsidRDefault="00BA5B70" w:rsidP="00BA5B70">
            <w:pPr>
              <w:pStyle w:val="ListParagraph"/>
              <w:spacing w:after="0" w:line="360" w:lineRule="auto"/>
              <w:ind w:left="447"/>
              <w:jc w:val="center"/>
              <w:rPr>
                <w:rFonts w:ascii="Bookman Old Style" w:hAnsi="Bookman Old Style"/>
                <w:sz w:val="24"/>
                <w:szCs w:val="24"/>
              </w:rPr>
            </w:pPr>
            <w:r w:rsidRPr="009C0241">
              <w:rPr>
                <w:rFonts w:ascii="Bookman Old Style" w:hAnsi="Bookman Old Style"/>
                <w:sz w:val="24"/>
                <w:szCs w:val="24"/>
              </w:rPr>
              <w:t>Bagian Ketiga</w:t>
            </w:r>
          </w:p>
        </w:tc>
        <w:tc>
          <w:tcPr>
            <w:tcW w:w="1167" w:type="pct"/>
          </w:tcPr>
          <w:p w14:paraId="18F5858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0FEE1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42D0F9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848D6BB" w14:textId="22400A05" w:rsidTr="00C61A26">
        <w:trPr>
          <w:jc w:val="center"/>
        </w:trPr>
        <w:tc>
          <w:tcPr>
            <w:tcW w:w="1614" w:type="pct"/>
          </w:tcPr>
          <w:p w14:paraId="050848B0" w14:textId="4022C37E" w:rsidR="00BA5B70" w:rsidRPr="00C562C1" w:rsidRDefault="00BA5B70" w:rsidP="00BA5B70">
            <w:pPr>
              <w:pStyle w:val="ListParagraph"/>
              <w:spacing w:after="0" w:line="360" w:lineRule="auto"/>
              <w:ind w:left="447"/>
              <w:jc w:val="center"/>
              <w:rPr>
                <w:rFonts w:ascii="Bookman Old Style" w:hAnsi="Bookman Old Style"/>
                <w:sz w:val="24"/>
                <w:szCs w:val="24"/>
              </w:rPr>
            </w:pPr>
            <w:r w:rsidRPr="009C0241">
              <w:rPr>
                <w:rFonts w:ascii="Bookman Old Style" w:hAnsi="Bookman Old Style"/>
                <w:sz w:val="24"/>
                <w:szCs w:val="24"/>
              </w:rPr>
              <w:t>Strategi Investasi</w:t>
            </w:r>
          </w:p>
        </w:tc>
        <w:tc>
          <w:tcPr>
            <w:tcW w:w="1167" w:type="pct"/>
          </w:tcPr>
          <w:p w14:paraId="29D9480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BD547A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DCD27F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7ED7012" w14:textId="12826FB8" w:rsidTr="00C61A26">
        <w:trPr>
          <w:jc w:val="center"/>
        </w:trPr>
        <w:tc>
          <w:tcPr>
            <w:tcW w:w="1614" w:type="pct"/>
          </w:tcPr>
          <w:p w14:paraId="1D62CC3B" w14:textId="77777777" w:rsidR="00BA5B70" w:rsidRPr="00C562C1" w:rsidRDefault="00BA5B70" w:rsidP="00BA5B70">
            <w:pPr>
              <w:spacing w:after="0" w:line="360" w:lineRule="auto"/>
              <w:jc w:val="both"/>
              <w:rPr>
                <w:rFonts w:ascii="Bookman Old Style" w:hAnsi="Bookman Old Style"/>
                <w:sz w:val="24"/>
                <w:szCs w:val="24"/>
              </w:rPr>
            </w:pPr>
          </w:p>
        </w:tc>
        <w:tc>
          <w:tcPr>
            <w:tcW w:w="1167" w:type="pct"/>
          </w:tcPr>
          <w:p w14:paraId="7241B6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499E6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104A28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DCE8B38" w14:textId="19DC408E" w:rsidTr="00C61A26">
        <w:trPr>
          <w:jc w:val="center"/>
        </w:trPr>
        <w:tc>
          <w:tcPr>
            <w:tcW w:w="1614" w:type="pct"/>
          </w:tcPr>
          <w:p w14:paraId="3AF12274" w14:textId="2CF6180C" w:rsidR="00BA5B70" w:rsidRPr="00C562C1" w:rsidRDefault="00BA5B70" w:rsidP="00BA5B70">
            <w:pPr>
              <w:spacing w:after="0" w:line="360" w:lineRule="auto"/>
              <w:jc w:val="center"/>
              <w:rPr>
                <w:rFonts w:ascii="Bookman Old Style" w:hAnsi="Bookman Old Style"/>
                <w:sz w:val="24"/>
                <w:szCs w:val="24"/>
              </w:rPr>
            </w:pPr>
            <w:r>
              <w:rPr>
                <w:rFonts w:ascii="Bookman Old Style" w:hAnsi="Bookman Old Style"/>
                <w:sz w:val="24"/>
                <w:szCs w:val="24"/>
              </w:rPr>
              <w:t>Paragraf 1</w:t>
            </w:r>
          </w:p>
        </w:tc>
        <w:tc>
          <w:tcPr>
            <w:tcW w:w="1167" w:type="pct"/>
          </w:tcPr>
          <w:p w14:paraId="4FC393A8" w14:textId="20B76293"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8672F67"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1A558CF"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349B0B8C" w14:textId="2F4CD325" w:rsidTr="00C61A26">
        <w:trPr>
          <w:jc w:val="center"/>
        </w:trPr>
        <w:tc>
          <w:tcPr>
            <w:tcW w:w="1614" w:type="pct"/>
          </w:tcPr>
          <w:p w14:paraId="67BFA92D" w14:textId="54D15476" w:rsidR="00BA5B70" w:rsidRPr="009C0241" w:rsidRDefault="00BA5B70" w:rsidP="00BA5B70">
            <w:pPr>
              <w:spacing w:after="0" w:line="360" w:lineRule="auto"/>
              <w:jc w:val="center"/>
              <w:rPr>
                <w:rFonts w:ascii="Bookman Old Style" w:hAnsi="Bookman Old Style"/>
                <w:sz w:val="24"/>
                <w:szCs w:val="24"/>
              </w:rPr>
            </w:pPr>
            <w:r w:rsidRPr="009C0241">
              <w:rPr>
                <w:rFonts w:ascii="Bookman Old Style" w:hAnsi="Bookman Old Style"/>
                <w:sz w:val="24"/>
                <w:szCs w:val="24"/>
              </w:rPr>
              <w:t>Umum</w:t>
            </w:r>
          </w:p>
        </w:tc>
        <w:tc>
          <w:tcPr>
            <w:tcW w:w="1167" w:type="pct"/>
          </w:tcPr>
          <w:p w14:paraId="3ECA084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29617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14CF30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86256D" w:rsidRPr="00C562C1" w14:paraId="3C3F68B1" w14:textId="77777777" w:rsidTr="00C61A26">
        <w:trPr>
          <w:jc w:val="center"/>
        </w:trPr>
        <w:tc>
          <w:tcPr>
            <w:tcW w:w="1614" w:type="pct"/>
          </w:tcPr>
          <w:p w14:paraId="4E864401" w14:textId="77777777" w:rsidR="0086256D" w:rsidRPr="009C0241" w:rsidRDefault="0086256D" w:rsidP="00BA5B70">
            <w:pPr>
              <w:spacing w:after="0" w:line="360" w:lineRule="auto"/>
              <w:jc w:val="center"/>
              <w:rPr>
                <w:rFonts w:ascii="Bookman Old Style" w:hAnsi="Bookman Old Style"/>
                <w:sz w:val="24"/>
                <w:szCs w:val="24"/>
              </w:rPr>
            </w:pPr>
          </w:p>
        </w:tc>
        <w:tc>
          <w:tcPr>
            <w:tcW w:w="1167" w:type="pct"/>
          </w:tcPr>
          <w:p w14:paraId="0FEBAB5D"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F19CFD2"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C469E9A" w14:textId="77777777" w:rsidR="0086256D" w:rsidRPr="00C562C1" w:rsidRDefault="0086256D"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5CBEA67" w14:textId="70144369" w:rsidTr="00C61A26">
        <w:trPr>
          <w:jc w:val="center"/>
        </w:trPr>
        <w:tc>
          <w:tcPr>
            <w:tcW w:w="1614" w:type="pct"/>
          </w:tcPr>
          <w:p w14:paraId="12E8B737" w14:textId="65DF3712" w:rsidR="00BA5B70" w:rsidRPr="009C0241" w:rsidRDefault="00BA5B70" w:rsidP="00BA5B70">
            <w:pPr>
              <w:spacing w:after="0" w:line="360" w:lineRule="auto"/>
              <w:jc w:val="center"/>
              <w:rPr>
                <w:rFonts w:ascii="Bookman Old Style" w:hAnsi="Bookman Old Style"/>
                <w:sz w:val="24"/>
                <w:szCs w:val="24"/>
              </w:rPr>
            </w:pPr>
            <w:r>
              <w:rPr>
                <w:rFonts w:ascii="Bookman Old Style" w:hAnsi="Bookman Old Style"/>
                <w:sz w:val="24"/>
                <w:szCs w:val="24"/>
              </w:rPr>
              <w:t>Pasal 1</w:t>
            </w:r>
            <w:r w:rsidR="0056328B">
              <w:rPr>
                <w:rFonts w:ascii="Bookman Old Style" w:hAnsi="Bookman Old Style"/>
                <w:sz w:val="24"/>
                <w:szCs w:val="24"/>
              </w:rPr>
              <w:t>5</w:t>
            </w:r>
          </w:p>
        </w:tc>
        <w:tc>
          <w:tcPr>
            <w:tcW w:w="1167" w:type="pct"/>
          </w:tcPr>
          <w:p w14:paraId="04C96F9B" w14:textId="364D56C1"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Cukup jelas.</w:t>
            </w:r>
          </w:p>
        </w:tc>
        <w:tc>
          <w:tcPr>
            <w:tcW w:w="1109" w:type="pct"/>
          </w:tcPr>
          <w:p w14:paraId="3389DF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6AF44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3256584" w14:textId="262924AD" w:rsidTr="00C61A26">
        <w:trPr>
          <w:jc w:val="center"/>
        </w:trPr>
        <w:tc>
          <w:tcPr>
            <w:tcW w:w="1614" w:type="pct"/>
          </w:tcPr>
          <w:p w14:paraId="6AEC42B6" w14:textId="6D61CFF2" w:rsidR="00BA5B70" w:rsidRPr="0056328B" w:rsidRDefault="00BA5B70">
            <w:pPr>
              <w:pStyle w:val="ListParagraph"/>
              <w:numPr>
                <w:ilvl w:val="0"/>
                <w:numId w:val="45"/>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 xml:space="preserve">Perusahaan Asuransi dapat memasarkan PAYDI yang memiliki Subdana dengan strategi investasi sebagaimana dimaksud dalam Pasal </w:t>
            </w:r>
            <w:r w:rsidR="0086256D" w:rsidRPr="0056328B">
              <w:rPr>
                <w:rFonts w:ascii="Bookman Old Style" w:hAnsi="Bookman Old Style"/>
                <w:color w:val="000000" w:themeColor="text1"/>
                <w:sz w:val="24"/>
                <w:szCs w:val="24"/>
              </w:rPr>
              <w:t>4</w:t>
            </w:r>
            <w:r w:rsidRPr="0056328B">
              <w:rPr>
                <w:rFonts w:ascii="Bookman Old Style" w:hAnsi="Bookman Old Style"/>
                <w:color w:val="000000" w:themeColor="text1"/>
                <w:sz w:val="24"/>
                <w:szCs w:val="24"/>
              </w:rPr>
              <w:t xml:space="preserve"> ayat (4) huruf a sampai dengan huruf i.</w:t>
            </w:r>
          </w:p>
        </w:tc>
        <w:tc>
          <w:tcPr>
            <w:tcW w:w="1167" w:type="pct"/>
          </w:tcPr>
          <w:p w14:paraId="04C8436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0E5E60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370CA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17F2429" w14:textId="69072030" w:rsidTr="00C61A26">
        <w:trPr>
          <w:jc w:val="center"/>
        </w:trPr>
        <w:tc>
          <w:tcPr>
            <w:tcW w:w="1614" w:type="pct"/>
          </w:tcPr>
          <w:p w14:paraId="25D9375A" w14:textId="539F57CD" w:rsidR="00BA5B70" w:rsidRPr="0056328B" w:rsidRDefault="00BA5B70">
            <w:pPr>
              <w:pStyle w:val="ListParagraph"/>
              <w:numPr>
                <w:ilvl w:val="0"/>
                <w:numId w:val="46"/>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 xml:space="preserve">Perusahaan Asuransi Syariah dapat memasarkan PAYDI yang memiliki Subdana dengan strategi investasi sebagaimana dimaksud dalam Pasal </w:t>
            </w:r>
            <w:r w:rsidR="0086256D" w:rsidRPr="0056328B">
              <w:rPr>
                <w:rFonts w:ascii="Bookman Old Style" w:hAnsi="Bookman Old Style"/>
                <w:color w:val="000000" w:themeColor="text1"/>
                <w:sz w:val="24"/>
                <w:szCs w:val="24"/>
              </w:rPr>
              <w:t>4</w:t>
            </w:r>
            <w:r w:rsidRPr="0056328B">
              <w:rPr>
                <w:rFonts w:ascii="Bookman Old Style" w:hAnsi="Bookman Old Style"/>
                <w:color w:val="000000" w:themeColor="text1"/>
                <w:sz w:val="24"/>
                <w:szCs w:val="24"/>
              </w:rPr>
              <w:t xml:space="preserve"> ayat (4) huruf e sampai dengan huruf i.</w:t>
            </w:r>
          </w:p>
        </w:tc>
        <w:tc>
          <w:tcPr>
            <w:tcW w:w="1167" w:type="pct"/>
          </w:tcPr>
          <w:p w14:paraId="192D315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34C2A2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16AC73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C53E96D" w14:textId="0869C43B" w:rsidTr="00C61A26">
        <w:trPr>
          <w:jc w:val="center"/>
        </w:trPr>
        <w:tc>
          <w:tcPr>
            <w:tcW w:w="1614" w:type="pct"/>
          </w:tcPr>
          <w:p w14:paraId="159B1DC0" w14:textId="653FBE90" w:rsidR="00BA5B70" w:rsidRPr="0056328B" w:rsidRDefault="00BA5B70">
            <w:pPr>
              <w:pStyle w:val="ListParagraph"/>
              <w:numPr>
                <w:ilvl w:val="0"/>
                <w:numId w:val="47"/>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 xml:space="preserve">Dalam hal Perusahaan Asuransi atau Perusahaan Asuransi Syariah membentuk Subdana yang memiliki strategi investasi lain sebagaimana dimaksud dalam Pasal </w:t>
            </w:r>
            <w:r w:rsidR="0086256D" w:rsidRPr="0056328B">
              <w:rPr>
                <w:rFonts w:ascii="Bookman Old Style" w:hAnsi="Bookman Old Style"/>
                <w:color w:val="000000" w:themeColor="text1"/>
                <w:sz w:val="24"/>
                <w:szCs w:val="24"/>
              </w:rPr>
              <w:t>4</w:t>
            </w:r>
            <w:r w:rsidRPr="0056328B">
              <w:rPr>
                <w:rFonts w:ascii="Bookman Old Style" w:hAnsi="Bookman Old Style"/>
                <w:color w:val="000000" w:themeColor="text1"/>
                <w:sz w:val="24"/>
                <w:szCs w:val="24"/>
              </w:rPr>
              <w:t xml:space="preserve"> ayat (4) huruf i, Perusahaan Asuransi atau Perusahaan Asuransi Syariah wajib memastikan bahwa Bank Kustodian dapat melakukan penatausahaan atas seluruh </w:t>
            </w:r>
            <w:r w:rsidRPr="0056328B">
              <w:rPr>
                <w:rFonts w:ascii="Bookman Old Style" w:hAnsi="Bookman Old Style"/>
                <w:i/>
                <w:iCs/>
                <w:color w:val="000000" w:themeColor="text1"/>
                <w:sz w:val="24"/>
                <w:szCs w:val="24"/>
              </w:rPr>
              <w:t>underlying investment</w:t>
            </w:r>
            <w:r w:rsidRPr="0056328B">
              <w:rPr>
                <w:rFonts w:ascii="Bookman Old Style" w:hAnsi="Bookman Old Style"/>
                <w:color w:val="000000" w:themeColor="text1"/>
                <w:sz w:val="24"/>
                <w:szCs w:val="24"/>
              </w:rPr>
              <w:t xml:space="preserve"> Subdana tersebut. </w:t>
            </w:r>
          </w:p>
        </w:tc>
        <w:tc>
          <w:tcPr>
            <w:tcW w:w="1167" w:type="pct"/>
          </w:tcPr>
          <w:p w14:paraId="7AD114F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340124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99BBD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C43643B" w14:textId="10C7E79F" w:rsidTr="00C61A26">
        <w:trPr>
          <w:jc w:val="center"/>
        </w:trPr>
        <w:tc>
          <w:tcPr>
            <w:tcW w:w="1614" w:type="pct"/>
          </w:tcPr>
          <w:p w14:paraId="4A2EC84C" w14:textId="4F058C14" w:rsidR="00BA5B70" w:rsidRPr="0056328B" w:rsidRDefault="00BA5B70">
            <w:pPr>
              <w:pStyle w:val="ListParagraph"/>
              <w:numPr>
                <w:ilvl w:val="0"/>
                <w:numId w:val="48"/>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 xml:space="preserve">Perusahaan Asuransi atau Perusahaan Asuransi Syariah wajib melakukan evaluasi atas strategi </w:t>
            </w:r>
            <w:r w:rsidRPr="0056328B">
              <w:rPr>
                <w:rFonts w:ascii="Bookman Old Style" w:hAnsi="Bookman Old Style"/>
                <w:color w:val="000000" w:themeColor="text1"/>
                <w:sz w:val="24"/>
                <w:szCs w:val="24"/>
              </w:rPr>
              <w:lastRenderedPageBreak/>
              <w:t>investasi secara berkala paling sedikit 1 (satu) kali dalam 1 (satu) tahun.</w:t>
            </w:r>
          </w:p>
        </w:tc>
        <w:tc>
          <w:tcPr>
            <w:tcW w:w="1167" w:type="pct"/>
          </w:tcPr>
          <w:p w14:paraId="7FC6F34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3B1B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00D814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3EBEA80" w14:textId="012625D7" w:rsidTr="00C61A26">
        <w:trPr>
          <w:jc w:val="center"/>
        </w:trPr>
        <w:tc>
          <w:tcPr>
            <w:tcW w:w="1614" w:type="pct"/>
          </w:tcPr>
          <w:p w14:paraId="6068F3BD" w14:textId="236EED2D" w:rsidR="00BA5B70" w:rsidRPr="0056328B" w:rsidRDefault="00BA5B70" w:rsidP="002623D1">
            <w:pPr>
              <w:pStyle w:val="ListParagraph"/>
              <w:numPr>
                <w:ilvl w:val="0"/>
                <w:numId w:val="22"/>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Dalam hal terjadi perubahan kondisi internal dan eksternal yang dapat berdampak signifikan terhadap kinerja investasi PAYDI, Perusahaan Asuransi atau Perusahaan Asuransi Syariah wajib melakukan evaluasi atas strategi investasi di luar ketentuan sebagaimana dimaksud pada ayat (4).</w:t>
            </w:r>
          </w:p>
        </w:tc>
        <w:tc>
          <w:tcPr>
            <w:tcW w:w="1167" w:type="pct"/>
          </w:tcPr>
          <w:p w14:paraId="355B7E5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2E98C0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866BC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869DA60" w14:textId="52E2178C" w:rsidTr="00C61A26">
        <w:trPr>
          <w:jc w:val="center"/>
        </w:trPr>
        <w:tc>
          <w:tcPr>
            <w:tcW w:w="1614" w:type="pct"/>
          </w:tcPr>
          <w:p w14:paraId="6C9016B3" w14:textId="073B4753" w:rsidR="00BA5B70" w:rsidRPr="0056328B" w:rsidRDefault="00BA5B70" w:rsidP="002623D1">
            <w:pPr>
              <w:pStyle w:val="ListParagraph"/>
              <w:numPr>
                <w:ilvl w:val="0"/>
                <w:numId w:val="22"/>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Perusahaan Asuransi atau Perusahaan Asuransi Syariah wajib melakukan dokumentasi atas evaluasi strategi investasi sebagaimana dimaksud pada ayat (4) dan ayat (5).</w:t>
            </w:r>
          </w:p>
        </w:tc>
        <w:tc>
          <w:tcPr>
            <w:tcW w:w="1167" w:type="pct"/>
          </w:tcPr>
          <w:p w14:paraId="6EC3C7F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D8516F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6AE422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B6340D4" w14:textId="262D47C9" w:rsidTr="00C61A26">
        <w:trPr>
          <w:jc w:val="center"/>
        </w:trPr>
        <w:tc>
          <w:tcPr>
            <w:tcW w:w="1614" w:type="pct"/>
          </w:tcPr>
          <w:p w14:paraId="5FEB4534" w14:textId="35045401" w:rsidR="00BA5B70" w:rsidRPr="0056328B" w:rsidRDefault="00BA5B70" w:rsidP="002623D1">
            <w:pPr>
              <w:pStyle w:val="ListParagraph"/>
              <w:numPr>
                <w:ilvl w:val="0"/>
                <w:numId w:val="22"/>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Penerapan strategi investasi dan kinerja investasi pada PAYDI wajib dievaluasi oleh fungsi investasi dan dibahas bersama dengan komite investasi, paling sedikit satu kali dalam 3 (tiga) bulan dan dituangkan dalam notulen.</w:t>
            </w:r>
          </w:p>
        </w:tc>
        <w:tc>
          <w:tcPr>
            <w:tcW w:w="1167" w:type="pct"/>
          </w:tcPr>
          <w:p w14:paraId="5FCABBCC" w14:textId="536F2A1B"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B06CA95"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227AD88"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r>
      <w:tr w:rsidR="00BA5B70" w:rsidRPr="00C562C1" w14:paraId="75AAB7C3" w14:textId="5E578C38" w:rsidTr="00C61A26">
        <w:trPr>
          <w:jc w:val="center"/>
        </w:trPr>
        <w:tc>
          <w:tcPr>
            <w:tcW w:w="1614" w:type="pct"/>
          </w:tcPr>
          <w:p w14:paraId="6FACABF8" w14:textId="77777777" w:rsidR="00BA5B70" w:rsidRPr="00C562C1" w:rsidRDefault="00BA5B70" w:rsidP="00BA5B70">
            <w:pPr>
              <w:spacing w:after="0" w:line="360" w:lineRule="auto"/>
              <w:jc w:val="both"/>
              <w:rPr>
                <w:rFonts w:ascii="Bookman Old Style" w:hAnsi="Bookman Old Style"/>
                <w:sz w:val="24"/>
                <w:szCs w:val="24"/>
              </w:rPr>
            </w:pPr>
          </w:p>
        </w:tc>
        <w:tc>
          <w:tcPr>
            <w:tcW w:w="1167" w:type="pct"/>
          </w:tcPr>
          <w:p w14:paraId="4E4E41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23D0D0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FAB351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A479228" w14:textId="77777777" w:rsidTr="00C61A26">
        <w:trPr>
          <w:jc w:val="center"/>
        </w:trPr>
        <w:tc>
          <w:tcPr>
            <w:tcW w:w="1614" w:type="pct"/>
          </w:tcPr>
          <w:p w14:paraId="5DC976AF" w14:textId="6CC8D756" w:rsidR="00BA5B70" w:rsidRPr="00C562C1" w:rsidRDefault="00BA5B70" w:rsidP="00BA5B70">
            <w:pPr>
              <w:spacing w:after="0" w:line="360" w:lineRule="auto"/>
              <w:jc w:val="center"/>
              <w:rPr>
                <w:rFonts w:ascii="Bookman Old Style" w:hAnsi="Bookman Old Style"/>
                <w:sz w:val="24"/>
                <w:szCs w:val="24"/>
              </w:rPr>
            </w:pPr>
            <w:r>
              <w:rPr>
                <w:rFonts w:ascii="Bookman Old Style" w:hAnsi="Bookman Old Style"/>
                <w:sz w:val="24"/>
                <w:szCs w:val="24"/>
              </w:rPr>
              <w:t>Paragraf 2</w:t>
            </w:r>
          </w:p>
        </w:tc>
        <w:tc>
          <w:tcPr>
            <w:tcW w:w="1167" w:type="pct"/>
          </w:tcPr>
          <w:p w14:paraId="14DB0EC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2D30E7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5DF803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FB93648" w14:textId="77777777" w:rsidTr="00C61A26">
        <w:trPr>
          <w:jc w:val="center"/>
        </w:trPr>
        <w:tc>
          <w:tcPr>
            <w:tcW w:w="1614" w:type="pct"/>
          </w:tcPr>
          <w:p w14:paraId="22A61676" w14:textId="4F64218D" w:rsidR="00BA5B70" w:rsidRDefault="00BA5B70" w:rsidP="00BA5B70">
            <w:pPr>
              <w:spacing w:after="0" w:line="360" w:lineRule="auto"/>
              <w:jc w:val="center"/>
              <w:rPr>
                <w:rFonts w:ascii="Bookman Old Style" w:hAnsi="Bookman Old Style"/>
                <w:sz w:val="24"/>
                <w:szCs w:val="24"/>
              </w:rPr>
            </w:pPr>
            <w:r>
              <w:rPr>
                <w:rFonts w:ascii="Bookman Old Style" w:hAnsi="Bookman Old Style"/>
                <w:sz w:val="24"/>
                <w:szCs w:val="24"/>
              </w:rPr>
              <w:t>Pelaksanaan Strategi Investasi</w:t>
            </w:r>
          </w:p>
        </w:tc>
        <w:tc>
          <w:tcPr>
            <w:tcW w:w="1167" w:type="pct"/>
          </w:tcPr>
          <w:p w14:paraId="58B8843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B453C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5FE16B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F2D98D0" w14:textId="77777777" w:rsidTr="00C61A26">
        <w:trPr>
          <w:jc w:val="center"/>
        </w:trPr>
        <w:tc>
          <w:tcPr>
            <w:tcW w:w="1614" w:type="pct"/>
          </w:tcPr>
          <w:p w14:paraId="75703C7A" w14:textId="13EFB1AA" w:rsidR="00BA5B70" w:rsidRDefault="00BA5B70" w:rsidP="00BA5B70">
            <w:pPr>
              <w:spacing w:after="0" w:line="360" w:lineRule="auto"/>
              <w:jc w:val="center"/>
              <w:rPr>
                <w:rFonts w:ascii="Bookman Old Style" w:hAnsi="Bookman Old Style"/>
                <w:sz w:val="24"/>
                <w:szCs w:val="24"/>
              </w:rPr>
            </w:pPr>
            <w:r w:rsidRPr="00C562C1">
              <w:rPr>
                <w:rFonts w:ascii="Bookman Old Style" w:hAnsi="Bookman Old Style"/>
                <w:sz w:val="24"/>
                <w:szCs w:val="24"/>
              </w:rPr>
              <w:t>Pasal 1</w:t>
            </w:r>
            <w:r w:rsidR="0056328B">
              <w:rPr>
                <w:rFonts w:ascii="Bookman Old Style" w:hAnsi="Bookman Old Style"/>
                <w:sz w:val="24"/>
                <w:szCs w:val="24"/>
              </w:rPr>
              <w:t>6</w:t>
            </w:r>
          </w:p>
        </w:tc>
        <w:tc>
          <w:tcPr>
            <w:tcW w:w="1167" w:type="pct"/>
          </w:tcPr>
          <w:p w14:paraId="6DCD1352" w14:textId="0A309FE5"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r w:rsidRPr="00C562C1">
              <w:rPr>
                <w:rFonts w:ascii="Bookman Old Style" w:hAnsi="Bookman Old Style"/>
                <w:sz w:val="24"/>
                <w:szCs w:val="24"/>
              </w:rPr>
              <w:t>Cukup jelas.</w:t>
            </w:r>
          </w:p>
        </w:tc>
        <w:tc>
          <w:tcPr>
            <w:tcW w:w="1109" w:type="pct"/>
          </w:tcPr>
          <w:p w14:paraId="6F6B2C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96D9C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6EFB6CD" w14:textId="77777777" w:rsidTr="00C61A26">
        <w:trPr>
          <w:jc w:val="center"/>
        </w:trPr>
        <w:tc>
          <w:tcPr>
            <w:tcW w:w="1614" w:type="pct"/>
          </w:tcPr>
          <w:p w14:paraId="18F65700" w14:textId="61C5BA8C" w:rsidR="00BA5B70" w:rsidRPr="0056328B" w:rsidRDefault="00BA5B70">
            <w:pPr>
              <w:pStyle w:val="ListParagraph"/>
              <w:numPr>
                <w:ilvl w:val="0"/>
                <w:numId w:val="90"/>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Pelaksanaan strategi investasi pada PAYDI dilakukan melalui penempatan investasi atas aset Subdana oleh Perusahaan Asuransi atau Perusahaan Asuransi Syariah.</w:t>
            </w:r>
          </w:p>
        </w:tc>
        <w:tc>
          <w:tcPr>
            <w:tcW w:w="1167" w:type="pct"/>
          </w:tcPr>
          <w:p w14:paraId="3D74499B"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138986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3B59C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A17ED49" w14:textId="77777777" w:rsidTr="00C61A26">
        <w:trPr>
          <w:jc w:val="center"/>
        </w:trPr>
        <w:tc>
          <w:tcPr>
            <w:tcW w:w="1614" w:type="pct"/>
          </w:tcPr>
          <w:p w14:paraId="15B1DA16" w14:textId="0E80D247" w:rsidR="00BA5B70" w:rsidRPr="0056328B" w:rsidRDefault="00BA5B70">
            <w:pPr>
              <w:pStyle w:val="ListParagraph"/>
              <w:numPr>
                <w:ilvl w:val="0"/>
                <w:numId w:val="90"/>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 xml:space="preserve">Penempatan investasi atas aset Subdana bagi Perusahaan Asuransi atau Perusahaan Asuransi Syariah, selain memenuhi ketentuan yang diatur dalam Peraturan Otoritas Jasa Keuangan ini harus memenuhi ketentuan yang diatur dalam Peraturan Otoritas Jasa Keuangan mengenai pengelolaan aset </w:t>
            </w:r>
            <w:r w:rsidRPr="0056328B">
              <w:rPr>
                <w:rFonts w:ascii="Bookman Old Style" w:hAnsi="Bookman Old Style"/>
                <w:color w:val="000000" w:themeColor="text1"/>
                <w:sz w:val="24"/>
                <w:szCs w:val="24"/>
              </w:rPr>
              <w:lastRenderedPageBreak/>
              <w:t>dan liabilitas bagi Perusahaan Asuransi dan Perusahaan Asuransi Syariah.</w:t>
            </w:r>
          </w:p>
        </w:tc>
        <w:tc>
          <w:tcPr>
            <w:tcW w:w="1167" w:type="pct"/>
          </w:tcPr>
          <w:p w14:paraId="6308354A"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CF133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58148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D2700B7" w14:textId="77777777" w:rsidTr="00C61A26">
        <w:trPr>
          <w:jc w:val="center"/>
        </w:trPr>
        <w:tc>
          <w:tcPr>
            <w:tcW w:w="1614" w:type="pct"/>
          </w:tcPr>
          <w:p w14:paraId="7D6F7883" w14:textId="1BD2D02F" w:rsidR="00BA5B70" w:rsidRPr="0056328B" w:rsidRDefault="00BA5B70">
            <w:pPr>
              <w:pStyle w:val="ListParagraph"/>
              <w:numPr>
                <w:ilvl w:val="0"/>
                <w:numId w:val="90"/>
              </w:numPr>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Penepatan investasi atas aset Subdana dilakukan sesuai dengan strategi investasi dari masing-masing Subdana.</w:t>
            </w:r>
          </w:p>
        </w:tc>
        <w:tc>
          <w:tcPr>
            <w:tcW w:w="1167" w:type="pct"/>
          </w:tcPr>
          <w:p w14:paraId="386F385F"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DD254E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90EF05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AAA8F0F" w14:textId="77777777" w:rsidTr="00C61A26">
        <w:trPr>
          <w:jc w:val="center"/>
        </w:trPr>
        <w:tc>
          <w:tcPr>
            <w:tcW w:w="1614" w:type="pct"/>
          </w:tcPr>
          <w:p w14:paraId="2466E7C4" w14:textId="77777777" w:rsidR="00BA5B70" w:rsidRPr="00DC628F" w:rsidRDefault="00BA5B70" w:rsidP="00BA5B70">
            <w:pPr>
              <w:spacing w:after="0" w:line="360" w:lineRule="auto"/>
              <w:jc w:val="both"/>
              <w:rPr>
                <w:rFonts w:ascii="Bookman Old Style" w:hAnsi="Bookman Old Style"/>
                <w:sz w:val="24"/>
                <w:szCs w:val="24"/>
              </w:rPr>
            </w:pPr>
          </w:p>
        </w:tc>
        <w:tc>
          <w:tcPr>
            <w:tcW w:w="1167" w:type="pct"/>
          </w:tcPr>
          <w:p w14:paraId="1AD614FC"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1EFC5A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67ED4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78754C9" w14:textId="77777777" w:rsidTr="00C61A26">
        <w:trPr>
          <w:jc w:val="center"/>
        </w:trPr>
        <w:tc>
          <w:tcPr>
            <w:tcW w:w="1614" w:type="pct"/>
          </w:tcPr>
          <w:p w14:paraId="1F2710A1" w14:textId="4DCC9C8D" w:rsidR="00BA5B70" w:rsidRPr="00DC628F" w:rsidRDefault="00BA5B70" w:rsidP="00BA5B70">
            <w:pPr>
              <w:spacing w:after="0" w:line="360" w:lineRule="auto"/>
              <w:jc w:val="center"/>
              <w:rPr>
                <w:rFonts w:ascii="Bookman Old Style" w:hAnsi="Bookman Old Style"/>
                <w:color w:val="EE0000"/>
                <w:sz w:val="24"/>
                <w:szCs w:val="24"/>
              </w:rPr>
            </w:pPr>
            <w:r>
              <w:rPr>
                <w:rFonts w:ascii="Bookman Old Style" w:hAnsi="Bookman Old Style"/>
                <w:color w:val="000000" w:themeColor="text1"/>
                <w:sz w:val="24"/>
                <w:szCs w:val="24"/>
              </w:rPr>
              <w:t>Bagian Keempat</w:t>
            </w:r>
          </w:p>
        </w:tc>
        <w:tc>
          <w:tcPr>
            <w:tcW w:w="1167" w:type="pct"/>
          </w:tcPr>
          <w:p w14:paraId="38B5A2FE"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B3AAE1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535443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3BFA911" w14:textId="77777777" w:rsidTr="00C61A26">
        <w:trPr>
          <w:jc w:val="center"/>
        </w:trPr>
        <w:tc>
          <w:tcPr>
            <w:tcW w:w="1614" w:type="pct"/>
          </w:tcPr>
          <w:p w14:paraId="69DDAA19" w14:textId="7AC5D08E" w:rsidR="00BA5B70" w:rsidRDefault="00BA5B70" w:rsidP="00BA5B70">
            <w:pPr>
              <w:spacing w:after="0" w:line="360" w:lineRule="auto"/>
              <w:jc w:val="center"/>
              <w:rPr>
                <w:rFonts w:ascii="Bookman Old Style" w:hAnsi="Bookman Old Style"/>
                <w:color w:val="000000" w:themeColor="text1"/>
                <w:sz w:val="24"/>
                <w:szCs w:val="24"/>
              </w:rPr>
            </w:pPr>
            <w:r>
              <w:rPr>
                <w:rFonts w:ascii="Bookman Old Style" w:hAnsi="Bookman Old Style"/>
                <w:color w:val="000000" w:themeColor="text1"/>
                <w:sz w:val="24"/>
                <w:szCs w:val="24"/>
              </w:rPr>
              <w:t>Perhitungan NAB</w:t>
            </w:r>
          </w:p>
        </w:tc>
        <w:tc>
          <w:tcPr>
            <w:tcW w:w="1167" w:type="pct"/>
          </w:tcPr>
          <w:p w14:paraId="77D37B10" w14:textId="77777777" w:rsidR="00BA5B70" w:rsidRPr="00C562C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72509E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2FA9F5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09D8F52" w14:textId="77777777" w:rsidTr="00C61A26">
        <w:trPr>
          <w:jc w:val="center"/>
        </w:trPr>
        <w:tc>
          <w:tcPr>
            <w:tcW w:w="1614" w:type="pct"/>
          </w:tcPr>
          <w:p w14:paraId="102B01D0" w14:textId="0E4E4627" w:rsidR="00BA5B70" w:rsidRDefault="00BA5B70" w:rsidP="00BA5B70">
            <w:pPr>
              <w:spacing w:after="0" w:line="360" w:lineRule="auto"/>
              <w:jc w:val="center"/>
              <w:rPr>
                <w:rFonts w:ascii="Bookman Old Style" w:hAnsi="Bookman Old Style"/>
                <w:color w:val="000000" w:themeColor="text1"/>
                <w:sz w:val="24"/>
                <w:szCs w:val="24"/>
              </w:rPr>
            </w:pPr>
            <w:r w:rsidRPr="000C3CBF">
              <w:rPr>
                <w:rFonts w:ascii="Bookman Old Style" w:hAnsi="Bookman Old Style"/>
                <w:color w:val="000000" w:themeColor="text1"/>
                <w:sz w:val="24"/>
                <w:szCs w:val="24"/>
              </w:rPr>
              <w:t>Pasal 1</w:t>
            </w:r>
            <w:r w:rsidR="0056328B">
              <w:rPr>
                <w:rFonts w:ascii="Bookman Old Style" w:hAnsi="Bookman Old Style"/>
                <w:color w:val="000000" w:themeColor="text1"/>
                <w:sz w:val="24"/>
                <w:szCs w:val="24"/>
              </w:rPr>
              <w:t>7</w:t>
            </w:r>
          </w:p>
        </w:tc>
        <w:tc>
          <w:tcPr>
            <w:tcW w:w="1167" w:type="pct"/>
          </w:tcPr>
          <w:p w14:paraId="5CF144BA" w14:textId="37EA3369" w:rsidR="00BA5B70" w:rsidRPr="00C562C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2EE68E4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EE0E0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2829AAE" w14:textId="77777777" w:rsidTr="00C61A26">
        <w:trPr>
          <w:jc w:val="center"/>
        </w:trPr>
        <w:tc>
          <w:tcPr>
            <w:tcW w:w="1614" w:type="pct"/>
          </w:tcPr>
          <w:p w14:paraId="06C6BDA8" w14:textId="0774CEA5" w:rsidR="00BA5B70" w:rsidRPr="0056328B" w:rsidRDefault="00BA5B70">
            <w:pPr>
              <w:pStyle w:val="ListParagraph"/>
              <w:numPr>
                <w:ilvl w:val="0"/>
                <w:numId w:val="56"/>
              </w:numPr>
              <w:spacing w:after="0" w:line="360" w:lineRule="auto"/>
              <w:jc w:val="both"/>
              <w:rPr>
                <w:rFonts w:ascii="Bookman Old Style" w:hAnsi="Bookman Old Style"/>
                <w:color w:val="000000" w:themeColor="text1"/>
                <w:sz w:val="24"/>
                <w:szCs w:val="24"/>
              </w:rPr>
            </w:pPr>
            <w:r w:rsidRPr="0056328B">
              <w:rPr>
                <w:rFonts w:ascii="Bookman Old Style" w:hAnsi="Bookman Old Style"/>
                <w:color w:val="000000" w:themeColor="text1"/>
                <w:sz w:val="24"/>
                <w:szCs w:val="24"/>
              </w:rPr>
              <w:t>Penghitungan NAB dari setiap Subdana baik yang dinyatakan dalam unit maupun bukan unit dilakukan setiap Hari Bursa oleh Bank Kustodian berdasarkan perjanjian antara Perusahaan Asuransi atau Perusahaan Asuransi Syariah dengan Bank Kustodian.</w:t>
            </w:r>
          </w:p>
        </w:tc>
        <w:tc>
          <w:tcPr>
            <w:tcW w:w="1167" w:type="pct"/>
          </w:tcPr>
          <w:p w14:paraId="1166779A"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30710C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11CA21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DE609E8" w14:textId="77777777" w:rsidTr="00C61A26">
        <w:trPr>
          <w:jc w:val="center"/>
        </w:trPr>
        <w:tc>
          <w:tcPr>
            <w:tcW w:w="1614" w:type="pct"/>
          </w:tcPr>
          <w:p w14:paraId="10B6C388" w14:textId="0D16F9D4" w:rsidR="00BA5B70" w:rsidRPr="002F1B3B" w:rsidRDefault="00BA5B70">
            <w:pPr>
              <w:pStyle w:val="ListParagraph"/>
              <w:numPr>
                <w:ilvl w:val="0"/>
                <w:numId w:val="56"/>
              </w:numPr>
              <w:spacing w:after="0" w:line="360" w:lineRule="auto"/>
              <w:jc w:val="both"/>
              <w:rPr>
                <w:rFonts w:ascii="Bookman Old Style" w:hAnsi="Bookman Old Style"/>
                <w:sz w:val="24"/>
                <w:szCs w:val="24"/>
              </w:rPr>
            </w:pPr>
            <w:r w:rsidRPr="002F1B3B">
              <w:rPr>
                <w:rFonts w:ascii="Bookman Old Style" w:hAnsi="Bookman Old Style"/>
                <w:sz w:val="24"/>
                <w:szCs w:val="24"/>
              </w:rPr>
              <w:t>NAB per unit pada Subdana yang dinyatakan dalam unit harus memenuhi ketentuan</w:t>
            </w:r>
            <w:r w:rsidRPr="002F1B3B">
              <w:rPr>
                <w:rFonts w:ascii="Bookman Old Style" w:hAnsi="Bookman Old Style"/>
                <w:color w:val="000000"/>
                <w:sz w:val="24"/>
                <w:szCs w:val="24"/>
              </w:rPr>
              <w:t>:</w:t>
            </w:r>
          </w:p>
        </w:tc>
        <w:tc>
          <w:tcPr>
            <w:tcW w:w="1167" w:type="pct"/>
          </w:tcPr>
          <w:p w14:paraId="4E77FEB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C728E4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1CA6DE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2493ADF" w14:textId="77777777" w:rsidTr="00C61A26">
        <w:trPr>
          <w:jc w:val="center"/>
        </w:trPr>
        <w:tc>
          <w:tcPr>
            <w:tcW w:w="1614" w:type="pct"/>
          </w:tcPr>
          <w:p w14:paraId="2C5473A3" w14:textId="5E644E3C" w:rsidR="00BA5B70" w:rsidRPr="002F1B3B" w:rsidRDefault="00BA5B70">
            <w:pPr>
              <w:pStyle w:val="ListParagraph"/>
              <w:numPr>
                <w:ilvl w:val="0"/>
                <w:numId w:val="77"/>
              </w:numPr>
              <w:spacing w:after="0" w:line="360" w:lineRule="auto"/>
              <w:jc w:val="both"/>
              <w:rPr>
                <w:rFonts w:ascii="Bookman Old Style" w:hAnsi="Bookman Old Style"/>
                <w:sz w:val="24"/>
                <w:szCs w:val="24"/>
              </w:rPr>
            </w:pPr>
            <w:r w:rsidRPr="002F1B3B">
              <w:rPr>
                <w:rFonts w:ascii="Bookman Old Style" w:hAnsi="Bookman Old Style"/>
                <w:sz w:val="24"/>
                <w:szCs w:val="24"/>
              </w:rPr>
              <w:t>penghitungan NAB per unit dilakukan setiap Hari Bursa oleh Perusahaan Asuransi atau Perusahaan Asuransi Syariah</w:t>
            </w:r>
            <w:r w:rsidRPr="002F1B3B">
              <w:rPr>
                <w:rFonts w:ascii="Bookman Old Style" w:hAnsi="Bookman Old Style"/>
                <w:color w:val="000000"/>
                <w:sz w:val="24"/>
                <w:szCs w:val="24"/>
              </w:rPr>
              <w:t xml:space="preserve">; </w:t>
            </w:r>
          </w:p>
        </w:tc>
        <w:tc>
          <w:tcPr>
            <w:tcW w:w="1167" w:type="pct"/>
          </w:tcPr>
          <w:p w14:paraId="3EE5115A"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4D77B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9991F0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5D23252" w14:textId="77777777" w:rsidTr="00C61A26">
        <w:trPr>
          <w:jc w:val="center"/>
        </w:trPr>
        <w:tc>
          <w:tcPr>
            <w:tcW w:w="1614" w:type="pct"/>
          </w:tcPr>
          <w:p w14:paraId="4C446695" w14:textId="0BE14670" w:rsidR="00BA5B70" w:rsidRPr="002F1B3B" w:rsidRDefault="00BA5B70">
            <w:pPr>
              <w:pStyle w:val="ListParagraph"/>
              <w:numPr>
                <w:ilvl w:val="0"/>
                <w:numId w:val="78"/>
              </w:numPr>
              <w:spacing w:after="0" w:line="360" w:lineRule="auto"/>
              <w:jc w:val="both"/>
              <w:rPr>
                <w:rFonts w:ascii="Bookman Old Style" w:hAnsi="Bookman Old Style"/>
                <w:sz w:val="24"/>
                <w:szCs w:val="24"/>
              </w:rPr>
            </w:pPr>
            <w:r w:rsidRPr="002F1B3B">
              <w:rPr>
                <w:rFonts w:ascii="Bookman Old Style" w:hAnsi="Bookman Old Style"/>
                <w:sz w:val="24"/>
                <w:szCs w:val="24"/>
              </w:rPr>
              <w:t>pada saat pembentukan Subdana untuk pertama kali, NAB per unit ditetapkan sebesar Rp1.000,00 (seribu rupiah) untuk PAYDI dalam rupiah atau sebesar 1 (satu) untuk PAYDI dalam mata uang asing; dan</w:t>
            </w:r>
          </w:p>
        </w:tc>
        <w:tc>
          <w:tcPr>
            <w:tcW w:w="1167" w:type="pct"/>
          </w:tcPr>
          <w:p w14:paraId="772051C5"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DEDE52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A7C18D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67726A7" w14:textId="77777777" w:rsidTr="00C61A26">
        <w:trPr>
          <w:jc w:val="center"/>
        </w:trPr>
        <w:tc>
          <w:tcPr>
            <w:tcW w:w="1614" w:type="pct"/>
          </w:tcPr>
          <w:p w14:paraId="5007F809" w14:textId="14129449" w:rsidR="00BA5B70" w:rsidRPr="002F1B3B" w:rsidRDefault="00BA5B70">
            <w:pPr>
              <w:pStyle w:val="ListParagraph"/>
              <w:numPr>
                <w:ilvl w:val="0"/>
                <w:numId w:val="78"/>
              </w:numPr>
              <w:spacing w:after="0" w:line="360" w:lineRule="auto"/>
              <w:jc w:val="both"/>
              <w:rPr>
                <w:rFonts w:ascii="Bookman Old Style" w:hAnsi="Bookman Old Style"/>
                <w:sz w:val="24"/>
                <w:szCs w:val="24"/>
              </w:rPr>
            </w:pPr>
            <w:r w:rsidRPr="002F1B3B">
              <w:rPr>
                <w:rFonts w:ascii="Bookman Old Style" w:hAnsi="Bookman Old Style"/>
                <w:sz w:val="24"/>
                <w:szCs w:val="24"/>
              </w:rPr>
              <w:t>setiap Subdana hanya dapat memiliki 1 (satu) NAB per unit pada setiap hari perhitungan NAB per unit</w:t>
            </w:r>
            <w:r w:rsidRPr="002F1B3B">
              <w:rPr>
                <w:rFonts w:ascii="Bookman Old Style" w:hAnsi="Bookman Old Style"/>
                <w:color w:val="000000"/>
                <w:sz w:val="24"/>
                <w:szCs w:val="24"/>
              </w:rPr>
              <w:t>.</w:t>
            </w:r>
          </w:p>
        </w:tc>
        <w:tc>
          <w:tcPr>
            <w:tcW w:w="1167" w:type="pct"/>
          </w:tcPr>
          <w:p w14:paraId="5CC35E24"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DFF61F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95F421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F6F2BC2" w14:textId="77777777" w:rsidTr="00C61A26">
        <w:trPr>
          <w:jc w:val="center"/>
        </w:trPr>
        <w:tc>
          <w:tcPr>
            <w:tcW w:w="1614" w:type="pct"/>
          </w:tcPr>
          <w:p w14:paraId="4D5B821A" w14:textId="752587CF" w:rsidR="00BA5B70" w:rsidRPr="0056328B" w:rsidRDefault="0056328B">
            <w:pPr>
              <w:pStyle w:val="ListParagraph"/>
              <w:numPr>
                <w:ilvl w:val="0"/>
                <w:numId w:val="56"/>
              </w:numPr>
              <w:jc w:val="both"/>
              <w:rPr>
                <w:rFonts w:ascii="Bookman Old Style" w:hAnsi="Bookman Old Style"/>
                <w:sz w:val="24"/>
                <w:szCs w:val="24"/>
              </w:rPr>
            </w:pPr>
            <w:r w:rsidRPr="0056328B">
              <w:rPr>
                <w:rFonts w:ascii="Bookman Old Style" w:hAnsi="Bookman Old Style"/>
                <w:sz w:val="24"/>
                <w:szCs w:val="24"/>
              </w:rPr>
              <w:lastRenderedPageBreak/>
              <w:t xml:space="preserve">Penilaian aset Subdana dalam bentuk investasi dan bukan investasi dari Perusahaan Asuransi atau Perusahaan Asuransi Syariah mengacu pada Peraturan Otoritas Jasa Keuangan mengenai pengelolaan aset dan liabilitas bagi Perusahaan Asuransi dan Perusahaan Asuransi Syariah. </w:t>
            </w:r>
          </w:p>
        </w:tc>
        <w:tc>
          <w:tcPr>
            <w:tcW w:w="1167" w:type="pct"/>
          </w:tcPr>
          <w:p w14:paraId="4A9AFCE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6E430F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B3806F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941FAA5" w14:textId="77777777" w:rsidTr="00C61A26">
        <w:trPr>
          <w:jc w:val="center"/>
        </w:trPr>
        <w:tc>
          <w:tcPr>
            <w:tcW w:w="1614" w:type="pct"/>
          </w:tcPr>
          <w:p w14:paraId="39EF247F" w14:textId="77777777" w:rsidR="00BA5B70" w:rsidRPr="000C3CBF" w:rsidRDefault="00BA5B70" w:rsidP="00BA5B70">
            <w:pPr>
              <w:spacing w:after="0" w:line="360" w:lineRule="auto"/>
              <w:jc w:val="both"/>
              <w:rPr>
                <w:rFonts w:ascii="Bookman Old Style" w:hAnsi="Bookman Old Style"/>
                <w:sz w:val="24"/>
                <w:szCs w:val="24"/>
              </w:rPr>
            </w:pPr>
          </w:p>
        </w:tc>
        <w:tc>
          <w:tcPr>
            <w:tcW w:w="1167" w:type="pct"/>
          </w:tcPr>
          <w:p w14:paraId="2657E4AB"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4EC475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7AB36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D5C928A" w14:textId="77777777" w:rsidTr="00C61A26">
        <w:trPr>
          <w:jc w:val="center"/>
        </w:trPr>
        <w:tc>
          <w:tcPr>
            <w:tcW w:w="1614" w:type="pct"/>
          </w:tcPr>
          <w:p w14:paraId="147083A7" w14:textId="136EA289" w:rsidR="00BA5B70" w:rsidRPr="000C3CBF" w:rsidRDefault="00BA5B70" w:rsidP="00BA5B70">
            <w:pPr>
              <w:spacing w:after="0" w:line="360" w:lineRule="auto"/>
              <w:jc w:val="center"/>
              <w:rPr>
                <w:rFonts w:ascii="Bookman Old Style" w:hAnsi="Bookman Old Style"/>
                <w:sz w:val="24"/>
                <w:szCs w:val="24"/>
              </w:rPr>
            </w:pPr>
            <w:r w:rsidRPr="000C3CBF">
              <w:rPr>
                <w:rFonts w:ascii="Bookman Old Style" w:hAnsi="Bookman Old Style"/>
                <w:color w:val="000000" w:themeColor="text1"/>
                <w:sz w:val="24"/>
                <w:szCs w:val="24"/>
              </w:rPr>
              <w:t>Bagian Kelima</w:t>
            </w:r>
          </w:p>
        </w:tc>
        <w:tc>
          <w:tcPr>
            <w:tcW w:w="1167" w:type="pct"/>
          </w:tcPr>
          <w:p w14:paraId="3B775A6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CD53A1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B21DE5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489ABFA" w14:textId="77777777" w:rsidTr="00C61A26">
        <w:trPr>
          <w:jc w:val="center"/>
        </w:trPr>
        <w:tc>
          <w:tcPr>
            <w:tcW w:w="1614" w:type="pct"/>
          </w:tcPr>
          <w:p w14:paraId="7E71B6D8" w14:textId="4097659F" w:rsidR="00BA5B70" w:rsidRPr="000C3CBF" w:rsidRDefault="00BA5B70" w:rsidP="00BA5B70">
            <w:pPr>
              <w:spacing w:after="0" w:line="360" w:lineRule="auto"/>
              <w:jc w:val="center"/>
              <w:rPr>
                <w:rFonts w:ascii="Bookman Old Style" w:hAnsi="Bookman Old Style"/>
                <w:color w:val="000000" w:themeColor="text1"/>
                <w:sz w:val="24"/>
                <w:szCs w:val="24"/>
              </w:rPr>
            </w:pPr>
            <w:r w:rsidRPr="000C3CBF">
              <w:rPr>
                <w:rFonts w:ascii="Bookman Old Style" w:hAnsi="Bookman Old Style"/>
                <w:color w:val="000000" w:themeColor="text1"/>
                <w:sz w:val="24"/>
                <w:szCs w:val="24"/>
              </w:rPr>
              <w:t>Biaya</w:t>
            </w:r>
          </w:p>
        </w:tc>
        <w:tc>
          <w:tcPr>
            <w:tcW w:w="1167" w:type="pct"/>
          </w:tcPr>
          <w:p w14:paraId="6B807BB2"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B1645F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087CB2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3D5F35" w:rsidRPr="00C562C1" w14:paraId="0A5EB9F4" w14:textId="77777777" w:rsidTr="00C61A26">
        <w:trPr>
          <w:jc w:val="center"/>
        </w:trPr>
        <w:tc>
          <w:tcPr>
            <w:tcW w:w="1614" w:type="pct"/>
          </w:tcPr>
          <w:p w14:paraId="5734806E" w14:textId="77777777" w:rsidR="003D5F35" w:rsidRPr="000C3CBF" w:rsidRDefault="003D5F35" w:rsidP="00BA5B70">
            <w:pPr>
              <w:spacing w:after="0" w:line="360" w:lineRule="auto"/>
              <w:jc w:val="center"/>
              <w:rPr>
                <w:rFonts w:ascii="Bookman Old Style" w:hAnsi="Bookman Old Style"/>
                <w:color w:val="000000" w:themeColor="text1"/>
                <w:sz w:val="24"/>
                <w:szCs w:val="24"/>
              </w:rPr>
            </w:pPr>
          </w:p>
        </w:tc>
        <w:tc>
          <w:tcPr>
            <w:tcW w:w="1167" w:type="pct"/>
          </w:tcPr>
          <w:p w14:paraId="142FDF2B" w14:textId="77777777" w:rsidR="003D5F35" w:rsidRPr="00BB62F1" w:rsidRDefault="003D5F35" w:rsidP="00BA5B70">
            <w:pPr>
              <w:tabs>
                <w:tab w:val="left" w:pos="2552"/>
              </w:tabs>
              <w:spacing w:after="0" w:line="360" w:lineRule="auto"/>
              <w:jc w:val="both"/>
              <w:rPr>
                <w:rFonts w:ascii="Bookman Old Style" w:hAnsi="Bookman Old Style"/>
                <w:sz w:val="24"/>
                <w:szCs w:val="24"/>
              </w:rPr>
            </w:pPr>
          </w:p>
        </w:tc>
        <w:tc>
          <w:tcPr>
            <w:tcW w:w="1109" w:type="pct"/>
          </w:tcPr>
          <w:p w14:paraId="0B913AFB"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90782A"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774136F" w14:textId="77777777" w:rsidTr="00C61A26">
        <w:trPr>
          <w:jc w:val="center"/>
        </w:trPr>
        <w:tc>
          <w:tcPr>
            <w:tcW w:w="1614" w:type="pct"/>
          </w:tcPr>
          <w:p w14:paraId="7EDA83D1" w14:textId="3F7A6035" w:rsidR="00BA5B70" w:rsidRPr="000C3CBF" w:rsidRDefault="00BA5B70" w:rsidP="00BA5B70">
            <w:pPr>
              <w:spacing w:after="0" w:line="360" w:lineRule="auto"/>
              <w:jc w:val="center"/>
              <w:rPr>
                <w:rFonts w:ascii="Bookman Old Style" w:hAnsi="Bookman Old Style"/>
                <w:color w:val="000000" w:themeColor="text1"/>
                <w:sz w:val="24"/>
                <w:szCs w:val="24"/>
              </w:rPr>
            </w:pPr>
            <w:r w:rsidRPr="000C3CBF">
              <w:rPr>
                <w:rFonts w:ascii="Bookman Old Style" w:hAnsi="Bookman Old Style"/>
                <w:color w:val="000000" w:themeColor="text1"/>
                <w:sz w:val="24"/>
                <w:szCs w:val="24"/>
              </w:rPr>
              <w:t xml:space="preserve">Pasal </w:t>
            </w:r>
            <w:r w:rsidR="001105A2">
              <w:rPr>
                <w:rFonts w:ascii="Bookman Old Style" w:hAnsi="Bookman Old Style"/>
                <w:color w:val="000000" w:themeColor="text1"/>
                <w:sz w:val="24"/>
                <w:szCs w:val="24"/>
              </w:rPr>
              <w:t>18</w:t>
            </w:r>
          </w:p>
        </w:tc>
        <w:tc>
          <w:tcPr>
            <w:tcW w:w="1167" w:type="pct"/>
          </w:tcPr>
          <w:p w14:paraId="1FFFE648" w14:textId="1C6DCD02" w:rsidR="00BA5B70" w:rsidRPr="00BB62F1" w:rsidRDefault="00B459E7"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7322DA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B0E1CD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C1D40A0" w14:textId="77777777" w:rsidTr="00C61A26">
        <w:trPr>
          <w:jc w:val="center"/>
        </w:trPr>
        <w:tc>
          <w:tcPr>
            <w:tcW w:w="1614" w:type="pct"/>
          </w:tcPr>
          <w:p w14:paraId="3C664D86" w14:textId="0F1AEAA0" w:rsidR="00BA5B70" w:rsidRPr="001105A2" w:rsidRDefault="001105A2">
            <w:pPr>
              <w:pStyle w:val="ListParagraph"/>
              <w:numPr>
                <w:ilvl w:val="0"/>
                <w:numId w:val="57"/>
              </w:numPr>
              <w:rPr>
                <w:rFonts w:ascii="Bookman Old Style" w:hAnsi="Bookman Old Style"/>
                <w:sz w:val="24"/>
                <w:szCs w:val="24"/>
              </w:rPr>
            </w:pPr>
            <w:r w:rsidRPr="001105A2">
              <w:rPr>
                <w:rFonts w:ascii="Bookman Old Style" w:hAnsi="Bookman Old Style"/>
                <w:sz w:val="24"/>
                <w:szCs w:val="24"/>
              </w:rPr>
              <w:t xml:space="preserve">Biaya yang dilarang dibebankan secara langsung kepada Pemegang Polis, Tertanggung, atau Peserta meliputi: </w:t>
            </w:r>
          </w:p>
        </w:tc>
        <w:tc>
          <w:tcPr>
            <w:tcW w:w="1167" w:type="pct"/>
          </w:tcPr>
          <w:p w14:paraId="3BB8D29D" w14:textId="082F6098"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C74AF1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6D1D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BA665FC" w14:textId="77777777" w:rsidTr="00C61A26">
        <w:trPr>
          <w:jc w:val="center"/>
        </w:trPr>
        <w:tc>
          <w:tcPr>
            <w:tcW w:w="1614" w:type="pct"/>
          </w:tcPr>
          <w:p w14:paraId="303F7EAD" w14:textId="20A5554E" w:rsidR="00BA5B70" w:rsidRPr="001105A2" w:rsidRDefault="00BA5B70">
            <w:pPr>
              <w:pStyle w:val="ListParagraph"/>
              <w:numPr>
                <w:ilvl w:val="0"/>
                <w:numId w:val="96"/>
              </w:numPr>
              <w:spacing w:after="0" w:line="360" w:lineRule="auto"/>
              <w:jc w:val="both"/>
              <w:rPr>
                <w:rFonts w:ascii="Bookman Old Style" w:hAnsi="Bookman Old Style"/>
                <w:sz w:val="24"/>
                <w:szCs w:val="24"/>
              </w:rPr>
            </w:pPr>
            <w:r w:rsidRPr="001105A2">
              <w:rPr>
                <w:rFonts w:ascii="Bookman Old Style" w:hAnsi="Bookman Old Style"/>
                <w:sz w:val="24"/>
                <w:szCs w:val="24"/>
              </w:rPr>
              <w:t>biaya pemasaran, termasuk biaya iklan, pencetakan, dan distribusi media pemasaran</w:t>
            </w:r>
            <w:r w:rsidRPr="001105A2">
              <w:rPr>
                <w:rFonts w:ascii="Bookman Old Style" w:hAnsi="Bookman Old Style"/>
                <w:color w:val="000000"/>
                <w:sz w:val="24"/>
                <w:szCs w:val="24"/>
              </w:rPr>
              <w:t>;</w:t>
            </w:r>
          </w:p>
        </w:tc>
        <w:tc>
          <w:tcPr>
            <w:tcW w:w="1167" w:type="pct"/>
          </w:tcPr>
          <w:p w14:paraId="0EEB790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A8FEF7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EE393B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67AEBE5" w14:textId="77777777" w:rsidTr="00C61A26">
        <w:trPr>
          <w:jc w:val="center"/>
        </w:trPr>
        <w:tc>
          <w:tcPr>
            <w:tcW w:w="1614" w:type="pct"/>
          </w:tcPr>
          <w:p w14:paraId="29631C7D" w14:textId="74B895A4" w:rsidR="00BA5B70" w:rsidRPr="001105A2" w:rsidRDefault="00BA5B70">
            <w:pPr>
              <w:pStyle w:val="ListParagraph"/>
              <w:numPr>
                <w:ilvl w:val="0"/>
                <w:numId w:val="96"/>
              </w:numPr>
              <w:spacing w:after="0" w:line="360" w:lineRule="auto"/>
              <w:jc w:val="both"/>
              <w:rPr>
                <w:rFonts w:ascii="Bookman Old Style" w:hAnsi="Bookman Old Style"/>
                <w:sz w:val="24"/>
                <w:szCs w:val="24"/>
              </w:rPr>
            </w:pPr>
            <w:r w:rsidRPr="001105A2">
              <w:rPr>
                <w:rFonts w:ascii="Bookman Old Style" w:hAnsi="Bookman Old Style"/>
                <w:sz w:val="24"/>
                <w:szCs w:val="24"/>
              </w:rPr>
              <w:t>biaya jasa tenaga ahli; dan</w:t>
            </w:r>
          </w:p>
        </w:tc>
        <w:tc>
          <w:tcPr>
            <w:tcW w:w="1167" w:type="pct"/>
          </w:tcPr>
          <w:p w14:paraId="5A48A766"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04AD28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17BD3D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24BCC91" w14:textId="77777777" w:rsidTr="00C61A26">
        <w:trPr>
          <w:jc w:val="center"/>
        </w:trPr>
        <w:tc>
          <w:tcPr>
            <w:tcW w:w="1614" w:type="pct"/>
          </w:tcPr>
          <w:p w14:paraId="24387130" w14:textId="4B419A50" w:rsidR="00BA5B70" w:rsidRPr="001105A2" w:rsidRDefault="001105A2">
            <w:pPr>
              <w:pStyle w:val="ListParagraph"/>
              <w:numPr>
                <w:ilvl w:val="0"/>
                <w:numId w:val="96"/>
              </w:numPr>
              <w:rPr>
                <w:rFonts w:ascii="Bookman Old Style" w:hAnsi="Bookman Old Style"/>
                <w:sz w:val="24"/>
                <w:szCs w:val="24"/>
              </w:rPr>
            </w:pPr>
            <w:r w:rsidRPr="001105A2">
              <w:rPr>
                <w:rFonts w:ascii="Bookman Old Style" w:hAnsi="Bookman Old Style"/>
                <w:sz w:val="24"/>
                <w:szCs w:val="24"/>
              </w:rPr>
              <w:t>biaya operasional lain dalam rangka pengelolaan Perusahaan Asuransi atau Perusahaan Asuransi Syariah secara umum.</w:t>
            </w:r>
          </w:p>
        </w:tc>
        <w:tc>
          <w:tcPr>
            <w:tcW w:w="1167" w:type="pct"/>
          </w:tcPr>
          <w:p w14:paraId="245B1236"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4D657F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DF8867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6A2CBA3" w14:textId="77777777" w:rsidTr="00C61A26">
        <w:trPr>
          <w:jc w:val="center"/>
        </w:trPr>
        <w:tc>
          <w:tcPr>
            <w:tcW w:w="1614" w:type="pct"/>
          </w:tcPr>
          <w:p w14:paraId="304E92D4" w14:textId="752D6212" w:rsidR="00BA5B70" w:rsidRPr="001105A2" w:rsidRDefault="00BA5B70">
            <w:pPr>
              <w:pStyle w:val="ListParagraph"/>
              <w:numPr>
                <w:ilvl w:val="0"/>
                <w:numId w:val="57"/>
              </w:numPr>
              <w:spacing w:after="0" w:line="360" w:lineRule="auto"/>
              <w:jc w:val="both"/>
              <w:rPr>
                <w:rFonts w:ascii="Bookman Old Style" w:hAnsi="Bookman Old Style"/>
                <w:color w:val="000000" w:themeColor="text1"/>
                <w:sz w:val="24"/>
                <w:szCs w:val="24"/>
              </w:rPr>
            </w:pPr>
            <w:r w:rsidRPr="001105A2">
              <w:rPr>
                <w:rFonts w:ascii="Bookman Old Style" w:hAnsi="Bookman Old Style"/>
                <w:color w:val="000000" w:themeColor="text1"/>
                <w:sz w:val="24"/>
                <w:szCs w:val="24"/>
              </w:rPr>
              <w:t xml:space="preserve">Biaya yang dapat dibebankan kepada Pemegang Polis, Tertanggung, atau Peserta meliputi: </w:t>
            </w:r>
          </w:p>
        </w:tc>
        <w:tc>
          <w:tcPr>
            <w:tcW w:w="1167" w:type="pct"/>
          </w:tcPr>
          <w:p w14:paraId="51639586" w14:textId="0CB7CE0C"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46C0C9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2C180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AF1124D" w14:textId="77777777" w:rsidTr="00C61A26">
        <w:trPr>
          <w:jc w:val="center"/>
        </w:trPr>
        <w:tc>
          <w:tcPr>
            <w:tcW w:w="1614" w:type="pct"/>
          </w:tcPr>
          <w:p w14:paraId="6B382727" w14:textId="7D57EE55" w:rsidR="00BA5B70" w:rsidRPr="002F1B3B" w:rsidRDefault="00BA5B70">
            <w:pPr>
              <w:pStyle w:val="ListParagraph"/>
              <w:numPr>
                <w:ilvl w:val="0"/>
                <w:numId w:val="58"/>
              </w:numPr>
              <w:spacing w:after="0" w:line="360" w:lineRule="auto"/>
              <w:ind w:left="1148"/>
              <w:jc w:val="both"/>
              <w:rPr>
                <w:rFonts w:ascii="Bookman Old Style" w:hAnsi="Bookman Old Style"/>
                <w:sz w:val="24"/>
                <w:szCs w:val="24"/>
              </w:rPr>
            </w:pPr>
            <w:r w:rsidRPr="002F1B3B">
              <w:rPr>
                <w:rFonts w:ascii="Bookman Old Style" w:hAnsi="Bookman Old Style"/>
                <w:sz w:val="24"/>
                <w:szCs w:val="24"/>
              </w:rPr>
              <w:t>biaya asuransi untuk produk dasar</w:t>
            </w:r>
            <w:r w:rsidRPr="002F1B3B">
              <w:rPr>
                <w:rFonts w:ascii="Bookman Old Style" w:hAnsi="Bookman Old Style"/>
                <w:color w:val="000000"/>
                <w:sz w:val="24"/>
                <w:szCs w:val="24"/>
              </w:rPr>
              <w:t xml:space="preserve">; </w:t>
            </w:r>
          </w:p>
        </w:tc>
        <w:tc>
          <w:tcPr>
            <w:tcW w:w="1167" w:type="pct"/>
          </w:tcPr>
          <w:p w14:paraId="6442EAD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6392F7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ADF133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89A162" w14:textId="77777777" w:rsidTr="00C61A26">
        <w:trPr>
          <w:jc w:val="center"/>
        </w:trPr>
        <w:tc>
          <w:tcPr>
            <w:tcW w:w="1614" w:type="pct"/>
          </w:tcPr>
          <w:p w14:paraId="6BE0031D" w14:textId="4E00EA44" w:rsidR="00BA5B70" w:rsidRPr="002F1B3B" w:rsidRDefault="00BA5B70">
            <w:pPr>
              <w:pStyle w:val="ListParagraph"/>
              <w:numPr>
                <w:ilvl w:val="0"/>
                <w:numId w:val="58"/>
              </w:numPr>
              <w:spacing w:after="0" w:line="360" w:lineRule="auto"/>
              <w:ind w:left="1148"/>
              <w:jc w:val="both"/>
              <w:rPr>
                <w:rFonts w:ascii="Bookman Old Style" w:hAnsi="Bookman Old Style"/>
                <w:sz w:val="24"/>
                <w:szCs w:val="24"/>
              </w:rPr>
            </w:pPr>
            <w:r w:rsidRPr="002F1B3B">
              <w:rPr>
                <w:rFonts w:ascii="Bookman Old Style" w:hAnsi="Bookman Old Style"/>
                <w:color w:val="000000"/>
                <w:sz w:val="24"/>
                <w:szCs w:val="24"/>
              </w:rPr>
              <w:t>biaya produk asuransi tambahan, jika ada;</w:t>
            </w:r>
          </w:p>
        </w:tc>
        <w:tc>
          <w:tcPr>
            <w:tcW w:w="1167" w:type="pct"/>
          </w:tcPr>
          <w:p w14:paraId="0BE45A03"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25DDCE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5F0BCD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0D91678" w14:textId="77777777" w:rsidTr="00C61A26">
        <w:trPr>
          <w:jc w:val="center"/>
        </w:trPr>
        <w:tc>
          <w:tcPr>
            <w:tcW w:w="1614" w:type="pct"/>
          </w:tcPr>
          <w:p w14:paraId="10A5A2E0" w14:textId="233FBAC9" w:rsidR="00BA5B70" w:rsidRPr="002F1B3B" w:rsidRDefault="00BA5B70">
            <w:pPr>
              <w:pStyle w:val="ListParagraph"/>
              <w:numPr>
                <w:ilvl w:val="0"/>
                <w:numId w:val="58"/>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 xml:space="preserve">biaya akuisisi; </w:t>
            </w:r>
          </w:p>
        </w:tc>
        <w:tc>
          <w:tcPr>
            <w:tcW w:w="1167" w:type="pct"/>
          </w:tcPr>
          <w:p w14:paraId="3D661F13"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1C3027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142F5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815E628" w14:textId="77777777" w:rsidTr="00C61A26">
        <w:trPr>
          <w:jc w:val="center"/>
        </w:trPr>
        <w:tc>
          <w:tcPr>
            <w:tcW w:w="1614" w:type="pct"/>
          </w:tcPr>
          <w:p w14:paraId="73CE6462" w14:textId="5B2B6ACA" w:rsidR="00BA5B70" w:rsidRPr="002F1B3B" w:rsidRDefault="00BA5B70">
            <w:pPr>
              <w:pStyle w:val="ListParagraph"/>
              <w:numPr>
                <w:ilvl w:val="0"/>
                <w:numId w:val="58"/>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 xml:space="preserve">biaya administrasi Polis Asuransi; </w:t>
            </w:r>
          </w:p>
        </w:tc>
        <w:tc>
          <w:tcPr>
            <w:tcW w:w="1167" w:type="pct"/>
          </w:tcPr>
          <w:p w14:paraId="4FEDEB3A"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565F20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01D35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612964" w14:textId="77777777" w:rsidTr="00C61A26">
        <w:trPr>
          <w:jc w:val="center"/>
        </w:trPr>
        <w:tc>
          <w:tcPr>
            <w:tcW w:w="1614" w:type="pct"/>
          </w:tcPr>
          <w:p w14:paraId="06DAEA70" w14:textId="347DAF68" w:rsidR="00BA5B70" w:rsidRPr="002F1B3B" w:rsidRDefault="00BA5B70">
            <w:pPr>
              <w:pStyle w:val="ListParagraph"/>
              <w:numPr>
                <w:ilvl w:val="0"/>
                <w:numId w:val="58"/>
              </w:numPr>
              <w:spacing w:after="0" w:line="360" w:lineRule="auto"/>
              <w:ind w:left="1148"/>
              <w:jc w:val="both"/>
              <w:rPr>
                <w:rFonts w:ascii="Bookman Old Style" w:hAnsi="Bookman Old Style"/>
                <w:color w:val="000000"/>
                <w:sz w:val="24"/>
                <w:szCs w:val="24"/>
              </w:rPr>
            </w:pPr>
            <w:r w:rsidRPr="002F1B3B">
              <w:rPr>
                <w:rFonts w:ascii="Bookman Old Style" w:hAnsi="Bookman Old Style"/>
                <w:sz w:val="24"/>
                <w:szCs w:val="24"/>
              </w:rPr>
              <w:t>biaya pengalihan dari satu Subdana ke Subdana lainnya</w:t>
            </w:r>
            <w:r w:rsidRPr="002F1B3B">
              <w:rPr>
                <w:rFonts w:ascii="Bookman Old Style" w:hAnsi="Bookman Old Style"/>
                <w:color w:val="000000"/>
                <w:sz w:val="24"/>
                <w:szCs w:val="24"/>
              </w:rPr>
              <w:t xml:space="preserve">; </w:t>
            </w:r>
          </w:p>
        </w:tc>
        <w:tc>
          <w:tcPr>
            <w:tcW w:w="1167" w:type="pct"/>
          </w:tcPr>
          <w:p w14:paraId="176080B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C369E8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66CAE2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6F3B9E6" w14:textId="77777777" w:rsidTr="00C61A26">
        <w:trPr>
          <w:jc w:val="center"/>
        </w:trPr>
        <w:tc>
          <w:tcPr>
            <w:tcW w:w="1614" w:type="pct"/>
          </w:tcPr>
          <w:p w14:paraId="06B8C781" w14:textId="7F2FB465" w:rsidR="00BA5B70" w:rsidRPr="002F1B3B" w:rsidRDefault="00BA5B70">
            <w:pPr>
              <w:pStyle w:val="ListParagraph"/>
              <w:numPr>
                <w:ilvl w:val="0"/>
                <w:numId w:val="58"/>
              </w:numPr>
              <w:spacing w:after="0" w:line="360" w:lineRule="auto"/>
              <w:ind w:left="1148"/>
              <w:jc w:val="both"/>
              <w:rPr>
                <w:rFonts w:ascii="Bookman Old Style" w:hAnsi="Bookman Old Style"/>
                <w:sz w:val="24"/>
                <w:szCs w:val="24"/>
              </w:rPr>
            </w:pPr>
            <w:r w:rsidRPr="002F1B3B">
              <w:rPr>
                <w:rFonts w:ascii="Bookman Old Style" w:hAnsi="Bookman Old Style"/>
                <w:color w:val="000000"/>
                <w:sz w:val="24"/>
                <w:szCs w:val="24"/>
              </w:rPr>
              <w:t xml:space="preserve">biaya penarikan sebagian dana; </w:t>
            </w:r>
          </w:p>
        </w:tc>
        <w:tc>
          <w:tcPr>
            <w:tcW w:w="1167" w:type="pct"/>
          </w:tcPr>
          <w:p w14:paraId="79CA673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4E5C00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03D44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3CEEA9D" w14:textId="77777777" w:rsidTr="00C61A26">
        <w:trPr>
          <w:jc w:val="center"/>
        </w:trPr>
        <w:tc>
          <w:tcPr>
            <w:tcW w:w="1614" w:type="pct"/>
          </w:tcPr>
          <w:p w14:paraId="2FE52CA3" w14:textId="640B754E" w:rsidR="00BA5B70" w:rsidRPr="002F1B3B" w:rsidRDefault="00BA5B70">
            <w:pPr>
              <w:pStyle w:val="ListParagraph"/>
              <w:numPr>
                <w:ilvl w:val="0"/>
                <w:numId w:val="58"/>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lastRenderedPageBreak/>
              <w:t xml:space="preserve">biaya pembatalan atau pengakhiran Polis Asuransi; dan/atau </w:t>
            </w:r>
          </w:p>
        </w:tc>
        <w:tc>
          <w:tcPr>
            <w:tcW w:w="1167" w:type="pct"/>
          </w:tcPr>
          <w:p w14:paraId="05EE313A"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DE3208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6416E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F95FEF4" w14:textId="77777777" w:rsidTr="00C61A26">
        <w:trPr>
          <w:jc w:val="center"/>
        </w:trPr>
        <w:tc>
          <w:tcPr>
            <w:tcW w:w="1614" w:type="pct"/>
          </w:tcPr>
          <w:p w14:paraId="05A820BD" w14:textId="58628C70" w:rsidR="00BA5B70" w:rsidRPr="002F1B3B" w:rsidRDefault="00BA5B70">
            <w:pPr>
              <w:pStyle w:val="ListParagraph"/>
              <w:numPr>
                <w:ilvl w:val="0"/>
                <w:numId w:val="58"/>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biaya lainnya yang terkait langsung dengan Polis Asuransi dan tercantum dalam Polis Asuransi.</w:t>
            </w:r>
          </w:p>
        </w:tc>
        <w:tc>
          <w:tcPr>
            <w:tcW w:w="1167" w:type="pct"/>
          </w:tcPr>
          <w:p w14:paraId="1DFC990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E87550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8D5727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C0B9B0B" w14:textId="77777777" w:rsidTr="00C61A26">
        <w:trPr>
          <w:jc w:val="center"/>
        </w:trPr>
        <w:tc>
          <w:tcPr>
            <w:tcW w:w="1614" w:type="pct"/>
          </w:tcPr>
          <w:p w14:paraId="50CCD4BF" w14:textId="0E8937A7" w:rsidR="00BA5B70" w:rsidRPr="002F1B3B" w:rsidRDefault="00BA5B70">
            <w:pPr>
              <w:pStyle w:val="ListParagraph"/>
              <w:numPr>
                <w:ilvl w:val="0"/>
                <w:numId w:val="57"/>
              </w:numPr>
              <w:spacing w:after="0" w:line="360" w:lineRule="auto"/>
              <w:jc w:val="both"/>
              <w:rPr>
                <w:rFonts w:ascii="Bookman Old Style" w:hAnsi="Bookman Old Style"/>
                <w:color w:val="000000"/>
                <w:sz w:val="24"/>
                <w:szCs w:val="24"/>
              </w:rPr>
            </w:pPr>
            <w:r w:rsidRPr="002F1B3B">
              <w:rPr>
                <w:rFonts w:ascii="Bookman Old Style" w:hAnsi="Bookman Old Style"/>
                <w:sz w:val="24"/>
                <w:szCs w:val="24"/>
              </w:rPr>
              <w:t>Biaya yang dapat dibebankan kepada Subdana meliputi biaya yang secara langsung dibebankan dalam pengelolaan Subdana</w:t>
            </w:r>
          </w:p>
        </w:tc>
        <w:tc>
          <w:tcPr>
            <w:tcW w:w="1167" w:type="pct"/>
          </w:tcPr>
          <w:p w14:paraId="5D0A93DA" w14:textId="625DD355"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Biaya yang dapat dibebankan kepada Subdana antara lain meliputi biaya pengelolaan investasi, beban pajak, biaya kustodian, dan biaya administrasi rekening.</w:t>
            </w:r>
          </w:p>
        </w:tc>
        <w:tc>
          <w:tcPr>
            <w:tcW w:w="1109" w:type="pct"/>
          </w:tcPr>
          <w:p w14:paraId="79D704A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8DB9C6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E999E7" w14:textId="77777777" w:rsidTr="00C61A26">
        <w:trPr>
          <w:jc w:val="center"/>
        </w:trPr>
        <w:tc>
          <w:tcPr>
            <w:tcW w:w="1614" w:type="pct"/>
          </w:tcPr>
          <w:p w14:paraId="54E16267" w14:textId="50A5533C" w:rsidR="00BA5B70" w:rsidRPr="002F1B3B" w:rsidRDefault="00BA5B70">
            <w:pPr>
              <w:pStyle w:val="ListParagraph"/>
              <w:numPr>
                <w:ilvl w:val="0"/>
                <w:numId w:val="57"/>
              </w:numPr>
              <w:spacing w:after="0" w:line="360" w:lineRule="auto"/>
              <w:jc w:val="both"/>
              <w:rPr>
                <w:rFonts w:ascii="Bookman Old Style" w:hAnsi="Bookman Old Style"/>
                <w:sz w:val="24"/>
                <w:szCs w:val="24"/>
              </w:rPr>
            </w:pPr>
            <w:r w:rsidRPr="002F1B3B">
              <w:rPr>
                <w:rFonts w:ascii="Bookman Old Style" w:hAnsi="Bookman Old Style"/>
                <w:sz w:val="24"/>
                <w:szCs w:val="24"/>
              </w:rPr>
              <w:t>Biaya yang dapat dikenakan dalam hal Pemegang Polis, Tertanggung, atau Peserta membatalkan Polis Asuransi dalam periode mempelajari Polis Asuransi meliputi</w:t>
            </w:r>
            <w:r w:rsidRPr="002F1B3B">
              <w:rPr>
                <w:rFonts w:ascii="Bookman Old Style" w:hAnsi="Bookman Old Style"/>
                <w:color w:val="000000"/>
                <w:sz w:val="24"/>
                <w:szCs w:val="24"/>
              </w:rPr>
              <w:t>:</w:t>
            </w:r>
          </w:p>
        </w:tc>
        <w:tc>
          <w:tcPr>
            <w:tcW w:w="1167" w:type="pct"/>
          </w:tcPr>
          <w:p w14:paraId="6588EE58" w14:textId="77F57F42"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512C99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709ED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6B4AE55" w14:textId="77777777" w:rsidTr="00C61A26">
        <w:trPr>
          <w:jc w:val="center"/>
        </w:trPr>
        <w:tc>
          <w:tcPr>
            <w:tcW w:w="1614" w:type="pct"/>
          </w:tcPr>
          <w:p w14:paraId="3BABEC05" w14:textId="1C90D45D" w:rsidR="00BA5B70" w:rsidRPr="002F1B3B" w:rsidRDefault="00BA5B70">
            <w:pPr>
              <w:pStyle w:val="ListParagraph"/>
              <w:numPr>
                <w:ilvl w:val="0"/>
                <w:numId w:val="59"/>
              </w:numPr>
              <w:spacing w:after="0" w:line="360" w:lineRule="auto"/>
              <w:ind w:left="1148"/>
              <w:jc w:val="both"/>
              <w:rPr>
                <w:rFonts w:ascii="Bookman Old Style" w:hAnsi="Bookman Old Style"/>
                <w:sz w:val="24"/>
                <w:szCs w:val="24"/>
              </w:rPr>
            </w:pPr>
            <w:r w:rsidRPr="002F1B3B">
              <w:rPr>
                <w:rFonts w:ascii="Bookman Old Style" w:hAnsi="Bookman Old Style"/>
                <w:color w:val="000000"/>
                <w:sz w:val="24"/>
                <w:szCs w:val="24"/>
              </w:rPr>
              <w:t>biaya bea materai;</w:t>
            </w:r>
          </w:p>
        </w:tc>
        <w:tc>
          <w:tcPr>
            <w:tcW w:w="1167" w:type="pct"/>
          </w:tcPr>
          <w:p w14:paraId="4D8A4C3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D9AAFF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25EB78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5560612" w14:textId="77777777" w:rsidTr="00C61A26">
        <w:trPr>
          <w:jc w:val="center"/>
        </w:trPr>
        <w:tc>
          <w:tcPr>
            <w:tcW w:w="1614" w:type="pct"/>
          </w:tcPr>
          <w:p w14:paraId="49D88D91" w14:textId="0033CE03" w:rsidR="00BA5B70" w:rsidRPr="002F1B3B" w:rsidRDefault="00BA5B70">
            <w:pPr>
              <w:pStyle w:val="ListParagraph"/>
              <w:numPr>
                <w:ilvl w:val="0"/>
                <w:numId w:val="59"/>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biaya administrasi sehubungan dengan penerbitan dan pengiriman Polis Asuransi;</w:t>
            </w:r>
          </w:p>
        </w:tc>
        <w:tc>
          <w:tcPr>
            <w:tcW w:w="1167" w:type="pct"/>
          </w:tcPr>
          <w:p w14:paraId="13BBD01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729CE3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9D96DC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BD9D91A" w14:textId="77777777" w:rsidTr="00C61A26">
        <w:trPr>
          <w:jc w:val="center"/>
        </w:trPr>
        <w:tc>
          <w:tcPr>
            <w:tcW w:w="1614" w:type="pct"/>
          </w:tcPr>
          <w:p w14:paraId="2D28588B" w14:textId="7F6AA79D" w:rsidR="00BA5B70" w:rsidRPr="002F1B3B" w:rsidRDefault="00BA5B70">
            <w:pPr>
              <w:pStyle w:val="ListParagraph"/>
              <w:numPr>
                <w:ilvl w:val="0"/>
                <w:numId w:val="59"/>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biaya pemeriksaan kesehatan dan/atau biaya survei, jika ada;</w:t>
            </w:r>
          </w:p>
        </w:tc>
        <w:tc>
          <w:tcPr>
            <w:tcW w:w="1167" w:type="pct"/>
          </w:tcPr>
          <w:p w14:paraId="7FD9880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745B72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89088B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7A0E6B8" w14:textId="77777777" w:rsidTr="00C61A26">
        <w:trPr>
          <w:jc w:val="center"/>
        </w:trPr>
        <w:tc>
          <w:tcPr>
            <w:tcW w:w="1614" w:type="pct"/>
          </w:tcPr>
          <w:p w14:paraId="619A4672" w14:textId="62BFEF4B" w:rsidR="00BA5B70" w:rsidRPr="002F1B3B" w:rsidRDefault="00BA5B70">
            <w:pPr>
              <w:pStyle w:val="ListParagraph"/>
              <w:numPr>
                <w:ilvl w:val="0"/>
                <w:numId w:val="59"/>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 xml:space="preserve">Premi atau Kontribusi risiko yang sudah berjalan; dan </w:t>
            </w:r>
          </w:p>
        </w:tc>
        <w:tc>
          <w:tcPr>
            <w:tcW w:w="1167" w:type="pct"/>
          </w:tcPr>
          <w:p w14:paraId="768D7B39"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CBD248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F30365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30EDBE3" w14:textId="77777777" w:rsidTr="00C61A26">
        <w:trPr>
          <w:jc w:val="center"/>
        </w:trPr>
        <w:tc>
          <w:tcPr>
            <w:tcW w:w="1614" w:type="pct"/>
          </w:tcPr>
          <w:p w14:paraId="08B03D22" w14:textId="7C16777E" w:rsidR="00BA5B70" w:rsidRPr="002F1B3B" w:rsidRDefault="00BA5B70">
            <w:pPr>
              <w:pStyle w:val="ListParagraph"/>
              <w:numPr>
                <w:ilvl w:val="0"/>
                <w:numId w:val="59"/>
              </w:numPr>
              <w:spacing w:after="0" w:line="360" w:lineRule="auto"/>
              <w:ind w:left="1148"/>
              <w:jc w:val="both"/>
              <w:rPr>
                <w:rFonts w:ascii="Bookman Old Style" w:hAnsi="Bookman Old Style"/>
                <w:color w:val="000000"/>
                <w:sz w:val="24"/>
                <w:szCs w:val="24"/>
              </w:rPr>
            </w:pPr>
            <w:r w:rsidRPr="002F1B3B">
              <w:rPr>
                <w:rFonts w:ascii="Bookman Old Style" w:hAnsi="Bookman Old Style"/>
                <w:color w:val="000000"/>
                <w:sz w:val="24"/>
                <w:szCs w:val="24"/>
              </w:rPr>
              <w:t>kerugian investasi, jika ada</w:t>
            </w:r>
          </w:p>
        </w:tc>
        <w:tc>
          <w:tcPr>
            <w:tcW w:w="1167" w:type="pct"/>
          </w:tcPr>
          <w:p w14:paraId="6C25EC0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5DDE9D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D5FE63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B1B247B" w14:textId="77777777" w:rsidTr="00C61A26">
        <w:trPr>
          <w:jc w:val="center"/>
        </w:trPr>
        <w:tc>
          <w:tcPr>
            <w:tcW w:w="1614" w:type="pct"/>
          </w:tcPr>
          <w:p w14:paraId="4C5A59A3" w14:textId="14274874" w:rsidR="00BA5B70" w:rsidRPr="002F1B3B" w:rsidRDefault="00BA5B70">
            <w:pPr>
              <w:pStyle w:val="ListParagraph"/>
              <w:numPr>
                <w:ilvl w:val="0"/>
                <w:numId w:val="57"/>
              </w:numPr>
              <w:spacing w:after="0" w:line="360" w:lineRule="auto"/>
              <w:jc w:val="both"/>
              <w:rPr>
                <w:rFonts w:ascii="Bookman Old Style" w:hAnsi="Bookman Old Style"/>
                <w:color w:val="000000"/>
                <w:sz w:val="24"/>
                <w:szCs w:val="24"/>
              </w:rPr>
            </w:pPr>
            <w:r w:rsidRPr="002F1B3B">
              <w:rPr>
                <w:rFonts w:ascii="Bookman Old Style" w:hAnsi="Bookman Old Style"/>
                <w:sz w:val="24"/>
                <w:szCs w:val="24"/>
              </w:rPr>
              <w:t>Dalam hal Pemegang Polis, Tertanggung, atau Peserta tidak membatalkan pertanggungan atau kepesertaan setelah masa pembayaran Premi atau Kontribusi berakhir, Pemegang Polis, Tertanggung, atau Peserta dapat dibebankan biaya dengan cara mengurangi Nilai Tunai, sesuai dengan Polis Asuransi</w:t>
            </w:r>
            <w:r w:rsidRPr="003D5F35">
              <w:rPr>
                <w:rFonts w:ascii="Bookman Old Style" w:hAnsi="Bookman Old Style"/>
                <w:sz w:val="24"/>
                <w:szCs w:val="24"/>
              </w:rPr>
              <w:t>.</w:t>
            </w:r>
          </w:p>
        </w:tc>
        <w:tc>
          <w:tcPr>
            <w:tcW w:w="1167" w:type="pct"/>
          </w:tcPr>
          <w:p w14:paraId="412DAC8A" w14:textId="0A953563"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040FA4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CF69D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925512C" w14:textId="77777777" w:rsidTr="00C61A26">
        <w:trPr>
          <w:jc w:val="center"/>
        </w:trPr>
        <w:tc>
          <w:tcPr>
            <w:tcW w:w="1614" w:type="pct"/>
          </w:tcPr>
          <w:p w14:paraId="3DEA13EE" w14:textId="77777777" w:rsidR="00BA5B70" w:rsidRPr="007A615F" w:rsidRDefault="00BA5B70" w:rsidP="00BA5B70">
            <w:pPr>
              <w:spacing w:after="0" w:line="360" w:lineRule="auto"/>
              <w:jc w:val="both"/>
              <w:rPr>
                <w:rFonts w:ascii="Bookman Old Style" w:hAnsi="Bookman Old Style"/>
                <w:sz w:val="24"/>
                <w:szCs w:val="24"/>
              </w:rPr>
            </w:pPr>
          </w:p>
        </w:tc>
        <w:tc>
          <w:tcPr>
            <w:tcW w:w="1167" w:type="pct"/>
          </w:tcPr>
          <w:p w14:paraId="580B6D2C"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968176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56FC9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C08A40A" w14:textId="77777777" w:rsidTr="00C61A26">
        <w:trPr>
          <w:jc w:val="center"/>
        </w:trPr>
        <w:tc>
          <w:tcPr>
            <w:tcW w:w="1614" w:type="pct"/>
          </w:tcPr>
          <w:p w14:paraId="7199A8CB" w14:textId="0289E828" w:rsidR="00BA5B70" w:rsidRPr="007A615F" w:rsidRDefault="00BA5B70" w:rsidP="00BA5B70">
            <w:pPr>
              <w:spacing w:after="0" w:line="360" w:lineRule="auto"/>
              <w:jc w:val="center"/>
              <w:rPr>
                <w:rFonts w:ascii="Bookman Old Style" w:hAnsi="Bookman Old Style"/>
                <w:sz w:val="24"/>
                <w:szCs w:val="24"/>
              </w:rPr>
            </w:pPr>
            <w:r w:rsidRPr="007A615F">
              <w:rPr>
                <w:rFonts w:ascii="Bookman Old Style" w:hAnsi="Bookman Old Style"/>
                <w:color w:val="000000" w:themeColor="text1"/>
                <w:sz w:val="24"/>
                <w:szCs w:val="24"/>
              </w:rPr>
              <w:t>Bagian Keenam</w:t>
            </w:r>
          </w:p>
        </w:tc>
        <w:tc>
          <w:tcPr>
            <w:tcW w:w="1167" w:type="pct"/>
          </w:tcPr>
          <w:p w14:paraId="2EED6929"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4E815A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6934D4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36B9A94" w14:textId="77777777" w:rsidTr="00C61A26">
        <w:trPr>
          <w:jc w:val="center"/>
        </w:trPr>
        <w:tc>
          <w:tcPr>
            <w:tcW w:w="1614" w:type="pct"/>
          </w:tcPr>
          <w:p w14:paraId="3B0A81FE" w14:textId="4215E96C" w:rsidR="00BA5B70" w:rsidRPr="007A615F" w:rsidRDefault="00BA5B70" w:rsidP="00BA5B70">
            <w:pPr>
              <w:spacing w:after="0" w:line="360" w:lineRule="auto"/>
              <w:jc w:val="center"/>
              <w:rPr>
                <w:rFonts w:ascii="Bookman Old Style" w:hAnsi="Bookman Old Style"/>
                <w:color w:val="000000" w:themeColor="text1"/>
                <w:sz w:val="24"/>
                <w:szCs w:val="24"/>
              </w:rPr>
            </w:pPr>
            <w:r w:rsidRPr="007A615F">
              <w:rPr>
                <w:rFonts w:ascii="Bookman Old Style" w:hAnsi="Bookman Old Style"/>
                <w:color w:val="000000" w:themeColor="text1"/>
                <w:sz w:val="24"/>
                <w:szCs w:val="24"/>
              </w:rPr>
              <w:t>Penggunaan Layanan Kustodian</w:t>
            </w:r>
          </w:p>
        </w:tc>
        <w:tc>
          <w:tcPr>
            <w:tcW w:w="1167" w:type="pct"/>
          </w:tcPr>
          <w:p w14:paraId="1D29BC8D"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533277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7CF90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3D5F35" w:rsidRPr="00C562C1" w14:paraId="6E64CB84" w14:textId="77777777" w:rsidTr="00C61A26">
        <w:trPr>
          <w:jc w:val="center"/>
        </w:trPr>
        <w:tc>
          <w:tcPr>
            <w:tcW w:w="1614" w:type="pct"/>
          </w:tcPr>
          <w:p w14:paraId="7065DF6A" w14:textId="77777777" w:rsidR="003D5F35" w:rsidRPr="007A615F" w:rsidRDefault="003D5F35" w:rsidP="00BA5B70">
            <w:pPr>
              <w:spacing w:after="0" w:line="360" w:lineRule="auto"/>
              <w:jc w:val="center"/>
              <w:rPr>
                <w:rFonts w:ascii="Bookman Old Style" w:hAnsi="Bookman Old Style"/>
                <w:color w:val="000000" w:themeColor="text1"/>
                <w:sz w:val="24"/>
                <w:szCs w:val="24"/>
              </w:rPr>
            </w:pPr>
          </w:p>
        </w:tc>
        <w:tc>
          <w:tcPr>
            <w:tcW w:w="1167" w:type="pct"/>
          </w:tcPr>
          <w:p w14:paraId="0F38D77A" w14:textId="77777777" w:rsidR="003D5F35" w:rsidRPr="00BB62F1" w:rsidRDefault="003D5F35" w:rsidP="00BA5B70">
            <w:pPr>
              <w:tabs>
                <w:tab w:val="left" w:pos="2552"/>
              </w:tabs>
              <w:spacing w:after="0" w:line="360" w:lineRule="auto"/>
              <w:jc w:val="both"/>
              <w:rPr>
                <w:rFonts w:ascii="Bookman Old Style" w:hAnsi="Bookman Old Style"/>
                <w:sz w:val="24"/>
                <w:szCs w:val="24"/>
              </w:rPr>
            </w:pPr>
          </w:p>
        </w:tc>
        <w:tc>
          <w:tcPr>
            <w:tcW w:w="1109" w:type="pct"/>
          </w:tcPr>
          <w:p w14:paraId="12AF2170"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3A28F6A"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A74B2BF" w14:textId="77777777" w:rsidTr="00C61A26">
        <w:trPr>
          <w:jc w:val="center"/>
        </w:trPr>
        <w:tc>
          <w:tcPr>
            <w:tcW w:w="1614" w:type="pct"/>
          </w:tcPr>
          <w:p w14:paraId="2A25780C" w14:textId="0F6C0206" w:rsidR="00BA5B70" w:rsidRPr="007A615F" w:rsidRDefault="00BA5B70" w:rsidP="00BA5B70">
            <w:pPr>
              <w:spacing w:after="0" w:line="360" w:lineRule="auto"/>
              <w:jc w:val="center"/>
              <w:rPr>
                <w:rFonts w:ascii="Bookman Old Style" w:hAnsi="Bookman Old Style"/>
                <w:color w:val="000000" w:themeColor="text1"/>
                <w:sz w:val="24"/>
                <w:szCs w:val="24"/>
              </w:rPr>
            </w:pPr>
            <w:r w:rsidRPr="007A615F">
              <w:rPr>
                <w:rFonts w:ascii="Bookman Old Style" w:hAnsi="Bookman Old Style"/>
                <w:color w:val="000000" w:themeColor="text1"/>
                <w:sz w:val="24"/>
                <w:szCs w:val="24"/>
              </w:rPr>
              <w:t xml:space="preserve">Pasal </w:t>
            </w:r>
            <w:r w:rsidR="001105A2">
              <w:rPr>
                <w:rFonts w:ascii="Bookman Old Style" w:hAnsi="Bookman Old Style"/>
                <w:color w:val="000000" w:themeColor="text1"/>
                <w:sz w:val="24"/>
                <w:szCs w:val="24"/>
              </w:rPr>
              <w:t>19</w:t>
            </w:r>
          </w:p>
        </w:tc>
        <w:tc>
          <w:tcPr>
            <w:tcW w:w="1167" w:type="pct"/>
          </w:tcPr>
          <w:p w14:paraId="7A7B1DD3" w14:textId="56D3B70B"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603434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BE594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27B7716" w14:textId="77777777" w:rsidTr="00C61A26">
        <w:trPr>
          <w:jc w:val="center"/>
        </w:trPr>
        <w:tc>
          <w:tcPr>
            <w:tcW w:w="1614" w:type="pct"/>
          </w:tcPr>
          <w:p w14:paraId="0295CFB3" w14:textId="7BF8D6CA" w:rsidR="00BA5B70" w:rsidRPr="001105A2" w:rsidRDefault="001105A2">
            <w:pPr>
              <w:pStyle w:val="ListParagraph"/>
              <w:numPr>
                <w:ilvl w:val="0"/>
                <w:numId w:val="60"/>
              </w:numPr>
              <w:jc w:val="both"/>
              <w:rPr>
                <w:rFonts w:ascii="Bookman Old Style" w:hAnsi="Bookman Old Style"/>
                <w:sz w:val="24"/>
                <w:szCs w:val="24"/>
              </w:rPr>
            </w:pPr>
            <w:r w:rsidRPr="001105A2">
              <w:rPr>
                <w:rFonts w:ascii="Bookman Old Style" w:hAnsi="Bookman Old Style"/>
                <w:sz w:val="24"/>
                <w:szCs w:val="24"/>
              </w:rPr>
              <w:t xml:space="preserve">Perusahaan Asuransi atau Perusahaan Asuransi Syariah wajib menatausahakan seluruh aset Subdana pada Bank Kustodian. </w:t>
            </w:r>
          </w:p>
        </w:tc>
        <w:tc>
          <w:tcPr>
            <w:tcW w:w="1167" w:type="pct"/>
          </w:tcPr>
          <w:p w14:paraId="484DC99D"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B3C5FB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63175A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F0D2121" w14:textId="77777777" w:rsidTr="00C61A26">
        <w:trPr>
          <w:jc w:val="center"/>
        </w:trPr>
        <w:tc>
          <w:tcPr>
            <w:tcW w:w="1614" w:type="pct"/>
          </w:tcPr>
          <w:p w14:paraId="10FB5A6D" w14:textId="6D44CFA8" w:rsidR="00BA5B70" w:rsidRPr="001105A2" w:rsidRDefault="001105A2">
            <w:pPr>
              <w:pStyle w:val="ListParagraph"/>
              <w:numPr>
                <w:ilvl w:val="0"/>
                <w:numId w:val="60"/>
              </w:numPr>
              <w:jc w:val="both"/>
              <w:rPr>
                <w:rFonts w:ascii="Bookman Old Style" w:hAnsi="Bookman Old Style"/>
                <w:sz w:val="24"/>
                <w:szCs w:val="24"/>
              </w:rPr>
            </w:pPr>
            <w:r w:rsidRPr="001105A2">
              <w:rPr>
                <w:rFonts w:ascii="Bookman Old Style" w:hAnsi="Bookman Old Style"/>
                <w:sz w:val="24"/>
                <w:szCs w:val="24"/>
              </w:rPr>
              <w:t>Bank Kustodian sebagaimana dimaksud pada ayat (1) dilarang mempunyai hubungan pihak terkait dengan Perusahaan Asuransi atau Perusahaan Asuransi Syariah, kecuali hubungan pihak terkait tersebut terjadi karena kepemilikan atau penyertaan modal Negara Republik Indonesia.</w:t>
            </w:r>
          </w:p>
        </w:tc>
        <w:tc>
          <w:tcPr>
            <w:tcW w:w="1167" w:type="pct"/>
          </w:tcPr>
          <w:p w14:paraId="15C8D50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4A02CD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FE493F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8014C8E" w14:textId="77777777" w:rsidTr="00C61A26">
        <w:trPr>
          <w:jc w:val="center"/>
        </w:trPr>
        <w:tc>
          <w:tcPr>
            <w:tcW w:w="1614" w:type="pct"/>
          </w:tcPr>
          <w:p w14:paraId="0A585173" w14:textId="00C61D27" w:rsidR="00BA5B70" w:rsidRPr="001105A2" w:rsidRDefault="001105A2">
            <w:pPr>
              <w:pStyle w:val="ListParagraph"/>
              <w:numPr>
                <w:ilvl w:val="0"/>
                <w:numId w:val="60"/>
              </w:numPr>
              <w:jc w:val="both"/>
              <w:rPr>
                <w:rFonts w:ascii="Bookman Old Style" w:hAnsi="Bookman Old Style"/>
                <w:sz w:val="24"/>
                <w:szCs w:val="24"/>
              </w:rPr>
            </w:pPr>
            <w:r w:rsidRPr="001105A2">
              <w:rPr>
                <w:rFonts w:ascii="Bookman Old Style" w:hAnsi="Bookman Old Style"/>
                <w:sz w:val="24"/>
                <w:szCs w:val="24"/>
              </w:rPr>
              <w:t>Rekening atas nama Perusahaan Asuransi atau Perusahaan Asuransi Syariah pada Bank Kustodian wajib dipisahkan untuk setiap Subdana.</w:t>
            </w:r>
          </w:p>
        </w:tc>
        <w:tc>
          <w:tcPr>
            <w:tcW w:w="1167" w:type="pct"/>
          </w:tcPr>
          <w:p w14:paraId="79395AC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85B7DE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8F8B33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15A60B4" w14:textId="77777777" w:rsidTr="00C61A26">
        <w:trPr>
          <w:jc w:val="center"/>
        </w:trPr>
        <w:tc>
          <w:tcPr>
            <w:tcW w:w="1614" w:type="pct"/>
          </w:tcPr>
          <w:p w14:paraId="576558C0" w14:textId="77777777" w:rsidR="00BA5B70" w:rsidRPr="007A615F" w:rsidRDefault="00BA5B70" w:rsidP="00BA5B70">
            <w:pPr>
              <w:spacing w:after="0" w:line="360" w:lineRule="auto"/>
              <w:jc w:val="both"/>
              <w:rPr>
                <w:rFonts w:ascii="Bookman Old Style" w:hAnsi="Bookman Old Style"/>
                <w:sz w:val="24"/>
                <w:szCs w:val="24"/>
              </w:rPr>
            </w:pPr>
          </w:p>
        </w:tc>
        <w:tc>
          <w:tcPr>
            <w:tcW w:w="1167" w:type="pct"/>
          </w:tcPr>
          <w:p w14:paraId="660AABF8"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2742A5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D898FB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489DF4D" w14:textId="77777777" w:rsidTr="00C61A26">
        <w:trPr>
          <w:jc w:val="center"/>
        </w:trPr>
        <w:tc>
          <w:tcPr>
            <w:tcW w:w="1614" w:type="pct"/>
          </w:tcPr>
          <w:p w14:paraId="69CEAB65" w14:textId="33854F19" w:rsidR="00BA5B70" w:rsidRPr="007A615F" w:rsidRDefault="00BA5B70" w:rsidP="00BA5B70">
            <w:pPr>
              <w:spacing w:after="0" w:line="360" w:lineRule="auto"/>
              <w:jc w:val="center"/>
              <w:rPr>
                <w:rFonts w:ascii="Bookman Old Style" w:hAnsi="Bookman Old Style"/>
                <w:sz w:val="24"/>
                <w:szCs w:val="24"/>
              </w:rPr>
            </w:pPr>
            <w:r w:rsidRPr="007A615F">
              <w:rPr>
                <w:rFonts w:ascii="Bookman Old Style" w:hAnsi="Bookman Old Style"/>
                <w:color w:val="000000" w:themeColor="text1"/>
                <w:sz w:val="24"/>
                <w:szCs w:val="24"/>
              </w:rPr>
              <w:t>Pasal 2</w:t>
            </w:r>
            <w:r w:rsidR="001105A2">
              <w:rPr>
                <w:rFonts w:ascii="Bookman Old Style" w:hAnsi="Bookman Old Style"/>
                <w:color w:val="000000" w:themeColor="text1"/>
                <w:sz w:val="24"/>
                <w:szCs w:val="24"/>
              </w:rPr>
              <w:t>0</w:t>
            </w:r>
          </w:p>
        </w:tc>
        <w:tc>
          <w:tcPr>
            <w:tcW w:w="1167" w:type="pct"/>
          </w:tcPr>
          <w:p w14:paraId="389242B8" w14:textId="303201FB"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5E165E7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B31E77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7CDF554" w14:textId="77777777" w:rsidTr="00C61A26">
        <w:trPr>
          <w:jc w:val="center"/>
        </w:trPr>
        <w:tc>
          <w:tcPr>
            <w:tcW w:w="1614" w:type="pct"/>
          </w:tcPr>
          <w:p w14:paraId="675F4392" w14:textId="58AFC7E4" w:rsidR="00BA5B70" w:rsidRPr="001105A2" w:rsidRDefault="001105A2">
            <w:pPr>
              <w:pStyle w:val="ListParagraph"/>
              <w:numPr>
                <w:ilvl w:val="0"/>
                <w:numId w:val="61"/>
              </w:numPr>
              <w:rPr>
                <w:rFonts w:ascii="Bookman Old Style" w:hAnsi="Bookman Old Style"/>
                <w:sz w:val="24"/>
                <w:szCs w:val="24"/>
              </w:rPr>
            </w:pPr>
            <w:r w:rsidRPr="001105A2">
              <w:rPr>
                <w:rFonts w:ascii="Bookman Old Style" w:hAnsi="Bookman Old Style"/>
                <w:sz w:val="24"/>
                <w:szCs w:val="24"/>
              </w:rPr>
              <w:t>Penatausahaan seluruh aset yang bersumber dari PAYDI sebagaimana dimaksud dalam Pasal 18 ayat (1) didasarkan kepada perjanjian penggunaan layanan kustodian antara Perusahaan Asuransi atau Perusahaan Asuransi Syariah dengan Bank Kustodian.</w:t>
            </w:r>
          </w:p>
        </w:tc>
        <w:tc>
          <w:tcPr>
            <w:tcW w:w="1167" w:type="pct"/>
          </w:tcPr>
          <w:p w14:paraId="4CB01AD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B03A6E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26566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3ADA8FE" w14:textId="77777777" w:rsidTr="00C61A26">
        <w:trPr>
          <w:jc w:val="center"/>
        </w:trPr>
        <w:tc>
          <w:tcPr>
            <w:tcW w:w="1614" w:type="pct"/>
          </w:tcPr>
          <w:p w14:paraId="46C5E0BC" w14:textId="338B627B" w:rsidR="00BA5B70" w:rsidRPr="001105A2" w:rsidRDefault="001105A2">
            <w:pPr>
              <w:pStyle w:val="ListParagraph"/>
              <w:numPr>
                <w:ilvl w:val="0"/>
                <w:numId w:val="61"/>
              </w:numPr>
              <w:rPr>
                <w:rFonts w:ascii="Bookman Old Style" w:hAnsi="Bookman Old Style"/>
                <w:sz w:val="24"/>
                <w:szCs w:val="24"/>
              </w:rPr>
            </w:pPr>
            <w:r w:rsidRPr="001105A2">
              <w:rPr>
                <w:rFonts w:ascii="Bookman Old Style" w:hAnsi="Bookman Old Style"/>
                <w:sz w:val="24"/>
                <w:szCs w:val="24"/>
              </w:rPr>
              <w:t>Perjanjian antara Perusahaan Asuransi atau Perusahaan Asuransi Syariah dan Bank Kustodian sebagaimana dimaksud pada ayat (1) wajib memenuhi ketentuan:</w:t>
            </w:r>
          </w:p>
        </w:tc>
        <w:tc>
          <w:tcPr>
            <w:tcW w:w="1167" w:type="pct"/>
          </w:tcPr>
          <w:p w14:paraId="304B6E8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8DC0FE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D5AE91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125337F" w14:textId="77777777" w:rsidTr="00C61A26">
        <w:trPr>
          <w:jc w:val="center"/>
        </w:trPr>
        <w:tc>
          <w:tcPr>
            <w:tcW w:w="1614" w:type="pct"/>
          </w:tcPr>
          <w:p w14:paraId="63AEFC08" w14:textId="6B357B2E" w:rsidR="00BA5B70" w:rsidRPr="00755808" w:rsidRDefault="00BA5B70">
            <w:pPr>
              <w:pStyle w:val="ListParagraph"/>
              <w:numPr>
                <w:ilvl w:val="0"/>
                <w:numId w:val="62"/>
              </w:numPr>
              <w:spacing w:after="0" w:line="360" w:lineRule="auto"/>
              <w:ind w:left="1148"/>
              <w:jc w:val="both"/>
              <w:rPr>
                <w:rFonts w:ascii="Bookman Old Style" w:hAnsi="Bookman Old Style"/>
                <w:sz w:val="24"/>
                <w:szCs w:val="24"/>
              </w:rPr>
            </w:pPr>
            <w:r w:rsidRPr="00755808">
              <w:rPr>
                <w:rFonts w:ascii="Bookman Old Style" w:hAnsi="Bookman Old Style"/>
                <w:sz w:val="24"/>
                <w:szCs w:val="24"/>
              </w:rPr>
              <w:t xml:space="preserve">dibuat secara tertulis dalam bahasa Indonesia atau dalam hal diperlukan, perjanjian kerja </w:t>
            </w:r>
            <w:r w:rsidRPr="00755808">
              <w:rPr>
                <w:rFonts w:ascii="Bookman Old Style" w:hAnsi="Bookman Old Style"/>
                <w:sz w:val="24"/>
                <w:szCs w:val="24"/>
              </w:rPr>
              <w:lastRenderedPageBreak/>
              <w:t>sama dapat dibuat dalam bahasa asing berdampingan dengan bahasa Indonesia</w:t>
            </w:r>
            <w:r w:rsidRPr="00755808">
              <w:rPr>
                <w:rFonts w:ascii="Bookman Old Style" w:hAnsi="Bookman Old Style"/>
                <w:color w:val="000000"/>
                <w:sz w:val="24"/>
                <w:szCs w:val="24"/>
              </w:rPr>
              <w:t>;</w:t>
            </w:r>
          </w:p>
        </w:tc>
        <w:tc>
          <w:tcPr>
            <w:tcW w:w="1167" w:type="pct"/>
          </w:tcPr>
          <w:p w14:paraId="4B07A615"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F7B520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071E6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58C8B58" w14:textId="77777777" w:rsidTr="00C61A26">
        <w:trPr>
          <w:jc w:val="center"/>
        </w:trPr>
        <w:tc>
          <w:tcPr>
            <w:tcW w:w="1614" w:type="pct"/>
          </w:tcPr>
          <w:p w14:paraId="5575F8CF" w14:textId="2BCAB697" w:rsidR="00BA5B70" w:rsidRPr="00755808" w:rsidRDefault="00BA5B70">
            <w:pPr>
              <w:pStyle w:val="ListParagraph"/>
              <w:numPr>
                <w:ilvl w:val="0"/>
                <w:numId w:val="62"/>
              </w:numPr>
              <w:spacing w:after="0" w:line="360" w:lineRule="auto"/>
              <w:ind w:left="1148"/>
              <w:jc w:val="both"/>
              <w:rPr>
                <w:rFonts w:ascii="Bookman Old Style" w:hAnsi="Bookman Old Style"/>
                <w:sz w:val="24"/>
                <w:szCs w:val="24"/>
              </w:rPr>
            </w:pPr>
            <w:r w:rsidRPr="00755808">
              <w:rPr>
                <w:rFonts w:ascii="Bookman Old Style" w:hAnsi="Bookman Old Style"/>
                <w:color w:val="000000"/>
                <w:sz w:val="24"/>
                <w:szCs w:val="24"/>
              </w:rPr>
              <w:t>paling sedikit memuat:</w:t>
            </w:r>
          </w:p>
        </w:tc>
        <w:tc>
          <w:tcPr>
            <w:tcW w:w="1167" w:type="pct"/>
          </w:tcPr>
          <w:p w14:paraId="29D6F5C4"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69F2E8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3C7DD9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AB5DBD3" w14:textId="77777777" w:rsidTr="00C61A26">
        <w:trPr>
          <w:jc w:val="center"/>
        </w:trPr>
        <w:tc>
          <w:tcPr>
            <w:tcW w:w="1614" w:type="pct"/>
          </w:tcPr>
          <w:p w14:paraId="0959FF38" w14:textId="1DBEEC72" w:rsidR="00BA5B70" w:rsidRPr="00755808" w:rsidRDefault="00BA5B70">
            <w:pPr>
              <w:pStyle w:val="ListParagraph"/>
              <w:numPr>
                <w:ilvl w:val="0"/>
                <w:numId w:val="6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identitas masing-masing pihak; </w:t>
            </w:r>
          </w:p>
        </w:tc>
        <w:tc>
          <w:tcPr>
            <w:tcW w:w="1167" w:type="pct"/>
          </w:tcPr>
          <w:p w14:paraId="5CA0B8A5"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CD87F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8A846E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1AC5C8" w14:textId="77777777" w:rsidTr="00C61A26">
        <w:trPr>
          <w:jc w:val="center"/>
        </w:trPr>
        <w:tc>
          <w:tcPr>
            <w:tcW w:w="1614" w:type="pct"/>
          </w:tcPr>
          <w:p w14:paraId="2E26136E" w14:textId="28224BAB" w:rsidR="00BA5B70" w:rsidRPr="00755808" w:rsidRDefault="00BA5B70">
            <w:pPr>
              <w:pStyle w:val="ListParagraph"/>
              <w:numPr>
                <w:ilvl w:val="0"/>
                <w:numId w:val="6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hak dan kewajiban masing-masing pihak;</w:t>
            </w:r>
          </w:p>
        </w:tc>
        <w:tc>
          <w:tcPr>
            <w:tcW w:w="1167" w:type="pct"/>
          </w:tcPr>
          <w:p w14:paraId="05C42BD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1D3B35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195278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475D851" w14:textId="77777777" w:rsidTr="00C61A26">
        <w:trPr>
          <w:jc w:val="center"/>
        </w:trPr>
        <w:tc>
          <w:tcPr>
            <w:tcW w:w="1614" w:type="pct"/>
          </w:tcPr>
          <w:p w14:paraId="3693F913" w14:textId="17F8976F" w:rsidR="00BA5B70" w:rsidRPr="00755808" w:rsidRDefault="00BA5B70">
            <w:pPr>
              <w:pStyle w:val="ListParagraph"/>
              <w:numPr>
                <w:ilvl w:val="0"/>
                <w:numId w:val="6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tanggung jawab dan tugas masing-masing pihak; </w:t>
            </w:r>
          </w:p>
        </w:tc>
        <w:tc>
          <w:tcPr>
            <w:tcW w:w="1167" w:type="pct"/>
          </w:tcPr>
          <w:p w14:paraId="65C7124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1165AA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1A1BA5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6C6998E" w14:textId="77777777" w:rsidTr="00C61A26">
        <w:trPr>
          <w:jc w:val="center"/>
        </w:trPr>
        <w:tc>
          <w:tcPr>
            <w:tcW w:w="1614" w:type="pct"/>
          </w:tcPr>
          <w:p w14:paraId="72DDA24B" w14:textId="7FD7B8DF" w:rsidR="00BA5B70" w:rsidRPr="00755808" w:rsidRDefault="00BA5B70">
            <w:pPr>
              <w:pStyle w:val="ListParagraph"/>
              <w:numPr>
                <w:ilvl w:val="0"/>
                <w:numId w:val="63"/>
              </w:numPr>
              <w:spacing w:after="0" w:line="360" w:lineRule="auto"/>
              <w:ind w:left="1715"/>
              <w:jc w:val="both"/>
              <w:rPr>
                <w:rFonts w:ascii="Bookman Old Style" w:hAnsi="Bookman Old Style"/>
                <w:color w:val="000000"/>
                <w:sz w:val="24"/>
                <w:szCs w:val="24"/>
              </w:rPr>
            </w:pPr>
            <w:r w:rsidRPr="001105A2">
              <w:rPr>
                <w:rFonts w:ascii="Bookman Old Style" w:hAnsi="Bookman Old Style"/>
                <w:color w:val="000000" w:themeColor="text1"/>
                <w:sz w:val="24"/>
                <w:szCs w:val="24"/>
              </w:rPr>
              <w:t>ketentuan yang mengatur bahwa Bank Kustodian menatausahakan aset Subdana atas nama Perusahaan Asuransi atau Perusahaan Asuransi Syariah secara terpisah untuk setiap Subdana, termasuk penghitungan NAB dari setiap Subdana yang dilakukan setiap Hari Bursa, sesuai dengan permintaan atau instruksi Perusahaan Asuransi atau Perusahaan Asuransi Syariah dan ketentuan peraturan perundang-undangan, serta melakukan tindakan yang diperlukan terkait dengan penatausahaan aset dimaksud;</w:t>
            </w:r>
            <w:r w:rsidR="001105A2" w:rsidRPr="001105A2">
              <w:rPr>
                <w:rFonts w:ascii="Bookman Old Style" w:hAnsi="Bookman Old Style"/>
                <w:color w:val="000000" w:themeColor="text1"/>
                <w:sz w:val="24"/>
                <w:szCs w:val="24"/>
              </w:rPr>
              <w:t xml:space="preserve"> </w:t>
            </w:r>
          </w:p>
        </w:tc>
        <w:tc>
          <w:tcPr>
            <w:tcW w:w="1167" w:type="pct"/>
          </w:tcPr>
          <w:p w14:paraId="3BA80252"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76DCCF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A5E17E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070749B" w14:textId="77777777" w:rsidTr="00C61A26">
        <w:trPr>
          <w:jc w:val="center"/>
        </w:trPr>
        <w:tc>
          <w:tcPr>
            <w:tcW w:w="1614" w:type="pct"/>
          </w:tcPr>
          <w:p w14:paraId="688CB78F" w14:textId="55363719" w:rsidR="00BA5B70" w:rsidRPr="00755808" w:rsidRDefault="00BA5B70">
            <w:pPr>
              <w:pStyle w:val="ListParagraph"/>
              <w:numPr>
                <w:ilvl w:val="0"/>
                <w:numId w:val="63"/>
              </w:numPr>
              <w:spacing w:after="0" w:line="360" w:lineRule="auto"/>
              <w:ind w:left="1715"/>
              <w:jc w:val="both"/>
              <w:rPr>
                <w:rFonts w:ascii="Bookman Old Style" w:hAnsi="Bookman Old Style"/>
                <w:sz w:val="24"/>
                <w:szCs w:val="24"/>
              </w:rPr>
            </w:pPr>
            <w:r w:rsidRPr="00755808">
              <w:rPr>
                <w:rFonts w:ascii="Bookman Old Style" w:hAnsi="Bookman Old Style"/>
                <w:color w:val="000000"/>
                <w:sz w:val="24"/>
                <w:szCs w:val="24"/>
              </w:rPr>
              <w:t xml:space="preserve">imbalan atas jasa yang diberikan masing-masing pihak; </w:t>
            </w:r>
          </w:p>
        </w:tc>
        <w:tc>
          <w:tcPr>
            <w:tcW w:w="1167" w:type="pct"/>
          </w:tcPr>
          <w:p w14:paraId="796AD2B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223D5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3C2BA4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F518A76" w14:textId="77777777" w:rsidTr="00C61A26">
        <w:trPr>
          <w:jc w:val="center"/>
        </w:trPr>
        <w:tc>
          <w:tcPr>
            <w:tcW w:w="1614" w:type="pct"/>
          </w:tcPr>
          <w:p w14:paraId="6C062F7E" w14:textId="2639D68B" w:rsidR="00BA5B70" w:rsidRPr="00755808" w:rsidRDefault="00BA5B70">
            <w:pPr>
              <w:pStyle w:val="ListParagraph"/>
              <w:numPr>
                <w:ilvl w:val="0"/>
                <w:numId w:val="6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jangka waktu perjanjian; dan </w:t>
            </w:r>
          </w:p>
        </w:tc>
        <w:tc>
          <w:tcPr>
            <w:tcW w:w="1167" w:type="pct"/>
          </w:tcPr>
          <w:p w14:paraId="4458E1CB"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0DB0DA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EA8730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172490B" w14:textId="77777777" w:rsidTr="00C61A26">
        <w:trPr>
          <w:jc w:val="center"/>
        </w:trPr>
        <w:tc>
          <w:tcPr>
            <w:tcW w:w="1614" w:type="pct"/>
          </w:tcPr>
          <w:p w14:paraId="07D0CED8" w14:textId="0868EC90" w:rsidR="00BA5B70" w:rsidRPr="00755808" w:rsidRDefault="00BA5B70">
            <w:pPr>
              <w:pStyle w:val="ListParagraph"/>
              <w:numPr>
                <w:ilvl w:val="0"/>
                <w:numId w:val="6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ketentuan pengakhiran perjanjian.</w:t>
            </w:r>
          </w:p>
        </w:tc>
        <w:tc>
          <w:tcPr>
            <w:tcW w:w="1167" w:type="pct"/>
          </w:tcPr>
          <w:p w14:paraId="709BDE4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6AB314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08DF81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460978A" w14:textId="77777777" w:rsidTr="00C61A26">
        <w:trPr>
          <w:jc w:val="center"/>
        </w:trPr>
        <w:tc>
          <w:tcPr>
            <w:tcW w:w="1614" w:type="pct"/>
          </w:tcPr>
          <w:p w14:paraId="4429E96F" w14:textId="05116226" w:rsidR="00BA5B70" w:rsidRPr="00755808" w:rsidRDefault="00BA5B70">
            <w:pPr>
              <w:pStyle w:val="ListParagraph"/>
              <w:numPr>
                <w:ilvl w:val="0"/>
                <w:numId w:val="61"/>
              </w:numPr>
              <w:spacing w:after="0" w:line="360" w:lineRule="auto"/>
              <w:jc w:val="both"/>
              <w:rPr>
                <w:rFonts w:ascii="Bookman Old Style" w:hAnsi="Bookman Old Style"/>
                <w:color w:val="000000"/>
                <w:sz w:val="24"/>
                <w:szCs w:val="24"/>
              </w:rPr>
            </w:pPr>
            <w:r w:rsidRPr="00755808">
              <w:rPr>
                <w:rFonts w:ascii="Bookman Old Style" w:hAnsi="Bookman Old Style"/>
                <w:sz w:val="24"/>
                <w:szCs w:val="24"/>
              </w:rPr>
              <w:t>Berdasarkan perjanjian penggunaan layanan kustodian, penatausahaan Subdana yang dilakukan Bank Kustodian, paling sedikit meliputi</w:t>
            </w:r>
            <w:r w:rsidRPr="00755808">
              <w:rPr>
                <w:rFonts w:ascii="Bookman Old Style" w:hAnsi="Bookman Old Style"/>
                <w:color w:val="000000"/>
                <w:sz w:val="24"/>
                <w:szCs w:val="24"/>
              </w:rPr>
              <w:t>:</w:t>
            </w:r>
          </w:p>
        </w:tc>
        <w:tc>
          <w:tcPr>
            <w:tcW w:w="1167" w:type="pct"/>
          </w:tcPr>
          <w:p w14:paraId="16ED2F4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43A819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8B5C4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8117BF1" w14:textId="77777777" w:rsidTr="00C61A26">
        <w:trPr>
          <w:jc w:val="center"/>
        </w:trPr>
        <w:tc>
          <w:tcPr>
            <w:tcW w:w="1614" w:type="pct"/>
          </w:tcPr>
          <w:p w14:paraId="27509F90" w14:textId="01CCADE3" w:rsidR="00BA5B70" w:rsidRPr="001105A2" w:rsidRDefault="00BA5B70">
            <w:pPr>
              <w:pStyle w:val="ListParagraph"/>
              <w:numPr>
                <w:ilvl w:val="1"/>
                <w:numId w:val="97"/>
              </w:numPr>
              <w:spacing w:after="0" w:line="360" w:lineRule="auto"/>
              <w:jc w:val="both"/>
              <w:rPr>
                <w:rFonts w:ascii="Bookman Old Style" w:hAnsi="Bookman Old Style"/>
                <w:sz w:val="24"/>
                <w:szCs w:val="24"/>
              </w:rPr>
            </w:pPr>
            <w:r w:rsidRPr="001105A2">
              <w:rPr>
                <w:rFonts w:ascii="Bookman Old Style" w:hAnsi="Bookman Old Style"/>
                <w:sz w:val="24"/>
                <w:szCs w:val="24"/>
              </w:rPr>
              <w:lastRenderedPageBreak/>
              <w:t>memberikan jasa penitipan dan kustodian untuk aset Subdana dalam bentuk surat berharga yang bisa diperjualbelikan dan dipindahtangankan serta jasa penatausahaan sehubungan dengan seluruh aset Subdana</w:t>
            </w:r>
            <w:r w:rsidRPr="001105A2">
              <w:rPr>
                <w:rFonts w:ascii="Bookman Old Style" w:hAnsi="Bookman Old Style"/>
                <w:color w:val="000000"/>
                <w:sz w:val="24"/>
                <w:szCs w:val="24"/>
              </w:rPr>
              <w:t xml:space="preserve">; </w:t>
            </w:r>
          </w:p>
        </w:tc>
        <w:tc>
          <w:tcPr>
            <w:tcW w:w="1167" w:type="pct"/>
          </w:tcPr>
          <w:p w14:paraId="5B06205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51493D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17747F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5C388BE" w14:textId="77777777" w:rsidTr="00C61A26">
        <w:trPr>
          <w:jc w:val="center"/>
        </w:trPr>
        <w:tc>
          <w:tcPr>
            <w:tcW w:w="1614" w:type="pct"/>
          </w:tcPr>
          <w:p w14:paraId="545EA5AA" w14:textId="4961D623" w:rsidR="00BA5B70" w:rsidRPr="001105A2" w:rsidRDefault="00BA5B70">
            <w:pPr>
              <w:pStyle w:val="ListParagraph"/>
              <w:numPr>
                <w:ilvl w:val="1"/>
                <w:numId w:val="97"/>
              </w:numPr>
              <w:spacing w:after="0" w:line="360" w:lineRule="auto"/>
              <w:jc w:val="both"/>
              <w:rPr>
                <w:rFonts w:ascii="Bookman Old Style" w:hAnsi="Bookman Old Style"/>
                <w:sz w:val="24"/>
                <w:szCs w:val="24"/>
              </w:rPr>
            </w:pPr>
            <w:r w:rsidRPr="001105A2">
              <w:rPr>
                <w:rFonts w:ascii="Bookman Old Style" w:hAnsi="Bookman Old Style"/>
                <w:sz w:val="24"/>
                <w:szCs w:val="24"/>
              </w:rPr>
              <w:t>mencatat aset Subdana atas nama Perusahaan Asuransi atau Perusahaan Asuransi Syariah untuk setiap Subdana sesuai ketentuan peraturan perundang undangan dan melakukan tindakan yang diperlukan terkait dengan pencatatan aset dimaksud; dan</w:t>
            </w:r>
            <w:r w:rsidRPr="001105A2">
              <w:rPr>
                <w:rFonts w:ascii="Bookman Old Style" w:hAnsi="Bookman Old Style"/>
                <w:color w:val="000000"/>
                <w:sz w:val="24"/>
                <w:szCs w:val="24"/>
              </w:rPr>
              <w:t xml:space="preserve"> </w:t>
            </w:r>
          </w:p>
        </w:tc>
        <w:tc>
          <w:tcPr>
            <w:tcW w:w="1167" w:type="pct"/>
          </w:tcPr>
          <w:p w14:paraId="4E063E0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0857EA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C57F79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88F87A2" w14:textId="77777777" w:rsidTr="00C61A26">
        <w:trPr>
          <w:trHeight w:val="1525"/>
          <w:jc w:val="center"/>
        </w:trPr>
        <w:tc>
          <w:tcPr>
            <w:tcW w:w="1614" w:type="pct"/>
          </w:tcPr>
          <w:p w14:paraId="22AD618D" w14:textId="569ED10E" w:rsidR="00BA5B70" w:rsidRPr="001105A2" w:rsidRDefault="001105A2">
            <w:pPr>
              <w:pStyle w:val="ListParagraph"/>
              <w:numPr>
                <w:ilvl w:val="1"/>
                <w:numId w:val="97"/>
              </w:numPr>
              <w:pBdr>
                <w:top w:val="nil"/>
                <w:left w:val="nil"/>
                <w:bottom w:val="nil"/>
                <w:right w:val="nil"/>
                <w:between w:val="nil"/>
              </w:pBdr>
              <w:spacing w:after="0" w:line="240" w:lineRule="auto"/>
              <w:jc w:val="both"/>
              <w:rPr>
                <w:rFonts w:ascii="Bookman Old Style" w:hAnsi="Bookman Old Style"/>
                <w:color w:val="000000" w:themeColor="text1"/>
                <w:sz w:val="24"/>
                <w:szCs w:val="24"/>
              </w:rPr>
            </w:pPr>
            <w:r w:rsidRPr="001105A2">
              <w:rPr>
                <w:rFonts w:ascii="Bookman Old Style" w:hAnsi="Bookman Old Style"/>
                <w:color w:val="000000" w:themeColor="text1"/>
                <w:sz w:val="24"/>
                <w:szCs w:val="24"/>
              </w:rPr>
              <w:t>menghitung NAB dari setiap Subdana yang dilakukan setiap Hari Bursa dan menyampaikannya kepada Perusahaan Asuransi atau Perusahaan Asuransi Syariah.</w:t>
            </w:r>
          </w:p>
        </w:tc>
        <w:tc>
          <w:tcPr>
            <w:tcW w:w="1167" w:type="pct"/>
          </w:tcPr>
          <w:p w14:paraId="7084100C"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568948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8177FD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0D148B4" w14:textId="77777777" w:rsidTr="00C61A26">
        <w:trPr>
          <w:jc w:val="center"/>
        </w:trPr>
        <w:tc>
          <w:tcPr>
            <w:tcW w:w="1614" w:type="pct"/>
          </w:tcPr>
          <w:p w14:paraId="582AAE9E" w14:textId="04A81216" w:rsidR="00BA5B70" w:rsidRPr="00755808" w:rsidRDefault="00BA5B70">
            <w:pPr>
              <w:pStyle w:val="ListParagraph"/>
              <w:numPr>
                <w:ilvl w:val="0"/>
                <w:numId w:val="61"/>
              </w:numPr>
              <w:spacing w:after="0" w:line="360" w:lineRule="auto"/>
              <w:jc w:val="both"/>
              <w:rPr>
                <w:rFonts w:ascii="Bookman Old Style" w:hAnsi="Bookman Old Style"/>
                <w:sz w:val="24"/>
                <w:szCs w:val="24"/>
              </w:rPr>
            </w:pPr>
            <w:r w:rsidRPr="006630CF">
              <w:rPr>
                <w:rFonts w:ascii="Bookman Old Style" w:hAnsi="Bookman Old Style"/>
                <w:color w:val="000000" w:themeColor="text1"/>
                <w:sz w:val="24"/>
                <w:szCs w:val="24"/>
              </w:rPr>
              <w:t>Dalam melakukan perjanjian penggunaan layanan kustodian dengan Bank Kustodian, Perusahaan Asuransi atau Perusahaan Asuransi Syariah wajib melakukan:</w:t>
            </w:r>
          </w:p>
        </w:tc>
        <w:tc>
          <w:tcPr>
            <w:tcW w:w="1167" w:type="pct"/>
          </w:tcPr>
          <w:p w14:paraId="7879D01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431FE3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F3675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88D3104" w14:textId="77777777" w:rsidTr="00C61A26">
        <w:trPr>
          <w:jc w:val="center"/>
        </w:trPr>
        <w:tc>
          <w:tcPr>
            <w:tcW w:w="1614" w:type="pct"/>
          </w:tcPr>
          <w:p w14:paraId="4BDF3523" w14:textId="7B9E2FA8" w:rsidR="00BA5B70" w:rsidRPr="00755808" w:rsidRDefault="00BA5B70">
            <w:pPr>
              <w:pStyle w:val="ListParagraph"/>
              <w:numPr>
                <w:ilvl w:val="0"/>
                <w:numId w:val="65"/>
              </w:numPr>
              <w:spacing w:after="0" w:line="360" w:lineRule="auto"/>
              <w:ind w:left="1148"/>
              <w:jc w:val="both"/>
              <w:rPr>
                <w:rFonts w:ascii="Bookman Old Style" w:hAnsi="Bookman Old Style"/>
                <w:sz w:val="24"/>
                <w:szCs w:val="24"/>
              </w:rPr>
            </w:pPr>
            <w:r w:rsidRPr="00755808">
              <w:rPr>
                <w:rFonts w:ascii="Bookman Old Style" w:hAnsi="Bookman Old Style"/>
                <w:color w:val="000000"/>
                <w:sz w:val="24"/>
                <w:szCs w:val="24"/>
              </w:rPr>
              <w:t xml:space="preserve">penilaian atas kelayakan Bank Kustodian; dan </w:t>
            </w:r>
          </w:p>
        </w:tc>
        <w:tc>
          <w:tcPr>
            <w:tcW w:w="1167" w:type="pct"/>
          </w:tcPr>
          <w:p w14:paraId="4D064FD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630BF1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71EED9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182B010" w14:textId="77777777" w:rsidTr="00C61A26">
        <w:trPr>
          <w:jc w:val="center"/>
        </w:trPr>
        <w:tc>
          <w:tcPr>
            <w:tcW w:w="1614" w:type="pct"/>
          </w:tcPr>
          <w:p w14:paraId="69A6F319" w14:textId="5DA917E6" w:rsidR="00BA5B70" w:rsidRPr="00755808" w:rsidRDefault="00BA5B70">
            <w:pPr>
              <w:pStyle w:val="ListParagraph"/>
              <w:numPr>
                <w:ilvl w:val="0"/>
                <w:numId w:val="65"/>
              </w:numPr>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pemantauan dan evaluasi atas kinerja Bank Kustodian,</w:t>
            </w:r>
          </w:p>
        </w:tc>
        <w:tc>
          <w:tcPr>
            <w:tcW w:w="1167" w:type="pct"/>
          </w:tcPr>
          <w:p w14:paraId="44C8ED7C"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B4B7AF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9BA776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F468E83" w14:textId="77777777" w:rsidTr="00C61A26">
        <w:trPr>
          <w:jc w:val="center"/>
        </w:trPr>
        <w:tc>
          <w:tcPr>
            <w:tcW w:w="1614" w:type="pct"/>
          </w:tcPr>
          <w:p w14:paraId="75DCDD44" w14:textId="00D62464" w:rsidR="00BA5B70" w:rsidRPr="00053F9F" w:rsidRDefault="00BA5B70" w:rsidP="00BA5B70">
            <w:pPr>
              <w:spacing w:after="0" w:line="360" w:lineRule="auto"/>
              <w:ind w:left="581" w:firstLine="142"/>
              <w:jc w:val="both"/>
              <w:rPr>
                <w:rFonts w:ascii="Bookman Old Style" w:hAnsi="Bookman Old Style"/>
                <w:color w:val="000000"/>
                <w:sz w:val="24"/>
                <w:szCs w:val="24"/>
              </w:rPr>
            </w:pPr>
            <w:r w:rsidRPr="00053F9F">
              <w:rPr>
                <w:rFonts w:ascii="Bookman Old Style" w:hAnsi="Bookman Old Style"/>
                <w:color w:val="000000"/>
                <w:sz w:val="24"/>
                <w:szCs w:val="24"/>
              </w:rPr>
              <w:t>dalam menatausahakan aset PAYDI.</w:t>
            </w:r>
          </w:p>
        </w:tc>
        <w:tc>
          <w:tcPr>
            <w:tcW w:w="1167" w:type="pct"/>
          </w:tcPr>
          <w:p w14:paraId="35216E98"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E9C7E7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4AD168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B1207B1" w14:textId="77777777" w:rsidTr="00C61A26">
        <w:trPr>
          <w:jc w:val="center"/>
        </w:trPr>
        <w:tc>
          <w:tcPr>
            <w:tcW w:w="1614" w:type="pct"/>
          </w:tcPr>
          <w:p w14:paraId="4B637D59" w14:textId="77777777" w:rsidR="00BA5B70" w:rsidRPr="00053F9F" w:rsidRDefault="00BA5B70" w:rsidP="00BA5B70">
            <w:pPr>
              <w:spacing w:after="0" w:line="360" w:lineRule="auto"/>
              <w:jc w:val="both"/>
              <w:rPr>
                <w:rFonts w:ascii="Bookman Old Style" w:hAnsi="Bookman Old Style"/>
                <w:color w:val="000000"/>
                <w:sz w:val="24"/>
                <w:szCs w:val="24"/>
              </w:rPr>
            </w:pPr>
          </w:p>
        </w:tc>
        <w:tc>
          <w:tcPr>
            <w:tcW w:w="1167" w:type="pct"/>
          </w:tcPr>
          <w:p w14:paraId="42CCAA4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0AC612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0189B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88FA4BE" w14:textId="77777777" w:rsidTr="00C61A26">
        <w:trPr>
          <w:jc w:val="center"/>
        </w:trPr>
        <w:tc>
          <w:tcPr>
            <w:tcW w:w="1614" w:type="pct"/>
          </w:tcPr>
          <w:p w14:paraId="58FCE300" w14:textId="572729D1" w:rsidR="00BA5B70" w:rsidRPr="00053F9F" w:rsidRDefault="00BA5B70" w:rsidP="00BA5B70">
            <w:pPr>
              <w:spacing w:after="0" w:line="360" w:lineRule="auto"/>
              <w:jc w:val="center"/>
              <w:rPr>
                <w:rFonts w:ascii="Bookman Old Style" w:hAnsi="Bookman Old Style"/>
                <w:color w:val="000000"/>
                <w:sz w:val="24"/>
                <w:szCs w:val="24"/>
              </w:rPr>
            </w:pPr>
            <w:r w:rsidRPr="00D52991">
              <w:rPr>
                <w:rFonts w:ascii="Bookman Old Style" w:hAnsi="Bookman Old Style"/>
                <w:color w:val="000000"/>
                <w:sz w:val="24"/>
                <w:szCs w:val="24"/>
              </w:rPr>
              <w:t>Pasal 2</w:t>
            </w:r>
            <w:r w:rsidR="006630CF">
              <w:rPr>
                <w:rFonts w:ascii="Bookman Old Style" w:hAnsi="Bookman Old Style"/>
                <w:color w:val="000000"/>
                <w:sz w:val="24"/>
                <w:szCs w:val="24"/>
              </w:rPr>
              <w:t>1</w:t>
            </w:r>
          </w:p>
        </w:tc>
        <w:tc>
          <w:tcPr>
            <w:tcW w:w="1167" w:type="pct"/>
          </w:tcPr>
          <w:p w14:paraId="789D5BA0" w14:textId="579DF2FB"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47D1072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0C511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C4E78DE" w14:textId="77777777" w:rsidTr="00C61A26">
        <w:trPr>
          <w:jc w:val="center"/>
        </w:trPr>
        <w:tc>
          <w:tcPr>
            <w:tcW w:w="1614" w:type="pct"/>
          </w:tcPr>
          <w:p w14:paraId="172C4460" w14:textId="697FCC5D" w:rsidR="00BA5B70" w:rsidRPr="00D52991" w:rsidRDefault="00BA5B70" w:rsidP="00BA5B70">
            <w:pPr>
              <w:spacing w:after="0" w:line="360" w:lineRule="auto"/>
              <w:jc w:val="both"/>
              <w:rPr>
                <w:rFonts w:ascii="Bookman Old Style" w:hAnsi="Bookman Old Style"/>
                <w:color w:val="000000"/>
                <w:sz w:val="24"/>
                <w:szCs w:val="24"/>
              </w:rPr>
            </w:pPr>
            <w:r w:rsidRPr="00053F9F">
              <w:rPr>
                <w:rFonts w:ascii="Bookman Old Style" w:hAnsi="Bookman Old Style"/>
                <w:sz w:val="24"/>
                <w:szCs w:val="24"/>
              </w:rPr>
              <w:t xml:space="preserve">Seluruh pembukuan dan catatan penting </w:t>
            </w:r>
            <w:r w:rsidRPr="006630CF">
              <w:rPr>
                <w:rFonts w:ascii="Bookman Old Style" w:hAnsi="Bookman Old Style"/>
                <w:sz w:val="24"/>
                <w:szCs w:val="24"/>
              </w:rPr>
              <w:t xml:space="preserve">wajib </w:t>
            </w:r>
            <w:r w:rsidRPr="00053F9F">
              <w:rPr>
                <w:rFonts w:ascii="Bookman Old Style" w:hAnsi="Bookman Old Style"/>
                <w:sz w:val="24"/>
                <w:szCs w:val="24"/>
              </w:rPr>
              <w:t xml:space="preserve">disimpan dan dipelihara sesuai dengan tugas dan tanggung jawab </w:t>
            </w:r>
            <w:r w:rsidRPr="00053F9F">
              <w:rPr>
                <w:rFonts w:ascii="Bookman Old Style" w:hAnsi="Bookman Old Style"/>
                <w:sz w:val="24"/>
                <w:szCs w:val="24"/>
              </w:rPr>
              <w:lastRenderedPageBreak/>
              <w:t>Perusahaan Asuransi atau Perusahaan Asuransi Syariah berdasarkan Polis Asuransi, yang berkaitan dengan</w:t>
            </w:r>
            <w:r w:rsidRPr="00053F9F">
              <w:rPr>
                <w:rFonts w:ascii="Bookman Old Style" w:hAnsi="Bookman Old Style"/>
                <w:color w:val="000000"/>
                <w:sz w:val="24"/>
                <w:szCs w:val="24"/>
              </w:rPr>
              <w:t>:</w:t>
            </w:r>
          </w:p>
        </w:tc>
        <w:tc>
          <w:tcPr>
            <w:tcW w:w="1167" w:type="pct"/>
          </w:tcPr>
          <w:p w14:paraId="1847C7F5"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4CEB4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8EFA30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521889" w14:textId="77777777" w:rsidTr="00C61A26">
        <w:trPr>
          <w:jc w:val="center"/>
        </w:trPr>
        <w:tc>
          <w:tcPr>
            <w:tcW w:w="1614" w:type="pct"/>
          </w:tcPr>
          <w:p w14:paraId="33D6DAC7" w14:textId="7283F4BE" w:rsidR="00BA5B70" w:rsidRPr="00755808" w:rsidRDefault="00BA5B70">
            <w:pPr>
              <w:pStyle w:val="ListParagraph"/>
              <w:numPr>
                <w:ilvl w:val="0"/>
                <w:numId w:val="66"/>
              </w:numPr>
              <w:spacing w:after="0" w:line="360" w:lineRule="auto"/>
              <w:jc w:val="both"/>
              <w:rPr>
                <w:rFonts w:ascii="Bookman Old Style" w:hAnsi="Bookman Old Style"/>
                <w:sz w:val="24"/>
                <w:szCs w:val="24"/>
              </w:rPr>
            </w:pPr>
            <w:r w:rsidRPr="00755808">
              <w:rPr>
                <w:rFonts w:ascii="Bookman Old Style" w:hAnsi="Bookman Old Style"/>
                <w:sz w:val="24"/>
                <w:szCs w:val="24"/>
              </w:rPr>
              <w:t>penutupan asuransi untuk masing-masing Tertanggung atau Peserta, termasuk pembayaran Premi atau Kontribusi dan manfaat asuransi</w:t>
            </w:r>
            <w:r w:rsidRPr="00755808">
              <w:rPr>
                <w:rFonts w:ascii="Bookman Old Style" w:hAnsi="Bookman Old Style"/>
                <w:color w:val="000000"/>
                <w:sz w:val="24"/>
                <w:szCs w:val="24"/>
              </w:rPr>
              <w:t>;</w:t>
            </w:r>
          </w:p>
        </w:tc>
        <w:tc>
          <w:tcPr>
            <w:tcW w:w="1167" w:type="pct"/>
          </w:tcPr>
          <w:p w14:paraId="5493DA89"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733963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11734D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F065B9B" w14:textId="77777777" w:rsidTr="00C61A26">
        <w:trPr>
          <w:jc w:val="center"/>
        </w:trPr>
        <w:tc>
          <w:tcPr>
            <w:tcW w:w="1614" w:type="pct"/>
          </w:tcPr>
          <w:p w14:paraId="4A94049B" w14:textId="41F51CB4" w:rsidR="00BA5B70" w:rsidRPr="00755808" w:rsidRDefault="00BA5B70">
            <w:pPr>
              <w:pStyle w:val="ListParagraph"/>
              <w:numPr>
                <w:ilvl w:val="0"/>
                <w:numId w:val="66"/>
              </w:numPr>
              <w:spacing w:after="0" w:line="360" w:lineRule="auto"/>
              <w:jc w:val="both"/>
              <w:rPr>
                <w:rFonts w:ascii="Bookman Old Style" w:hAnsi="Bookman Old Style"/>
                <w:sz w:val="24"/>
                <w:szCs w:val="24"/>
              </w:rPr>
            </w:pPr>
            <w:r w:rsidRPr="00755808">
              <w:rPr>
                <w:rFonts w:ascii="Bookman Old Style" w:hAnsi="Bookman Old Style"/>
                <w:sz w:val="24"/>
                <w:szCs w:val="24"/>
              </w:rPr>
              <w:t>laporan yang terkait dengan PAYDI sebagaimana diatur dalam ketentuan mengenai bentuk dan susunan laporan berkala bagi perusahaan perasuransian</w:t>
            </w:r>
            <w:r w:rsidRPr="00755808">
              <w:rPr>
                <w:rFonts w:ascii="Bookman Old Style" w:hAnsi="Bookman Old Style"/>
                <w:color w:val="000000"/>
                <w:sz w:val="24"/>
                <w:szCs w:val="24"/>
              </w:rPr>
              <w:t xml:space="preserve">; dan </w:t>
            </w:r>
          </w:p>
        </w:tc>
        <w:tc>
          <w:tcPr>
            <w:tcW w:w="1167" w:type="pct"/>
          </w:tcPr>
          <w:p w14:paraId="2B817F02"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1F23B4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4D80A0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411FD5F" w14:textId="77777777" w:rsidTr="00C61A26">
        <w:trPr>
          <w:jc w:val="center"/>
        </w:trPr>
        <w:tc>
          <w:tcPr>
            <w:tcW w:w="1614" w:type="pct"/>
          </w:tcPr>
          <w:p w14:paraId="18DD5720" w14:textId="3131F7B6" w:rsidR="00BA5B70" w:rsidRPr="00755808" w:rsidRDefault="00BA5B70">
            <w:pPr>
              <w:pStyle w:val="ListParagraph"/>
              <w:numPr>
                <w:ilvl w:val="0"/>
                <w:numId w:val="66"/>
              </w:numPr>
              <w:spacing w:after="0" w:line="360" w:lineRule="auto"/>
              <w:jc w:val="both"/>
              <w:rPr>
                <w:rFonts w:ascii="Bookman Old Style" w:hAnsi="Bookman Old Style"/>
                <w:sz w:val="24"/>
                <w:szCs w:val="24"/>
              </w:rPr>
            </w:pPr>
            <w:r w:rsidRPr="00755808">
              <w:rPr>
                <w:rFonts w:ascii="Bookman Old Style" w:hAnsi="Bookman Old Style"/>
                <w:sz w:val="24"/>
                <w:szCs w:val="24"/>
              </w:rPr>
              <w:t>pengelolaan investasi PAYDI</w:t>
            </w:r>
            <w:r w:rsidRPr="00755808">
              <w:rPr>
                <w:rFonts w:ascii="Bookman Old Style" w:hAnsi="Bookman Old Style"/>
                <w:color w:val="000000"/>
                <w:sz w:val="24"/>
                <w:szCs w:val="24"/>
              </w:rPr>
              <w:t>,</w:t>
            </w:r>
          </w:p>
        </w:tc>
        <w:tc>
          <w:tcPr>
            <w:tcW w:w="1167" w:type="pct"/>
          </w:tcPr>
          <w:p w14:paraId="7E6419D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141898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A44FFB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FF5BAF3" w14:textId="77777777" w:rsidTr="00C61A26">
        <w:trPr>
          <w:jc w:val="center"/>
        </w:trPr>
        <w:tc>
          <w:tcPr>
            <w:tcW w:w="1614" w:type="pct"/>
          </w:tcPr>
          <w:p w14:paraId="3098CADF" w14:textId="3111B1C7" w:rsidR="00BA5B70" w:rsidRPr="00053F9F" w:rsidRDefault="00BA5B70" w:rsidP="00BA5B70">
            <w:pPr>
              <w:spacing w:after="0" w:line="360" w:lineRule="auto"/>
              <w:jc w:val="both"/>
              <w:rPr>
                <w:rFonts w:ascii="Bookman Old Style" w:hAnsi="Bookman Old Style"/>
                <w:sz w:val="24"/>
                <w:szCs w:val="24"/>
              </w:rPr>
            </w:pPr>
            <w:r w:rsidRPr="00053F9F">
              <w:rPr>
                <w:rFonts w:ascii="Bookman Old Style" w:hAnsi="Bookman Old Style"/>
                <w:sz w:val="24"/>
                <w:szCs w:val="24"/>
              </w:rPr>
              <w:t>paling singkat sampai dengan 5 (lima) tahun setelah berakhirnya pertanggungan atau kepesertaan kecuali diatur berbeda sesuai dengan ketentuan peraturan perundang-undangan</w:t>
            </w:r>
            <w:r w:rsidRPr="00053F9F">
              <w:rPr>
                <w:rFonts w:ascii="Bookman Old Style" w:hAnsi="Bookman Old Style"/>
                <w:color w:val="000000"/>
                <w:sz w:val="24"/>
                <w:szCs w:val="24"/>
              </w:rPr>
              <w:t>.</w:t>
            </w:r>
          </w:p>
        </w:tc>
        <w:tc>
          <w:tcPr>
            <w:tcW w:w="1167" w:type="pct"/>
          </w:tcPr>
          <w:p w14:paraId="70AB884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F97FFA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536BCC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543211" w14:textId="77777777" w:rsidTr="00C61A26">
        <w:trPr>
          <w:jc w:val="center"/>
        </w:trPr>
        <w:tc>
          <w:tcPr>
            <w:tcW w:w="1614" w:type="pct"/>
          </w:tcPr>
          <w:p w14:paraId="60C75506" w14:textId="77777777" w:rsidR="00BA5B70" w:rsidRPr="00053F9F" w:rsidRDefault="00BA5B70" w:rsidP="00BA5B70">
            <w:pPr>
              <w:spacing w:after="0" w:line="360" w:lineRule="auto"/>
              <w:jc w:val="both"/>
              <w:rPr>
                <w:rFonts w:ascii="Bookman Old Style" w:hAnsi="Bookman Old Style"/>
                <w:sz w:val="24"/>
                <w:szCs w:val="24"/>
              </w:rPr>
            </w:pPr>
          </w:p>
        </w:tc>
        <w:tc>
          <w:tcPr>
            <w:tcW w:w="1167" w:type="pct"/>
          </w:tcPr>
          <w:p w14:paraId="5A15B04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D19741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4880C7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C70828" w14:textId="77777777" w:rsidTr="00C61A26">
        <w:trPr>
          <w:jc w:val="center"/>
        </w:trPr>
        <w:tc>
          <w:tcPr>
            <w:tcW w:w="1614" w:type="pct"/>
          </w:tcPr>
          <w:p w14:paraId="55455F53" w14:textId="0190BC67" w:rsidR="00BA5B70" w:rsidRPr="006630CF" w:rsidRDefault="00BA5B70" w:rsidP="00BA5B70">
            <w:pPr>
              <w:spacing w:after="0" w:line="360" w:lineRule="auto"/>
              <w:jc w:val="center"/>
              <w:rPr>
                <w:rFonts w:ascii="Bookman Old Style" w:hAnsi="Bookman Old Style"/>
                <w:color w:val="000000" w:themeColor="text1"/>
                <w:sz w:val="24"/>
                <w:szCs w:val="24"/>
              </w:rPr>
            </w:pPr>
            <w:r w:rsidRPr="006630CF">
              <w:rPr>
                <w:rFonts w:ascii="Bookman Old Style" w:hAnsi="Bookman Old Style"/>
                <w:color w:val="000000" w:themeColor="text1"/>
                <w:sz w:val="24"/>
                <w:szCs w:val="24"/>
              </w:rPr>
              <w:t>Bagian Ketujuh</w:t>
            </w:r>
          </w:p>
        </w:tc>
        <w:tc>
          <w:tcPr>
            <w:tcW w:w="1167" w:type="pct"/>
          </w:tcPr>
          <w:p w14:paraId="6166DD19"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23D022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87F4C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362F1EF" w14:textId="77777777" w:rsidTr="00C61A26">
        <w:trPr>
          <w:jc w:val="center"/>
        </w:trPr>
        <w:tc>
          <w:tcPr>
            <w:tcW w:w="1614" w:type="pct"/>
          </w:tcPr>
          <w:p w14:paraId="1F46C4F0" w14:textId="65E84167" w:rsidR="00BA5B70" w:rsidRPr="006630CF" w:rsidRDefault="00BA5B70" w:rsidP="00BA5B70">
            <w:pPr>
              <w:spacing w:after="0" w:line="360" w:lineRule="auto"/>
              <w:jc w:val="center"/>
              <w:rPr>
                <w:rFonts w:ascii="Bookman Old Style" w:hAnsi="Bookman Old Style"/>
                <w:color w:val="000000" w:themeColor="text1"/>
                <w:sz w:val="24"/>
                <w:szCs w:val="24"/>
              </w:rPr>
            </w:pPr>
            <w:r w:rsidRPr="006630CF">
              <w:rPr>
                <w:rFonts w:ascii="Bookman Old Style" w:hAnsi="Bookman Old Style"/>
                <w:color w:val="000000" w:themeColor="text1"/>
                <w:sz w:val="24"/>
                <w:szCs w:val="24"/>
              </w:rPr>
              <w:t>Laporan Kinerja Subdana</w:t>
            </w:r>
          </w:p>
        </w:tc>
        <w:tc>
          <w:tcPr>
            <w:tcW w:w="1167" w:type="pct"/>
          </w:tcPr>
          <w:p w14:paraId="78FDEF4B"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0D214B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671B61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3D5F35" w:rsidRPr="00C562C1" w14:paraId="7AEB77BB" w14:textId="77777777" w:rsidTr="00C61A26">
        <w:trPr>
          <w:jc w:val="center"/>
        </w:trPr>
        <w:tc>
          <w:tcPr>
            <w:tcW w:w="1614" w:type="pct"/>
          </w:tcPr>
          <w:p w14:paraId="25A08BA1" w14:textId="77777777" w:rsidR="003D5F35" w:rsidRPr="00D52991" w:rsidRDefault="003D5F35" w:rsidP="00BA5B70">
            <w:pPr>
              <w:spacing w:after="0" w:line="360" w:lineRule="auto"/>
              <w:jc w:val="center"/>
              <w:rPr>
                <w:rFonts w:ascii="Bookman Old Style" w:hAnsi="Bookman Old Style"/>
                <w:color w:val="FF0000"/>
                <w:sz w:val="24"/>
                <w:szCs w:val="24"/>
              </w:rPr>
            </w:pPr>
          </w:p>
        </w:tc>
        <w:tc>
          <w:tcPr>
            <w:tcW w:w="1167" w:type="pct"/>
          </w:tcPr>
          <w:p w14:paraId="1B1960C1" w14:textId="77777777" w:rsidR="003D5F35" w:rsidRPr="00BB62F1" w:rsidRDefault="003D5F35" w:rsidP="00BA5B70">
            <w:pPr>
              <w:tabs>
                <w:tab w:val="left" w:pos="2552"/>
              </w:tabs>
              <w:spacing w:after="0" w:line="360" w:lineRule="auto"/>
              <w:jc w:val="both"/>
              <w:rPr>
                <w:rFonts w:ascii="Bookman Old Style" w:hAnsi="Bookman Old Style"/>
                <w:sz w:val="24"/>
                <w:szCs w:val="24"/>
              </w:rPr>
            </w:pPr>
          </w:p>
        </w:tc>
        <w:tc>
          <w:tcPr>
            <w:tcW w:w="1109" w:type="pct"/>
          </w:tcPr>
          <w:p w14:paraId="37A1879B"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ADC27B0"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1D2817C" w14:textId="77777777" w:rsidTr="00C61A26">
        <w:trPr>
          <w:jc w:val="center"/>
        </w:trPr>
        <w:tc>
          <w:tcPr>
            <w:tcW w:w="1614" w:type="pct"/>
          </w:tcPr>
          <w:p w14:paraId="40904BE6" w14:textId="77E3B221" w:rsidR="00BA5B70" w:rsidRPr="00D52991" w:rsidRDefault="00BA5B70" w:rsidP="00BA5B70">
            <w:pPr>
              <w:spacing w:after="0" w:line="360" w:lineRule="auto"/>
              <w:jc w:val="center"/>
              <w:rPr>
                <w:rFonts w:ascii="Bookman Old Style" w:hAnsi="Bookman Old Style"/>
                <w:color w:val="FF0000"/>
                <w:sz w:val="24"/>
                <w:szCs w:val="24"/>
              </w:rPr>
            </w:pPr>
            <w:r>
              <w:rPr>
                <w:rFonts w:ascii="Bookman Old Style" w:hAnsi="Bookman Old Style"/>
                <w:color w:val="000000"/>
                <w:sz w:val="24"/>
                <w:szCs w:val="24"/>
              </w:rPr>
              <w:t>Pasal 2</w:t>
            </w:r>
            <w:r w:rsidR="006630CF">
              <w:rPr>
                <w:rFonts w:ascii="Bookman Old Style" w:hAnsi="Bookman Old Style"/>
                <w:color w:val="000000"/>
                <w:sz w:val="24"/>
                <w:szCs w:val="24"/>
              </w:rPr>
              <w:t>2</w:t>
            </w:r>
          </w:p>
        </w:tc>
        <w:tc>
          <w:tcPr>
            <w:tcW w:w="1167" w:type="pct"/>
          </w:tcPr>
          <w:p w14:paraId="7ABC94E3"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FA8BC9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584EC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5B9122F" w14:textId="77777777" w:rsidTr="00C61A26">
        <w:trPr>
          <w:jc w:val="center"/>
        </w:trPr>
        <w:tc>
          <w:tcPr>
            <w:tcW w:w="1614" w:type="pct"/>
          </w:tcPr>
          <w:p w14:paraId="1D739A2E" w14:textId="1C2E5F4B" w:rsidR="00BA5B70" w:rsidRPr="00755808" w:rsidRDefault="00BA5B70">
            <w:pPr>
              <w:pStyle w:val="ListParagraph"/>
              <w:numPr>
                <w:ilvl w:val="2"/>
                <w:numId w:val="64"/>
              </w:numPr>
              <w:spacing w:after="0" w:line="360" w:lineRule="auto"/>
              <w:ind w:left="581"/>
              <w:jc w:val="both"/>
              <w:rPr>
                <w:rFonts w:ascii="Bookman Old Style" w:hAnsi="Bookman Old Style"/>
                <w:color w:val="000000"/>
                <w:sz w:val="24"/>
                <w:szCs w:val="24"/>
              </w:rPr>
            </w:pPr>
            <w:r w:rsidRPr="00755808">
              <w:rPr>
                <w:rFonts w:ascii="Bookman Old Style" w:hAnsi="Bookman Old Style"/>
                <w:sz w:val="24"/>
                <w:szCs w:val="24"/>
              </w:rPr>
              <w:t xml:space="preserve">Perusahaan Asuransi atau Perusahaan Asuransi Syariah </w:t>
            </w:r>
            <w:r w:rsidRPr="006630CF">
              <w:rPr>
                <w:rFonts w:ascii="Bookman Old Style" w:hAnsi="Bookman Old Style"/>
                <w:sz w:val="24"/>
                <w:szCs w:val="24"/>
              </w:rPr>
              <w:t>wajib</w:t>
            </w:r>
            <w:r w:rsidRPr="00755808">
              <w:rPr>
                <w:rFonts w:ascii="Bookman Old Style" w:hAnsi="Bookman Old Style"/>
                <w:sz w:val="24"/>
                <w:szCs w:val="24"/>
              </w:rPr>
              <w:t xml:space="preserve"> menyusun laporan kinerja Subdana untuk masing-masing Subdana</w:t>
            </w:r>
            <w:r w:rsidRPr="00755808">
              <w:rPr>
                <w:rFonts w:ascii="Bookman Old Style" w:hAnsi="Bookman Old Style"/>
                <w:color w:val="000000"/>
                <w:sz w:val="24"/>
                <w:szCs w:val="24"/>
              </w:rPr>
              <w:t>:</w:t>
            </w:r>
          </w:p>
        </w:tc>
        <w:tc>
          <w:tcPr>
            <w:tcW w:w="1167" w:type="pct"/>
          </w:tcPr>
          <w:p w14:paraId="76EE8B88" w14:textId="597DD7C2"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86BE2C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DE7EE9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CAC6FE5" w14:textId="77777777" w:rsidTr="00C61A26">
        <w:trPr>
          <w:jc w:val="center"/>
        </w:trPr>
        <w:tc>
          <w:tcPr>
            <w:tcW w:w="1614" w:type="pct"/>
          </w:tcPr>
          <w:p w14:paraId="2FC1CAA3" w14:textId="0E4D8E71" w:rsidR="00BA5B70" w:rsidRPr="00755808" w:rsidRDefault="00BA5B70">
            <w:pPr>
              <w:pStyle w:val="ListParagraph"/>
              <w:numPr>
                <w:ilvl w:val="0"/>
                <w:numId w:val="67"/>
              </w:numPr>
              <w:spacing w:after="0" w:line="360" w:lineRule="auto"/>
              <w:ind w:left="1148" w:hanging="283"/>
              <w:jc w:val="both"/>
              <w:rPr>
                <w:rFonts w:ascii="Bookman Old Style" w:hAnsi="Bookman Old Style"/>
                <w:sz w:val="24"/>
                <w:szCs w:val="24"/>
              </w:rPr>
            </w:pPr>
            <w:r w:rsidRPr="00755808">
              <w:rPr>
                <w:rFonts w:ascii="Bookman Old Style" w:hAnsi="Bookman Old Style"/>
                <w:sz w:val="24"/>
                <w:szCs w:val="24"/>
              </w:rPr>
              <w:t>untuk pertama kali laporan kinerja Subdana disusun paling lambat 3 (tiga) bulan sejak Subdana dipasarkan</w:t>
            </w:r>
            <w:r w:rsidRPr="00755808">
              <w:rPr>
                <w:rFonts w:ascii="Bookman Old Style" w:hAnsi="Bookman Old Style"/>
                <w:color w:val="000000"/>
                <w:sz w:val="24"/>
                <w:szCs w:val="24"/>
              </w:rPr>
              <w:t xml:space="preserve">; dan </w:t>
            </w:r>
          </w:p>
        </w:tc>
        <w:tc>
          <w:tcPr>
            <w:tcW w:w="1167" w:type="pct"/>
          </w:tcPr>
          <w:p w14:paraId="3887940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445941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4F639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2298ADA" w14:textId="77777777" w:rsidTr="00C61A26">
        <w:trPr>
          <w:jc w:val="center"/>
        </w:trPr>
        <w:tc>
          <w:tcPr>
            <w:tcW w:w="1614" w:type="pct"/>
          </w:tcPr>
          <w:p w14:paraId="2492BEEC" w14:textId="5EC07847" w:rsidR="00BA5B70" w:rsidRPr="00755808" w:rsidRDefault="00BA5B70">
            <w:pPr>
              <w:pStyle w:val="ListParagraph"/>
              <w:numPr>
                <w:ilvl w:val="0"/>
                <w:numId w:val="67"/>
              </w:numPr>
              <w:spacing w:after="0" w:line="360" w:lineRule="auto"/>
              <w:ind w:left="1148" w:hanging="283"/>
              <w:jc w:val="both"/>
              <w:rPr>
                <w:rFonts w:ascii="Bookman Old Style" w:hAnsi="Bookman Old Style"/>
                <w:sz w:val="24"/>
                <w:szCs w:val="24"/>
              </w:rPr>
            </w:pPr>
            <w:r w:rsidRPr="00755808">
              <w:rPr>
                <w:rFonts w:ascii="Bookman Old Style" w:hAnsi="Bookman Old Style"/>
                <w:sz w:val="24"/>
                <w:szCs w:val="24"/>
              </w:rPr>
              <w:t>secara berkala paling sedikit setiap 3 (tiga) bulan sekali</w:t>
            </w:r>
            <w:r w:rsidRPr="00755808">
              <w:rPr>
                <w:rFonts w:ascii="Bookman Old Style" w:hAnsi="Bookman Old Style"/>
                <w:color w:val="000000"/>
                <w:sz w:val="24"/>
                <w:szCs w:val="24"/>
              </w:rPr>
              <w:t>,</w:t>
            </w:r>
          </w:p>
        </w:tc>
        <w:tc>
          <w:tcPr>
            <w:tcW w:w="1167" w:type="pct"/>
          </w:tcPr>
          <w:p w14:paraId="2CB338DB"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298EA3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F5E5D2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2BDD36A" w14:textId="77777777" w:rsidTr="00C61A26">
        <w:trPr>
          <w:jc w:val="center"/>
        </w:trPr>
        <w:tc>
          <w:tcPr>
            <w:tcW w:w="1614" w:type="pct"/>
          </w:tcPr>
          <w:p w14:paraId="683C1EB7" w14:textId="7BCAD104" w:rsidR="00BA5B70" w:rsidRPr="009433FA" w:rsidRDefault="00BA5B70" w:rsidP="00BA5B70">
            <w:pPr>
              <w:spacing w:after="0" w:line="360" w:lineRule="auto"/>
              <w:ind w:left="865"/>
              <w:jc w:val="both"/>
              <w:rPr>
                <w:rFonts w:ascii="Bookman Old Style" w:hAnsi="Bookman Old Style"/>
                <w:sz w:val="24"/>
                <w:szCs w:val="24"/>
              </w:rPr>
            </w:pPr>
            <w:r w:rsidRPr="009433FA">
              <w:rPr>
                <w:rFonts w:ascii="Bookman Old Style" w:hAnsi="Bookman Old Style"/>
                <w:sz w:val="24"/>
                <w:szCs w:val="24"/>
              </w:rPr>
              <w:lastRenderedPageBreak/>
              <w:t>dalam bentuk salinan cetak dan/atau salinan digital</w:t>
            </w:r>
            <w:r w:rsidRPr="009433FA">
              <w:rPr>
                <w:rFonts w:ascii="Bookman Old Style" w:hAnsi="Bookman Old Style"/>
                <w:color w:val="000000"/>
                <w:sz w:val="24"/>
                <w:szCs w:val="24"/>
              </w:rPr>
              <w:t>.</w:t>
            </w:r>
          </w:p>
        </w:tc>
        <w:tc>
          <w:tcPr>
            <w:tcW w:w="1167" w:type="pct"/>
          </w:tcPr>
          <w:p w14:paraId="657347B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29428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8D4473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3F39581" w14:textId="77777777" w:rsidTr="00C61A26">
        <w:trPr>
          <w:jc w:val="center"/>
        </w:trPr>
        <w:tc>
          <w:tcPr>
            <w:tcW w:w="1614" w:type="pct"/>
          </w:tcPr>
          <w:p w14:paraId="44F5BE75" w14:textId="2DEE1426" w:rsidR="00BA5B70" w:rsidRPr="00755808" w:rsidRDefault="00BA5B70">
            <w:pPr>
              <w:pStyle w:val="ListParagraph"/>
              <w:numPr>
                <w:ilvl w:val="2"/>
                <w:numId w:val="64"/>
              </w:numPr>
              <w:spacing w:after="0" w:line="360" w:lineRule="auto"/>
              <w:ind w:left="581" w:hanging="283"/>
              <w:jc w:val="both"/>
              <w:rPr>
                <w:rFonts w:ascii="Bookman Old Style" w:hAnsi="Bookman Old Style"/>
                <w:sz w:val="24"/>
                <w:szCs w:val="24"/>
              </w:rPr>
            </w:pPr>
            <w:r w:rsidRPr="00755808">
              <w:rPr>
                <w:rFonts w:ascii="Bookman Old Style" w:hAnsi="Bookman Old Style"/>
                <w:color w:val="000000"/>
                <w:sz w:val="24"/>
                <w:szCs w:val="24"/>
              </w:rPr>
              <w:t>Laporan kinerja Subdana harus memuat paling sedikit:</w:t>
            </w:r>
          </w:p>
        </w:tc>
        <w:tc>
          <w:tcPr>
            <w:tcW w:w="1167" w:type="pct"/>
          </w:tcPr>
          <w:p w14:paraId="2298628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B0793B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CBB2E7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1580E20" w14:textId="77777777" w:rsidTr="00C61A26">
        <w:trPr>
          <w:jc w:val="center"/>
        </w:trPr>
        <w:tc>
          <w:tcPr>
            <w:tcW w:w="1614" w:type="pct"/>
          </w:tcPr>
          <w:p w14:paraId="0A19C061" w14:textId="7A22AF2C" w:rsidR="00BA5B70" w:rsidRPr="00755808" w:rsidRDefault="00BA5B70">
            <w:pPr>
              <w:pStyle w:val="ListParagraph"/>
              <w:numPr>
                <w:ilvl w:val="0"/>
                <w:numId w:val="68"/>
              </w:numPr>
              <w:spacing w:after="0" w:line="360" w:lineRule="auto"/>
              <w:ind w:left="1148" w:hanging="283"/>
              <w:jc w:val="both"/>
              <w:rPr>
                <w:rFonts w:ascii="Bookman Old Style" w:hAnsi="Bookman Old Style"/>
                <w:color w:val="000000"/>
                <w:sz w:val="24"/>
                <w:szCs w:val="24"/>
              </w:rPr>
            </w:pPr>
            <w:r w:rsidRPr="00755808">
              <w:rPr>
                <w:rFonts w:ascii="Bookman Old Style" w:hAnsi="Bookman Old Style"/>
                <w:color w:val="000000"/>
                <w:sz w:val="24"/>
                <w:szCs w:val="24"/>
              </w:rPr>
              <w:t xml:space="preserve">informasi mengenai perusahaan;  </w:t>
            </w:r>
          </w:p>
        </w:tc>
        <w:tc>
          <w:tcPr>
            <w:tcW w:w="1167" w:type="pct"/>
          </w:tcPr>
          <w:p w14:paraId="18F600C3" w14:textId="1FA72B1D"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088032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EE69A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67A6A8B" w14:textId="77777777" w:rsidTr="00C61A26">
        <w:trPr>
          <w:jc w:val="center"/>
        </w:trPr>
        <w:tc>
          <w:tcPr>
            <w:tcW w:w="1614" w:type="pct"/>
          </w:tcPr>
          <w:p w14:paraId="1ADE700F" w14:textId="31562B51" w:rsidR="00BA5B70" w:rsidRPr="00755808" w:rsidRDefault="00BA5B70">
            <w:pPr>
              <w:pStyle w:val="ListParagraph"/>
              <w:numPr>
                <w:ilvl w:val="0"/>
                <w:numId w:val="68"/>
              </w:numPr>
              <w:spacing w:after="0" w:line="360" w:lineRule="auto"/>
              <w:ind w:left="1148" w:hanging="283"/>
              <w:jc w:val="both"/>
              <w:rPr>
                <w:rFonts w:ascii="Bookman Old Style" w:hAnsi="Bookman Old Style"/>
                <w:color w:val="000000"/>
                <w:sz w:val="24"/>
                <w:szCs w:val="24"/>
              </w:rPr>
            </w:pPr>
            <w:r w:rsidRPr="00755808">
              <w:rPr>
                <w:rFonts w:ascii="Bookman Old Style" w:hAnsi="Bookman Old Style"/>
                <w:color w:val="000000"/>
                <w:sz w:val="24"/>
                <w:szCs w:val="24"/>
              </w:rPr>
              <w:t>nama Subdana;</w:t>
            </w:r>
          </w:p>
        </w:tc>
        <w:tc>
          <w:tcPr>
            <w:tcW w:w="1167" w:type="pct"/>
          </w:tcPr>
          <w:p w14:paraId="627DA5FF" w14:textId="51C88D94"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09560A7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4DC677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1C4DE97" w14:textId="77777777" w:rsidTr="00C61A26">
        <w:trPr>
          <w:jc w:val="center"/>
        </w:trPr>
        <w:tc>
          <w:tcPr>
            <w:tcW w:w="1614" w:type="pct"/>
          </w:tcPr>
          <w:p w14:paraId="72C3564B" w14:textId="389C19BA" w:rsidR="00BA5B70" w:rsidRPr="00755808" w:rsidRDefault="00BA5B70">
            <w:pPr>
              <w:pStyle w:val="ListParagraph"/>
              <w:numPr>
                <w:ilvl w:val="0"/>
                <w:numId w:val="68"/>
              </w:numPr>
              <w:spacing w:after="0" w:line="360" w:lineRule="auto"/>
              <w:ind w:left="1148" w:hanging="283"/>
              <w:jc w:val="both"/>
              <w:rPr>
                <w:rFonts w:ascii="Bookman Old Style" w:hAnsi="Bookman Old Style"/>
                <w:color w:val="000000"/>
                <w:sz w:val="24"/>
                <w:szCs w:val="24"/>
              </w:rPr>
            </w:pPr>
            <w:r w:rsidRPr="00755808">
              <w:rPr>
                <w:rFonts w:ascii="Bookman Old Style" w:hAnsi="Bookman Old Style"/>
                <w:color w:val="000000"/>
                <w:sz w:val="24"/>
                <w:szCs w:val="24"/>
              </w:rPr>
              <w:t>periode laporan;</w:t>
            </w:r>
          </w:p>
        </w:tc>
        <w:tc>
          <w:tcPr>
            <w:tcW w:w="1167" w:type="pct"/>
          </w:tcPr>
          <w:p w14:paraId="4AD26C9D" w14:textId="5793CA5D"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059D962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9955AB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4A09A8F" w14:textId="77777777" w:rsidTr="00C61A26">
        <w:trPr>
          <w:jc w:val="center"/>
        </w:trPr>
        <w:tc>
          <w:tcPr>
            <w:tcW w:w="1614" w:type="pct"/>
          </w:tcPr>
          <w:p w14:paraId="2B932245" w14:textId="405614DA" w:rsidR="00BA5B70" w:rsidRPr="00755808" w:rsidRDefault="00BA5B70">
            <w:pPr>
              <w:pStyle w:val="ListParagraph"/>
              <w:numPr>
                <w:ilvl w:val="0"/>
                <w:numId w:val="68"/>
              </w:numPr>
              <w:spacing w:after="0" w:line="360" w:lineRule="auto"/>
              <w:ind w:left="1148" w:hanging="283"/>
              <w:jc w:val="both"/>
              <w:rPr>
                <w:rFonts w:ascii="Bookman Old Style" w:hAnsi="Bookman Old Style"/>
                <w:color w:val="000000"/>
                <w:sz w:val="24"/>
                <w:szCs w:val="24"/>
              </w:rPr>
            </w:pPr>
            <w:r w:rsidRPr="00755808">
              <w:rPr>
                <w:rFonts w:ascii="Bookman Old Style" w:hAnsi="Bookman Old Style"/>
                <w:color w:val="000000"/>
                <w:sz w:val="24"/>
                <w:szCs w:val="24"/>
              </w:rPr>
              <w:t>informasi mengenai profil Subdana:</w:t>
            </w:r>
          </w:p>
        </w:tc>
        <w:tc>
          <w:tcPr>
            <w:tcW w:w="1167" w:type="pct"/>
          </w:tcPr>
          <w:p w14:paraId="46967075" w14:textId="416AC2D1"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465059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294E1A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EB8D43" w14:textId="77777777" w:rsidTr="00C61A26">
        <w:trPr>
          <w:jc w:val="center"/>
        </w:trPr>
        <w:tc>
          <w:tcPr>
            <w:tcW w:w="1614" w:type="pct"/>
          </w:tcPr>
          <w:p w14:paraId="4CD3DCF9" w14:textId="7C9702F3"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jenis strategi investasi; </w:t>
            </w:r>
          </w:p>
        </w:tc>
        <w:tc>
          <w:tcPr>
            <w:tcW w:w="1167" w:type="pct"/>
          </w:tcPr>
          <w:p w14:paraId="76D1173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E73B1B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76216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83355BF" w14:textId="77777777" w:rsidTr="00C61A26">
        <w:trPr>
          <w:jc w:val="center"/>
        </w:trPr>
        <w:tc>
          <w:tcPr>
            <w:tcW w:w="1614" w:type="pct"/>
          </w:tcPr>
          <w:p w14:paraId="36244756" w14:textId="046D3C8F"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penjelasan mengenai tujuan/strategi termasuk persentase alokasi aset Subdana;</w:t>
            </w:r>
          </w:p>
        </w:tc>
        <w:tc>
          <w:tcPr>
            <w:tcW w:w="1167" w:type="pct"/>
          </w:tcPr>
          <w:p w14:paraId="28D18BA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9E8591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1AEC11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E2846E3" w14:textId="77777777" w:rsidTr="00C61A26">
        <w:trPr>
          <w:jc w:val="center"/>
        </w:trPr>
        <w:tc>
          <w:tcPr>
            <w:tcW w:w="1614" w:type="pct"/>
          </w:tcPr>
          <w:p w14:paraId="425DFFA4" w14:textId="2A345931"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investasi, sektor industri dari portofolio investasi Subdana;</w:t>
            </w:r>
          </w:p>
        </w:tc>
        <w:tc>
          <w:tcPr>
            <w:tcW w:w="1167" w:type="pct"/>
          </w:tcPr>
          <w:p w14:paraId="2B250AF3"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721D3F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CE3DD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E7D4888" w14:textId="77777777" w:rsidTr="00C61A26">
        <w:trPr>
          <w:jc w:val="center"/>
        </w:trPr>
        <w:tc>
          <w:tcPr>
            <w:tcW w:w="1614" w:type="pct"/>
          </w:tcPr>
          <w:p w14:paraId="2788D520" w14:textId="37546E09"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kategori risiko dari Subdana; </w:t>
            </w:r>
          </w:p>
        </w:tc>
        <w:tc>
          <w:tcPr>
            <w:tcW w:w="1167" w:type="pct"/>
          </w:tcPr>
          <w:p w14:paraId="4764F66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74EB09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D8F6B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9790E44" w14:textId="77777777" w:rsidTr="00C61A26">
        <w:trPr>
          <w:jc w:val="center"/>
        </w:trPr>
        <w:tc>
          <w:tcPr>
            <w:tcW w:w="1614" w:type="pct"/>
          </w:tcPr>
          <w:p w14:paraId="3CB5BCEF" w14:textId="74252077"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nama pengelola investasi; </w:t>
            </w:r>
          </w:p>
        </w:tc>
        <w:tc>
          <w:tcPr>
            <w:tcW w:w="1167" w:type="pct"/>
          </w:tcPr>
          <w:p w14:paraId="231DDF83"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C14716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74EEA2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B610730" w14:textId="77777777" w:rsidTr="00C61A26">
        <w:trPr>
          <w:jc w:val="center"/>
        </w:trPr>
        <w:tc>
          <w:tcPr>
            <w:tcW w:w="1614" w:type="pct"/>
          </w:tcPr>
          <w:p w14:paraId="4C014299" w14:textId="345DA424"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nama Bank Kustodian; </w:t>
            </w:r>
          </w:p>
        </w:tc>
        <w:tc>
          <w:tcPr>
            <w:tcW w:w="1167" w:type="pct"/>
          </w:tcPr>
          <w:p w14:paraId="6764C8FD"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07F70D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18EDA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431812B" w14:textId="77777777" w:rsidTr="00C61A26">
        <w:trPr>
          <w:jc w:val="center"/>
        </w:trPr>
        <w:tc>
          <w:tcPr>
            <w:tcW w:w="1614" w:type="pct"/>
          </w:tcPr>
          <w:p w14:paraId="0F84926E" w14:textId="6A350EFB"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tanggal pembentukan Subdana; </w:t>
            </w:r>
          </w:p>
        </w:tc>
        <w:tc>
          <w:tcPr>
            <w:tcW w:w="1167" w:type="pct"/>
          </w:tcPr>
          <w:p w14:paraId="6BF241C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7D1610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6833FC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921FAD9" w14:textId="77777777" w:rsidTr="00C61A26">
        <w:trPr>
          <w:jc w:val="center"/>
        </w:trPr>
        <w:tc>
          <w:tcPr>
            <w:tcW w:w="1614" w:type="pct"/>
          </w:tcPr>
          <w:p w14:paraId="08AC41AD" w14:textId="07A131A6"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NAB per unit Subdana pada waktu pembentukan, untuk Subdana yang dinyatakan dalam unit; </w:t>
            </w:r>
          </w:p>
        </w:tc>
        <w:tc>
          <w:tcPr>
            <w:tcW w:w="1167" w:type="pct"/>
          </w:tcPr>
          <w:p w14:paraId="53603335"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C995C4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7622C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3497AB6" w14:textId="77777777" w:rsidTr="00C61A26">
        <w:trPr>
          <w:jc w:val="center"/>
        </w:trPr>
        <w:tc>
          <w:tcPr>
            <w:tcW w:w="1614" w:type="pct"/>
          </w:tcPr>
          <w:p w14:paraId="3B6DBA06" w14:textId="44F5745B"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mata uang; dan </w:t>
            </w:r>
          </w:p>
        </w:tc>
        <w:tc>
          <w:tcPr>
            <w:tcW w:w="1167" w:type="pct"/>
          </w:tcPr>
          <w:p w14:paraId="7B864B0C"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9FA078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7FF2C0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B610084" w14:textId="77777777" w:rsidTr="00C61A26">
        <w:trPr>
          <w:jc w:val="center"/>
        </w:trPr>
        <w:tc>
          <w:tcPr>
            <w:tcW w:w="1614" w:type="pct"/>
          </w:tcPr>
          <w:p w14:paraId="2A94BDD4" w14:textId="535DB785" w:rsidR="00BA5B70" w:rsidRPr="00755808" w:rsidRDefault="00BA5B70">
            <w:pPr>
              <w:pStyle w:val="ListParagraph"/>
              <w:numPr>
                <w:ilvl w:val="0"/>
                <w:numId w:val="69"/>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frekuensi valuasi NAB;</w:t>
            </w:r>
          </w:p>
        </w:tc>
        <w:tc>
          <w:tcPr>
            <w:tcW w:w="1167" w:type="pct"/>
          </w:tcPr>
          <w:p w14:paraId="27433E1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9B2BF0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57E10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13D4456" w14:textId="77777777" w:rsidTr="00C61A26">
        <w:trPr>
          <w:jc w:val="center"/>
        </w:trPr>
        <w:tc>
          <w:tcPr>
            <w:tcW w:w="1614" w:type="pct"/>
          </w:tcPr>
          <w:p w14:paraId="5B4E742C" w14:textId="115608FE" w:rsidR="00BA5B70" w:rsidRPr="00755808" w:rsidRDefault="00BA5B70">
            <w:pPr>
              <w:pStyle w:val="ListParagraph"/>
              <w:numPr>
                <w:ilvl w:val="0"/>
                <w:numId w:val="68"/>
              </w:numPr>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informasi kinerja dan subdana</w:t>
            </w:r>
          </w:p>
        </w:tc>
        <w:tc>
          <w:tcPr>
            <w:tcW w:w="1167" w:type="pct"/>
          </w:tcPr>
          <w:p w14:paraId="6BCBB4C4" w14:textId="65461A0E"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00E2BBE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54FCB7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4A40517" w14:textId="77777777" w:rsidTr="00C61A26">
        <w:trPr>
          <w:jc w:val="center"/>
        </w:trPr>
        <w:tc>
          <w:tcPr>
            <w:tcW w:w="1614" w:type="pct"/>
          </w:tcPr>
          <w:p w14:paraId="016DE487" w14:textId="036437B9" w:rsidR="00BA5B70" w:rsidRPr="00755808" w:rsidRDefault="00BA5B70">
            <w:pPr>
              <w:pStyle w:val="ListParagraph"/>
              <w:numPr>
                <w:ilvl w:val="0"/>
                <w:numId w:val="70"/>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total NAB, jumlah unit, dan NAB per unit pada akhir periode laporan;</w:t>
            </w:r>
          </w:p>
        </w:tc>
        <w:tc>
          <w:tcPr>
            <w:tcW w:w="1167" w:type="pct"/>
          </w:tcPr>
          <w:p w14:paraId="6FE4CBBB"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768CA1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A1D647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5ED0676" w14:textId="77777777" w:rsidTr="00C61A26">
        <w:trPr>
          <w:jc w:val="center"/>
        </w:trPr>
        <w:tc>
          <w:tcPr>
            <w:tcW w:w="1614" w:type="pct"/>
          </w:tcPr>
          <w:p w14:paraId="2DE0392D" w14:textId="111DAE78" w:rsidR="00BA5B70" w:rsidRPr="00755808" w:rsidRDefault="00BA5B70">
            <w:pPr>
              <w:pStyle w:val="ListParagraph"/>
              <w:numPr>
                <w:ilvl w:val="0"/>
                <w:numId w:val="70"/>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komposisi masing-masing jenis investasi pada akhir periode laporan;</w:t>
            </w:r>
          </w:p>
        </w:tc>
        <w:tc>
          <w:tcPr>
            <w:tcW w:w="1167" w:type="pct"/>
          </w:tcPr>
          <w:p w14:paraId="0DFE38CF"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CD61F4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D7B154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43126C2" w14:textId="77777777" w:rsidTr="00C61A26">
        <w:trPr>
          <w:jc w:val="center"/>
        </w:trPr>
        <w:tc>
          <w:tcPr>
            <w:tcW w:w="1614" w:type="pct"/>
          </w:tcPr>
          <w:p w14:paraId="102046DE" w14:textId="1CA8CB67" w:rsidR="00BA5B70" w:rsidRPr="00755808" w:rsidRDefault="00BA5B70">
            <w:pPr>
              <w:pStyle w:val="ListParagraph"/>
              <w:numPr>
                <w:ilvl w:val="0"/>
                <w:numId w:val="70"/>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lastRenderedPageBreak/>
              <w:t>daftar rincian investasi, yang mencantumkan mana yang paling banyak antara 10 (sepuluh) investasi terbesar atau yang mewakili 80% (delapan puluh persen) total investasi setiap Subdana pada akhir periode laporan, dengan rincian nama investasi, nama pihak penerbit/penerima investasi, dan informasi mengenai ada atau tidaknya Pihak Terkait;</w:t>
            </w:r>
          </w:p>
        </w:tc>
        <w:tc>
          <w:tcPr>
            <w:tcW w:w="1167" w:type="pct"/>
          </w:tcPr>
          <w:p w14:paraId="414B5EE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0385B7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BE5A67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A7B686B" w14:textId="77777777" w:rsidTr="00C61A26">
        <w:trPr>
          <w:jc w:val="center"/>
        </w:trPr>
        <w:tc>
          <w:tcPr>
            <w:tcW w:w="1614" w:type="pct"/>
          </w:tcPr>
          <w:p w14:paraId="04265C09" w14:textId="5B61AAEF" w:rsidR="00BA5B70" w:rsidRPr="00755808" w:rsidRDefault="00BA5B70">
            <w:pPr>
              <w:pStyle w:val="ListParagraph"/>
              <w:numPr>
                <w:ilvl w:val="0"/>
                <w:numId w:val="70"/>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perkembangan kinerja investasi setiap Subdana, paling sedikit: </w:t>
            </w:r>
          </w:p>
        </w:tc>
        <w:tc>
          <w:tcPr>
            <w:tcW w:w="1167" w:type="pct"/>
          </w:tcPr>
          <w:p w14:paraId="4EA5704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BD137A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451A03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A1024F9" w14:textId="77777777" w:rsidTr="00C61A26">
        <w:trPr>
          <w:jc w:val="center"/>
        </w:trPr>
        <w:tc>
          <w:tcPr>
            <w:tcW w:w="1614" w:type="pct"/>
          </w:tcPr>
          <w:p w14:paraId="470B7037" w14:textId="78671C93" w:rsidR="00BA5B70" w:rsidRPr="00755808" w:rsidRDefault="00BA5B70">
            <w:pPr>
              <w:pStyle w:val="ListParagraph"/>
              <w:numPr>
                <w:ilvl w:val="0"/>
                <w:numId w:val="71"/>
              </w:numPr>
              <w:spacing w:after="0" w:line="360" w:lineRule="auto"/>
              <w:ind w:left="2282" w:hanging="283"/>
              <w:jc w:val="both"/>
              <w:rPr>
                <w:rFonts w:ascii="Bookman Old Style" w:hAnsi="Bookman Old Style"/>
                <w:color w:val="000000"/>
                <w:sz w:val="24"/>
                <w:szCs w:val="24"/>
              </w:rPr>
            </w:pPr>
            <w:r w:rsidRPr="00755808">
              <w:rPr>
                <w:rFonts w:ascii="Bookman Old Style" w:hAnsi="Bookman Old Style"/>
                <w:color w:val="000000"/>
                <w:sz w:val="24"/>
                <w:szCs w:val="24"/>
              </w:rPr>
              <w:t xml:space="preserve">perkembangan tahunan pada setiap akhir tahun dalam jangka waktu paling sedikit mana yang lebih pendek antara periode sejak Subdana diterbitkan atau dalam jangka waktu paling sedikit 5 (lima) tahun terakhir; dan </w:t>
            </w:r>
          </w:p>
        </w:tc>
        <w:tc>
          <w:tcPr>
            <w:tcW w:w="1167" w:type="pct"/>
          </w:tcPr>
          <w:p w14:paraId="1CDCD47C"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5ED05F1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ADD624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60C4939" w14:textId="77777777" w:rsidTr="00C61A26">
        <w:trPr>
          <w:jc w:val="center"/>
        </w:trPr>
        <w:tc>
          <w:tcPr>
            <w:tcW w:w="1614" w:type="pct"/>
          </w:tcPr>
          <w:p w14:paraId="0696D58B" w14:textId="7061CA26" w:rsidR="00BA5B70" w:rsidRPr="00755808" w:rsidRDefault="00BA5B70">
            <w:pPr>
              <w:pStyle w:val="ListParagraph"/>
              <w:numPr>
                <w:ilvl w:val="0"/>
                <w:numId w:val="71"/>
              </w:numPr>
              <w:spacing w:after="0" w:line="360" w:lineRule="auto"/>
              <w:ind w:left="2282" w:hanging="283"/>
              <w:jc w:val="both"/>
              <w:rPr>
                <w:rFonts w:ascii="Bookman Old Style" w:hAnsi="Bookman Old Style"/>
                <w:color w:val="000000"/>
                <w:sz w:val="24"/>
                <w:szCs w:val="24"/>
              </w:rPr>
            </w:pPr>
            <w:r w:rsidRPr="00755808">
              <w:rPr>
                <w:rFonts w:ascii="Bookman Old Style" w:hAnsi="Bookman Old Style"/>
                <w:color w:val="000000"/>
                <w:sz w:val="24"/>
                <w:szCs w:val="24"/>
              </w:rPr>
              <w:t>perkembangan bulanan selama 12 (dua belas) bulan terakhir.</w:t>
            </w:r>
          </w:p>
        </w:tc>
        <w:tc>
          <w:tcPr>
            <w:tcW w:w="1167" w:type="pct"/>
          </w:tcPr>
          <w:p w14:paraId="638AF808"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55A302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F5716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74D9032" w14:textId="77777777" w:rsidTr="00C61A26">
        <w:trPr>
          <w:jc w:val="center"/>
        </w:trPr>
        <w:tc>
          <w:tcPr>
            <w:tcW w:w="1614" w:type="pct"/>
          </w:tcPr>
          <w:p w14:paraId="0ADF33EA" w14:textId="7C23B989" w:rsidR="00BA5B70" w:rsidRPr="00587EC9" w:rsidRDefault="00BA5B70">
            <w:pPr>
              <w:pStyle w:val="ListParagraph"/>
              <w:numPr>
                <w:ilvl w:val="0"/>
                <w:numId w:val="68"/>
              </w:numPr>
              <w:spacing w:after="0" w:line="360" w:lineRule="auto"/>
              <w:jc w:val="both"/>
              <w:rPr>
                <w:rFonts w:ascii="Bookman Old Style" w:hAnsi="Bookman Old Style"/>
                <w:color w:val="000000"/>
                <w:sz w:val="24"/>
                <w:szCs w:val="24"/>
              </w:rPr>
            </w:pPr>
            <w:r w:rsidRPr="00587EC9">
              <w:rPr>
                <w:rFonts w:ascii="Bookman Old Style" w:hAnsi="Bookman Old Style"/>
                <w:color w:val="000000"/>
                <w:sz w:val="24"/>
                <w:szCs w:val="24"/>
              </w:rPr>
              <w:t xml:space="preserve">dalam hal Subdana baru dibentuk kurang dari 12 (dua belas) bulan, informasi kinerja sebagaimana dimaksud pada huruf e angka 4 merupakan kinerja investasi dari aset sesuai dengan komposisi investasi yang dijadikan dasar atas Subdana. </w:t>
            </w:r>
          </w:p>
        </w:tc>
        <w:tc>
          <w:tcPr>
            <w:tcW w:w="1167" w:type="pct"/>
          </w:tcPr>
          <w:p w14:paraId="2FD73DD9" w14:textId="02F6BFB9"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6F6C7D4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00E152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26D141C" w14:textId="77777777" w:rsidTr="00C61A26">
        <w:trPr>
          <w:jc w:val="center"/>
        </w:trPr>
        <w:tc>
          <w:tcPr>
            <w:tcW w:w="1614" w:type="pct"/>
          </w:tcPr>
          <w:p w14:paraId="793A36CD" w14:textId="278E43CB" w:rsidR="00BA5B70" w:rsidRPr="00587EC9" w:rsidRDefault="00BA5B70">
            <w:pPr>
              <w:pStyle w:val="ListParagraph"/>
              <w:numPr>
                <w:ilvl w:val="0"/>
                <w:numId w:val="68"/>
              </w:numPr>
              <w:spacing w:after="0" w:line="360" w:lineRule="auto"/>
              <w:jc w:val="both"/>
              <w:rPr>
                <w:rFonts w:ascii="Bookman Old Style" w:hAnsi="Bookman Old Style"/>
                <w:color w:val="000000"/>
                <w:sz w:val="24"/>
                <w:szCs w:val="24"/>
              </w:rPr>
            </w:pPr>
            <w:r w:rsidRPr="00587EC9">
              <w:rPr>
                <w:rFonts w:ascii="Bookman Old Style" w:hAnsi="Bookman Old Style"/>
                <w:color w:val="000000"/>
                <w:sz w:val="24"/>
                <w:szCs w:val="24"/>
              </w:rPr>
              <w:t xml:space="preserve">Perusahaan Asuransi atau Perusahaan Asuransi Syariah harus memberikan informasi bahwa kinerja tersebut bukan merupakan kinerja Subdana namun </w:t>
            </w:r>
            <w:r w:rsidRPr="00587EC9">
              <w:rPr>
                <w:rFonts w:ascii="Bookman Old Style" w:hAnsi="Bookman Old Style"/>
                <w:color w:val="000000"/>
                <w:sz w:val="24"/>
                <w:szCs w:val="24"/>
              </w:rPr>
              <w:lastRenderedPageBreak/>
              <w:t xml:space="preserve">merupakan kinerja dari aset yang sesuai dengan komposisi Subdana dengan tujuan memberikan gambaran mengenai kinerja Subdana; </w:t>
            </w:r>
          </w:p>
        </w:tc>
        <w:tc>
          <w:tcPr>
            <w:tcW w:w="1167" w:type="pct"/>
          </w:tcPr>
          <w:p w14:paraId="49555E78" w14:textId="10531897"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lastRenderedPageBreak/>
              <w:t>Cukup jelas.</w:t>
            </w:r>
          </w:p>
        </w:tc>
        <w:tc>
          <w:tcPr>
            <w:tcW w:w="1109" w:type="pct"/>
          </w:tcPr>
          <w:p w14:paraId="6B15EF2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384383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29D8C29" w14:textId="77777777" w:rsidTr="00C61A26">
        <w:trPr>
          <w:jc w:val="center"/>
        </w:trPr>
        <w:tc>
          <w:tcPr>
            <w:tcW w:w="1614" w:type="pct"/>
          </w:tcPr>
          <w:p w14:paraId="411A3520" w14:textId="463B4205" w:rsidR="00BA5B70" w:rsidRPr="00587EC9" w:rsidRDefault="00BA5B70">
            <w:pPr>
              <w:pStyle w:val="ListParagraph"/>
              <w:numPr>
                <w:ilvl w:val="0"/>
                <w:numId w:val="68"/>
              </w:numPr>
              <w:spacing w:after="0" w:line="360" w:lineRule="auto"/>
              <w:jc w:val="both"/>
              <w:rPr>
                <w:rFonts w:ascii="Bookman Old Style" w:hAnsi="Bookman Old Style"/>
                <w:color w:val="000000"/>
                <w:sz w:val="24"/>
                <w:szCs w:val="24"/>
              </w:rPr>
            </w:pPr>
            <w:r w:rsidRPr="00587EC9">
              <w:rPr>
                <w:rFonts w:ascii="Bookman Old Style" w:hAnsi="Bookman Old Style"/>
                <w:color w:val="000000"/>
                <w:sz w:val="24"/>
                <w:szCs w:val="24"/>
              </w:rPr>
              <w:t>informasi kinerja acuan berupa perkembangan kinerja instrumen investasi atau indeks yang memiliki karakteristik investasi yang sejenis dengan Subdana untuk jangka waktu yang sama dengan perkembangan kinerja Subdana sebagaimana dimaksud pada huruf e angka 4;</w:t>
            </w:r>
          </w:p>
        </w:tc>
        <w:tc>
          <w:tcPr>
            <w:tcW w:w="1167" w:type="pct"/>
          </w:tcPr>
          <w:p w14:paraId="2574D1DC" w14:textId="79DCD5E6"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0DA3B87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E89B6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8D18B6A" w14:textId="77777777" w:rsidTr="00C61A26">
        <w:trPr>
          <w:jc w:val="center"/>
        </w:trPr>
        <w:tc>
          <w:tcPr>
            <w:tcW w:w="1614" w:type="pct"/>
          </w:tcPr>
          <w:p w14:paraId="0270CA71" w14:textId="364E9E0A" w:rsidR="00BA5B70" w:rsidRPr="00587EC9" w:rsidRDefault="00BA5B70">
            <w:pPr>
              <w:pStyle w:val="ListParagraph"/>
              <w:numPr>
                <w:ilvl w:val="0"/>
                <w:numId w:val="68"/>
              </w:numPr>
              <w:spacing w:after="0" w:line="360" w:lineRule="auto"/>
              <w:jc w:val="both"/>
              <w:rPr>
                <w:rFonts w:ascii="Bookman Old Style" w:hAnsi="Bookman Old Style"/>
                <w:color w:val="000000"/>
                <w:sz w:val="24"/>
                <w:szCs w:val="24"/>
              </w:rPr>
            </w:pPr>
            <w:r w:rsidRPr="00587EC9">
              <w:rPr>
                <w:rFonts w:ascii="Bookman Old Style" w:hAnsi="Bookman Old Style"/>
                <w:color w:val="000000"/>
                <w:sz w:val="24"/>
                <w:szCs w:val="24"/>
              </w:rPr>
              <w:t xml:space="preserve">pernyataan peringatan bahwa kinerja masa lalu tidak mencerminkan kinerja masa depan dari PAYDI. </w:t>
            </w:r>
          </w:p>
        </w:tc>
        <w:tc>
          <w:tcPr>
            <w:tcW w:w="1167" w:type="pct"/>
          </w:tcPr>
          <w:p w14:paraId="3C12FBFC" w14:textId="04098CDA"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Pernyataan peringatan menggunakan bahasa yang mudah dipahami serta penulisan yang jelas dan menarik perhatian, antara lain dicetak dengan warna yang berbeda, huruf kapital, atau ukuran tulisan yang lebih besar.</w:t>
            </w:r>
          </w:p>
        </w:tc>
        <w:tc>
          <w:tcPr>
            <w:tcW w:w="1109" w:type="pct"/>
          </w:tcPr>
          <w:p w14:paraId="3F59CF7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78B55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84AEA3C" w14:textId="77777777" w:rsidTr="00C61A26">
        <w:trPr>
          <w:jc w:val="center"/>
        </w:trPr>
        <w:tc>
          <w:tcPr>
            <w:tcW w:w="1614" w:type="pct"/>
          </w:tcPr>
          <w:p w14:paraId="332FA98B" w14:textId="06B8A026" w:rsidR="00BA5B70" w:rsidRPr="00755808" w:rsidRDefault="00BA5B70">
            <w:pPr>
              <w:pStyle w:val="ListParagraph"/>
              <w:numPr>
                <w:ilvl w:val="2"/>
                <w:numId w:val="64"/>
              </w:numPr>
              <w:spacing w:after="0" w:line="360" w:lineRule="auto"/>
              <w:ind w:left="581"/>
              <w:jc w:val="both"/>
              <w:rPr>
                <w:rFonts w:ascii="Bookman Old Style" w:hAnsi="Bookman Old Style"/>
                <w:color w:val="000000"/>
                <w:sz w:val="24"/>
                <w:szCs w:val="24"/>
              </w:rPr>
            </w:pPr>
            <w:r w:rsidRPr="00755808">
              <w:rPr>
                <w:rFonts w:ascii="Bookman Old Style" w:hAnsi="Bookman Old Style"/>
                <w:color w:val="000000"/>
                <w:sz w:val="24"/>
                <w:szCs w:val="24"/>
              </w:rPr>
              <w:t xml:space="preserve">Perusahaan Asuransi atau Perusahaan Asuransi Syariah </w:t>
            </w:r>
            <w:r w:rsidRPr="006630CF">
              <w:rPr>
                <w:rFonts w:ascii="Bookman Old Style" w:hAnsi="Bookman Old Style"/>
                <w:color w:val="000000"/>
                <w:sz w:val="24"/>
                <w:szCs w:val="24"/>
              </w:rPr>
              <w:t>wajib</w:t>
            </w:r>
            <w:r w:rsidRPr="00755808">
              <w:rPr>
                <w:rFonts w:ascii="Bookman Old Style" w:hAnsi="Bookman Old Style"/>
                <w:color w:val="000000"/>
                <w:sz w:val="24"/>
                <w:szCs w:val="24"/>
              </w:rPr>
              <w:t xml:space="preserve"> menyampaikan laporan kinerja Subdana kepada Pemegang Polis, Tertanggung, atau Peserta pada saat: </w:t>
            </w:r>
          </w:p>
        </w:tc>
        <w:tc>
          <w:tcPr>
            <w:tcW w:w="1167" w:type="pct"/>
          </w:tcPr>
          <w:p w14:paraId="46880CAB" w14:textId="6672A0D1"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6C5AC76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1A169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1F9C5FD" w14:textId="77777777" w:rsidTr="00C61A26">
        <w:trPr>
          <w:jc w:val="center"/>
        </w:trPr>
        <w:tc>
          <w:tcPr>
            <w:tcW w:w="1614" w:type="pct"/>
          </w:tcPr>
          <w:p w14:paraId="441B8997" w14:textId="362D2D7D" w:rsidR="00BA5B70" w:rsidRPr="00755808" w:rsidRDefault="00BA5B70">
            <w:pPr>
              <w:pStyle w:val="ListParagraph"/>
              <w:numPr>
                <w:ilvl w:val="0"/>
                <w:numId w:val="72"/>
              </w:numPr>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 xml:space="preserve">menyampaikan ringkasan informasi produk dan layanan; dan </w:t>
            </w:r>
          </w:p>
        </w:tc>
        <w:tc>
          <w:tcPr>
            <w:tcW w:w="1167" w:type="pct"/>
          </w:tcPr>
          <w:p w14:paraId="6F7A325B"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DEAB85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0AF591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4D3DAC" w14:textId="77777777" w:rsidTr="00C61A26">
        <w:trPr>
          <w:jc w:val="center"/>
        </w:trPr>
        <w:tc>
          <w:tcPr>
            <w:tcW w:w="1614" w:type="pct"/>
          </w:tcPr>
          <w:p w14:paraId="6705E1AB" w14:textId="4343A2A9" w:rsidR="00BA5B70" w:rsidRPr="00755808" w:rsidRDefault="00BA5B70">
            <w:pPr>
              <w:pStyle w:val="ListParagraph"/>
              <w:numPr>
                <w:ilvl w:val="0"/>
                <w:numId w:val="72"/>
              </w:numPr>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menyampaikan laporan perkembangan Nilai Tunai.</w:t>
            </w:r>
          </w:p>
        </w:tc>
        <w:tc>
          <w:tcPr>
            <w:tcW w:w="1167" w:type="pct"/>
          </w:tcPr>
          <w:p w14:paraId="67AF4E56"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4B5D24B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555FE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E89C4F8" w14:textId="77777777" w:rsidTr="00C61A26">
        <w:trPr>
          <w:jc w:val="center"/>
        </w:trPr>
        <w:tc>
          <w:tcPr>
            <w:tcW w:w="1614" w:type="pct"/>
          </w:tcPr>
          <w:p w14:paraId="66416F1E" w14:textId="77777777" w:rsidR="00BA5B70" w:rsidRPr="009433FA" w:rsidRDefault="00BA5B70" w:rsidP="00BA5B70">
            <w:pPr>
              <w:spacing w:after="0" w:line="360" w:lineRule="auto"/>
              <w:jc w:val="both"/>
              <w:rPr>
                <w:rFonts w:ascii="Bookman Old Style" w:hAnsi="Bookman Old Style"/>
                <w:color w:val="000000"/>
                <w:sz w:val="24"/>
                <w:szCs w:val="24"/>
              </w:rPr>
            </w:pPr>
          </w:p>
        </w:tc>
        <w:tc>
          <w:tcPr>
            <w:tcW w:w="1167" w:type="pct"/>
          </w:tcPr>
          <w:p w14:paraId="7750D1A6"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7287C1E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D2639F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54094AE" w14:textId="77777777" w:rsidTr="00C61A26">
        <w:trPr>
          <w:jc w:val="center"/>
        </w:trPr>
        <w:tc>
          <w:tcPr>
            <w:tcW w:w="1614" w:type="pct"/>
          </w:tcPr>
          <w:p w14:paraId="1067B6F9" w14:textId="5994A2AA" w:rsidR="00BA5B70" w:rsidRPr="006630CF" w:rsidRDefault="00BA5B70" w:rsidP="00BA5B70">
            <w:pPr>
              <w:spacing w:after="0" w:line="360" w:lineRule="auto"/>
              <w:jc w:val="center"/>
              <w:rPr>
                <w:rFonts w:ascii="Bookman Old Style" w:hAnsi="Bookman Old Style"/>
                <w:color w:val="000000" w:themeColor="text1"/>
                <w:sz w:val="24"/>
                <w:szCs w:val="24"/>
              </w:rPr>
            </w:pPr>
            <w:r w:rsidRPr="006630CF">
              <w:rPr>
                <w:rFonts w:ascii="Bookman Old Style" w:hAnsi="Bookman Old Style"/>
                <w:color w:val="000000" w:themeColor="text1"/>
                <w:sz w:val="24"/>
                <w:szCs w:val="24"/>
              </w:rPr>
              <w:t>Bagian Kedelapan</w:t>
            </w:r>
          </w:p>
        </w:tc>
        <w:tc>
          <w:tcPr>
            <w:tcW w:w="1167" w:type="pct"/>
          </w:tcPr>
          <w:p w14:paraId="75E3308A"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7CA264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12B4D4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0E6C527" w14:textId="77777777" w:rsidTr="00C61A26">
        <w:trPr>
          <w:jc w:val="center"/>
        </w:trPr>
        <w:tc>
          <w:tcPr>
            <w:tcW w:w="1614" w:type="pct"/>
          </w:tcPr>
          <w:p w14:paraId="552D3C01" w14:textId="50262DBA" w:rsidR="00BA5B70" w:rsidRPr="006630CF" w:rsidRDefault="00BA5B70" w:rsidP="00BA5B70">
            <w:pPr>
              <w:spacing w:after="0" w:line="360" w:lineRule="auto"/>
              <w:jc w:val="center"/>
              <w:rPr>
                <w:rFonts w:ascii="Bookman Old Style" w:hAnsi="Bookman Old Style"/>
                <w:color w:val="000000" w:themeColor="text1"/>
                <w:sz w:val="24"/>
                <w:szCs w:val="24"/>
              </w:rPr>
            </w:pPr>
            <w:r w:rsidRPr="006630CF">
              <w:rPr>
                <w:rFonts w:ascii="Bookman Old Style" w:hAnsi="Bookman Old Style"/>
                <w:color w:val="000000" w:themeColor="text1"/>
                <w:sz w:val="24"/>
                <w:szCs w:val="24"/>
              </w:rPr>
              <w:t>Pelaporan Perkembangan Nilai Tunai</w:t>
            </w:r>
          </w:p>
        </w:tc>
        <w:tc>
          <w:tcPr>
            <w:tcW w:w="1167" w:type="pct"/>
          </w:tcPr>
          <w:p w14:paraId="4363C502"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6589C4F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156903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0274DA66" w14:textId="77777777" w:rsidTr="00C61A26">
        <w:trPr>
          <w:jc w:val="center"/>
        </w:trPr>
        <w:tc>
          <w:tcPr>
            <w:tcW w:w="1614" w:type="pct"/>
          </w:tcPr>
          <w:p w14:paraId="2DB5D53B" w14:textId="77777777" w:rsidR="00D5424C" w:rsidRPr="009433FA" w:rsidRDefault="00D5424C" w:rsidP="00BA5B70">
            <w:pPr>
              <w:spacing w:after="0" w:line="360" w:lineRule="auto"/>
              <w:jc w:val="center"/>
              <w:rPr>
                <w:rFonts w:ascii="Bookman Old Style" w:hAnsi="Bookman Old Style"/>
                <w:color w:val="FF0000"/>
                <w:sz w:val="24"/>
                <w:szCs w:val="24"/>
              </w:rPr>
            </w:pPr>
          </w:p>
        </w:tc>
        <w:tc>
          <w:tcPr>
            <w:tcW w:w="1167" w:type="pct"/>
          </w:tcPr>
          <w:p w14:paraId="33C20DA1" w14:textId="77777777" w:rsidR="00D5424C" w:rsidRPr="00BB62F1" w:rsidRDefault="00D5424C" w:rsidP="00BA5B70">
            <w:pPr>
              <w:tabs>
                <w:tab w:val="left" w:pos="2552"/>
              </w:tabs>
              <w:spacing w:after="0" w:line="360" w:lineRule="auto"/>
              <w:jc w:val="both"/>
              <w:rPr>
                <w:rFonts w:ascii="Bookman Old Style" w:hAnsi="Bookman Old Style"/>
                <w:sz w:val="24"/>
                <w:szCs w:val="24"/>
              </w:rPr>
            </w:pPr>
          </w:p>
        </w:tc>
        <w:tc>
          <w:tcPr>
            <w:tcW w:w="1109" w:type="pct"/>
          </w:tcPr>
          <w:p w14:paraId="3691A11F" w14:textId="77777777" w:rsidR="00D5424C" w:rsidRPr="00C562C1" w:rsidRDefault="00D5424C"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BDEEE9E" w14:textId="77777777" w:rsidR="00D5424C" w:rsidRPr="00C562C1" w:rsidRDefault="00D5424C"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BF91CE0" w14:textId="77777777" w:rsidTr="00C61A26">
        <w:trPr>
          <w:jc w:val="center"/>
        </w:trPr>
        <w:tc>
          <w:tcPr>
            <w:tcW w:w="1614" w:type="pct"/>
          </w:tcPr>
          <w:p w14:paraId="65E73C80" w14:textId="334D275E" w:rsidR="00BA5B70" w:rsidRPr="009433FA" w:rsidRDefault="00BA5B70" w:rsidP="00BA5B70">
            <w:pPr>
              <w:spacing w:after="0" w:line="360" w:lineRule="auto"/>
              <w:jc w:val="center"/>
              <w:rPr>
                <w:rFonts w:ascii="Bookman Old Style" w:hAnsi="Bookman Old Style"/>
                <w:color w:val="FF0000"/>
                <w:sz w:val="24"/>
                <w:szCs w:val="24"/>
              </w:rPr>
            </w:pPr>
            <w:r>
              <w:rPr>
                <w:rFonts w:ascii="Bookman Old Style" w:hAnsi="Bookman Old Style"/>
                <w:color w:val="000000"/>
                <w:sz w:val="24"/>
                <w:szCs w:val="24"/>
              </w:rPr>
              <w:t>Pasal 2</w:t>
            </w:r>
            <w:r w:rsidR="00B459E7">
              <w:rPr>
                <w:rFonts w:ascii="Bookman Old Style" w:hAnsi="Bookman Old Style"/>
                <w:color w:val="000000"/>
                <w:sz w:val="24"/>
                <w:szCs w:val="24"/>
              </w:rPr>
              <w:t>3</w:t>
            </w:r>
          </w:p>
        </w:tc>
        <w:tc>
          <w:tcPr>
            <w:tcW w:w="1167" w:type="pct"/>
          </w:tcPr>
          <w:p w14:paraId="7308E771"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7A3DE4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493FA6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37218E8" w14:textId="77777777" w:rsidTr="00C61A26">
        <w:trPr>
          <w:jc w:val="center"/>
        </w:trPr>
        <w:tc>
          <w:tcPr>
            <w:tcW w:w="1614" w:type="pct"/>
          </w:tcPr>
          <w:p w14:paraId="6117A5B6" w14:textId="33E9425D" w:rsidR="00BA5B70" w:rsidRPr="00755808" w:rsidRDefault="00BA5B70" w:rsidP="00BA5B70">
            <w:pPr>
              <w:pStyle w:val="ListParagraph"/>
              <w:numPr>
                <w:ilvl w:val="2"/>
                <w:numId w:val="31"/>
              </w:numPr>
              <w:spacing w:after="0" w:line="360" w:lineRule="auto"/>
              <w:ind w:left="581"/>
              <w:jc w:val="both"/>
              <w:rPr>
                <w:rFonts w:ascii="Bookman Old Style" w:hAnsi="Bookman Old Style"/>
                <w:color w:val="000000"/>
                <w:sz w:val="24"/>
                <w:szCs w:val="24"/>
              </w:rPr>
            </w:pPr>
            <w:r w:rsidRPr="00755808">
              <w:rPr>
                <w:rFonts w:ascii="Bookman Old Style" w:hAnsi="Bookman Old Style"/>
                <w:sz w:val="24"/>
                <w:szCs w:val="24"/>
              </w:rPr>
              <w:lastRenderedPageBreak/>
              <w:t xml:space="preserve">Perusahaan Asuransi atau Perusahaan Asuransi Syariah </w:t>
            </w:r>
            <w:r w:rsidRPr="006630CF">
              <w:rPr>
                <w:rFonts w:ascii="Bookman Old Style" w:hAnsi="Bookman Old Style"/>
                <w:sz w:val="24"/>
                <w:szCs w:val="24"/>
              </w:rPr>
              <w:t xml:space="preserve">wajib </w:t>
            </w:r>
            <w:r w:rsidRPr="00755808">
              <w:rPr>
                <w:rFonts w:ascii="Bookman Old Style" w:hAnsi="Bookman Old Style"/>
                <w:sz w:val="24"/>
                <w:szCs w:val="24"/>
              </w:rPr>
              <w:t>menyampaikan laporan perkembangan Nilai Tunai sebagaimana dimaksud dalam Pasal 13 ayat (4) huruf c kepada Pemegang Polis, Tertanggung, atau Peserta PAYDI</w:t>
            </w:r>
            <w:r w:rsidRPr="00755808">
              <w:rPr>
                <w:rFonts w:ascii="Bookman Old Style" w:hAnsi="Bookman Old Style"/>
                <w:color w:val="000000"/>
                <w:sz w:val="24"/>
                <w:szCs w:val="24"/>
              </w:rPr>
              <w:t xml:space="preserve">: </w:t>
            </w:r>
          </w:p>
        </w:tc>
        <w:tc>
          <w:tcPr>
            <w:tcW w:w="1167" w:type="pct"/>
          </w:tcPr>
          <w:p w14:paraId="633D349F" w14:textId="6F02FB49"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E189B1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103A23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BFB348B" w14:textId="77777777" w:rsidTr="00C61A26">
        <w:trPr>
          <w:jc w:val="center"/>
        </w:trPr>
        <w:tc>
          <w:tcPr>
            <w:tcW w:w="1614" w:type="pct"/>
          </w:tcPr>
          <w:p w14:paraId="23059D74" w14:textId="0774783F" w:rsidR="00BA5B70" w:rsidRPr="00755808" w:rsidRDefault="00BA5B70">
            <w:pPr>
              <w:pStyle w:val="ListParagraph"/>
              <w:numPr>
                <w:ilvl w:val="1"/>
                <w:numId w:val="42"/>
              </w:numPr>
              <w:spacing w:after="0" w:line="360" w:lineRule="auto"/>
              <w:ind w:left="1148" w:hanging="283"/>
              <w:jc w:val="both"/>
              <w:rPr>
                <w:rFonts w:ascii="Bookman Old Style" w:hAnsi="Bookman Old Style"/>
                <w:sz w:val="24"/>
                <w:szCs w:val="24"/>
              </w:rPr>
            </w:pPr>
            <w:r w:rsidRPr="00755808">
              <w:rPr>
                <w:rFonts w:ascii="Bookman Old Style" w:hAnsi="Bookman Old Style"/>
                <w:color w:val="000000"/>
                <w:sz w:val="24"/>
                <w:szCs w:val="24"/>
              </w:rPr>
              <w:t xml:space="preserve">secara berkala paling sedikit: </w:t>
            </w:r>
          </w:p>
        </w:tc>
        <w:tc>
          <w:tcPr>
            <w:tcW w:w="1167" w:type="pct"/>
          </w:tcPr>
          <w:p w14:paraId="2976304D"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627C68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EF8DB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8541DA7" w14:textId="77777777" w:rsidTr="00C61A26">
        <w:trPr>
          <w:jc w:val="center"/>
        </w:trPr>
        <w:tc>
          <w:tcPr>
            <w:tcW w:w="1614" w:type="pct"/>
          </w:tcPr>
          <w:p w14:paraId="12E39806" w14:textId="3E025EDE" w:rsidR="00BA5B70" w:rsidRPr="00755808" w:rsidRDefault="00BA5B70">
            <w:pPr>
              <w:pStyle w:val="ListParagraph"/>
              <w:numPr>
                <w:ilvl w:val="0"/>
                <w:numId w:val="7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setiap periode pembayaran Premi atau Kontribusi berkala dalam hal periode pembayaran kurang dari 3 (tiga) bulan; atau</w:t>
            </w:r>
          </w:p>
        </w:tc>
        <w:tc>
          <w:tcPr>
            <w:tcW w:w="1167" w:type="pct"/>
          </w:tcPr>
          <w:p w14:paraId="404BE117"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A07111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26674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7305DCD" w14:textId="77777777" w:rsidTr="00C61A26">
        <w:trPr>
          <w:jc w:val="center"/>
        </w:trPr>
        <w:tc>
          <w:tcPr>
            <w:tcW w:w="1614" w:type="pct"/>
          </w:tcPr>
          <w:p w14:paraId="08FC6789" w14:textId="358B4535" w:rsidR="00BA5B70" w:rsidRPr="00755808" w:rsidRDefault="00BA5B70">
            <w:pPr>
              <w:pStyle w:val="ListParagraph"/>
              <w:numPr>
                <w:ilvl w:val="0"/>
                <w:numId w:val="73"/>
              </w:numPr>
              <w:spacing w:after="0" w:line="360" w:lineRule="auto"/>
              <w:ind w:left="1715"/>
              <w:jc w:val="both"/>
              <w:rPr>
                <w:rFonts w:ascii="Bookman Old Style" w:hAnsi="Bookman Old Style"/>
                <w:color w:val="000000"/>
                <w:sz w:val="24"/>
                <w:szCs w:val="24"/>
              </w:rPr>
            </w:pPr>
            <w:r w:rsidRPr="00755808">
              <w:rPr>
                <w:rFonts w:ascii="Bookman Old Style" w:hAnsi="Bookman Old Style"/>
                <w:color w:val="000000"/>
                <w:sz w:val="24"/>
                <w:szCs w:val="24"/>
              </w:rPr>
              <w:t xml:space="preserve">setiap 3 (tiga) bulan dalam hal Premi atau Kontribusi berkala dibayarkan setiap 3 (tiga) bulan atau lebih, atau pembayaran Premi atau Kontribusi secara sekaligus. </w:t>
            </w:r>
          </w:p>
        </w:tc>
        <w:tc>
          <w:tcPr>
            <w:tcW w:w="1167" w:type="pct"/>
          </w:tcPr>
          <w:p w14:paraId="561CB036"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5A0DF5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A59AC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78BAA5C" w14:textId="77777777" w:rsidTr="00C61A26">
        <w:trPr>
          <w:jc w:val="center"/>
        </w:trPr>
        <w:tc>
          <w:tcPr>
            <w:tcW w:w="1614" w:type="pct"/>
          </w:tcPr>
          <w:p w14:paraId="38F724AB" w14:textId="484D9A85" w:rsidR="00BA5B70" w:rsidRPr="00755808" w:rsidRDefault="00BA5B70" w:rsidP="00BA5B70">
            <w:pPr>
              <w:pStyle w:val="ListParagraph"/>
              <w:numPr>
                <w:ilvl w:val="0"/>
                <w:numId w:val="31"/>
              </w:numPr>
              <w:spacing w:after="0" w:line="360" w:lineRule="auto"/>
              <w:ind w:left="1148"/>
              <w:jc w:val="both"/>
              <w:rPr>
                <w:rFonts w:ascii="Bookman Old Style" w:hAnsi="Bookman Old Style"/>
                <w:color w:val="000000"/>
                <w:sz w:val="24"/>
                <w:szCs w:val="24"/>
              </w:rPr>
            </w:pPr>
            <w:r w:rsidRPr="00755808">
              <w:rPr>
                <w:rFonts w:ascii="Bookman Old Style" w:hAnsi="Bookman Old Style"/>
                <w:sz w:val="24"/>
                <w:szCs w:val="24"/>
              </w:rPr>
              <w:t>setiap pembayaran penambahan Premi atau Kontribusi tunggal</w:t>
            </w:r>
            <w:r w:rsidRPr="00755808">
              <w:rPr>
                <w:rFonts w:ascii="Bookman Old Style" w:hAnsi="Bookman Old Style"/>
                <w:color w:val="000000"/>
                <w:sz w:val="24"/>
                <w:szCs w:val="24"/>
              </w:rPr>
              <w:t xml:space="preserve">; dan </w:t>
            </w:r>
          </w:p>
        </w:tc>
        <w:tc>
          <w:tcPr>
            <w:tcW w:w="1167" w:type="pct"/>
          </w:tcPr>
          <w:p w14:paraId="7C46857D"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87C16A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B7DE37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C8C16F" w14:textId="77777777" w:rsidTr="00C61A26">
        <w:trPr>
          <w:jc w:val="center"/>
        </w:trPr>
        <w:tc>
          <w:tcPr>
            <w:tcW w:w="1614" w:type="pct"/>
          </w:tcPr>
          <w:p w14:paraId="1698F85E" w14:textId="50C41BEB" w:rsidR="00BA5B70" w:rsidRPr="00755808" w:rsidRDefault="00BA5B70" w:rsidP="00BA5B70">
            <w:pPr>
              <w:pStyle w:val="ListParagraph"/>
              <w:numPr>
                <w:ilvl w:val="0"/>
                <w:numId w:val="31"/>
              </w:numPr>
              <w:spacing w:after="0" w:line="360" w:lineRule="auto"/>
              <w:ind w:left="1148"/>
              <w:jc w:val="both"/>
              <w:rPr>
                <w:rFonts w:ascii="Bookman Old Style" w:hAnsi="Bookman Old Style"/>
                <w:sz w:val="24"/>
                <w:szCs w:val="24"/>
              </w:rPr>
            </w:pPr>
            <w:r w:rsidRPr="00755808">
              <w:rPr>
                <w:rFonts w:ascii="Bookman Old Style" w:hAnsi="Bookman Old Style"/>
                <w:color w:val="000000"/>
                <w:sz w:val="24"/>
                <w:szCs w:val="24"/>
              </w:rPr>
              <w:t>setiap saat apabila diminta oleh Pemegang Polis, Tertanggung, atau Peserta.</w:t>
            </w:r>
          </w:p>
        </w:tc>
        <w:tc>
          <w:tcPr>
            <w:tcW w:w="1167" w:type="pct"/>
          </w:tcPr>
          <w:p w14:paraId="057CE5C0"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2386AF5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10173E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DF84AE4" w14:textId="77777777" w:rsidTr="00C61A26">
        <w:trPr>
          <w:jc w:val="center"/>
        </w:trPr>
        <w:tc>
          <w:tcPr>
            <w:tcW w:w="1614" w:type="pct"/>
          </w:tcPr>
          <w:p w14:paraId="749D2D44" w14:textId="251E54A0" w:rsidR="00BA5B70" w:rsidRPr="00755808" w:rsidRDefault="00BA5B70">
            <w:pPr>
              <w:pStyle w:val="ListParagraph"/>
              <w:numPr>
                <w:ilvl w:val="0"/>
                <w:numId w:val="42"/>
              </w:numPr>
              <w:spacing w:after="0" w:line="360" w:lineRule="auto"/>
              <w:jc w:val="both"/>
              <w:rPr>
                <w:rFonts w:ascii="Bookman Old Style" w:hAnsi="Bookman Old Style"/>
                <w:color w:val="000000"/>
                <w:sz w:val="24"/>
                <w:szCs w:val="24"/>
              </w:rPr>
            </w:pPr>
            <w:r w:rsidRPr="00755808">
              <w:rPr>
                <w:rFonts w:ascii="Bookman Old Style" w:hAnsi="Bookman Old Style"/>
                <w:color w:val="000000"/>
                <w:sz w:val="24"/>
                <w:szCs w:val="24"/>
              </w:rPr>
              <w:t>Laporan perkembangan Nilai Tunai sebagaimana dimaksud pada ayat (1) disampaikan melalui surat elektronik, situs web, dan/atau aplikasi dalam jaringan, atas persetujuan calon Pemegang Polis, Tertanggung, atau Peserta.</w:t>
            </w:r>
          </w:p>
        </w:tc>
        <w:tc>
          <w:tcPr>
            <w:tcW w:w="1167" w:type="pct"/>
          </w:tcPr>
          <w:p w14:paraId="4CDE913F" w14:textId="561E7523"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1770E5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F6E853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FBEE5F5" w14:textId="77777777" w:rsidTr="00C61A26">
        <w:trPr>
          <w:jc w:val="center"/>
        </w:trPr>
        <w:tc>
          <w:tcPr>
            <w:tcW w:w="1614" w:type="pct"/>
          </w:tcPr>
          <w:p w14:paraId="10E177E3" w14:textId="4CEAC1BB" w:rsidR="00BA5B70" w:rsidRPr="00755808" w:rsidRDefault="00BA5B70">
            <w:pPr>
              <w:pStyle w:val="ListParagraph"/>
              <w:numPr>
                <w:ilvl w:val="0"/>
                <w:numId w:val="42"/>
              </w:numPr>
              <w:spacing w:after="0" w:line="360" w:lineRule="auto"/>
              <w:jc w:val="both"/>
              <w:rPr>
                <w:rFonts w:ascii="Bookman Old Style" w:hAnsi="Bookman Old Style"/>
                <w:color w:val="000000"/>
                <w:sz w:val="24"/>
                <w:szCs w:val="24"/>
              </w:rPr>
            </w:pPr>
            <w:r w:rsidRPr="00755808">
              <w:rPr>
                <w:rFonts w:ascii="Bookman Old Style" w:hAnsi="Bookman Old Style"/>
                <w:color w:val="000000"/>
                <w:sz w:val="24"/>
                <w:szCs w:val="24"/>
              </w:rPr>
              <w:t xml:space="preserve">Dalam hal Perusahaan Asuransi atau Perusahaan Asuransi Syariah menyampaikan laporan perkembangan Nilai Tunai melalui situs web atau aplikasi dalam jaringan, Perusahaan menyampaikan pemberitahuan kepada Pemegang </w:t>
            </w:r>
            <w:r w:rsidRPr="00755808">
              <w:rPr>
                <w:rFonts w:ascii="Bookman Old Style" w:hAnsi="Bookman Old Style"/>
                <w:color w:val="000000"/>
                <w:sz w:val="24"/>
                <w:szCs w:val="24"/>
              </w:rPr>
              <w:lastRenderedPageBreak/>
              <w:t>Polis, Tertanggung, atau Peserta melalui surat elektronik dan/atau media komunikasi lainnya sesuai periode sebagaimana dimaksud pada ayat (1).</w:t>
            </w:r>
          </w:p>
        </w:tc>
        <w:tc>
          <w:tcPr>
            <w:tcW w:w="1167" w:type="pct"/>
          </w:tcPr>
          <w:p w14:paraId="34C0F44A" w14:textId="4E6A4E2D"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lastRenderedPageBreak/>
              <w:t>Cukup jelas.</w:t>
            </w:r>
          </w:p>
        </w:tc>
        <w:tc>
          <w:tcPr>
            <w:tcW w:w="1109" w:type="pct"/>
          </w:tcPr>
          <w:p w14:paraId="696896E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71AB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C62EC41" w14:textId="77777777" w:rsidTr="00C61A26">
        <w:trPr>
          <w:jc w:val="center"/>
        </w:trPr>
        <w:tc>
          <w:tcPr>
            <w:tcW w:w="1614" w:type="pct"/>
          </w:tcPr>
          <w:p w14:paraId="643F751A" w14:textId="5A5AF929" w:rsidR="00BA5B70" w:rsidRPr="00755808" w:rsidRDefault="00BA5B70">
            <w:pPr>
              <w:pStyle w:val="ListParagraph"/>
              <w:numPr>
                <w:ilvl w:val="0"/>
                <w:numId w:val="42"/>
              </w:numPr>
              <w:spacing w:after="0" w:line="360" w:lineRule="auto"/>
              <w:jc w:val="both"/>
              <w:rPr>
                <w:rFonts w:ascii="Bookman Old Style" w:hAnsi="Bookman Old Style"/>
                <w:color w:val="000000"/>
                <w:sz w:val="24"/>
                <w:szCs w:val="24"/>
              </w:rPr>
            </w:pPr>
            <w:r w:rsidRPr="00755808">
              <w:rPr>
                <w:rFonts w:ascii="Bookman Old Style" w:hAnsi="Bookman Old Style"/>
                <w:color w:val="000000"/>
                <w:sz w:val="24"/>
                <w:szCs w:val="24"/>
              </w:rPr>
              <w:t>Dalam hal terdapat kendala penyampaian laporan perkembangan Nilai Tunai menggunakan surat elektronik dan/atau sistem elektronik, Perusahaan Asuransi atau Perusahaan Asuransi Syariah menyampaikan laporan tersebut dalam bentuk cetak.</w:t>
            </w:r>
          </w:p>
        </w:tc>
        <w:tc>
          <w:tcPr>
            <w:tcW w:w="1167" w:type="pct"/>
          </w:tcPr>
          <w:p w14:paraId="717C54BD" w14:textId="1F90BE40"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49CBBEE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866D76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9A55DBB" w14:textId="77777777" w:rsidTr="00C61A26">
        <w:trPr>
          <w:jc w:val="center"/>
        </w:trPr>
        <w:tc>
          <w:tcPr>
            <w:tcW w:w="1614" w:type="pct"/>
          </w:tcPr>
          <w:p w14:paraId="1A15C441" w14:textId="0A523CBE" w:rsidR="00BA5B70" w:rsidRPr="00755808" w:rsidRDefault="00BA5B70">
            <w:pPr>
              <w:pStyle w:val="ListParagraph"/>
              <w:numPr>
                <w:ilvl w:val="0"/>
                <w:numId w:val="42"/>
              </w:numPr>
              <w:spacing w:after="0" w:line="360" w:lineRule="auto"/>
              <w:jc w:val="both"/>
              <w:rPr>
                <w:rFonts w:ascii="Bookman Old Style" w:hAnsi="Bookman Old Style"/>
                <w:color w:val="000000"/>
                <w:sz w:val="24"/>
                <w:szCs w:val="24"/>
              </w:rPr>
            </w:pPr>
            <w:r w:rsidRPr="00755808">
              <w:rPr>
                <w:rFonts w:ascii="Bookman Old Style" w:hAnsi="Bookman Old Style"/>
                <w:color w:val="000000"/>
                <w:sz w:val="24"/>
                <w:szCs w:val="24"/>
              </w:rPr>
              <w:t xml:space="preserve">Pelaporan perkembangan Nilai Tunai sebagaimana dimaksud pada ayat (1) memuat paling sedikit informasi sebagai berikut: </w:t>
            </w:r>
          </w:p>
        </w:tc>
        <w:tc>
          <w:tcPr>
            <w:tcW w:w="1167" w:type="pct"/>
          </w:tcPr>
          <w:p w14:paraId="5016BCFE"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135D2BC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8651A0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F377313" w14:textId="77777777" w:rsidTr="00C61A26">
        <w:trPr>
          <w:jc w:val="center"/>
        </w:trPr>
        <w:tc>
          <w:tcPr>
            <w:tcW w:w="1614" w:type="pct"/>
          </w:tcPr>
          <w:p w14:paraId="3AB9A778" w14:textId="3D468DD3"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nama Pemegang Polis, Tertanggung, atau Peserta; </w:t>
            </w:r>
          </w:p>
        </w:tc>
        <w:tc>
          <w:tcPr>
            <w:tcW w:w="1167" w:type="pct"/>
          </w:tcPr>
          <w:p w14:paraId="7F5A7F88" w14:textId="56BB9D1C"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4DDB758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39607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79C5BB3" w14:textId="77777777" w:rsidTr="00C61A26">
        <w:trPr>
          <w:jc w:val="center"/>
        </w:trPr>
        <w:tc>
          <w:tcPr>
            <w:tcW w:w="1614" w:type="pct"/>
          </w:tcPr>
          <w:p w14:paraId="22BB21FE" w14:textId="3476AD2E"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periode laporan; </w:t>
            </w:r>
          </w:p>
        </w:tc>
        <w:tc>
          <w:tcPr>
            <w:tcW w:w="1167" w:type="pct"/>
          </w:tcPr>
          <w:p w14:paraId="0013E3BF" w14:textId="47DE9EAB"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614BB0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457CE9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029EDB0" w14:textId="77777777" w:rsidTr="00C61A26">
        <w:trPr>
          <w:jc w:val="center"/>
        </w:trPr>
        <w:tc>
          <w:tcPr>
            <w:tcW w:w="1614" w:type="pct"/>
          </w:tcPr>
          <w:p w14:paraId="0A82A2A8" w14:textId="73905240"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nama produk;</w:t>
            </w:r>
          </w:p>
        </w:tc>
        <w:tc>
          <w:tcPr>
            <w:tcW w:w="1167" w:type="pct"/>
          </w:tcPr>
          <w:p w14:paraId="50A6B3B0" w14:textId="02B04EE0"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26484AA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E6552E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86809A1" w14:textId="77777777" w:rsidTr="00C61A26">
        <w:trPr>
          <w:jc w:val="center"/>
        </w:trPr>
        <w:tc>
          <w:tcPr>
            <w:tcW w:w="1614" w:type="pct"/>
          </w:tcPr>
          <w:p w14:paraId="35106067" w14:textId="5A4651C2"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uang pertanggungan; </w:t>
            </w:r>
          </w:p>
        </w:tc>
        <w:tc>
          <w:tcPr>
            <w:tcW w:w="1167" w:type="pct"/>
          </w:tcPr>
          <w:p w14:paraId="504F176C" w14:textId="56BB6B5F"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0542796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23939B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C3D5850" w14:textId="77777777" w:rsidTr="00C61A26">
        <w:trPr>
          <w:jc w:val="center"/>
        </w:trPr>
        <w:tc>
          <w:tcPr>
            <w:tcW w:w="1614" w:type="pct"/>
          </w:tcPr>
          <w:p w14:paraId="0944F13B" w14:textId="3871CBC1"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saldo awal Nilai Tunai, termasuk rincian setiap Subdana; </w:t>
            </w:r>
          </w:p>
        </w:tc>
        <w:tc>
          <w:tcPr>
            <w:tcW w:w="1167" w:type="pct"/>
          </w:tcPr>
          <w:p w14:paraId="34E716DD" w14:textId="00A28B07"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2064D9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7EA8D5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0ED6A1D" w14:textId="77777777" w:rsidTr="00C61A26">
        <w:trPr>
          <w:jc w:val="center"/>
        </w:trPr>
        <w:tc>
          <w:tcPr>
            <w:tcW w:w="1614" w:type="pct"/>
          </w:tcPr>
          <w:p w14:paraId="5E03197A" w14:textId="4F0C9EA5"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pembayaran Premi atau Kontribusi; </w:t>
            </w:r>
          </w:p>
        </w:tc>
        <w:tc>
          <w:tcPr>
            <w:tcW w:w="1167" w:type="pct"/>
          </w:tcPr>
          <w:p w14:paraId="37F54FD0" w14:textId="322EFE0D"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5903A70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C2B371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1269757" w14:textId="77777777" w:rsidTr="00C61A26">
        <w:trPr>
          <w:jc w:val="center"/>
        </w:trPr>
        <w:tc>
          <w:tcPr>
            <w:tcW w:w="1614" w:type="pct"/>
          </w:tcPr>
          <w:p w14:paraId="7EFCF8D3" w14:textId="40888460"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rincian penambahan Nilai Tunai dari setiap Subdana dalam periode berjalan; </w:t>
            </w:r>
          </w:p>
        </w:tc>
        <w:tc>
          <w:tcPr>
            <w:tcW w:w="1167" w:type="pct"/>
          </w:tcPr>
          <w:p w14:paraId="49E2C338" w14:textId="504B3CD0"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B680BE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19D0DC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1F8A416" w14:textId="77777777" w:rsidTr="00C61A26">
        <w:trPr>
          <w:jc w:val="center"/>
        </w:trPr>
        <w:tc>
          <w:tcPr>
            <w:tcW w:w="1614" w:type="pct"/>
          </w:tcPr>
          <w:p w14:paraId="179EA100" w14:textId="0ABBAB86"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rincian pengurangan Nilai Tunai dari setiap Subdana dalam periode berjalan;</w:t>
            </w:r>
          </w:p>
        </w:tc>
        <w:tc>
          <w:tcPr>
            <w:tcW w:w="1167" w:type="pct"/>
          </w:tcPr>
          <w:p w14:paraId="3B9338A5" w14:textId="5CAFEAC0"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9F0DBE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830C4B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F304A07" w14:textId="77777777" w:rsidTr="00C61A26">
        <w:trPr>
          <w:jc w:val="center"/>
        </w:trPr>
        <w:tc>
          <w:tcPr>
            <w:tcW w:w="1614" w:type="pct"/>
          </w:tcPr>
          <w:p w14:paraId="3252E08C" w14:textId="0A94C28B"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rincian biaya yang dibebankan kepada Pemegang Polis, Tertanggung, atau Peserta dengan mengacu kepada ketentuan </w:t>
            </w:r>
            <w:r w:rsidRPr="00755808">
              <w:rPr>
                <w:rFonts w:ascii="Bookman Old Style" w:hAnsi="Bookman Old Style"/>
                <w:color w:val="000000"/>
                <w:sz w:val="24"/>
                <w:szCs w:val="24"/>
              </w:rPr>
              <w:lastRenderedPageBreak/>
              <w:t>sebagaimana dimaksud dalam</w:t>
            </w:r>
            <w:r w:rsidRPr="00755808">
              <w:rPr>
                <w:rFonts w:ascii="Bookman Old Style" w:hAnsi="Bookman Old Style"/>
                <w:strike/>
                <w:color w:val="000000"/>
                <w:sz w:val="24"/>
                <w:szCs w:val="24"/>
              </w:rPr>
              <w:t xml:space="preserve"> </w:t>
            </w:r>
            <w:r w:rsidRPr="00755808">
              <w:rPr>
                <w:rFonts w:ascii="Bookman Old Style" w:hAnsi="Bookman Old Style"/>
                <w:color w:val="000000"/>
                <w:sz w:val="24"/>
                <w:szCs w:val="24"/>
              </w:rPr>
              <w:t xml:space="preserve">Pasal 18 ayat (2); </w:t>
            </w:r>
          </w:p>
        </w:tc>
        <w:tc>
          <w:tcPr>
            <w:tcW w:w="1167" w:type="pct"/>
          </w:tcPr>
          <w:p w14:paraId="307D2291" w14:textId="07F7F35D"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lastRenderedPageBreak/>
              <w:t>Cukup jelas.</w:t>
            </w:r>
          </w:p>
        </w:tc>
        <w:tc>
          <w:tcPr>
            <w:tcW w:w="1109" w:type="pct"/>
          </w:tcPr>
          <w:p w14:paraId="4BA3E7F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A07FAE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7B5B2C2" w14:textId="77777777" w:rsidTr="00C61A26">
        <w:trPr>
          <w:jc w:val="center"/>
        </w:trPr>
        <w:tc>
          <w:tcPr>
            <w:tcW w:w="1614" w:type="pct"/>
          </w:tcPr>
          <w:p w14:paraId="49C1ADC5" w14:textId="60978023"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saldo akhir Nilai Tunai, termasuk rincian setiap Subdana; </w:t>
            </w:r>
          </w:p>
        </w:tc>
        <w:tc>
          <w:tcPr>
            <w:tcW w:w="1167" w:type="pct"/>
          </w:tcPr>
          <w:p w14:paraId="26342B85" w14:textId="2F1B9961"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A7655B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8C279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237EB64" w14:textId="77777777" w:rsidTr="00C61A26">
        <w:trPr>
          <w:jc w:val="center"/>
        </w:trPr>
        <w:tc>
          <w:tcPr>
            <w:tcW w:w="1614" w:type="pct"/>
          </w:tcPr>
          <w:p w14:paraId="18D95870" w14:textId="264E39E4" w:rsidR="00BA5B70" w:rsidRPr="00755808" w:rsidRDefault="00BA5B70">
            <w:pPr>
              <w:pStyle w:val="ListParagraph"/>
              <w:numPr>
                <w:ilvl w:val="0"/>
                <w:numId w:val="74"/>
              </w:numP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nilai yang dapat diperoleh Pemegang Polis, Tertanggung, atau Peserta apabila dilakukan penarikan sebagian atau seluruh Nilai Tunai pada tanggal laporan perkembangan Nilai Tunai, setelah memperhitungkan biaya-biaya; </w:t>
            </w:r>
          </w:p>
        </w:tc>
        <w:tc>
          <w:tcPr>
            <w:tcW w:w="1167" w:type="pct"/>
          </w:tcPr>
          <w:p w14:paraId="65228FCF" w14:textId="220F9C26" w:rsidR="00BA5B70" w:rsidRPr="00BB62F1" w:rsidRDefault="00BA5B70" w:rsidP="00BA5B70">
            <w:pPr>
              <w:tabs>
                <w:tab w:val="left" w:pos="2552"/>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79F3F13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E79658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359D1DC" w14:textId="77777777" w:rsidTr="00C61A26">
        <w:trPr>
          <w:jc w:val="center"/>
        </w:trPr>
        <w:tc>
          <w:tcPr>
            <w:tcW w:w="1614" w:type="pct"/>
          </w:tcPr>
          <w:p w14:paraId="67D4C68D" w14:textId="77777777" w:rsidR="00BA5B70" w:rsidRPr="009D4064" w:rsidRDefault="00BA5B70">
            <w:pPr>
              <w:numPr>
                <w:ilvl w:val="0"/>
                <w:numId w:val="74"/>
              </w:numPr>
              <w:pBdr>
                <w:top w:val="nil"/>
                <w:left w:val="nil"/>
                <w:bottom w:val="nil"/>
                <w:right w:val="nil"/>
                <w:between w:val="nil"/>
              </w:pBdr>
              <w:spacing w:after="0" w:line="360" w:lineRule="auto"/>
              <w:ind w:left="1298" w:hanging="433"/>
              <w:jc w:val="both"/>
              <w:rPr>
                <w:rFonts w:ascii="Bookman Old Style" w:hAnsi="Bookman Old Style"/>
                <w:color w:val="000000"/>
                <w:sz w:val="24"/>
                <w:szCs w:val="24"/>
              </w:rPr>
            </w:pPr>
            <w:r w:rsidRPr="009D4064">
              <w:rPr>
                <w:rFonts w:ascii="Bookman Old Style" w:hAnsi="Bookman Old Style"/>
                <w:color w:val="000000"/>
                <w:sz w:val="24"/>
                <w:szCs w:val="24"/>
              </w:rPr>
              <w:t>informasi mengenai konsekuensi apabila Premi atau Kontribusi tidak dibayarkan selama periode tenggang pembayaran Premi atau Kontribusi;</w:t>
            </w:r>
          </w:p>
          <w:p w14:paraId="221B732D" w14:textId="77777777" w:rsidR="00BA5B70" w:rsidRPr="009D4064" w:rsidRDefault="00BA5B70" w:rsidP="003D5F35">
            <w:pPr>
              <w:spacing w:after="0" w:line="360" w:lineRule="auto"/>
              <w:ind w:left="1298" w:hanging="433"/>
              <w:jc w:val="both"/>
              <w:rPr>
                <w:rFonts w:ascii="Bookman Old Style" w:hAnsi="Bookman Old Style"/>
                <w:color w:val="000000"/>
                <w:sz w:val="24"/>
                <w:szCs w:val="24"/>
              </w:rPr>
            </w:pPr>
          </w:p>
        </w:tc>
        <w:tc>
          <w:tcPr>
            <w:tcW w:w="1167" w:type="pct"/>
          </w:tcPr>
          <w:p w14:paraId="68D2030F"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 xml:space="preserve">Periode tenggang juga dikenal dengan istilah </w:t>
            </w:r>
            <w:r w:rsidRPr="00BB62F1">
              <w:rPr>
                <w:rFonts w:ascii="Bookman Old Style" w:hAnsi="Bookman Old Style"/>
                <w:i/>
                <w:iCs/>
                <w:sz w:val="24"/>
                <w:szCs w:val="24"/>
              </w:rPr>
              <w:t>grace period</w:t>
            </w:r>
            <w:r w:rsidRPr="00BB62F1">
              <w:rPr>
                <w:rFonts w:ascii="Bookman Old Style" w:hAnsi="Bookman Old Style"/>
                <w:sz w:val="24"/>
                <w:szCs w:val="24"/>
              </w:rPr>
              <w:t>.</w:t>
            </w:r>
          </w:p>
          <w:p w14:paraId="121E5D18" w14:textId="77777777" w:rsidR="00BA5B70" w:rsidRPr="00BB62F1" w:rsidRDefault="00BA5B70" w:rsidP="00BA5B70">
            <w:pPr>
              <w:tabs>
                <w:tab w:val="left" w:pos="2552"/>
              </w:tabs>
              <w:spacing w:after="0" w:line="360" w:lineRule="auto"/>
              <w:jc w:val="both"/>
              <w:rPr>
                <w:rFonts w:ascii="Bookman Old Style" w:hAnsi="Bookman Old Style"/>
                <w:sz w:val="24"/>
                <w:szCs w:val="24"/>
              </w:rPr>
            </w:pPr>
          </w:p>
        </w:tc>
        <w:tc>
          <w:tcPr>
            <w:tcW w:w="1109" w:type="pct"/>
          </w:tcPr>
          <w:p w14:paraId="31E609B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110249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99CCA74" w14:textId="77777777" w:rsidTr="00C61A26">
        <w:trPr>
          <w:jc w:val="center"/>
        </w:trPr>
        <w:tc>
          <w:tcPr>
            <w:tcW w:w="1614" w:type="pct"/>
          </w:tcPr>
          <w:p w14:paraId="2A55295B" w14:textId="2901BF07" w:rsidR="00BA5B70" w:rsidRPr="00755808" w:rsidRDefault="00BA5B70">
            <w:pPr>
              <w:numPr>
                <w:ilvl w:val="0"/>
                <w:numId w:val="74"/>
              </w:numPr>
              <w:pBdr>
                <w:top w:val="nil"/>
                <w:left w:val="nil"/>
                <w:bottom w:val="nil"/>
                <w:right w:val="nil"/>
                <w:between w:val="nil"/>
              </w:pBdr>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informasi mengenai hak Pemegang Polis, Tertanggung, atau Peserta untuk mengajukan permohonan cuti Premi atau Kontribusi beserta konsekuensi dari hak cuti Premi atau Kontribusi; </w:t>
            </w:r>
          </w:p>
        </w:tc>
        <w:tc>
          <w:tcPr>
            <w:tcW w:w="1167" w:type="pct"/>
          </w:tcPr>
          <w:p w14:paraId="20204068" w14:textId="69038BB3"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1053A00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32F535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97D0C5D" w14:textId="77777777" w:rsidTr="00C61A26">
        <w:trPr>
          <w:jc w:val="center"/>
        </w:trPr>
        <w:tc>
          <w:tcPr>
            <w:tcW w:w="1614" w:type="pct"/>
          </w:tcPr>
          <w:p w14:paraId="223B5D7D" w14:textId="3D744357" w:rsidR="00BA5B70" w:rsidRPr="00755808" w:rsidRDefault="00BA5B70">
            <w:pPr>
              <w:pStyle w:val="ListParagraph"/>
              <w:numPr>
                <w:ilvl w:val="0"/>
                <w:numId w:val="74"/>
              </w:numPr>
              <w:pBdr>
                <w:top w:val="nil"/>
                <w:left w:val="nil"/>
                <w:bottom w:val="nil"/>
                <w:right w:val="nil"/>
                <w:between w:val="nil"/>
              </w:pBdr>
              <w:tabs>
                <w:tab w:val="num" w:pos="360"/>
              </w:tabs>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 xml:space="preserve">informasi mengenai perubahan biaya yang dibebankan kepada Pemegang Polis, Tertanggung, atau Peserta pada periode yang akan datang, apabila ada; dan </w:t>
            </w:r>
          </w:p>
        </w:tc>
        <w:tc>
          <w:tcPr>
            <w:tcW w:w="1167" w:type="pct"/>
          </w:tcPr>
          <w:p w14:paraId="5A7E5BDA" w14:textId="3447D940"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C96931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94909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11F37EA" w14:textId="77777777" w:rsidTr="00C61A26">
        <w:trPr>
          <w:jc w:val="center"/>
        </w:trPr>
        <w:tc>
          <w:tcPr>
            <w:tcW w:w="1614" w:type="pct"/>
          </w:tcPr>
          <w:p w14:paraId="4AC541A1" w14:textId="63530C83" w:rsidR="00BA5B70" w:rsidRPr="00755808" w:rsidRDefault="00BA5B70">
            <w:pPr>
              <w:pStyle w:val="ListParagraph"/>
              <w:numPr>
                <w:ilvl w:val="0"/>
                <w:numId w:val="74"/>
              </w:numPr>
              <w:pBdr>
                <w:top w:val="nil"/>
                <w:left w:val="nil"/>
                <w:bottom w:val="nil"/>
                <w:right w:val="nil"/>
                <w:between w:val="nil"/>
              </w:pBdr>
              <w:tabs>
                <w:tab w:val="num" w:pos="360"/>
              </w:tabs>
              <w:spacing w:after="0" w:line="360" w:lineRule="auto"/>
              <w:ind w:left="1298" w:hanging="433"/>
              <w:jc w:val="both"/>
              <w:rPr>
                <w:rFonts w:ascii="Bookman Old Style" w:hAnsi="Bookman Old Style"/>
                <w:color w:val="000000"/>
                <w:sz w:val="24"/>
                <w:szCs w:val="24"/>
              </w:rPr>
            </w:pPr>
            <w:r w:rsidRPr="00755808">
              <w:rPr>
                <w:rFonts w:ascii="Bookman Old Style" w:hAnsi="Bookman Old Style"/>
                <w:color w:val="000000"/>
                <w:sz w:val="24"/>
                <w:szCs w:val="24"/>
              </w:rPr>
              <w:t>pemberian manfaat fitur tambahan kepada Pemegang Polis, Tertanggung, atau Peserta yang bersangkutan sejak penyampaian laporan perkembangan Nilai Tunai periode sebelumnya.</w:t>
            </w:r>
          </w:p>
        </w:tc>
        <w:tc>
          <w:tcPr>
            <w:tcW w:w="1167" w:type="pct"/>
          </w:tcPr>
          <w:p w14:paraId="0C738E57" w14:textId="06A96101"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482852B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F9BEF2"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4281E5A" w14:textId="77777777" w:rsidTr="00C61A26">
        <w:trPr>
          <w:jc w:val="center"/>
        </w:trPr>
        <w:tc>
          <w:tcPr>
            <w:tcW w:w="1614" w:type="pct"/>
          </w:tcPr>
          <w:p w14:paraId="2FF4D280" w14:textId="4E2C943C" w:rsidR="00BA5B70" w:rsidRPr="00755808" w:rsidRDefault="00BA5B70">
            <w:pPr>
              <w:pStyle w:val="ListParagraph"/>
              <w:numPr>
                <w:ilvl w:val="0"/>
                <w:numId w:val="42"/>
              </w:numPr>
              <w:pBdr>
                <w:top w:val="nil"/>
                <w:left w:val="nil"/>
                <w:bottom w:val="nil"/>
                <w:right w:val="nil"/>
                <w:between w:val="nil"/>
              </w:pBdr>
              <w:tabs>
                <w:tab w:val="num" w:pos="360"/>
              </w:tabs>
              <w:spacing w:after="0" w:line="360" w:lineRule="auto"/>
              <w:jc w:val="both"/>
              <w:rPr>
                <w:rFonts w:ascii="Bookman Old Style" w:hAnsi="Bookman Old Style"/>
                <w:color w:val="000000"/>
                <w:sz w:val="24"/>
                <w:szCs w:val="24"/>
              </w:rPr>
            </w:pPr>
            <w:r w:rsidRPr="00755808">
              <w:rPr>
                <w:rFonts w:ascii="Bookman Old Style" w:hAnsi="Bookman Old Style"/>
                <w:color w:val="000000"/>
                <w:sz w:val="24"/>
                <w:szCs w:val="24"/>
              </w:rPr>
              <w:lastRenderedPageBreak/>
              <w:t>Dalam hal Subdana dinyatakan dalam bentuk unit, informasi mengenai Nilai Tunai sebagaimana dimaksud pada ayat (5) huruf e, huruf g, huruf h, huruf j, dan huruf k ditambahkan informasi mengenai NAB per unit dan jumlah unit dari Pemegang Polis, Tertanggung, atau Peserta yang bersangkutan.</w:t>
            </w:r>
          </w:p>
        </w:tc>
        <w:tc>
          <w:tcPr>
            <w:tcW w:w="1167" w:type="pct"/>
          </w:tcPr>
          <w:p w14:paraId="5E3C4D65" w14:textId="3E531A01"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4A7204D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32F99B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6CFB96D" w14:textId="77777777" w:rsidTr="00C61A26">
        <w:trPr>
          <w:jc w:val="center"/>
        </w:trPr>
        <w:tc>
          <w:tcPr>
            <w:tcW w:w="1614" w:type="pct"/>
          </w:tcPr>
          <w:p w14:paraId="3F8AE924" w14:textId="77777777" w:rsidR="00BA5B70" w:rsidRPr="009D4064" w:rsidRDefault="00BA5B70" w:rsidP="00BA5B70">
            <w:pPr>
              <w:pBdr>
                <w:top w:val="nil"/>
                <w:left w:val="nil"/>
                <w:bottom w:val="nil"/>
                <w:right w:val="nil"/>
                <w:between w:val="nil"/>
              </w:pBdr>
              <w:tabs>
                <w:tab w:val="num" w:pos="360"/>
              </w:tabs>
              <w:spacing w:after="0" w:line="360" w:lineRule="auto"/>
              <w:ind w:left="1148" w:hanging="283"/>
              <w:jc w:val="both"/>
              <w:rPr>
                <w:rFonts w:ascii="Bookman Old Style" w:hAnsi="Bookman Old Style"/>
                <w:color w:val="000000"/>
                <w:sz w:val="24"/>
                <w:szCs w:val="24"/>
              </w:rPr>
            </w:pPr>
          </w:p>
        </w:tc>
        <w:tc>
          <w:tcPr>
            <w:tcW w:w="1167" w:type="pct"/>
          </w:tcPr>
          <w:p w14:paraId="4F1EE4BE"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6F3A1E9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3B58C2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0FA428B" w14:textId="77777777" w:rsidTr="00C61A26">
        <w:trPr>
          <w:jc w:val="center"/>
        </w:trPr>
        <w:tc>
          <w:tcPr>
            <w:tcW w:w="1614" w:type="pct"/>
          </w:tcPr>
          <w:p w14:paraId="7E774311" w14:textId="2BD7A783"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Bagian Kedelapan</w:t>
            </w:r>
          </w:p>
        </w:tc>
        <w:tc>
          <w:tcPr>
            <w:tcW w:w="1167" w:type="pct"/>
          </w:tcPr>
          <w:p w14:paraId="4054CF86"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10AA145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7DAD3B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B477D9D" w14:textId="77777777" w:rsidTr="00C61A26">
        <w:trPr>
          <w:jc w:val="center"/>
        </w:trPr>
        <w:tc>
          <w:tcPr>
            <w:tcW w:w="1614" w:type="pct"/>
          </w:tcPr>
          <w:p w14:paraId="77B12BA7" w14:textId="20AAB186"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Sanksi Administratif</w:t>
            </w:r>
          </w:p>
        </w:tc>
        <w:tc>
          <w:tcPr>
            <w:tcW w:w="1167" w:type="pct"/>
          </w:tcPr>
          <w:p w14:paraId="62E48F3D"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755814D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2360D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3D5F35" w:rsidRPr="00C562C1" w14:paraId="7C91C4B4" w14:textId="77777777" w:rsidTr="00C61A26">
        <w:trPr>
          <w:jc w:val="center"/>
        </w:trPr>
        <w:tc>
          <w:tcPr>
            <w:tcW w:w="1614" w:type="pct"/>
          </w:tcPr>
          <w:p w14:paraId="54339B07" w14:textId="77777777" w:rsidR="003D5F35" w:rsidRPr="009D4064" w:rsidRDefault="003D5F35"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p>
        </w:tc>
        <w:tc>
          <w:tcPr>
            <w:tcW w:w="1167" w:type="pct"/>
          </w:tcPr>
          <w:p w14:paraId="5ACF3AA0" w14:textId="77777777" w:rsidR="003D5F35" w:rsidRPr="00BB62F1" w:rsidRDefault="003D5F35"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5B08F938"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24DC52B" w14:textId="77777777" w:rsidR="003D5F35" w:rsidRPr="00C562C1" w:rsidRDefault="003D5F35"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9B54865" w14:textId="77777777" w:rsidTr="00C61A26">
        <w:trPr>
          <w:jc w:val="center"/>
        </w:trPr>
        <w:tc>
          <w:tcPr>
            <w:tcW w:w="1614" w:type="pct"/>
          </w:tcPr>
          <w:p w14:paraId="07615BCF" w14:textId="4A8C254E"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Pasal 2</w:t>
            </w:r>
            <w:r w:rsidR="00B459E7">
              <w:rPr>
                <w:rFonts w:ascii="Bookman Old Style" w:hAnsi="Bookman Old Style"/>
                <w:color w:val="000000"/>
                <w:sz w:val="24"/>
                <w:szCs w:val="24"/>
              </w:rPr>
              <w:t>4</w:t>
            </w:r>
          </w:p>
        </w:tc>
        <w:tc>
          <w:tcPr>
            <w:tcW w:w="1167" w:type="pct"/>
          </w:tcPr>
          <w:p w14:paraId="3D0BD2EA" w14:textId="186DCFE0"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09A736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ED4184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F3C68EF" w14:textId="77777777" w:rsidTr="00C61A26">
        <w:trPr>
          <w:jc w:val="center"/>
        </w:trPr>
        <w:tc>
          <w:tcPr>
            <w:tcW w:w="1614" w:type="pct"/>
          </w:tcPr>
          <w:p w14:paraId="3CF90F2D" w14:textId="3F448CEF" w:rsidR="00BA5B70" w:rsidRPr="006630CF" w:rsidRDefault="006630CF">
            <w:pPr>
              <w:pStyle w:val="ListParagraph"/>
              <w:numPr>
                <w:ilvl w:val="0"/>
                <w:numId w:val="86"/>
              </w:numPr>
              <w:rPr>
                <w:rFonts w:ascii="Bookman Old Style" w:hAnsi="Bookman Old Style"/>
                <w:color w:val="000000"/>
                <w:sz w:val="24"/>
                <w:szCs w:val="24"/>
              </w:rPr>
            </w:pPr>
            <w:r w:rsidRPr="006630CF">
              <w:rPr>
                <w:rFonts w:ascii="Bookman Old Style" w:hAnsi="Bookman Old Style"/>
                <w:color w:val="000000"/>
                <w:sz w:val="24"/>
                <w:szCs w:val="24"/>
              </w:rPr>
              <w:t xml:space="preserve">Pelanggaran terhadap ketentuan sebagaimana dimaksud dalam Pasal 12, Pasal 13 ayat (1), ayat (2), ayat (3), Pasal 14 ayat (1), ayat (2), ayat (3) Pasal 15 ayat (3), ayat (4), ayat (5), ayat (6), ayat (7), Pasal 18 ayat (1), Pasal 19, Pasal 20 ayat (2), ayat (4), Pasal 21, Pasal 22 ayat (1), ayat (3), dan/atau Pasal 23 ayat (1) dikenakan sanksi administratif berupa: </w:t>
            </w:r>
          </w:p>
        </w:tc>
        <w:tc>
          <w:tcPr>
            <w:tcW w:w="1167" w:type="pct"/>
          </w:tcPr>
          <w:p w14:paraId="39C7F588"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4723477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F7A3B2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07F8F0F" w14:textId="77777777" w:rsidTr="00C61A26">
        <w:trPr>
          <w:jc w:val="center"/>
        </w:trPr>
        <w:tc>
          <w:tcPr>
            <w:tcW w:w="1614" w:type="pct"/>
          </w:tcPr>
          <w:p w14:paraId="4CA30454" w14:textId="7C5ED1E1" w:rsidR="00BA5B70" w:rsidRPr="00755808" w:rsidRDefault="00BA5B70">
            <w:pPr>
              <w:pStyle w:val="ListParagraph"/>
              <w:numPr>
                <w:ilvl w:val="1"/>
                <w:numId w:val="74"/>
              </w:numPr>
              <w:pBdr>
                <w:top w:val="nil"/>
                <w:left w:val="nil"/>
                <w:bottom w:val="nil"/>
                <w:right w:val="nil"/>
                <w:between w:val="nil"/>
              </w:pBdr>
              <w:tabs>
                <w:tab w:val="num" w:pos="360"/>
              </w:tabs>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 xml:space="preserve">peringatan tertulis; </w:t>
            </w:r>
          </w:p>
        </w:tc>
        <w:tc>
          <w:tcPr>
            <w:tcW w:w="1167" w:type="pct"/>
          </w:tcPr>
          <w:p w14:paraId="24E9E674"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3C3AC51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5A89C4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81EE09C" w14:textId="77777777" w:rsidTr="00C61A26">
        <w:trPr>
          <w:jc w:val="center"/>
        </w:trPr>
        <w:tc>
          <w:tcPr>
            <w:tcW w:w="1614" w:type="pct"/>
          </w:tcPr>
          <w:p w14:paraId="571C3A6B" w14:textId="2D691BA6" w:rsidR="00BA5B70" w:rsidRPr="00755808" w:rsidRDefault="00BA5B70">
            <w:pPr>
              <w:pStyle w:val="ListParagraph"/>
              <w:numPr>
                <w:ilvl w:val="1"/>
                <w:numId w:val="74"/>
              </w:numPr>
              <w:pBdr>
                <w:top w:val="nil"/>
                <w:left w:val="nil"/>
                <w:bottom w:val="nil"/>
                <w:right w:val="nil"/>
                <w:between w:val="nil"/>
              </w:pBdr>
              <w:tabs>
                <w:tab w:val="num" w:pos="360"/>
              </w:tabs>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 xml:space="preserve">larangan untuk memasarkan PAYDI; dan/atau </w:t>
            </w:r>
          </w:p>
        </w:tc>
        <w:tc>
          <w:tcPr>
            <w:tcW w:w="1167" w:type="pct"/>
          </w:tcPr>
          <w:p w14:paraId="70FA1154"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4477CA63"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29C100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D121675" w14:textId="77777777" w:rsidTr="00C61A26">
        <w:trPr>
          <w:jc w:val="center"/>
        </w:trPr>
        <w:tc>
          <w:tcPr>
            <w:tcW w:w="1614" w:type="pct"/>
          </w:tcPr>
          <w:p w14:paraId="5C64D684" w14:textId="474EE074" w:rsidR="00BA5B70" w:rsidRPr="00755808" w:rsidRDefault="00BA5B70">
            <w:pPr>
              <w:pStyle w:val="ListParagraph"/>
              <w:numPr>
                <w:ilvl w:val="1"/>
                <w:numId w:val="74"/>
              </w:numPr>
              <w:pBdr>
                <w:top w:val="nil"/>
                <w:left w:val="nil"/>
                <w:bottom w:val="nil"/>
                <w:right w:val="nil"/>
                <w:between w:val="nil"/>
              </w:pBdr>
              <w:tabs>
                <w:tab w:val="num" w:pos="360"/>
              </w:tabs>
              <w:spacing w:after="0" w:line="360" w:lineRule="auto"/>
              <w:ind w:left="1148"/>
              <w:jc w:val="both"/>
              <w:rPr>
                <w:rFonts w:ascii="Bookman Old Style" w:hAnsi="Bookman Old Style"/>
                <w:color w:val="000000"/>
                <w:sz w:val="24"/>
                <w:szCs w:val="24"/>
              </w:rPr>
            </w:pPr>
            <w:r w:rsidRPr="00755808">
              <w:rPr>
                <w:rFonts w:ascii="Bookman Old Style" w:hAnsi="Bookman Old Style"/>
                <w:color w:val="000000"/>
                <w:sz w:val="24"/>
                <w:szCs w:val="24"/>
              </w:rPr>
              <w:t>penurunan tingkat kesehatan.</w:t>
            </w:r>
          </w:p>
        </w:tc>
        <w:tc>
          <w:tcPr>
            <w:tcW w:w="1167" w:type="pct"/>
          </w:tcPr>
          <w:p w14:paraId="23867EBD"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79B8EB0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61C771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BF3AFF" w14:textId="77777777" w:rsidTr="00C61A26">
        <w:trPr>
          <w:jc w:val="center"/>
        </w:trPr>
        <w:tc>
          <w:tcPr>
            <w:tcW w:w="1614" w:type="pct"/>
          </w:tcPr>
          <w:p w14:paraId="4859E352" w14:textId="54ECD0D0" w:rsidR="00BA5B70" w:rsidRPr="00E33720" w:rsidRDefault="00BA5B70">
            <w:pPr>
              <w:pStyle w:val="ListParagraph"/>
              <w:numPr>
                <w:ilvl w:val="0"/>
                <w:numId w:val="87"/>
              </w:numPr>
              <w:pBdr>
                <w:top w:val="nil"/>
                <w:left w:val="nil"/>
                <w:bottom w:val="nil"/>
                <w:right w:val="nil"/>
                <w:between w:val="nil"/>
              </w:pBdr>
              <w:tabs>
                <w:tab w:val="num" w:pos="360"/>
              </w:tabs>
              <w:spacing w:after="0" w:line="360" w:lineRule="auto"/>
              <w:jc w:val="both"/>
              <w:rPr>
                <w:rFonts w:ascii="Bookman Old Style" w:hAnsi="Bookman Old Style"/>
                <w:color w:val="000000"/>
                <w:sz w:val="24"/>
                <w:szCs w:val="24"/>
              </w:rPr>
            </w:pPr>
            <w:r w:rsidRPr="00E33720">
              <w:rPr>
                <w:rFonts w:ascii="Bookman Old Style" w:hAnsi="Bookman Old Style"/>
                <w:color w:val="000000"/>
                <w:sz w:val="24"/>
                <w:szCs w:val="24"/>
              </w:rPr>
              <w:t xml:space="preserve">Dalam hal terjadi pelanggaran ketentuan sebagaimana dimaksud pada ayat (1) dan pelanggaran telah diperbaiki, Otoritas Jasa Keuangan memberikan sanksi peringatan tertulis yang berakhir dengan sendirinya. </w:t>
            </w:r>
          </w:p>
        </w:tc>
        <w:tc>
          <w:tcPr>
            <w:tcW w:w="1167" w:type="pct"/>
          </w:tcPr>
          <w:p w14:paraId="3B72A15F"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37A5988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D90C7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5146C3A" w14:textId="77777777" w:rsidTr="00C61A26">
        <w:trPr>
          <w:jc w:val="center"/>
        </w:trPr>
        <w:tc>
          <w:tcPr>
            <w:tcW w:w="1614" w:type="pct"/>
          </w:tcPr>
          <w:p w14:paraId="411D99D6" w14:textId="193746D8" w:rsidR="00BA5B70" w:rsidRPr="00E33720" w:rsidRDefault="00BA5B70">
            <w:pPr>
              <w:pStyle w:val="ListParagraph"/>
              <w:numPr>
                <w:ilvl w:val="0"/>
                <w:numId w:val="88"/>
              </w:numPr>
              <w:pBdr>
                <w:top w:val="nil"/>
                <w:left w:val="nil"/>
                <w:bottom w:val="nil"/>
                <w:right w:val="nil"/>
                <w:between w:val="nil"/>
              </w:pBdr>
              <w:tabs>
                <w:tab w:val="num" w:pos="360"/>
              </w:tabs>
              <w:spacing w:after="0" w:line="360" w:lineRule="auto"/>
              <w:jc w:val="both"/>
              <w:rPr>
                <w:rFonts w:ascii="Bookman Old Style" w:hAnsi="Bookman Old Style"/>
                <w:color w:val="000000"/>
                <w:sz w:val="24"/>
                <w:szCs w:val="24"/>
              </w:rPr>
            </w:pPr>
            <w:r w:rsidRPr="00E33720">
              <w:rPr>
                <w:rFonts w:ascii="Bookman Old Style" w:hAnsi="Bookman Old Style"/>
                <w:color w:val="000000"/>
                <w:sz w:val="24"/>
                <w:szCs w:val="24"/>
              </w:rPr>
              <w:lastRenderedPageBreak/>
              <w:t>Dalam hal pelanggaran atas ketentuan sebagaimana dimaksud pada ayat (1) huruf a dan huruf b telah dipenuhi, Otoritas Jasa Keuangan mencabut sanksi administratif.</w:t>
            </w:r>
          </w:p>
        </w:tc>
        <w:tc>
          <w:tcPr>
            <w:tcW w:w="1167" w:type="pct"/>
          </w:tcPr>
          <w:p w14:paraId="27A38E85"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489F4DB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276728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4CF0928" w14:textId="77777777" w:rsidTr="00C61A26">
        <w:trPr>
          <w:jc w:val="center"/>
        </w:trPr>
        <w:tc>
          <w:tcPr>
            <w:tcW w:w="1614" w:type="pct"/>
          </w:tcPr>
          <w:p w14:paraId="3C6C8FBF" w14:textId="77777777" w:rsidR="00BA5B70" w:rsidRPr="009D4064" w:rsidRDefault="00BA5B70" w:rsidP="00BA5B70">
            <w:pPr>
              <w:pBdr>
                <w:top w:val="nil"/>
                <w:left w:val="nil"/>
                <w:bottom w:val="nil"/>
                <w:right w:val="nil"/>
                <w:between w:val="nil"/>
              </w:pBdr>
              <w:tabs>
                <w:tab w:val="num" w:pos="360"/>
              </w:tabs>
              <w:spacing w:after="0" w:line="360" w:lineRule="auto"/>
              <w:ind w:left="1148" w:hanging="283"/>
              <w:jc w:val="both"/>
              <w:rPr>
                <w:rFonts w:ascii="Bookman Old Style" w:hAnsi="Bookman Old Style"/>
                <w:color w:val="000000"/>
                <w:sz w:val="24"/>
                <w:szCs w:val="24"/>
              </w:rPr>
            </w:pPr>
          </w:p>
        </w:tc>
        <w:tc>
          <w:tcPr>
            <w:tcW w:w="1167" w:type="pct"/>
          </w:tcPr>
          <w:p w14:paraId="2BD3724C"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69D4944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B48D98F"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B920EC1" w14:textId="77777777" w:rsidTr="00C61A26">
        <w:trPr>
          <w:jc w:val="center"/>
        </w:trPr>
        <w:tc>
          <w:tcPr>
            <w:tcW w:w="1614" w:type="pct"/>
          </w:tcPr>
          <w:p w14:paraId="3CE17A87" w14:textId="7021663B"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Pasal 2</w:t>
            </w:r>
            <w:r w:rsidR="006630CF">
              <w:rPr>
                <w:rFonts w:ascii="Bookman Old Style" w:hAnsi="Bookman Old Style"/>
                <w:color w:val="000000"/>
                <w:sz w:val="24"/>
                <w:szCs w:val="24"/>
              </w:rPr>
              <w:t>5</w:t>
            </w:r>
          </w:p>
        </w:tc>
        <w:tc>
          <w:tcPr>
            <w:tcW w:w="1167" w:type="pct"/>
          </w:tcPr>
          <w:p w14:paraId="31264F81" w14:textId="2471A16C"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25C4E62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DBD207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6437A780" w14:textId="77777777" w:rsidTr="00C61A26">
        <w:trPr>
          <w:jc w:val="center"/>
        </w:trPr>
        <w:tc>
          <w:tcPr>
            <w:tcW w:w="1614" w:type="pct"/>
          </w:tcPr>
          <w:p w14:paraId="56A7899D" w14:textId="42835631" w:rsidR="00BA5B70" w:rsidRPr="009D4064" w:rsidRDefault="00BA5B70" w:rsidP="00BA5B70">
            <w:pPr>
              <w:pBdr>
                <w:top w:val="nil"/>
                <w:left w:val="nil"/>
                <w:bottom w:val="nil"/>
                <w:right w:val="nil"/>
                <w:between w:val="nil"/>
              </w:pBdr>
              <w:tabs>
                <w:tab w:val="num" w:pos="360"/>
              </w:tabs>
              <w:spacing w:after="0" w:line="360" w:lineRule="auto"/>
              <w:jc w:val="both"/>
              <w:rPr>
                <w:rFonts w:ascii="Bookman Old Style" w:hAnsi="Bookman Old Style"/>
                <w:color w:val="000000"/>
                <w:sz w:val="24"/>
                <w:szCs w:val="24"/>
              </w:rPr>
            </w:pPr>
            <w:r w:rsidRPr="009D4064">
              <w:rPr>
                <w:rFonts w:ascii="Bookman Old Style" w:hAnsi="Bookman Old Style"/>
                <w:color w:val="000000"/>
                <w:sz w:val="24"/>
                <w:szCs w:val="24"/>
              </w:rPr>
              <w:t>Terhadap pelanggaran ketentuan sanksi administratif sebagaimana dimaksud dalam Pasal 2</w:t>
            </w:r>
            <w:r>
              <w:rPr>
                <w:rFonts w:ascii="Bookman Old Style" w:hAnsi="Bookman Old Style"/>
                <w:color w:val="000000"/>
                <w:sz w:val="24"/>
                <w:szCs w:val="24"/>
              </w:rPr>
              <w:t>6</w:t>
            </w:r>
            <w:r w:rsidRPr="009D4064">
              <w:rPr>
                <w:rFonts w:ascii="Bookman Old Style" w:hAnsi="Bookman Old Style"/>
                <w:color w:val="000000"/>
                <w:sz w:val="24"/>
                <w:szCs w:val="24"/>
              </w:rPr>
              <w:t xml:space="preserve"> ayat (1), Otoritas Jasa Keuangan dapat melakukan penilaian kembali terhadap pihak utama Perusahaan Asuransi atau Perusahaan Asuransi Syariah sesuai dengan Peraturan Otoritas Jasa Keuangan mengenai penilaian kembali bagi pihak utama lembaga jasa keuangan.</w:t>
            </w:r>
          </w:p>
        </w:tc>
        <w:tc>
          <w:tcPr>
            <w:tcW w:w="1167" w:type="pct"/>
          </w:tcPr>
          <w:p w14:paraId="74573D06"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51CD0C16"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2557A0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0713E483" w14:textId="77777777" w:rsidTr="00C61A26">
        <w:trPr>
          <w:jc w:val="center"/>
        </w:trPr>
        <w:tc>
          <w:tcPr>
            <w:tcW w:w="1614" w:type="pct"/>
          </w:tcPr>
          <w:p w14:paraId="37264EF4" w14:textId="77777777" w:rsidR="00BA5B70" w:rsidRPr="009D4064" w:rsidRDefault="00BA5B70" w:rsidP="00BA5B70">
            <w:pPr>
              <w:pBdr>
                <w:top w:val="nil"/>
                <w:left w:val="nil"/>
                <w:bottom w:val="nil"/>
                <w:right w:val="nil"/>
                <w:between w:val="nil"/>
              </w:pBdr>
              <w:tabs>
                <w:tab w:val="num" w:pos="360"/>
              </w:tabs>
              <w:spacing w:after="0" w:line="360" w:lineRule="auto"/>
              <w:ind w:left="1148" w:hanging="283"/>
              <w:jc w:val="both"/>
              <w:rPr>
                <w:rFonts w:ascii="Bookman Old Style" w:hAnsi="Bookman Old Style"/>
                <w:color w:val="000000"/>
                <w:sz w:val="24"/>
                <w:szCs w:val="24"/>
              </w:rPr>
            </w:pPr>
          </w:p>
        </w:tc>
        <w:tc>
          <w:tcPr>
            <w:tcW w:w="1167" w:type="pct"/>
          </w:tcPr>
          <w:p w14:paraId="53AFA847"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14D78A2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BDAE1C4"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20A82B1" w14:textId="77777777" w:rsidTr="00C61A26">
        <w:trPr>
          <w:jc w:val="center"/>
        </w:trPr>
        <w:tc>
          <w:tcPr>
            <w:tcW w:w="1614" w:type="pct"/>
          </w:tcPr>
          <w:p w14:paraId="6C87A914" w14:textId="7642139C"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 xml:space="preserve">BAB </w:t>
            </w:r>
            <w:r w:rsidR="00D5424C">
              <w:rPr>
                <w:rFonts w:ascii="Bookman Old Style" w:hAnsi="Bookman Old Style"/>
                <w:color w:val="000000"/>
                <w:sz w:val="24"/>
                <w:szCs w:val="24"/>
              </w:rPr>
              <w:t>I</w:t>
            </w:r>
            <w:r w:rsidRPr="009D4064">
              <w:rPr>
                <w:rFonts w:ascii="Bookman Old Style" w:hAnsi="Bookman Old Style"/>
                <w:color w:val="000000"/>
                <w:sz w:val="24"/>
                <w:szCs w:val="24"/>
              </w:rPr>
              <w:t>V</w:t>
            </w:r>
          </w:p>
        </w:tc>
        <w:tc>
          <w:tcPr>
            <w:tcW w:w="1167" w:type="pct"/>
          </w:tcPr>
          <w:p w14:paraId="2B6E5B2E"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43ACB16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31D9C85"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13D85A70" w14:textId="77777777" w:rsidTr="00C61A26">
        <w:trPr>
          <w:jc w:val="center"/>
        </w:trPr>
        <w:tc>
          <w:tcPr>
            <w:tcW w:w="1614" w:type="pct"/>
          </w:tcPr>
          <w:p w14:paraId="0BBA7E1F" w14:textId="6E1234AF"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PERSETUJUAN DAN PELAPORAN PAYDI</w:t>
            </w:r>
          </w:p>
        </w:tc>
        <w:tc>
          <w:tcPr>
            <w:tcW w:w="1167" w:type="pct"/>
          </w:tcPr>
          <w:p w14:paraId="0C8517C6"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68EDB65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279C07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AD71D6B" w14:textId="77777777" w:rsidTr="00C61A26">
        <w:trPr>
          <w:jc w:val="center"/>
        </w:trPr>
        <w:tc>
          <w:tcPr>
            <w:tcW w:w="1614" w:type="pct"/>
          </w:tcPr>
          <w:p w14:paraId="2D3093DB" w14:textId="77777777" w:rsidR="00D5424C" w:rsidRPr="009D4064" w:rsidRDefault="00D5424C"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p>
        </w:tc>
        <w:tc>
          <w:tcPr>
            <w:tcW w:w="1167" w:type="pct"/>
          </w:tcPr>
          <w:p w14:paraId="3BA502D0" w14:textId="77777777" w:rsidR="00D5424C" w:rsidRPr="00BB62F1" w:rsidRDefault="00D5424C"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4469BFA0" w14:textId="77777777" w:rsidR="00D5424C" w:rsidRPr="00C562C1" w:rsidRDefault="00D5424C"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E943B4" w14:textId="77777777" w:rsidR="00D5424C" w:rsidRPr="00C562C1" w:rsidRDefault="00D5424C"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7654341" w14:textId="77777777" w:rsidTr="00C61A26">
        <w:trPr>
          <w:jc w:val="center"/>
        </w:trPr>
        <w:tc>
          <w:tcPr>
            <w:tcW w:w="1614" w:type="pct"/>
          </w:tcPr>
          <w:p w14:paraId="138A917B" w14:textId="7A5AA8FE"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sz w:val="24"/>
                <w:szCs w:val="24"/>
              </w:rPr>
              <w:t>Pasal 2</w:t>
            </w:r>
            <w:r w:rsidR="006630CF">
              <w:rPr>
                <w:rFonts w:ascii="Bookman Old Style" w:hAnsi="Bookman Old Style"/>
                <w:color w:val="000000"/>
                <w:sz w:val="24"/>
                <w:szCs w:val="24"/>
              </w:rPr>
              <w:t>6</w:t>
            </w:r>
          </w:p>
        </w:tc>
        <w:tc>
          <w:tcPr>
            <w:tcW w:w="1167" w:type="pct"/>
          </w:tcPr>
          <w:p w14:paraId="45FBD095" w14:textId="2A11D130"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687DC71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C4C54F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0876310" w14:textId="77777777" w:rsidTr="00C61A26">
        <w:trPr>
          <w:jc w:val="center"/>
        </w:trPr>
        <w:tc>
          <w:tcPr>
            <w:tcW w:w="1614" w:type="pct"/>
          </w:tcPr>
          <w:p w14:paraId="4EB6C8C5" w14:textId="14F04B0A" w:rsidR="00BA5B70" w:rsidRPr="006630CF" w:rsidRDefault="00BA5B70">
            <w:pPr>
              <w:pStyle w:val="ListParagraph"/>
              <w:numPr>
                <w:ilvl w:val="0"/>
                <w:numId w:val="75"/>
              </w:num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6630CF">
              <w:rPr>
                <w:rFonts w:ascii="Bookman Old Style" w:hAnsi="Bookman Old Style"/>
                <w:color w:val="000000" w:themeColor="text1"/>
                <w:sz w:val="24"/>
                <w:szCs w:val="24"/>
              </w:rPr>
              <w:t>Tata cara persetujuan dan pelaporan PAYDI dilaksanakan sesuai dengan Peraturan Otoritas Jasa Keuangan mengenai produk asuransi dan pemasaran produk asuransi.</w:t>
            </w:r>
          </w:p>
        </w:tc>
        <w:tc>
          <w:tcPr>
            <w:tcW w:w="1167" w:type="pct"/>
          </w:tcPr>
          <w:p w14:paraId="5541084E"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3AE870E7"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2401C39"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5E3CE155" w14:textId="77777777" w:rsidTr="00C61A26">
        <w:trPr>
          <w:jc w:val="center"/>
        </w:trPr>
        <w:tc>
          <w:tcPr>
            <w:tcW w:w="1614" w:type="pct"/>
          </w:tcPr>
          <w:p w14:paraId="13EC8E72" w14:textId="0D9A6B59" w:rsidR="00BA5B70" w:rsidRPr="006630CF" w:rsidRDefault="00BA5B70">
            <w:pPr>
              <w:pStyle w:val="ListParagraph"/>
              <w:numPr>
                <w:ilvl w:val="0"/>
                <w:numId w:val="75"/>
              </w:numPr>
              <w:pBdr>
                <w:top w:val="nil"/>
                <w:left w:val="nil"/>
                <w:bottom w:val="nil"/>
                <w:right w:val="nil"/>
                <w:between w:val="nil"/>
              </w:pBdr>
              <w:spacing w:after="0" w:line="360" w:lineRule="auto"/>
              <w:jc w:val="both"/>
              <w:rPr>
                <w:rFonts w:ascii="Bookman Old Style" w:hAnsi="Bookman Old Style"/>
                <w:color w:val="000000" w:themeColor="text1"/>
                <w:sz w:val="24"/>
                <w:szCs w:val="24"/>
              </w:rPr>
            </w:pPr>
            <w:r w:rsidRPr="006630CF">
              <w:rPr>
                <w:rFonts w:ascii="Bookman Old Style" w:hAnsi="Bookman Old Style"/>
                <w:color w:val="000000" w:themeColor="text1"/>
                <w:sz w:val="24"/>
                <w:szCs w:val="24"/>
              </w:rPr>
              <w:t>Ketentuan lebih lanjut mengenai bentuk, dan format persetujuan dan pelaporan PAYDI ditetapkan oleh Otoritas Jasa Keuangan.</w:t>
            </w:r>
          </w:p>
        </w:tc>
        <w:tc>
          <w:tcPr>
            <w:tcW w:w="1167" w:type="pct"/>
          </w:tcPr>
          <w:p w14:paraId="752174D7"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1F8C5C9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6C993ED"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3A04A69A" w14:textId="77777777" w:rsidTr="00C61A26">
        <w:trPr>
          <w:jc w:val="center"/>
        </w:trPr>
        <w:tc>
          <w:tcPr>
            <w:tcW w:w="1614" w:type="pct"/>
          </w:tcPr>
          <w:p w14:paraId="082DBE3A" w14:textId="77777777" w:rsidR="00BA5B70" w:rsidRPr="009D4064" w:rsidRDefault="00BA5B70" w:rsidP="00BA5B70">
            <w:pPr>
              <w:pBdr>
                <w:top w:val="nil"/>
                <w:left w:val="nil"/>
                <w:bottom w:val="nil"/>
                <w:right w:val="nil"/>
                <w:between w:val="nil"/>
              </w:pBdr>
              <w:tabs>
                <w:tab w:val="num" w:pos="360"/>
              </w:tabs>
              <w:spacing w:after="0" w:line="360" w:lineRule="auto"/>
              <w:jc w:val="both"/>
              <w:rPr>
                <w:rFonts w:ascii="Bookman Old Style" w:hAnsi="Bookman Old Style"/>
                <w:color w:val="EE0000"/>
                <w:sz w:val="24"/>
                <w:szCs w:val="24"/>
              </w:rPr>
            </w:pPr>
          </w:p>
        </w:tc>
        <w:tc>
          <w:tcPr>
            <w:tcW w:w="1167" w:type="pct"/>
          </w:tcPr>
          <w:p w14:paraId="5DE766F3"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116554BE"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770B60A"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723CE9CA" w14:textId="77777777" w:rsidTr="00C61A26">
        <w:trPr>
          <w:jc w:val="center"/>
        </w:trPr>
        <w:tc>
          <w:tcPr>
            <w:tcW w:w="1614" w:type="pct"/>
          </w:tcPr>
          <w:p w14:paraId="2BBBD02D" w14:textId="69906138"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EE0000"/>
                <w:sz w:val="24"/>
                <w:szCs w:val="24"/>
              </w:rPr>
            </w:pPr>
            <w:r w:rsidRPr="009D4064">
              <w:rPr>
                <w:rFonts w:ascii="Bookman Old Style" w:hAnsi="Bookman Old Style"/>
                <w:color w:val="000000" w:themeColor="text1"/>
                <w:sz w:val="24"/>
                <w:szCs w:val="24"/>
              </w:rPr>
              <w:t>BAB V</w:t>
            </w:r>
          </w:p>
        </w:tc>
        <w:tc>
          <w:tcPr>
            <w:tcW w:w="1167" w:type="pct"/>
          </w:tcPr>
          <w:p w14:paraId="5F2E2437"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083031F8"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BF99E5B"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2F6259E9" w14:textId="77777777" w:rsidTr="00C61A26">
        <w:trPr>
          <w:jc w:val="center"/>
        </w:trPr>
        <w:tc>
          <w:tcPr>
            <w:tcW w:w="1614" w:type="pct"/>
          </w:tcPr>
          <w:p w14:paraId="3E54CDA8" w14:textId="6B200567"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t>KETENTUAN LAIN-LAIN</w:t>
            </w:r>
          </w:p>
        </w:tc>
        <w:tc>
          <w:tcPr>
            <w:tcW w:w="1167" w:type="pct"/>
          </w:tcPr>
          <w:p w14:paraId="56627A82" w14:textId="77777777"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1B02C411"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42876C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BA5B70" w:rsidRPr="00C562C1" w14:paraId="4F72D713" w14:textId="77777777" w:rsidTr="00C61A26">
        <w:trPr>
          <w:jc w:val="center"/>
        </w:trPr>
        <w:tc>
          <w:tcPr>
            <w:tcW w:w="1614" w:type="pct"/>
          </w:tcPr>
          <w:p w14:paraId="6B927B00" w14:textId="68BD6C94" w:rsidR="00BA5B70" w:rsidRPr="009D4064" w:rsidRDefault="00BA5B70" w:rsidP="00BA5B70">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lastRenderedPageBreak/>
              <w:t>Pasal 2</w:t>
            </w:r>
            <w:r w:rsidR="006630CF">
              <w:rPr>
                <w:rFonts w:ascii="Bookman Old Style" w:hAnsi="Bookman Old Style"/>
                <w:color w:val="000000" w:themeColor="text1"/>
                <w:sz w:val="24"/>
                <w:szCs w:val="24"/>
              </w:rPr>
              <w:t>7</w:t>
            </w:r>
          </w:p>
        </w:tc>
        <w:tc>
          <w:tcPr>
            <w:tcW w:w="1167" w:type="pct"/>
          </w:tcPr>
          <w:p w14:paraId="6D85929D" w14:textId="12D82C2A" w:rsidR="00BA5B70" w:rsidRPr="00BB62F1" w:rsidRDefault="00BA5B70" w:rsidP="00BA5B70">
            <w:pPr>
              <w:tabs>
                <w:tab w:val="left" w:pos="1134"/>
                <w:tab w:val="left" w:pos="1701"/>
                <w:tab w:val="left" w:pos="2268"/>
              </w:tabs>
              <w:spacing w:after="0" w:line="240" w:lineRule="auto"/>
              <w:jc w:val="both"/>
              <w:rPr>
                <w:rFonts w:ascii="Bookman Old Style" w:hAnsi="Bookman Old Style"/>
                <w:sz w:val="24"/>
                <w:szCs w:val="24"/>
              </w:rPr>
            </w:pPr>
          </w:p>
        </w:tc>
        <w:tc>
          <w:tcPr>
            <w:tcW w:w="1109" w:type="pct"/>
          </w:tcPr>
          <w:p w14:paraId="385690F0"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03236C" w14:textId="77777777" w:rsidR="00BA5B70" w:rsidRPr="00C562C1" w:rsidRDefault="00BA5B70" w:rsidP="00BA5B70">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1659FDD8" w14:textId="77777777" w:rsidTr="00C61A26">
        <w:trPr>
          <w:jc w:val="center"/>
        </w:trPr>
        <w:tc>
          <w:tcPr>
            <w:tcW w:w="1614" w:type="pct"/>
          </w:tcPr>
          <w:p w14:paraId="28FB02FA" w14:textId="156C1266"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9D4064">
              <w:rPr>
                <w:rFonts w:ascii="Bookman Old Style" w:hAnsi="Bookman Old Style"/>
                <w:color w:val="000000"/>
                <w:sz w:val="24"/>
                <w:szCs w:val="24"/>
              </w:rPr>
              <w:t>Otoritas Jasa Keuangan berdasarkan pertimbangan tertentu dapat memberikan persetujuan atau kebijakan yang berbeda dengan Peraturan Otoritas Jasa Keuangan ini.</w:t>
            </w:r>
          </w:p>
        </w:tc>
        <w:tc>
          <w:tcPr>
            <w:tcW w:w="1167" w:type="pct"/>
          </w:tcPr>
          <w:p w14:paraId="448B5FA1"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r w:rsidRPr="00BB62F1">
              <w:rPr>
                <w:rFonts w:ascii="Bookman Old Style" w:hAnsi="Bookman Old Style"/>
                <w:sz w:val="24"/>
                <w:szCs w:val="24"/>
              </w:rPr>
              <w:t xml:space="preserve">Pemberian persetujuan atau kebijakan yang berbeda dimaksudkan antara lain untuk: </w:t>
            </w:r>
          </w:p>
          <w:p w14:paraId="31E08DD0" w14:textId="77777777" w:rsidR="00D5424C" w:rsidRPr="00BB62F1" w:rsidRDefault="00D5424C">
            <w:pPr>
              <w:numPr>
                <w:ilvl w:val="0"/>
                <w:numId w:val="55"/>
              </w:numPr>
              <w:pBdr>
                <w:top w:val="nil"/>
                <w:left w:val="nil"/>
                <w:bottom w:val="nil"/>
                <w:right w:val="nil"/>
                <w:between w:val="nil"/>
              </w:pBdr>
              <w:tabs>
                <w:tab w:val="left" w:pos="474"/>
                <w:tab w:val="left" w:pos="2268"/>
                <w:tab w:val="left" w:pos="2835"/>
              </w:tabs>
              <w:spacing w:after="0" w:line="360" w:lineRule="auto"/>
              <w:ind w:left="899" w:hanging="283"/>
              <w:jc w:val="both"/>
              <w:rPr>
                <w:rFonts w:ascii="Bookman Old Style" w:hAnsi="Bookman Old Style"/>
                <w:color w:val="000000"/>
                <w:sz w:val="24"/>
                <w:szCs w:val="24"/>
              </w:rPr>
            </w:pPr>
            <w:r w:rsidRPr="00BB62F1">
              <w:rPr>
                <w:rFonts w:ascii="Bookman Old Style" w:hAnsi="Bookman Old Style"/>
                <w:color w:val="000000"/>
                <w:sz w:val="24"/>
                <w:szCs w:val="24"/>
              </w:rPr>
              <w:t xml:space="preserve">mendukung kebijakan nasional; </w:t>
            </w:r>
          </w:p>
          <w:p w14:paraId="0EAD34BD" w14:textId="77777777" w:rsidR="00D5424C" w:rsidRPr="00BB62F1" w:rsidRDefault="00D5424C">
            <w:pPr>
              <w:numPr>
                <w:ilvl w:val="0"/>
                <w:numId w:val="55"/>
              </w:numPr>
              <w:pBdr>
                <w:top w:val="nil"/>
                <w:left w:val="nil"/>
                <w:bottom w:val="nil"/>
                <w:right w:val="nil"/>
                <w:between w:val="nil"/>
              </w:pBdr>
              <w:tabs>
                <w:tab w:val="left" w:pos="474"/>
                <w:tab w:val="left" w:pos="2268"/>
                <w:tab w:val="left" w:pos="2835"/>
              </w:tabs>
              <w:spacing w:after="0" w:line="360" w:lineRule="auto"/>
              <w:ind w:left="899" w:hanging="283"/>
              <w:jc w:val="both"/>
              <w:rPr>
                <w:rFonts w:ascii="Bookman Old Style" w:hAnsi="Bookman Old Style"/>
                <w:color w:val="000000"/>
                <w:sz w:val="24"/>
                <w:szCs w:val="24"/>
              </w:rPr>
            </w:pPr>
            <w:r w:rsidRPr="00BB62F1">
              <w:rPr>
                <w:rFonts w:ascii="Bookman Old Style" w:hAnsi="Bookman Old Style"/>
                <w:color w:val="000000"/>
                <w:sz w:val="24"/>
                <w:szCs w:val="24"/>
              </w:rPr>
              <w:t xml:space="preserve">menjaga kepentingan publik; </w:t>
            </w:r>
          </w:p>
          <w:p w14:paraId="25CCF7C6" w14:textId="77777777" w:rsidR="00D5424C" w:rsidRPr="00BB62F1" w:rsidRDefault="00D5424C">
            <w:pPr>
              <w:numPr>
                <w:ilvl w:val="0"/>
                <w:numId w:val="55"/>
              </w:numPr>
              <w:pBdr>
                <w:top w:val="nil"/>
                <w:left w:val="nil"/>
                <w:bottom w:val="nil"/>
                <w:right w:val="nil"/>
                <w:between w:val="nil"/>
              </w:pBdr>
              <w:tabs>
                <w:tab w:val="left" w:pos="474"/>
                <w:tab w:val="left" w:pos="2268"/>
                <w:tab w:val="left" w:pos="2835"/>
              </w:tabs>
              <w:spacing w:after="0" w:line="360" w:lineRule="auto"/>
              <w:ind w:left="899" w:hanging="283"/>
              <w:jc w:val="both"/>
              <w:rPr>
                <w:rFonts w:ascii="Bookman Old Style" w:hAnsi="Bookman Old Style"/>
                <w:color w:val="000000"/>
                <w:sz w:val="24"/>
                <w:szCs w:val="24"/>
              </w:rPr>
            </w:pPr>
            <w:r w:rsidRPr="00BB62F1">
              <w:rPr>
                <w:rFonts w:ascii="Bookman Old Style" w:hAnsi="Bookman Old Style"/>
                <w:color w:val="000000"/>
                <w:sz w:val="24"/>
                <w:szCs w:val="24"/>
              </w:rPr>
              <w:t xml:space="preserve">menjaga pertumbuhan industri; dan/atau </w:t>
            </w:r>
          </w:p>
          <w:p w14:paraId="434A3AD9" w14:textId="77777777" w:rsidR="00D5424C" w:rsidRPr="00BB62F1" w:rsidRDefault="00D5424C">
            <w:pPr>
              <w:numPr>
                <w:ilvl w:val="0"/>
                <w:numId w:val="55"/>
              </w:numPr>
              <w:pBdr>
                <w:top w:val="nil"/>
                <w:left w:val="nil"/>
                <w:bottom w:val="nil"/>
                <w:right w:val="nil"/>
                <w:between w:val="nil"/>
              </w:pBdr>
              <w:tabs>
                <w:tab w:val="left" w:pos="474"/>
                <w:tab w:val="left" w:pos="2268"/>
                <w:tab w:val="left" w:pos="2835"/>
              </w:tabs>
              <w:spacing w:after="0" w:line="360" w:lineRule="auto"/>
              <w:ind w:left="899" w:hanging="283"/>
              <w:jc w:val="both"/>
              <w:rPr>
                <w:rFonts w:ascii="Bookman Old Style" w:hAnsi="Bookman Old Style"/>
                <w:color w:val="000000"/>
                <w:sz w:val="24"/>
                <w:szCs w:val="24"/>
              </w:rPr>
            </w:pPr>
            <w:r w:rsidRPr="00BB62F1">
              <w:rPr>
                <w:rFonts w:ascii="Bookman Old Style" w:hAnsi="Bookman Old Style"/>
                <w:color w:val="000000"/>
                <w:sz w:val="24"/>
                <w:szCs w:val="24"/>
              </w:rPr>
              <w:t xml:space="preserve">menjaga persaingan usaha yang sehat. </w:t>
            </w:r>
          </w:p>
          <w:p w14:paraId="40AE0C75" w14:textId="11C08175"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r w:rsidRPr="00BB62F1">
              <w:rPr>
                <w:rFonts w:ascii="Bookman Old Style" w:hAnsi="Bookman Old Style"/>
                <w:sz w:val="24"/>
                <w:szCs w:val="24"/>
              </w:rPr>
              <w:t>Contoh kondisi yang memerlukan pertimbangan tertentu, antara lain, kejadian luar biasa yang dapat mengakibatkan terjadinya peningkatan kesakitan dan kematian yang besar dan juga berdampak pada ekonomi dan sosial, sehingga membutuhkan perhatian dan penanganan oleh semua pihak terkait serta diatur dalam ketentuan lain atas pertimbangan dalam menghadapi kemungkinan kejadian luar biasa.</w:t>
            </w:r>
          </w:p>
        </w:tc>
        <w:tc>
          <w:tcPr>
            <w:tcW w:w="1109" w:type="pct"/>
          </w:tcPr>
          <w:p w14:paraId="7020C3F6"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40A9DF1"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6EA40E19" w14:textId="77777777" w:rsidTr="00C61A26">
        <w:trPr>
          <w:jc w:val="center"/>
        </w:trPr>
        <w:tc>
          <w:tcPr>
            <w:tcW w:w="1614" w:type="pct"/>
          </w:tcPr>
          <w:p w14:paraId="62ADA08A"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sz w:val="24"/>
                <w:szCs w:val="24"/>
              </w:rPr>
            </w:pPr>
          </w:p>
        </w:tc>
        <w:tc>
          <w:tcPr>
            <w:tcW w:w="1167" w:type="pct"/>
          </w:tcPr>
          <w:p w14:paraId="39F4BAA1"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7CA88CEC"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933432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CA794D3" w14:textId="77777777" w:rsidTr="00C61A26">
        <w:trPr>
          <w:jc w:val="center"/>
        </w:trPr>
        <w:tc>
          <w:tcPr>
            <w:tcW w:w="1614" w:type="pct"/>
          </w:tcPr>
          <w:p w14:paraId="24F429E7" w14:textId="21332B30"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9D4064">
              <w:rPr>
                <w:rFonts w:ascii="Bookman Old Style" w:hAnsi="Bookman Old Style"/>
                <w:color w:val="000000" w:themeColor="text1"/>
                <w:sz w:val="24"/>
                <w:szCs w:val="24"/>
              </w:rPr>
              <w:t>BAB VI</w:t>
            </w:r>
          </w:p>
        </w:tc>
        <w:tc>
          <w:tcPr>
            <w:tcW w:w="1167" w:type="pct"/>
          </w:tcPr>
          <w:p w14:paraId="45F842AF"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6022FD2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56A93E"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7BADB13" w14:textId="77777777" w:rsidTr="00C61A26">
        <w:trPr>
          <w:jc w:val="center"/>
        </w:trPr>
        <w:tc>
          <w:tcPr>
            <w:tcW w:w="1614" w:type="pct"/>
          </w:tcPr>
          <w:p w14:paraId="3EC943DA" w14:textId="66734B55"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t>KETENTUAN PERALIHAN</w:t>
            </w:r>
          </w:p>
        </w:tc>
        <w:tc>
          <w:tcPr>
            <w:tcW w:w="1167" w:type="pct"/>
          </w:tcPr>
          <w:p w14:paraId="4A3CCE79"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19C9CE5A"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DFE16BA"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7692A6C2" w14:textId="77777777" w:rsidTr="00C61A26">
        <w:trPr>
          <w:jc w:val="center"/>
        </w:trPr>
        <w:tc>
          <w:tcPr>
            <w:tcW w:w="1614" w:type="pct"/>
          </w:tcPr>
          <w:p w14:paraId="0EADEBA5" w14:textId="77777777"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p>
        </w:tc>
        <w:tc>
          <w:tcPr>
            <w:tcW w:w="1167" w:type="pct"/>
          </w:tcPr>
          <w:p w14:paraId="4135CE4A"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4837D34F"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0B26328"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21B5A1C" w14:textId="77777777" w:rsidTr="00C61A26">
        <w:trPr>
          <w:jc w:val="center"/>
        </w:trPr>
        <w:tc>
          <w:tcPr>
            <w:tcW w:w="1614" w:type="pct"/>
          </w:tcPr>
          <w:p w14:paraId="0084C40D" w14:textId="10E21E1A"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t xml:space="preserve">Pasal </w:t>
            </w:r>
            <w:r w:rsidR="006630CF">
              <w:rPr>
                <w:rFonts w:ascii="Bookman Old Style" w:hAnsi="Bookman Old Style"/>
                <w:color w:val="000000" w:themeColor="text1"/>
                <w:sz w:val="24"/>
                <w:szCs w:val="24"/>
              </w:rPr>
              <w:t>28</w:t>
            </w:r>
          </w:p>
        </w:tc>
        <w:tc>
          <w:tcPr>
            <w:tcW w:w="1167" w:type="pct"/>
          </w:tcPr>
          <w:p w14:paraId="0061C6CC" w14:textId="27CCC0EF"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421429B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A906FBD"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0550E25" w14:textId="77777777" w:rsidTr="00C61A26">
        <w:trPr>
          <w:jc w:val="center"/>
        </w:trPr>
        <w:tc>
          <w:tcPr>
            <w:tcW w:w="1614" w:type="pct"/>
          </w:tcPr>
          <w:p w14:paraId="62FC126D" w14:textId="1A0C669A" w:rsidR="00D5424C" w:rsidRPr="00755808" w:rsidRDefault="00D5424C">
            <w:pPr>
              <w:pStyle w:val="ListParagraph"/>
              <w:numPr>
                <w:ilvl w:val="0"/>
                <w:numId w:val="76"/>
              </w:num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755808">
              <w:rPr>
                <w:rFonts w:ascii="Bookman Old Style" w:hAnsi="Bookman Old Style"/>
                <w:color w:val="000000" w:themeColor="text1"/>
                <w:sz w:val="24"/>
                <w:szCs w:val="24"/>
              </w:rPr>
              <w:t xml:space="preserve">Pertanggungan atau kepesertaan yang sudah berjalan pada saat Peraturan Otoritas Jasa </w:t>
            </w:r>
            <w:r w:rsidRPr="00755808">
              <w:rPr>
                <w:rFonts w:ascii="Bookman Old Style" w:hAnsi="Bookman Old Style"/>
                <w:color w:val="000000" w:themeColor="text1"/>
                <w:sz w:val="24"/>
                <w:szCs w:val="24"/>
              </w:rPr>
              <w:lastRenderedPageBreak/>
              <w:t xml:space="preserve">Keuangan ini berlaku dinyatakan tetap berlaku sampai dengan masa pertanggungan berakhir. </w:t>
            </w:r>
          </w:p>
        </w:tc>
        <w:tc>
          <w:tcPr>
            <w:tcW w:w="1167" w:type="pct"/>
          </w:tcPr>
          <w:p w14:paraId="7B5BC68C"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0ADCD8BB"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57338C0"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7088D39E" w14:textId="77777777" w:rsidTr="00C61A26">
        <w:trPr>
          <w:jc w:val="center"/>
        </w:trPr>
        <w:tc>
          <w:tcPr>
            <w:tcW w:w="1614" w:type="pct"/>
          </w:tcPr>
          <w:p w14:paraId="2A22D47C" w14:textId="4C2B3DAC" w:rsidR="00D5424C" w:rsidRPr="00755808" w:rsidRDefault="00D5424C">
            <w:pPr>
              <w:pStyle w:val="ListParagraph"/>
              <w:numPr>
                <w:ilvl w:val="0"/>
                <w:numId w:val="76"/>
              </w:num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755808">
              <w:rPr>
                <w:rFonts w:ascii="Bookman Old Style" w:hAnsi="Bookman Old Style"/>
                <w:color w:val="000000" w:themeColor="text1"/>
                <w:sz w:val="24"/>
                <w:szCs w:val="24"/>
              </w:rPr>
              <w:t>Perusahaan Asuransi atau Perusahaan Asuransi Syariah dan unit syariah pada Perusahaan Asuransi yang telah memasarkan PAYDI sebelum Peraturan Otoritas Jasa Keuangan ini diundangkan dapat tetap memasarkan PAYDI.</w:t>
            </w:r>
          </w:p>
        </w:tc>
        <w:tc>
          <w:tcPr>
            <w:tcW w:w="1167" w:type="pct"/>
          </w:tcPr>
          <w:p w14:paraId="153E67A6"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161B138A"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C94C8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13DBB151" w14:textId="77777777" w:rsidTr="00C61A26">
        <w:trPr>
          <w:jc w:val="center"/>
        </w:trPr>
        <w:tc>
          <w:tcPr>
            <w:tcW w:w="1614" w:type="pct"/>
          </w:tcPr>
          <w:p w14:paraId="5A3481A6" w14:textId="00933BD4" w:rsidR="00D5424C" w:rsidRPr="006630CF" w:rsidRDefault="00D5424C">
            <w:pPr>
              <w:pStyle w:val="ListParagraph"/>
              <w:numPr>
                <w:ilvl w:val="0"/>
                <w:numId w:val="76"/>
              </w:numPr>
              <w:jc w:val="both"/>
              <w:rPr>
                <w:rFonts w:ascii="Bookman Old Style" w:hAnsi="Bookman Old Style"/>
                <w:color w:val="000000" w:themeColor="text1"/>
                <w:sz w:val="24"/>
                <w:szCs w:val="24"/>
              </w:rPr>
            </w:pPr>
            <w:r w:rsidRPr="006630CF">
              <w:rPr>
                <w:rFonts w:ascii="Bookman Old Style" w:hAnsi="Bookman Old Style"/>
                <w:color w:val="000000" w:themeColor="text1"/>
                <w:sz w:val="24"/>
                <w:szCs w:val="24"/>
              </w:rPr>
              <w:t>Perusahaan Asuransi atau Perusahaan Asuransi Syariah dan unit syariah pada Perusahaan Asuransi yang telah memasarkan PAYDI sebelum POJK ini diundangkan namun belum memenuhi ketentuan modal inti dapat tetap memasarkan PAYDI sampai dengan 31 Desember 2028.</w:t>
            </w:r>
          </w:p>
        </w:tc>
        <w:tc>
          <w:tcPr>
            <w:tcW w:w="1167" w:type="pct"/>
          </w:tcPr>
          <w:p w14:paraId="2B5EAC93"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6A0F5320"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8F4D6A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7DA8D319" w14:textId="77777777" w:rsidTr="00C61A26">
        <w:trPr>
          <w:jc w:val="center"/>
        </w:trPr>
        <w:tc>
          <w:tcPr>
            <w:tcW w:w="1614" w:type="pct"/>
          </w:tcPr>
          <w:p w14:paraId="4AAE1D72"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p>
        </w:tc>
        <w:tc>
          <w:tcPr>
            <w:tcW w:w="1167" w:type="pct"/>
          </w:tcPr>
          <w:p w14:paraId="14AC68D2"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353E01ED"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6DCBF6F"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5C365090" w14:textId="77777777" w:rsidTr="00C61A26">
        <w:trPr>
          <w:jc w:val="center"/>
        </w:trPr>
        <w:tc>
          <w:tcPr>
            <w:tcW w:w="1614" w:type="pct"/>
          </w:tcPr>
          <w:p w14:paraId="0A1DA328" w14:textId="2AE9566D"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t>BAB VII</w:t>
            </w:r>
          </w:p>
        </w:tc>
        <w:tc>
          <w:tcPr>
            <w:tcW w:w="1167" w:type="pct"/>
          </w:tcPr>
          <w:p w14:paraId="2E08F1DA"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2832F424"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5CCC88B"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57E90A3" w14:textId="77777777" w:rsidTr="00C61A26">
        <w:trPr>
          <w:jc w:val="center"/>
        </w:trPr>
        <w:tc>
          <w:tcPr>
            <w:tcW w:w="1614" w:type="pct"/>
          </w:tcPr>
          <w:p w14:paraId="30B78AC1" w14:textId="537F9A5A"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t>KETENTUAN PENUTUP</w:t>
            </w:r>
          </w:p>
        </w:tc>
        <w:tc>
          <w:tcPr>
            <w:tcW w:w="1167" w:type="pct"/>
          </w:tcPr>
          <w:p w14:paraId="0C52C963"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5F048213"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AFF0C10"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B952BD6" w14:textId="77777777" w:rsidTr="00C61A26">
        <w:trPr>
          <w:jc w:val="center"/>
        </w:trPr>
        <w:tc>
          <w:tcPr>
            <w:tcW w:w="1614" w:type="pct"/>
          </w:tcPr>
          <w:p w14:paraId="088094DA" w14:textId="77777777"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p>
        </w:tc>
        <w:tc>
          <w:tcPr>
            <w:tcW w:w="1167" w:type="pct"/>
          </w:tcPr>
          <w:p w14:paraId="47DB2F8F"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3EBC5BEA"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B1EE71D"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7B8028E" w14:textId="77777777" w:rsidTr="00C61A26">
        <w:trPr>
          <w:jc w:val="center"/>
        </w:trPr>
        <w:tc>
          <w:tcPr>
            <w:tcW w:w="1614" w:type="pct"/>
          </w:tcPr>
          <w:p w14:paraId="445317D3" w14:textId="4FC24BC7"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themeColor="text1"/>
                <w:sz w:val="24"/>
                <w:szCs w:val="24"/>
              </w:rPr>
            </w:pPr>
            <w:r w:rsidRPr="009D4064">
              <w:rPr>
                <w:rFonts w:ascii="Bookman Old Style" w:hAnsi="Bookman Old Style"/>
                <w:color w:val="000000" w:themeColor="text1"/>
                <w:sz w:val="24"/>
                <w:szCs w:val="24"/>
              </w:rPr>
              <w:t xml:space="preserve">Pasal </w:t>
            </w:r>
            <w:r w:rsidR="006630CF">
              <w:rPr>
                <w:rFonts w:ascii="Bookman Old Style" w:hAnsi="Bookman Old Style"/>
                <w:color w:val="000000" w:themeColor="text1"/>
                <w:sz w:val="24"/>
                <w:szCs w:val="24"/>
              </w:rPr>
              <w:t>29</w:t>
            </w:r>
          </w:p>
        </w:tc>
        <w:tc>
          <w:tcPr>
            <w:tcW w:w="1167" w:type="pct"/>
          </w:tcPr>
          <w:p w14:paraId="42C5DB6F" w14:textId="2DCCFCBD"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r w:rsidRPr="00BB62F1">
              <w:rPr>
                <w:rFonts w:ascii="Bookman Old Style" w:hAnsi="Bookman Old Style"/>
                <w:sz w:val="24"/>
                <w:szCs w:val="24"/>
              </w:rPr>
              <w:t>Cukup jelas.</w:t>
            </w:r>
          </w:p>
        </w:tc>
        <w:tc>
          <w:tcPr>
            <w:tcW w:w="1109" w:type="pct"/>
          </w:tcPr>
          <w:p w14:paraId="3B800CBD"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A75793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68AC5F3C" w14:textId="77777777" w:rsidTr="00C61A26">
        <w:trPr>
          <w:jc w:val="center"/>
        </w:trPr>
        <w:tc>
          <w:tcPr>
            <w:tcW w:w="1614" w:type="pct"/>
          </w:tcPr>
          <w:p w14:paraId="679A7E2A" w14:textId="37CE6F3E"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9D4064">
              <w:rPr>
                <w:rFonts w:ascii="Bookman Old Style" w:hAnsi="Bookman Old Style"/>
                <w:color w:val="000000"/>
                <w:sz w:val="24"/>
                <w:szCs w:val="24"/>
              </w:rPr>
              <w:t>Pada saat Peraturan Otoritas Jasa Keuangan ini mulai berlaku, ketentuan mengenai PAYDI tetap berlaku sepanjang tidak bertentangan dengan Peraturan Otoritas Jasa Keuangan ini.</w:t>
            </w:r>
          </w:p>
        </w:tc>
        <w:tc>
          <w:tcPr>
            <w:tcW w:w="1167" w:type="pct"/>
          </w:tcPr>
          <w:p w14:paraId="2CE70A32"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367EDA16"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B814121"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311E4E0" w14:textId="77777777" w:rsidTr="00C61A26">
        <w:trPr>
          <w:jc w:val="center"/>
        </w:trPr>
        <w:tc>
          <w:tcPr>
            <w:tcW w:w="1614" w:type="pct"/>
          </w:tcPr>
          <w:p w14:paraId="5599712D"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sz w:val="24"/>
                <w:szCs w:val="24"/>
              </w:rPr>
            </w:pPr>
          </w:p>
        </w:tc>
        <w:tc>
          <w:tcPr>
            <w:tcW w:w="1167" w:type="pct"/>
          </w:tcPr>
          <w:p w14:paraId="7A97BCA3"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2A2CABA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EC1276B"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CC26F48" w14:textId="77777777" w:rsidTr="00C61A26">
        <w:trPr>
          <w:jc w:val="center"/>
        </w:trPr>
        <w:tc>
          <w:tcPr>
            <w:tcW w:w="1614" w:type="pct"/>
          </w:tcPr>
          <w:p w14:paraId="7EDBAAC5" w14:textId="5581E376" w:rsidR="00D5424C" w:rsidRPr="009D4064" w:rsidRDefault="00D5424C" w:rsidP="00D5424C">
            <w:pPr>
              <w:pBdr>
                <w:top w:val="nil"/>
                <w:left w:val="nil"/>
                <w:bottom w:val="nil"/>
                <w:right w:val="nil"/>
                <w:between w:val="nil"/>
              </w:pBdr>
              <w:tabs>
                <w:tab w:val="num" w:pos="360"/>
              </w:tabs>
              <w:spacing w:after="0" w:line="360" w:lineRule="auto"/>
              <w:jc w:val="center"/>
              <w:rPr>
                <w:rFonts w:ascii="Bookman Old Style" w:hAnsi="Bookman Old Style"/>
                <w:color w:val="000000"/>
                <w:sz w:val="24"/>
                <w:szCs w:val="24"/>
              </w:rPr>
            </w:pPr>
            <w:r w:rsidRPr="006630CF">
              <w:rPr>
                <w:rFonts w:ascii="Bookman Old Style" w:hAnsi="Bookman Old Style"/>
                <w:color w:val="000000" w:themeColor="text1"/>
                <w:sz w:val="24"/>
                <w:szCs w:val="24"/>
              </w:rPr>
              <w:t>Pasal 3</w:t>
            </w:r>
            <w:r w:rsidR="006630CF" w:rsidRPr="006630CF">
              <w:rPr>
                <w:rFonts w:ascii="Bookman Old Style" w:hAnsi="Bookman Old Style"/>
                <w:color w:val="000000" w:themeColor="text1"/>
                <w:sz w:val="24"/>
                <w:szCs w:val="24"/>
              </w:rPr>
              <w:t>0</w:t>
            </w:r>
          </w:p>
        </w:tc>
        <w:tc>
          <w:tcPr>
            <w:tcW w:w="1167" w:type="pct"/>
          </w:tcPr>
          <w:p w14:paraId="4C3353FB" w14:textId="0A58C1B0"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6829AD4E"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1EA8379"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CB40B96" w14:textId="77777777" w:rsidTr="00C61A26">
        <w:trPr>
          <w:jc w:val="center"/>
        </w:trPr>
        <w:tc>
          <w:tcPr>
            <w:tcW w:w="1614" w:type="pct"/>
          </w:tcPr>
          <w:p w14:paraId="403964E3" w14:textId="63505F79" w:rsidR="00D5424C" w:rsidRPr="006630CF"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6630CF">
              <w:rPr>
                <w:rFonts w:ascii="Bookman Old Style" w:hAnsi="Bookman Old Style"/>
                <w:color w:val="000000" w:themeColor="text1"/>
                <w:sz w:val="24"/>
                <w:szCs w:val="24"/>
              </w:rPr>
              <w:t>Pada saat Peraturan Otoritas Jasa Keuangan ini mulai berlaku:</w:t>
            </w:r>
          </w:p>
        </w:tc>
        <w:tc>
          <w:tcPr>
            <w:tcW w:w="1167" w:type="pct"/>
          </w:tcPr>
          <w:p w14:paraId="74E033F3"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5835E929"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73EBBB6"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6463DF73" w14:textId="77777777" w:rsidTr="00C61A26">
        <w:trPr>
          <w:jc w:val="center"/>
        </w:trPr>
        <w:tc>
          <w:tcPr>
            <w:tcW w:w="1614" w:type="pct"/>
          </w:tcPr>
          <w:p w14:paraId="65BF1C16" w14:textId="3D2581CA" w:rsidR="00D5424C" w:rsidRPr="006630CF" w:rsidRDefault="00D5424C">
            <w:pPr>
              <w:pStyle w:val="ListParagraph"/>
              <w:numPr>
                <w:ilvl w:val="0"/>
                <w:numId w:val="89"/>
              </w:numPr>
              <w:pBdr>
                <w:top w:val="nil"/>
                <w:left w:val="nil"/>
                <w:bottom w:val="nil"/>
                <w:right w:val="nil"/>
                <w:between w:val="nil"/>
              </w:pBdr>
              <w:tabs>
                <w:tab w:val="num" w:pos="589"/>
              </w:tabs>
              <w:spacing w:after="0" w:line="360" w:lineRule="auto"/>
              <w:ind w:left="447" w:hanging="425"/>
              <w:jc w:val="both"/>
              <w:rPr>
                <w:rFonts w:ascii="Bookman Old Style" w:hAnsi="Bookman Old Style"/>
                <w:color w:val="000000" w:themeColor="text1"/>
                <w:sz w:val="24"/>
                <w:szCs w:val="24"/>
              </w:rPr>
            </w:pPr>
            <w:r w:rsidRPr="006630CF">
              <w:rPr>
                <w:rFonts w:ascii="Bookman Old Style" w:hAnsi="Bookman Old Style"/>
                <w:color w:val="000000" w:themeColor="text1"/>
                <w:sz w:val="24"/>
                <w:szCs w:val="24"/>
              </w:rPr>
              <w:t>Ketentuan pemasaran PAYDI tunduk pada Peraturan Otoritas Jasa Keuangan mengenai pelindungan konsumen dan masyarakat di sektor jasa keuangan.</w:t>
            </w:r>
          </w:p>
        </w:tc>
        <w:tc>
          <w:tcPr>
            <w:tcW w:w="1167" w:type="pct"/>
          </w:tcPr>
          <w:p w14:paraId="6FA57665" w14:textId="77F1F831" w:rsidR="00D5424C" w:rsidRPr="00BB62F1" w:rsidRDefault="00B459E7" w:rsidP="00D5424C">
            <w:pPr>
              <w:tabs>
                <w:tab w:val="left" w:pos="1134"/>
                <w:tab w:val="left" w:pos="1701"/>
                <w:tab w:val="left" w:pos="2268"/>
                <w:tab w:val="left" w:pos="2835"/>
              </w:tabs>
              <w:spacing w:after="0" w:line="360" w:lineRule="auto"/>
              <w:jc w:val="both"/>
              <w:rPr>
                <w:rFonts w:ascii="Bookman Old Style" w:hAnsi="Bookman Old Style"/>
                <w:sz w:val="24"/>
                <w:szCs w:val="24"/>
              </w:rPr>
            </w:pPr>
            <w:r w:rsidRPr="00B459E7">
              <w:rPr>
                <w:rFonts w:ascii="Bookman Old Style" w:hAnsi="Bookman Old Style"/>
                <w:sz w:val="24"/>
                <w:szCs w:val="24"/>
              </w:rPr>
              <w:t xml:space="preserve">Ketentuan mengenai pemasaran PAYDI tunduk pada peraturan Otoritas Jasa Keuangan mengenai pelindungan </w:t>
            </w:r>
            <w:r w:rsidRPr="00B459E7">
              <w:rPr>
                <w:rFonts w:ascii="Bookman Old Style" w:hAnsi="Bookman Old Style"/>
                <w:sz w:val="24"/>
                <w:szCs w:val="24"/>
              </w:rPr>
              <w:lastRenderedPageBreak/>
              <w:t>konsumen antara lain mengatur kewajiban perekaman oleh pelaku usaha jasa keuangan (PUJK) dalam hal menggunakan saluran komunikasi pribadi.</w:t>
            </w:r>
          </w:p>
        </w:tc>
        <w:tc>
          <w:tcPr>
            <w:tcW w:w="1109" w:type="pct"/>
          </w:tcPr>
          <w:p w14:paraId="39BBEAF1"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930E8E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04A47393" w14:textId="77777777" w:rsidTr="00C61A26">
        <w:trPr>
          <w:jc w:val="center"/>
        </w:trPr>
        <w:tc>
          <w:tcPr>
            <w:tcW w:w="1614" w:type="pct"/>
          </w:tcPr>
          <w:p w14:paraId="1C61A0E5" w14:textId="1CA32A77" w:rsidR="00D5424C" w:rsidRPr="006630CF" w:rsidRDefault="00D5424C">
            <w:pPr>
              <w:pStyle w:val="ListParagraph"/>
              <w:numPr>
                <w:ilvl w:val="0"/>
                <w:numId w:val="89"/>
              </w:numPr>
              <w:pBdr>
                <w:top w:val="nil"/>
                <w:left w:val="nil"/>
                <w:bottom w:val="nil"/>
                <w:right w:val="nil"/>
                <w:between w:val="nil"/>
              </w:pBdr>
              <w:tabs>
                <w:tab w:val="num" w:pos="589"/>
              </w:tabs>
              <w:spacing w:after="0" w:line="360" w:lineRule="auto"/>
              <w:ind w:left="447" w:hanging="425"/>
              <w:jc w:val="both"/>
              <w:rPr>
                <w:rFonts w:ascii="Bookman Old Style" w:hAnsi="Bookman Old Style"/>
                <w:color w:val="000000" w:themeColor="text1"/>
                <w:sz w:val="24"/>
                <w:szCs w:val="24"/>
              </w:rPr>
            </w:pPr>
            <w:r w:rsidRPr="006630CF">
              <w:rPr>
                <w:rFonts w:ascii="Bookman Old Style" w:hAnsi="Bookman Old Style"/>
                <w:color w:val="000000" w:themeColor="text1"/>
                <w:sz w:val="24"/>
                <w:szCs w:val="24"/>
              </w:rPr>
              <w:t>Ketentuan pemasaran PAYDI sebagaimana diatur dalam Romawi V huruf A Surat Edaran Otoritas Jasa Keuangan Republik Indonesia Nomor 5/SEOJK.05/2022 tentang Produk Asuransi yang Dikaitkan dengan Investasi dicabut dan dinyatakan tidak berlaku.</w:t>
            </w:r>
          </w:p>
        </w:tc>
        <w:tc>
          <w:tcPr>
            <w:tcW w:w="1167" w:type="pct"/>
          </w:tcPr>
          <w:p w14:paraId="68663586" w14:textId="794F7BA5" w:rsidR="00D5424C" w:rsidRPr="00BB62F1" w:rsidRDefault="00B459E7" w:rsidP="00D5424C">
            <w:pPr>
              <w:tabs>
                <w:tab w:val="left" w:pos="1134"/>
                <w:tab w:val="left" w:pos="1701"/>
                <w:tab w:val="left" w:pos="2268"/>
                <w:tab w:val="left" w:pos="2835"/>
              </w:tabs>
              <w:spacing w:after="0" w:line="360" w:lineRule="auto"/>
              <w:jc w:val="both"/>
              <w:rPr>
                <w:rFonts w:ascii="Bookman Old Style" w:hAnsi="Bookman Old Style"/>
                <w:sz w:val="24"/>
                <w:szCs w:val="24"/>
              </w:rPr>
            </w:pPr>
            <w:r w:rsidRPr="00B459E7">
              <w:rPr>
                <w:rFonts w:ascii="Bookman Old Style" w:hAnsi="Bookman Old Style"/>
                <w:sz w:val="24"/>
                <w:szCs w:val="24"/>
              </w:rPr>
              <w:t>Ketentuan mengenai perekaman selama proses pemasaran yang dilakukan secara tatap muka sebagaimana diatur dalam Romawi V huruf A Surat Edaran Otoritas Jasa Keuangan Republik Indonesia Nomor 5/SEOJK.05/2022 tentang Produk Asuransi yang Dikaitkan dengan Investasi dicabut dan dinyatakan tidak berlaku.</w:t>
            </w:r>
          </w:p>
        </w:tc>
        <w:tc>
          <w:tcPr>
            <w:tcW w:w="1109" w:type="pct"/>
          </w:tcPr>
          <w:p w14:paraId="34205715"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7B98EB4"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6773B78" w14:textId="77777777" w:rsidTr="00C61A26">
        <w:trPr>
          <w:jc w:val="center"/>
        </w:trPr>
        <w:tc>
          <w:tcPr>
            <w:tcW w:w="1614" w:type="pct"/>
          </w:tcPr>
          <w:p w14:paraId="5C8C9C77" w14:textId="77777777" w:rsidR="00D5424C" w:rsidRPr="00F1291E" w:rsidRDefault="00D5424C" w:rsidP="00D5424C">
            <w:pPr>
              <w:pStyle w:val="ListParagraph"/>
              <w:pBdr>
                <w:top w:val="nil"/>
                <w:left w:val="nil"/>
                <w:bottom w:val="nil"/>
                <w:right w:val="nil"/>
                <w:between w:val="nil"/>
              </w:pBdr>
              <w:tabs>
                <w:tab w:val="num" w:pos="360"/>
              </w:tabs>
              <w:spacing w:after="0" w:line="360" w:lineRule="auto"/>
              <w:ind w:left="1440"/>
              <w:rPr>
                <w:rFonts w:ascii="Bookman Old Style" w:hAnsi="Bookman Old Style"/>
                <w:color w:val="EE0000"/>
                <w:sz w:val="24"/>
                <w:szCs w:val="24"/>
              </w:rPr>
            </w:pPr>
          </w:p>
        </w:tc>
        <w:tc>
          <w:tcPr>
            <w:tcW w:w="1167" w:type="pct"/>
          </w:tcPr>
          <w:p w14:paraId="195B5E38"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613A4DC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4C6B76B"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7FD2148" w14:textId="77777777" w:rsidTr="00C61A26">
        <w:trPr>
          <w:jc w:val="center"/>
        </w:trPr>
        <w:tc>
          <w:tcPr>
            <w:tcW w:w="1614" w:type="pct"/>
          </w:tcPr>
          <w:p w14:paraId="4BD5EE41" w14:textId="6423BBDA" w:rsidR="00D5424C" w:rsidRPr="00F1291E" w:rsidRDefault="00D5424C" w:rsidP="00D5424C">
            <w:pPr>
              <w:pStyle w:val="ListParagraph"/>
              <w:pBdr>
                <w:top w:val="nil"/>
                <w:left w:val="nil"/>
                <w:bottom w:val="nil"/>
                <w:right w:val="nil"/>
                <w:between w:val="nil"/>
              </w:pBdr>
              <w:tabs>
                <w:tab w:val="num" w:pos="360"/>
                <w:tab w:val="left" w:pos="3228"/>
              </w:tabs>
              <w:spacing w:after="0" w:line="360" w:lineRule="auto"/>
              <w:ind w:left="1440"/>
              <w:rPr>
                <w:rFonts w:ascii="Bookman Old Style" w:hAnsi="Bookman Old Style"/>
                <w:sz w:val="24"/>
                <w:szCs w:val="24"/>
              </w:rPr>
            </w:pPr>
            <w:r>
              <w:rPr>
                <w:rFonts w:ascii="Bookman Old Style" w:hAnsi="Bookman Old Style"/>
                <w:color w:val="EE0000"/>
                <w:sz w:val="24"/>
                <w:szCs w:val="24"/>
              </w:rPr>
              <w:tab/>
            </w:r>
            <w:r>
              <w:rPr>
                <w:rFonts w:ascii="Bookman Old Style" w:hAnsi="Bookman Old Style"/>
                <w:sz w:val="24"/>
                <w:szCs w:val="24"/>
              </w:rPr>
              <w:t>Pasal 3</w:t>
            </w:r>
            <w:r w:rsidR="006630CF">
              <w:rPr>
                <w:rFonts w:ascii="Bookman Old Style" w:hAnsi="Bookman Old Style"/>
                <w:sz w:val="24"/>
                <w:szCs w:val="24"/>
              </w:rPr>
              <w:t>1</w:t>
            </w:r>
          </w:p>
        </w:tc>
        <w:tc>
          <w:tcPr>
            <w:tcW w:w="1167" w:type="pct"/>
          </w:tcPr>
          <w:p w14:paraId="6922086E" w14:textId="0FD39B75" w:rsidR="00D5424C" w:rsidRPr="00BB62F1" w:rsidRDefault="00B459E7" w:rsidP="00D5424C">
            <w:pPr>
              <w:tabs>
                <w:tab w:val="left" w:pos="1134"/>
                <w:tab w:val="left" w:pos="1701"/>
                <w:tab w:val="left" w:pos="2268"/>
                <w:tab w:val="left" w:pos="2835"/>
              </w:tabs>
              <w:spacing w:after="0" w:line="360" w:lineRule="auto"/>
              <w:jc w:val="both"/>
              <w:rPr>
                <w:rFonts w:ascii="Bookman Old Style" w:hAnsi="Bookman Old Style"/>
                <w:sz w:val="24"/>
                <w:szCs w:val="24"/>
              </w:rPr>
            </w:pPr>
            <w:r>
              <w:rPr>
                <w:rFonts w:ascii="Bookman Old Style" w:hAnsi="Bookman Old Style"/>
                <w:sz w:val="24"/>
                <w:szCs w:val="24"/>
              </w:rPr>
              <w:t>Cukup jelas.</w:t>
            </w:r>
          </w:p>
        </w:tc>
        <w:tc>
          <w:tcPr>
            <w:tcW w:w="1109" w:type="pct"/>
          </w:tcPr>
          <w:p w14:paraId="59AA557A"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69E0A46"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7202FE79" w14:textId="77777777" w:rsidTr="00C61A26">
        <w:trPr>
          <w:jc w:val="center"/>
        </w:trPr>
        <w:tc>
          <w:tcPr>
            <w:tcW w:w="1614" w:type="pct"/>
          </w:tcPr>
          <w:p w14:paraId="6673687A" w14:textId="69B220FE"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color w:val="000000" w:themeColor="text1"/>
                <w:sz w:val="24"/>
                <w:szCs w:val="24"/>
              </w:rPr>
            </w:pPr>
            <w:r w:rsidRPr="009D4064">
              <w:rPr>
                <w:rFonts w:ascii="Bookman Old Style" w:hAnsi="Bookman Old Style"/>
                <w:sz w:val="24"/>
                <w:szCs w:val="24"/>
              </w:rPr>
              <w:t xml:space="preserve">Peraturan Otoritas Jasa Keuangan ini mulai </w:t>
            </w:r>
            <w:r>
              <w:rPr>
                <w:rFonts w:ascii="Bookman Old Style" w:hAnsi="Bookman Old Style"/>
                <w:sz w:val="24"/>
                <w:szCs w:val="24"/>
              </w:rPr>
              <w:t>berlaku pada</w:t>
            </w:r>
            <w:r w:rsidRPr="009D4064">
              <w:rPr>
                <w:rFonts w:ascii="Bookman Old Style" w:hAnsi="Bookman Old Style"/>
                <w:sz w:val="24"/>
                <w:szCs w:val="24"/>
              </w:rPr>
              <w:t xml:space="preserve"> tanggal diundangkan.</w:t>
            </w:r>
          </w:p>
        </w:tc>
        <w:tc>
          <w:tcPr>
            <w:tcW w:w="1167" w:type="pct"/>
          </w:tcPr>
          <w:p w14:paraId="747C0AC0"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55B5604F"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2A3C9A95"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AD35D06" w14:textId="77777777" w:rsidTr="00C61A26">
        <w:trPr>
          <w:jc w:val="center"/>
        </w:trPr>
        <w:tc>
          <w:tcPr>
            <w:tcW w:w="1614" w:type="pct"/>
          </w:tcPr>
          <w:p w14:paraId="6E3FFE35"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28081DAF"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5A6781BD"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FE90E38"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0DF97BA" w14:textId="77777777" w:rsidTr="00C61A26">
        <w:trPr>
          <w:jc w:val="center"/>
        </w:trPr>
        <w:tc>
          <w:tcPr>
            <w:tcW w:w="1614" w:type="pct"/>
          </w:tcPr>
          <w:p w14:paraId="0AE83F7B" w14:textId="3CCC75D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Agar setiap orang mengetahuinya, memerintahkan pengundangan Peraturan Otoritas Jasa Keuangan ini dengan penempatannya dalam Lembaran Negara Republik Indonesia.</w:t>
            </w:r>
          </w:p>
        </w:tc>
        <w:tc>
          <w:tcPr>
            <w:tcW w:w="1167" w:type="pct"/>
          </w:tcPr>
          <w:p w14:paraId="0AD80311"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1BFA4B31"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C234A20"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01641FA" w14:textId="77777777" w:rsidTr="00C61A26">
        <w:trPr>
          <w:jc w:val="center"/>
        </w:trPr>
        <w:tc>
          <w:tcPr>
            <w:tcW w:w="1614" w:type="pct"/>
          </w:tcPr>
          <w:p w14:paraId="0921D463"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71DD977A"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5D092864"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35F74F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8A56D57" w14:textId="77777777" w:rsidTr="00C61A26">
        <w:trPr>
          <w:jc w:val="center"/>
        </w:trPr>
        <w:tc>
          <w:tcPr>
            <w:tcW w:w="1614" w:type="pct"/>
          </w:tcPr>
          <w:p w14:paraId="44F75765"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 xml:space="preserve">Ditetapkan di Jakarta </w:t>
            </w:r>
          </w:p>
          <w:p w14:paraId="15A15967" w14:textId="2508281B"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 xml:space="preserve">pada tanggal </w:t>
            </w:r>
          </w:p>
        </w:tc>
        <w:tc>
          <w:tcPr>
            <w:tcW w:w="1167" w:type="pct"/>
          </w:tcPr>
          <w:p w14:paraId="69EF848E"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24BD280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07B4A833"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29244B5" w14:textId="77777777" w:rsidTr="00C61A26">
        <w:trPr>
          <w:jc w:val="center"/>
        </w:trPr>
        <w:tc>
          <w:tcPr>
            <w:tcW w:w="1614" w:type="pct"/>
          </w:tcPr>
          <w:p w14:paraId="600E6317" w14:textId="55E39991"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KETUA DEWAN KOMISIONER OTORITAS JASA KEUANGAN REPUBLIK INDONESIA,</w:t>
            </w:r>
          </w:p>
          <w:p w14:paraId="38DA4CE8"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p w14:paraId="23DB240C"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p w14:paraId="6B5F79D7"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p w14:paraId="2FE72D5A" w14:textId="322B8CD4"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440309">
              <w:rPr>
                <w:rFonts w:ascii="Bookman Old Style" w:hAnsi="Bookman Old Style"/>
                <w:sz w:val="24"/>
                <w:szCs w:val="24"/>
              </w:rPr>
              <w:t>FRIDERICA WIDYASARI DEWI</w:t>
            </w:r>
          </w:p>
        </w:tc>
        <w:tc>
          <w:tcPr>
            <w:tcW w:w="1167" w:type="pct"/>
          </w:tcPr>
          <w:p w14:paraId="52C3AAE3"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377FB476"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393ADF38"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FD1259C" w14:textId="77777777" w:rsidTr="00C61A26">
        <w:trPr>
          <w:jc w:val="center"/>
        </w:trPr>
        <w:tc>
          <w:tcPr>
            <w:tcW w:w="1614" w:type="pct"/>
          </w:tcPr>
          <w:p w14:paraId="37A5336C"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57B29697"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79480F5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5C80AF47"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43F148E4" w14:textId="77777777" w:rsidTr="00C61A26">
        <w:trPr>
          <w:jc w:val="center"/>
        </w:trPr>
        <w:tc>
          <w:tcPr>
            <w:tcW w:w="1614" w:type="pct"/>
          </w:tcPr>
          <w:p w14:paraId="1A57C185"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Diundangkan di Jakarta</w:t>
            </w:r>
          </w:p>
          <w:p w14:paraId="048AA77F"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pada tanggal</w:t>
            </w:r>
          </w:p>
          <w:p w14:paraId="6A1480C8" w14:textId="4696F4AD"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2F9D7351"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465DAB2A"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27C41B4"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53ECCBCF" w14:textId="77777777" w:rsidTr="00C61A26">
        <w:trPr>
          <w:jc w:val="center"/>
        </w:trPr>
        <w:tc>
          <w:tcPr>
            <w:tcW w:w="1614" w:type="pct"/>
          </w:tcPr>
          <w:p w14:paraId="62AFDCEA"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0FBAF69F"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1293DDAC"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DABD3E5"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798A571F" w14:textId="77777777" w:rsidTr="00C61A26">
        <w:trPr>
          <w:jc w:val="center"/>
        </w:trPr>
        <w:tc>
          <w:tcPr>
            <w:tcW w:w="1614" w:type="pct"/>
          </w:tcPr>
          <w:p w14:paraId="76CF4BFB"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MENTERI HUKUM REPUBLIK INDONESIA,</w:t>
            </w:r>
          </w:p>
          <w:p w14:paraId="466C650B"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p w14:paraId="651351B6"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p w14:paraId="409A1309" w14:textId="77777777" w:rsidR="00D5424C"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p w14:paraId="4A20952D" w14:textId="2902A226"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SUPRATMAN ANDI AGTAS</w:t>
            </w:r>
          </w:p>
        </w:tc>
        <w:tc>
          <w:tcPr>
            <w:tcW w:w="1167" w:type="pct"/>
          </w:tcPr>
          <w:p w14:paraId="5F07BE35"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4718CF72"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1DDB1A3D"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0CD739E7" w14:textId="77777777" w:rsidTr="00C61A26">
        <w:trPr>
          <w:jc w:val="center"/>
        </w:trPr>
        <w:tc>
          <w:tcPr>
            <w:tcW w:w="1614" w:type="pct"/>
          </w:tcPr>
          <w:p w14:paraId="0ACC632F"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5E05B972"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1CA82D2C"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7AD9B3E4"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78023A4" w14:textId="77777777" w:rsidTr="00C61A26">
        <w:trPr>
          <w:jc w:val="center"/>
        </w:trPr>
        <w:tc>
          <w:tcPr>
            <w:tcW w:w="1614" w:type="pct"/>
          </w:tcPr>
          <w:p w14:paraId="736E1582"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613C1C6D"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5A1B79B5"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6B18F51C"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316794AA" w14:textId="77777777" w:rsidTr="00C61A26">
        <w:trPr>
          <w:jc w:val="center"/>
        </w:trPr>
        <w:tc>
          <w:tcPr>
            <w:tcW w:w="1614" w:type="pct"/>
          </w:tcPr>
          <w:p w14:paraId="52C3F9E5" w14:textId="77777777"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p>
        </w:tc>
        <w:tc>
          <w:tcPr>
            <w:tcW w:w="1167" w:type="pct"/>
          </w:tcPr>
          <w:p w14:paraId="4356AF17" w14:textId="77777777"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6F87EA95"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C3F3F2E"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r w:rsidR="00D5424C" w:rsidRPr="00C562C1" w14:paraId="20C8FBF3" w14:textId="77777777" w:rsidTr="00C61A26">
        <w:trPr>
          <w:jc w:val="center"/>
        </w:trPr>
        <w:tc>
          <w:tcPr>
            <w:tcW w:w="1614" w:type="pct"/>
          </w:tcPr>
          <w:p w14:paraId="04B4A318" w14:textId="59764AF4" w:rsidR="00D5424C" w:rsidRPr="009D4064" w:rsidRDefault="00D5424C" w:rsidP="00D5424C">
            <w:pPr>
              <w:pBdr>
                <w:top w:val="nil"/>
                <w:left w:val="nil"/>
                <w:bottom w:val="nil"/>
                <w:right w:val="nil"/>
                <w:between w:val="nil"/>
              </w:pBdr>
              <w:tabs>
                <w:tab w:val="num" w:pos="360"/>
              </w:tabs>
              <w:spacing w:after="0" w:line="360" w:lineRule="auto"/>
              <w:jc w:val="both"/>
              <w:rPr>
                <w:rFonts w:ascii="Bookman Old Style" w:hAnsi="Bookman Old Style"/>
                <w:sz w:val="24"/>
                <w:szCs w:val="24"/>
              </w:rPr>
            </w:pPr>
            <w:r w:rsidRPr="009D4064">
              <w:rPr>
                <w:rFonts w:ascii="Bookman Old Style" w:hAnsi="Bookman Old Style"/>
                <w:sz w:val="24"/>
                <w:szCs w:val="24"/>
              </w:rPr>
              <w:t xml:space="preserve">LEMBARAN NEGARA REPUBLIK INDONESIA TAHUN ... NOMOR ... </w:t>
            </w:r>
          </w:p>
        </w:tc>
        <w:tc>
          <w:tcPr>
            <w:tcW w:w="1167" w:type="pct"/>
          </w:tcPr>
          <w:p w14:paraId="20E17782" w14:textId="12B9684B" w:rsidR="00D5424C" w:rsidRPr="00BB62F1" w:rsidRDefault="00D5424C" w:rsidP="00D5424C">
            <w:pPr>
              <w:tabs>
                <w:tab w:val="left" w:pos="1134"/>
                <w:tab w:val="left" w:pos="1701"/>
                <w:tab w:val="left" w:pos="2268"/>
                <w:tab w:val="left" w:pos="2835"/>
              </w:tabs>
              <w:spacing w:after="0" w:line="360" w:lineRule="auto"/>
              <w:jc w:val="both"/>
              <w:rPr>
                <w:rFonts w:ascii="Bookman Old Style" w:hAnsi="Bookman Old Style"/>
                <w:sz w:val="24"/>
                <w:szCs w:val="24"/>
              </w:rPr>
            </w:pPr>
          </w:p>
        </w:tc>
        <w:tc>
          <w:tcPr>
            <w:tcW w:w="1109" w:type="pct"/>
          </w:tcPr>
          <w:p w14:paraId="04B27B04"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c>
          <w:tcPr>
            <w:tcW w:w="1109" w:type="pct"/>
          </w:tcPr>
          <w:p w14:paraId="4E25F230" w14:textId="77777777" w:rsidR="00D5424C" w:rsidRPr="00C562C1" w:rsidRDefault="00D5424C" w:rsidP="00D5424C">
            <w:pPr>
              <w:tabs>
                <w:tab w:val="left" w:pos="2552"/>
              </w:tabs>
              <w:spacing w:after="0" w:line="360" w:lineRule="auto"/>
              <w:jc w:val="both"/>
              <w:rPr>
                <w:rFonts w:ascii="Bookman Old Style" w:eastAsia="Bookman Old Style" w:hAnsi="Bookman Old Style" w:cs="Bookman Old Style"/>
                <w:sz w:val="24"/>
                <w:szCs w:val="24"/>
              </w:rPr>
            </w:pPr>
          </w:p>
        </w:tc>
      </w:tr>
    </w:tbl>
    <w:p w14:paraId="362ED054" w14:textId="77777777" w:rsidR="00344080" w:rsidRPr="00C562C1" w:rsidRDefault="00344080" w:rsidP="000057E8">
      <w:pPr>
        <w:pBdr>
          <w:top w:val="nil"/>
          <w:left w:val="nil"/>
          <w:bottom w:val="nil"/>
          <w:right w:val="nil"/>
          <w:between w:val="nil"/>
        </w:pBdr>
        <w:spacing w:after="0" w:line="360" w:lineRule="auto"/>
        <w:ind w:right="68"/>
        <w:rPr>
          <w:rFonts w:ascii="Bookman Old Style" w:eastAsia="Bookman Old Style" w:hAnsi="Bookman Old Style" w:cs="Bookman Old Style"/>
          <w:sz w:val="24"/>
          <w:szCs w:val="24"/>
        </w:rPr>
      </w:pPr>
    </w:p>
    <w:p w14:paraId="0D423B33" w14:textId="77777777" w:rsidR="00344080" w:rsidRPr="00C562C1" w:rsidRDefault="00344080" w:rsidP="003D2FCF">
      <w:pPr>
        <w:pBdr>
          <w:top w:val="nil"/>
          <w:left w:val="nil"/>
          <w:bottom w:val="nil"/>
          <w:right w:val="nil"/>
          <w:between w:val="nil"/>
        </w:pBdr>
        <w:spacing w:after="0" w:line="360" w:lineRule="auto"/>
        <w:ind w:left="5670" w:right="68"/>
        <w:jc w:val="both"/>
        <w:rPr>
          <w:rFonts w:ascii="Bookman Old Style" w:eastAsia="Bookman Old Style" w:hAnsi="Bookman Old Style" w:cs="Bookman Old Style"/>
          <w:sz w:val="24"/>
          <w:szCs w:val="24"/>
        </w:rPr>
      </w:pPr>
    </w:p>
    <w:sectPr w:rsidR="00344080" w:rsidRPr="00C562C1" w:rsidSect="00650D6C">
      <w:headerReference w:type="default" r:id="rId9"/>
      <w:footerReference w:type="default" r:id="rId10"/>
      <w:pgSz w:w="24480" w:h="15840" w:orient="landscape" w:code="3"/>
      <w:pgMar w:top="1418" w:right="1418" w:bottom="1418" w:left="1418" w:header="709" w:footer="709" w:gutter="0"/>
      <w:pgNumType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7F16" w14:textId="77777777" w:rsidR="00683EF9" w:rsidRDefault="00683EF9">
      <w:pPr>
        <w:spacing w:after="0" w:line="240" w:lineRule="auto"/>
      </w:pPr>
      <w:r>
        <w:separator/>
      </w:r>
    </w:p>
  </w:endnote>
  <w:endnote w:type="continuationSeparator" w:id="0">
    <w:p w14:paraId="27A95F8D" w14:textId="77777777" w:rsidR="00683EF9" w:rsidRDefault="0068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Cambria"/>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260E" w14:textId="1DB3CAC4" w:rsidR="00793FBC" w:rsidRDefault="00793FBC">
    <w:pPr>
      <w:pStyle w:val="Footer"/>
      <w:jc w:val="center"/>
    </w:pPr>
  </w:p>
  <w:p w14:paraId="603CBA89" w14:textId="77777777" w:rsidR="00793FBC" w:rsidRDefault="00793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BC51A" w14:textId="77777777" w:rsidR="00683EF9" w:rsidRDefault="00683EF9">
      <w:pPr>
        <w:spacing w:after="0" w:line="240" w:lineRule="auto"/>
      </w:pPr>
      <w:r>
        <w:separator/>
      </w:r>
    </w:p>
  </w:footnote>
  <w:footnote w:type="continuationSeparator" w:id="0">
    <w:p w14:paraId="14F93498" w14:textId="77777777" w:rsidR="00683EF9" w:rsidRDefault="00683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352E" w14:textId="247548DF" w:rsidR="00793FBC" w:rsidRDefault="00793FBC">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w:t>
    </w: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7C0BE7">
      <w:rPr>
        <w:rFonts w:ascii="Bookman Old Style" w:eastAsia="Bookman Old Style" w:hAnsi="Bookman Old Style" w:cs="Bookman Old Style"/>
        <w:noProof/>
        <w:color w:val="000000"/>
      </w:rPr>
      <w:t>87</w:t>
    </w:r>
    <w:r>
      <w:rPr>
        <w:rFonts w:ascii="Bookman Old Style" w:eastAsia="Bookman Old Style" w:hAnsi="Bookman Old Style" w:cs="Bookman Old Style"/>
        <w:color w:val="000000"/>
      </w:rPr>
      <w:fldChar w:fldCharType="end"/>
    </w:r>
    <w:r>
      <w:rPr>
        <w:rFonts w:ascii="Bookman Old Style" w:eastAsia="Bookman Old Style" w:hAnsi="Bookman Old Style" w:cs="Bookman Old Style"/>
        <w:color w:val="000000"/>
      </w:rPr>
      <w:t>-</w:t>
    </w:r>
  </w:p>
  <w:p w14:paraId="36F90AA4" w14:textId="77777777" w:rsidR="00793FBC" w:rsidRDefault="00793FB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020"/>
    <w:multiLevelType w:val="hybridMultilevel"/>
    <w:tmpl w:val="A3A0A556"/>
    <w:lvl w:ilvl="0" w:tplc="FFFFFFFF">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18114F"/>
    <w:multiLevelType w:val="hybridMultilevel"/>
    <w:tmpl w:val="A80A295C"/>
    <w:lvl w:ilvl="0" w:tplc="91B68560">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0E58848E">
      <w:start w:val="2"/>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37DAE"/>
    <w:multiLevelType w:val="hybridMultilevel"/>
    <w:tmpl w:val="92C41730"/>
    <w:lvl w:ilvl="0" w:tplc="31A4BEDC">
      <w:start w:val="4"/>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C157EE"/>
    <w:multiLevelType w:val="hybridMultilevel"/>
    <w:tmpl w:val="2DA20A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E4F76"/>
    <w:multiLevelType w:val="hybridMultilevel"/>
    <w:tmpl w:val="66FA1B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C141F0E"/>
    <w:multiLevelType w:val="hybridMultilevel"/>
    <w:tmpl w:val="470297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67FDB"/>
    <w:multiLevelType w:val="hybridMultilevel"/>
    <w:tmpl w:val="B2B2F04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B46AB2"/>
    <w:multiLevelType w:val="hybridMultilevel"/>
    <w:tmpl w:val="F336EC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CF0D51"/>
    <w:multiLevelType w:val="hybridMultilevel"/>
    <w:tmpl w:val="1506C7AE"/>
    <w:lvl w:ilvl="0" w:tplc="0AE074AC">
      <w:start w:val="1"/>
      <w:numFmt w:val="decimal"/>
      <w:lvlText w:val="(%1)"/>
      <w:lvlJc w:val="left"/>
      <w:pPr>
        <w:ind w:left="720" w:hanging="360"/>
      </w:pPr>
      <w:rPr>
        <w:rFonts w:hint="default"/>
        <w:color w:val="auto"/>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BC0CD0"/>
    <w:multiLevelType w:val="hybridMultilevel"/>
    <w:tmpl w:val="878C76A2"/>
    <w:lvl w:ilvl="0" w:tplc="FFFFFFFF">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6B4C9CA6">
      <w:start w:val="1"/>
      <w:numFmt w:val="decimal"/>
      <w:lvlText w:val="(%3)"/>
      <w:lvlJc w:val="left"/>
      <w:pPr>
        <w:ind w:left="2340" w:hanging="360"/>
      </w:pPr>
      <w:rPr>
        <w:rFonts w:hint="default"/>
        <w:color w:val="auto"/>
      </w:rPr>
    </w:lvl>
    <w:lvl w:ilvl="3" w:tplc="9594F3A6">
      <w:start w:val="3"/>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481A32"/>
    <w:multiLevelType w:val="hybridMultilevel"/>
    <w:tmpl w:val="E5E648AE"/>
    <w:lvl w:ilvl="0" w:tplc="328EFDBC">
      <w:start w:val="1"/>
      <w:numFmt w:val="decimal"/>
      <w:lvlText w:val="%1."/>
      <w:lvlJc w:val="righ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13696741"/>
    <w:multiLevelType w:val="hybridMultilevel"/>
    <w:tmpl w:val="AF664C3A"/>
    <w:lvl w:ilvl="0" w:tplc="75F482D2">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36C4222"/>
    <w:multiLevelType w:val="hybridMultilevel"/>
    <w:tmpl w:val="6C3A4500"/>
    <w:lvl w:ilvl="0" w:tplc="839437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606E9"/>
    <w:multiLevelType w:val="hybridMultilevel"/>
    <w:tmpl w:val="9836FEE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183F6778"/>
    <w:multiLevelType w:val="hybridMultilevel"/>
    <w:tmpl w:val="988E1A52"/>
    <w:lvl w:ilvl="0" w:tplc="328EFDBC">
      <w:start w:val="1"/>
      <w:numFmt w:val="decimal"/>
      <w:lvlText w:val="%1."/>
      <w:lvlJc w:val="right"/>
      <w:pPr>
        <w:ind w:left="711" w:hanging="360"/>
      </w:pPr>
      <w:rPr>
        <w:rFonts w:hint="default"/>
        <w:sz w:val="22"/>
      </w:rPr>
    </w:lvl>
    <w:lvl w:ilvl="1" w:tplc="38090019" w:tentative="1">
      <w:start w:val="1"/>
      <w:numFmt w:val="lowerLetter"/>
      <w:lvlText w:val="%2."/>
      <w:lvlJc w:val="left"/>
      <w:pPr>
        <w:ind w:left="1431" w:hanging="360"/>
      </w:pPr>
    </w:lvl>
    <w:lvl w:ilvl="2" w:tplc="3809001B" w:tentative="1">
      <w:start w:val="1"/>
      <w:numFmt w:val="lowerRoman"/>
      <w:lvlText w:val="%3."/>
      <w:lvlJc w:val="right"/>
      <w:pPr>
        <w:ind w:left="2151" w:hanging="180"/>
      </w:pPr>
    </w:lvl>
    <w:lvl w:ilvl="3" w:tplc="3809000F" w:tentative="1">
      <w:start w:val="1"/>
      <w:numFmt w:val="decimal"/>
      <w:lvlText w:val="%4."/>
      <w:lvlJc w:val="left"/>
      <w:pPr>
        <w:ind w:left="2871" w:hanging="360"/>
      </w:pPr>
    </w:lvl>
    <w:lvl w:ilvl="4" w:tplc="38090019" w:tentative="1">
      <w:start w:val="1"/>
      <w:numFmt w:val="lowerLetter"/>
      <w:lvlText w:val="%5."/>
      <w:lvlJc w:val="left"/>
      <w:pPr>
        <w:ind w:left="3591" w:hanging="360"/>
      </w:pPr>
    </w:lvl>
    <w:lvl w:ilvl="5" w:tplc="3809001B" w:tentative="1">
      <w:start w:val="1"/>
      <w:numFmt w:val="lowerRoman"/>
      <w:lvlText w:val="%6."/>
      <w:lvlJc w:val="right"/>
      <w:pPr>
        <w:ind w:left="4311" w:hanging="180"/>
      </w:pPr>
    </w:lvl>
    <w:lvl w:ilvl="6" w:tplc="3809000F" w:tentative="1">
      <w:start w:val="1"/>
      <w:numFmt w:val="decimal"/>
      <w:lvlText w:val="%7."/>
      <w:lvlJc w:val="left"/>
      <w:pPr>
        <w:ind w:left="5031" w:hanging="360"/>
      </w:pPr>
    </w:lvl>
    <w:lvl w:ilvl="7" w:tplc="38090019" w:tentative="1">
      <w:start w:val="1"/>
      <w:numFmt w:val="lowerLetter"/>
      <w:lvlText w:val="%8."/>
      <w:lvlJc w:val="left"/>
      <w:pPr>
        <w:ind w:left="5751" w:hanging="360"/>
      </w:pPr>
    </w:lvl>
    <w:lvl w:ilvl="8" w:tplc="3809001B" w:tentative="1">
      <w:start w:val="1"/>
      <w:numFmt w:val="lowerRoman"/>
      <w:lvlText w:val="%9."/>
      <w:lvlJc w:val="right"/>
      <w:pPr>
        <w:ind w:left="6471" w:hanging="180"/>
      </w:pPr>
    </w:lvl>
  </w:abstractNum>
  <w:abstractNum w:abstractNumId="15" w15:restartNumberingAfterBreak="0">
    <w:nsid w:val="18C6295B"/>
    <w:multiLevelType w:val="hybridMultilevel"/>
    <w:tmpl w:val="13167404"/>
    <w:lvl w:ilvl="0" w:tplc="328EFDBC">
      <w:start w:val="1"/>
      <w:numFmt w:val="decimal"/>
      <w:lvlText w:val="%1."/>
      <w:lvlJc w:val="right"/>
      <w:pPr>
        <w:ind w:left="1593" w:hanging="360"/>
      </w:pPr>
      <w:rPr>
        <w:rFonts w:hint="default"/>
      </w:rPr>
    </w:lvl>
    <w:lvl w:ilvl="1" w:tplc="328EFDBC">
      <w:start w:val="1"/>
      <w:numFmt w:val="decimal"/>
      <w:lvlText w:val="%2."/>
      <w:lvlJc w:val="right"/>
      <w:pPr>
        <w:ind w:left="2313" w:hanging="360"/>
      </w:pPr>
      <w:rPr>
        <w:rFonts w:hint="default"/>
      </w:rPr>
    </w:lvl>
    <w:lvl w:ilvl="2" w:tplc="3809001B" w:tentative="1">
      <w:start w:val="1"/>
      <w:numFmt w:val="lowerRoman"/>
      <w:lvlText w:val="%3."/>
      <w:lvlJc w:val="right"/>
      <w:pPr>
        <w:ind w:left="3033" w:hanging="180"/>
      </w:pPr>
    </w:lvl>
    <w:lvl w:ilvl="3" w:tplc="3809000F" w:tentative="1">
      <w:start w:val="1"/>
      <w:numFmt w:val="decimal"/>
      <w:lvlText w:val="%4."/>
      <w:lvlJc w:val="left"/>
      <w:pPr>
        <w:ind w:left="3753" w:hanging="360"/>
      </w:pPr>
    </w:lvl>
    <w:lvl w:ilvl="4" w:tplc="38090019" w:tentative="1">
      <w:start w:val="1"/>
      <w:numFmt w:val="lowerLetter"/>
      <w:lvlText w:val="%5."/>
      <w:lvlJc w:val="left"/>
      <w:pPr>
        <w:ind w:left="4473" w:hanging="360"/>
      </w:pPr>
    </w:lvl>
    <w:lvl w:ilvl="5" w:tplc="3809001B" w:tentative="1">
      <w:start w:val="1"/>
      <w:numFmt w:val="lowerRoman"/>
      <w:lvlText w:val="%6."/>
      <w:lvlJc w:val="right"/>
      <w:pPr>
        <w:ind w:left="5193" w:hanging="180"/>
      </w:pPr>
    </w:lvl>
    <w:lvl w:ilvl="6" w:tplc="3809000F" w:tentative="1">
      <w:start w:val="1"/>
      <w:numFmt w:val="decimal"/>
      <w:lvlText w:val="%7."/>
      <w:lvlJc w:val="left"/>
      <w:pPr>
        <w:ind w:left="5913" w:hanging="360"/>
      </w:pPr>
    </w:lvl>
    <w:lvl w:ilvl="7" w:tplc="38090019" w:tentative="1">
      <w:start w:val="1"/>
      <w:numFmt w:val="lowerLetter"/>
      <w:lvlText w:val="%8."/>
      <w:lvlJc w:val="left"/>
      <w:pPr>
        <w:ind w:left="6633" w:hanging="360"/>
      </w:pPr>
    </w:lvl>
    <w:lvl w:ilvl="8" w:tplc="3809001B" w:tentative="1">
      <w:start w:val="1"/>
      <w:numFmt w:val="lowerRoman"/>
      <w:lvlText w:val="%9."/>
      <w:lvlJc w:val="right"/>
      <w:pPr>
        <w:ind w:left="7353" w:hanging="180"/>
      </w:pPr>
    </w:lvl>
  </w:abstractNum>
  <w:abstractNum w:abstractNumId="16" w15:restartNumberingAfterBreak="0">
    <w:nsid w:val="195B784B"/>
    <w:multiLevelType w:val="hybridMultilevel"/>
    <w:tmpl w:val="6388DE8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1A0F64BB"/>
    <w:multiLevelType w:val="hybridMultilevel"/>
    <w:tmpl w:val="43BE2276"/>
    <w:lvl w:ilvl="0" w:tplc="14DA2DA8">
      <w:start w:val="4"/>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CAE0218"/>
    <w:multiLevelType w:val="hybridMultilevel"/>
    <w:tmpl w:val="E8D266C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DC005B1"/>
    <w:multiLevelType w:val="hybridMultilevel"/>
    <w:tmpl w:val="F74A81D0"/>
    <w:lvl w:ilvl="0" w:tplc="681C9576">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E177FBE"/>
    <w:multiLevelType w:val="hybridMultilevel"/>
    <w:tmpl w:val="4C1E9914"/>
    <w:lvl w:ilvl="0" w:tplc="E9FE5652">
      <w:start w:val="4"/>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F57730F"/>
    <w:multiLevelType w:val="hybridMultilevel"/>
    <w:tmpl w:val="BA667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9A4A98"/>
    <w:multiLevelType w:val="hybridMultilevel"/>
    <w:tmpl w:val="E59891E8"/>
    <w:lvl w:ilvl="0" w:tplc="3698F506">
      <w:start w:val="3"/>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1B25132"/>
    <w:multiLevelType w:val="hybridMultilevel"/>
    <w:tmpl w:val="A0C8B4B2"/>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C67246"/>
    <w:multiLevelType w:val="hybridMultilevel"/>
    <w:tmpl w:val="59F45CF8"/>
    <w:lvl w:ilvl="0" w:tplc="DE981AAC">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2EA30E2"/>
    <w:multiLevelType w:val="hybridMultilevel"/>
    <w:tmpl w:val="FD0E9370"/>
    <w:lvl w:ilvl="0" w:tplc="38B28030">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3287A42"/>
    <w:multiLevelType w:val="hybridMultilevel"/>
    <w:tmpl w:val="33C4348C"/>
    <w:lvl w:ilvl="0" w:tplc="FFFFFFF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702366"/>
    <w:multiLevelType w:val="hybridMultilevel"/>
    <w:tmpl w:val="29BA4C72"/>
    <w:lvl w:ilvl="0" w:tplc="34EA6E84">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4C71E9D"/>
    <w:multiLevelType w:val="hybridMultilevel"/>
    <w:tmpl w:val="E29ADB7A"/>
    <w:lvl w:ilvl="0" w:tplc="79A635FC">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4E50DB3"/>
    <w:multiLevelType w:val="hybridMultilevel"/>
    <w:tmpl w:val="60D8B8B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26B06CB0"/>
    <w:multiLevelType w:val="hybridMultilevel"/>
    <w:tmpl w:val="55423DAE"/>
    <w:lvl w:ilvl="0" w:tplc="C5F6E9E6">
      <w:start w:val="4"/>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23308F"/>
    <w:multiLevelType w:val="hybridMultilevel"/>
    <w:tmpl w:val="82080B44"/>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8A6B16"/>
    <w:multiLevelType w:val="hybridMultilevel"/>
    <w:tmpl w:val="D0E445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774887"/>
    <w:multiLevelType w:val="hybridMultilevel"/>
    <w:tmpl w:val="38FA39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33481601"/>
    <w:multiLevelType w:val="hybridMultilevel"/>
    <w:tmpl w:val="A0706832"/>
    <w:lvl w:ilvl="0" w:tplc="DF3A6ACA">
      <w:start w:val="3"/>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502518B"/>
    <w:multiLevelType w:val="hybridMultilevel"/>
    <w:tmpl w:val="ED9E68D4"/>
    <w:lvl w:ilvl="0" w:tplc="38090019">
      <w:start w:val="1"/>
      <w:numFmt w:val="lowerLetter"/>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55F3174"/>
    <w:multiLevelType w:val="hybridMultilevel"/>
    <w:tmpl w:val="F0405D8E"/>
    <w:lvl w:ilvl="0" w:tplc="4FB8DD6E">
      <w:start w:val="3"/>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6F81937"/>
    <w:multiLevelType w:val="hybridMultilevel"/>
    <w:tmpl w:val="9836FEE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38345C99"/>
    <w:multiLevelType w:val="hybridMultilevel"/>
    <w:tmpl w:val="4112B79C"/>
    <w:lvl w:ilvl="0" w:tplc="38090019">
      <w:start w:val="1"/>
      <w:numFmt w:val="lowerLetter"/>
      <w:lvlText w:val="%1."/>
      <w:lvlJc w:val="left"/>
      <w:pPr>
        <w:ind w:left="750" w:hanging="360"/>
      </w:pPr>
    </w:lvl>
    <w:lvl w:ilvl="1" w:tplc="38090019" w:tentative="1">
      <w:start w:val="1"/>
      <w:numFmt w:val="lowerLetter"/>
      <w:lvlText w:val="%2."/>
      <w:lvlJc w:val="left"/>
      <w:pPr>
        <w:ind w:left="1470" w:hanging="360"/>
      </w:pPr>
    </w:lvl>
    <w:lvl w:ilvl="2" w:tplc="3809001B" w:tentative="1">
      <w:start w:val="1"/>
      <w:numFmt w:val="lowerRoman"/>
      <w:lvlText w:val="%3."/>
      <w:lvlJc w:val="right"/>
      <w:pPr>
        <w:ind w:left="2190" w:hanging="180"/>
      </w:pPr>
    </w:lvl>
    <w:lvl w:ilvl="3" w:tplc="3809000F" w:tentative="1">
      <w:start w:val="1"/>
      <w:numFmt w:val="decimal"/>
      <w:lvlText w:val="%4."/>
      <w:lvlJc w:val="left"/>
      <w:pPr>
        <w:ind w:left="2910" w:hanging="360"/>
      </w:pPr>
    </w:lvl>
    <w:lvl w:ilvl="4" w:tplc="38090019" w:tentative="1">
      <w:start w:val="1"/>
      <w:numFmt w:val="lowerLetter"/>
      <w:lvlText w:val="%5."/>
      <w:lvlJc w:val="left"/>
      <w:pPr>
        <w:ind w:left="3630" w:hanging="360"/>
      </w:pPr>
    </w:lvl>
    <w:lvl w:ilvl="5" w:tplc="3809001B" w:tentative="1">
      <w:start w:val="1"/>
      <w:numFmt w:val="lowerRoman"/>
      <w:lvlText w:val="%6."/>
      <w:lvlJc w:val="right"/>
      <w:pPr>
        <w:ind w:left="4350" w:hanging="180"/>
      </w:pPr>
    </w:lvl>
    <w:lvl w:ilvl="6" w:tplc="3809000F" w:tentative="1">
      <w:start w:val="1"/>
      <w:numFmt w:val="decimal"/>
      <w:lvlText w:val="%7."/>
      <w:lvlJc w:val="left"/>
      <w:pPr>
        <w:ind w:left="5070" w:hanging="360"/>
      </w:pPr>
    </w:lvl>
    <w:lvl w:ilvl="7" w:tplc="38090019" w:tentative="1">
      <w:start w:val="1"/>
      <w:numFmt w:val="lowerLetter"/>
      <w:lvlText w:val="%8."/>
      <w:lvlJc w:val="left"/>
      <w:pPr>
        <w:ind w:left="5790" w:hanging="360"/>
      </w:pPr>
    </w:lvl>
    <w:lvl w:ilvl="8" w:tplc="3809001B" w:tentative="1">
      <w:start w:val="1"/>
      <w:numFmt w:val="lowerRoman"/>
      <w:lvlText w:val="%9."/>
      <w:lvlJc w:val="right"/>
      <w:pPr>
        <w:ind w:left="6510" w:hanging="180"/>
      </w:pPr>
    </w:lvl>
  </w:abstractNum>
  <w:abstractNum w:abstractNumId="39" w15:restartNumberingAfterBreak="0">
    <w:nsid w:val="3B6B4774"/>
    <w:multiLevelType w:val="hybridMultilevel"/>
    <w:tmpl w:val="F5DC9A0A"/>
    <w:lvl w:ilvl="0" w:tplc="1B70FA12">
      <w:start w:val="2"/>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C525E2A"/>
    <w:multiLevelType w:val="hybridMultilevel"/>
    <w:tmpl w:val="F3A0CC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38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E95C6A"/>
    <w:multiLevelType w:val="hybridMultilevel"/>
    <w:tmpl w:val="8FA663E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1FF0DF2"/>
    <w:multiLevelType w:val="hybridMultilevel"/>
    <w:tmpl w:val="45D0A8D2"/>
    <w:lvl w:ilvl="0" w:tplc="DD1ADF20">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427C5B3D"/>
    <w:multiLevelType w:val="multilevel"/>
    <w:tmpl w:val="E98E9080"/>
    <w:name w:val="(1a)"/>
    <w:lvl w:ilvl="0">
      <w:start w:val="1"/>
      <w:numFmt w:val="decimal"/>
      <w:lvlText w:val="%1a."/>
      <w:lvlJc w:val="left"/>
      <w:pPr>
        <w:ind w:left="6150" w:hanging="360"/>
      </w:pPr>
      <w:rPr>
        <w:rFonts w:hint="default"/>
      </w:rPr>
    </w:lvl>
    <w:lvl w:ilvl="1">
      <w:start w:val="1"/>
      <w:numFmt w:val="lowerLetter"/>
      <w:lvlText w:val="%2."/>
      <w:lvlJc w:val="left"/>
      <w:pPr>
        <w:ind w:left="4155" w:hanging="360"/>
      </w:pPr>
      <w:rPr>
        <w:rFonts w:hint="default"/>
      </w:rPr>
    </w:lvl>
    <w:lvl w:ilvl="2">
      <w:start w:val="1"/>
      <w:numFmt w:val="lowerRoman"/>
      <w:lvlText w:val="%3."/>
      <w:lvlJc w:val="right"/>
      <w:pPr>
        <w:ind w:left="4875" w:hanging="180"/>
      </w:pPr>
      <w:rPr>
        <w:rFonts w:hint="default"/>
      </w:rPr>
    </w:lvl>
    <w:lvl w:ilvl="3">
      <w:start w:val="1"/>
      <w:numFmt w:val="lowerLetter"/>
      <w:lvlText w:val="%4."/>
      <w:lvlJc w:val="left"/>
      <w:pPr>
        <w:ind w:left="5595" w:hanging="360"/>
      </w:pPr>
      <w:rPr>
        <w:rFonts w:hint="default"/>
      </w:rPr>
    </w:lvl>
    <w:lvl w:ilvl="4">
      <w:start w:val="1"/>
      <w:numFmt w:val="lowerLetter"/>
      <w:lvlText w:val="%5."/>
      <w:lvlJc w:val="left"/>
      <w:pPr>
        <w:ind w:left="6315" w:hanging="360"/>
      </w:pPr>
      <w:rPr>
        <w:rFonts w:hint="default"/>
      </w:rPr>
    </w:lvl>
    <w:lvl w:ilvl="5">
      <w:start w:val="1"/>
      <w:numFmt w:val="lowerRoman"/>
      <w:lvlText w:val="%6."/>
      <w:lvlJc w:val="right"/>
      <w:pPr>
        <w:ind w:left="7035" w:hanging="180"/>
      </w:pPr>
      <w:rPr>
        <w:rFonts w:hint="default"/>
      </w:rPr>
    </w:lvl>
    <w:lvl w:ilvl="6">
      <w:start w:val="1"/>
      <w:numFmt w:val="decimal"/>
      <w:lvlText w:val="%7."/>
      <w:lvlJc w:val="left"/>
      <w:pPr>
        <w:ind w:left="7755" w:hanging="360"/>
      </w:pPr>
      <w:rPr>
        <w:rFonts w:hint="default"/>
      </w:rPr>
    </w:lvl>
    <w:lvl w:ilvl="7">
      <w:start w:val="1"/>
      <w:numFmt w:val="lowerLetter"/>
      <w:lvlText w:val="%8."/>
      <w:lvlJc w:val="left"/>
      <w:pPr>
        <w:ind w:left="8475" w:hanging="360"/>
      </w:pPr>
      <w:rPr>
        <w:rFonts w:hint="default"/>
      </w:rPr>
    </w:lvl>
    <w:lvl w:ilvl="8">
      <w:start w:val="1"/>
      <w:numFmt w:val="lowerRoman"/>
      <w:lvlText w:val="%9."/>
      <w:lvlJc w:val="right"/>
      <w:pPr>
        <w:ind w:left="9195" w:hanging="180"/>
      </w:pPr>
      <w:rPr>
        <w:rFonts w:hint="default"/>
      </w:rPr>
    </w:lvl>
  </w:abstractNum>
  <w:abstractNum w:abstractNumId="44" w15:restartNumberingAfterBreak="0">
    <w:nsid w:val="430E4387"/>
    <w:multiLevelType w:val="hybridMultilevel"/>
    <w:tmpl w:val="BCA23F6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3986D92"/>
    <w:multiLevelType w:val="hybridMultilevel"/>
    <w:tmpl w:val="94F86FB4"/>
    <w:lvl w:ilvl="0" w:tplc="BC14D940">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41B14E5"/>
    <w:multiLevelType w:val="hybridMultilevel"/>
    <w:tmpl w:val="7668E86E"/>
    <w:lvl w:ilvl="0" w:tplc="180CEEAA">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79A1181"/>
    <w:multiLevelType w:val="hybridMultilevel"/>
    <w:tmpl w:val="5ED4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8A1214"/>
    <w:multiLevelType w:val="hybridMultilevel"/>
    <w:tmpl w:val="EBA0FC38"/>
    <w:lvl w:ilvl="0" w:tplc="FFFFFFF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D27BAA"/>
    <w:multiLevelType w:val="hybridMultilevel"/>
    <w:tmpl w:val="13F61940"/>
    <w:lvl w:ilvl="0" w:tplc="D8F6DE7A">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CC034AA"/>
    <w:multiLevelType w:val="hybridMultilevel"/>
    <w:tmpl w:val="3BF80E30"/>
    <w:lvl w:ilvl="0" w:tplc="FFFFFFF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01290E"/>
    <w:multiLevelType w:val="hybridMultilevel"/>
    <w:tmpl w:val="C5609D5E"/>
    <w:lvl w:ilvl="0" w:tplc="8F1EE75E">
      <w:start w:val="10"/>
      <w:numFmt w:val="decimal"/>
      <w:lvlText w:val="%1."/>
      <w:lvlJc w:val="right"/>
      <w:pPr>
        <w:ind w:left="711"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04E10C6"/>
    <w:multiLevelType w:val="hybridMultilevel"/>
    <w:tmpl w:val="B2B2F046"/>
    <w:lvl w:ilvl="0" w:tplc="611CE736">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06B604B"/>
    <w:multiLevelType w:val="hybridMultilevel"/>
    <w:tmpl w:val="E4E6C7E6"/>
    <w:lvl w:ilvl="0" w:tplc="2D94D356">
      <w:start w:val="2"/>
      <w:numFmt w:val="decimal"/>
      <w:lvlText w:val="%1."/>
      <w:lvlJc w:val="righ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51FC64BD"/>
    <w:multiLevelType w:val="hybridMultilevel"/>
    <w:tmpl w:val="F5E4E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8312D5"/>
    <w:multiLevelType w:val="hybridMultilevel"/>
    <w:tmpl w:val="F7AAC6C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53CB47CC"/>
    <w:multiLevelType w:val="hybridMultilevel"/>
    <w:tmpl w:val="2E1676A2"/>
    <w:lvl w:ilvl="0" w:tplc="FFFFFFFF">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61225AC"/>
    <w:multiLevelType w:val="multilevel"/>
    <w:tmpl w:val="01E881DC"/>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8" w15:restartNumberingAfterBreak="0">
    <w:nsid w:val="5767605A"/>
    <w:multiLevelType w:val="hybridMultilevel"/>
    <w:tmpl w:val="A9C6B6CC"/>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83F3DA9"/>
    <w:multiLevelType w:val="hybridMultilevel"/>
    <w:tmpl w:val="7FA66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9A4C6D"/>
    <w:multiLevelType w:val="hybridMultilevel"/>
    <w:tmpl w:val="5A04B4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E20D22"/>
    <w:multiLevelType w:val="hybridMultilevel"/>
    <w:tmpl w:val="0EC4E1EA"/>
    <w:lvl w:ilvl="0" w:tplc="FFFFFFF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D32181"/>
    <w:multiLevelType w:val="multilevel"/>
    <w:tmpl w:val="6896A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FBA3C7A"/>
    <w:multiLevelType w:val="hybridMultilevel"/>
    <w:tmpl w:val="4E8E2496"/>
    <w:lvl w:ilvl="0" w:tplc="FD2C4980">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05A1AB8"/>
    <w:multiLevelType w:val="hybridMultilevel"/>
    <w:tmpl w:val="94BA4C0E"/>
    <w:lvl w:ilvl="0" w:tplc="AFC00EF2">
      <w:start w:val="4"/>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06D7A6B"/>
    <w:multiLevelType w:val="hybridMultilevel"/>
    <w:tmpl w:val="ACB4E286"/>
    <w:lvl w:ilvl="0" w:tplc="3A1CCC6E">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17F06A1"/>
    <w:multiLevelType w:val="hybridMultilevel"/>
    <w:tmpl w:val="13BEBD7E"/>
    <w:lvl w:ilvl="0" w:tplc="09401F0C">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31B439A"/>
    <w:multiLevelType w:val="hybridMultilevel"/>
    <w:tmpl w:val="4D2AADC6"/>
    <w:lvl w:ilvl="0" w:tplc="7BBA35D4">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64473547"/>
    <w:multiLevelType w:val="hybridMultilevel"/>
    <w:tmpl w:val="734E0E82"/>
    <w:lvl w:ilvl="0" w:tplc="FFFFFFFF">
      <w:start w:val="1"/>
      <w:numFmt w:val="decimal"/>
      <w:lvlText w:val="%1."/>
      <w:lvlJc w:val="righ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9" w15:restartNumberingAfterBreak="0">
    <w:nsid w:val="64780F4F"/>
    <w:multiLevelType w:val="hybridMultilevel"/>
    <w:tmpl w:val="677A4B7E"/>
    <w:lvl w:ilvl="0" w:tplc="FFFFFFFF">
      <w:start w:val="1"/>
      <w:numFmt w:val="lowerLetter"/>
      <w:lvlText w:val="%1."/>
      <w:lvlJc w:val="left"/>
      <w:pPr>
        <w:ind w:left="720" w:hanging="360"/>
      </w:pPr>
      <w:rPr>
        <w:rFonts w:hint="default"/>
        <w:sz w:val="22"/>
      </w:rPr>
    </w:lvl>
    <w:lvl w:ilvl="1" w:tplc="BC14D940">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6AB684B"/>
    <w:multiLevelType w:val="hybridMultilevel"/>
    <w:tmpl w:val="E04A1DE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7A14F1C"/>
    <w:multiLevelType w:val="hybridMultilevel"/>
    <w:tmpl w:val="63985000"/>
    <w:lvl w:ilvl="0" w:tplc="A608299E">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69541124"/>
    <w:multiLevelType w:val="hybridMultilevel"/>
    <w:tmpl w:val="6FC0A1B2"/>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9C749CF"/>
    <w:multiLevelType w:val="hybridMultilevel"/>
    <w:tmpl w:val="74BE13DC"/>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BEA4137"/>
    <w:multiLevelType w:val="hybridMultilevel"/>
    <w:tmpl w:val="4504182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6C8B5E65"/>
    <w:multiLevelType w:val="hybridMultilevel"/>
    <w:tmpl w:val="301603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6CA0751B"/>
    <w:multiLevelType w:val="hybridMultilevel"/>
    <w:tmpl w:val="C0DAFD30"/>
    <w:lvl w:ilvl="0" w:tplc="180CEEAA">
      <w:start w:val="1"/>
      <w:numFmt w:val="decimal"/>
      <w:lvlText w:val="(%1)"/>
      <w:lvlJc w:val="left"/>
      <w:pPr>
        <w:ind w:left="720" w:hanging="360"/>
      </w:pPr>
      <w:rPr>
        <w:rFonts w:hint="default"/>
        <w:sz w:val="22"/>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6DF94AB1"/>
    <w:multiLevelType w:val="multilevel"/>
    <w:tmpl w:val="50BE01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F4743E3"/>
    <w:multiLevelType w:val="hybridMultilevel"/>
    <w:tmpl w:val="D07828E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9" w15:restartNumberingAfterBreak="0">
    <w:nsid w:val="7175580D"/>
    <w:multiLevelType w:val="hybridMultilevel"/>
    <w:tmpl w:val="4FE446BE"/>
    <w:lvl w:ilvl="0" w:tplc="BE56A114">
      <w:start w:val="3"/>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71C552FC"/>
    <w:multiLevelType w:val="hybridMultilevel"/>
    <w:tmpl w:val="16E834EE"/>
    <w:lvl w:ilvl="0" w:tplc="FFFFFFFF">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73031263"/>
    <w:multiLevelType w:val="hybridMultilevel"/>
    <w:tmpl w:val="35D80AB4"/>
    <w:lvl w:ilvl="0" w:tplc="7CA66EEE">
      <w:start w:val="2"/>
      <w:numFmt w:val="lowerLetter"/>
      <w:lvlText w:val="%1."/>
      <w:lvlJc w:val="left"/>
      <w:pPr>
        <w:ind w:left="1440" w:hanging="360"/>
      </w:pPr>
      <w:rPr>
        <w:rFonts w:hint="default"/>
        <w:sz w:val="22"/>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2" w15:restartNumberingAfterBreak="0">
    <w:nsid w:val="7409597E"/>
    <w:multiLevelType w:val="hybridMultilevel"/>
    <w:tmpl w:val="EBB0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4A24DA5"/>
    <w:multiLevelType w:val="hybridMultilevel"/>
    <w:tmpl w:val="66148F7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4B47701"/>
    <w:multiLevelType w:val="hybridMultilevel"/>
    <w:tmpl w:val="60DA1634"/>
    <w:lvl w:ilvl="0" w:tplc="FFFFFFF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4BC1833"/>
    <w:multiLevelType w:val="hybridMultilevel"/>
    <w:tmpl w:val="F7C6F81A"/>
    <w:lvl w:ilvl="0" w:tplc="611CE736">
      <w:start w:val="1"/>
      <w:numFmt w:val="decimal"/>
      <w:lvlText w:val="(%1)"/>
      <w:lvlJc w:val="left"/>
      <w:pPr>
        <w:ind w:left="720" w:hanging="360"/>
      </w:pPr>
      <w:rPr>
        <w:rFonts w:hint="default"/>
        <w:sz w:val="22"/>
      </w:rPr>
    </w:lvl>
    <w:lvl w:ilvl="1" w:tplc="FFFFFFFF">
      <w:start w:val="1"/>
      <w:numFmt w:val="lowerLetter"/>
      <w:lvlText w:val="%2."/>
      <w:lvlJc w:val="left"/>
      <w:pPr>
        <w:ind w:left="1440" w:hanging="360"/>
      </w:pPr>
    </w:lvl>
    <w:lvl w:ilvl="2" w:tplc="930EF876">
      <w:start w:val="1"/>
      <w:numFmt w:val="decimal"/>
      <w:lvlText w:val="(%3)"/>
      <w:lvlJc w:val="left"/>
      <w:pPr>
        <w:ind w:left="2340" w:hanging="360"/>
      </w:pPr>
      <w:rPr>
        <w:rFonts w:hint="default"/>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5452585"/>
    <w:multiLevelType w:val="hybridMultilevel"/>
    <w:tmpl w:val="3D868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6F04AE"/>
    <w:multiLevelType w:val="hybridMultilevel"/>
    <w:tmpl w:val="771AA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5A626B6"/>
    <w:multiLevelType w:val="hybridMultilevel"/>
    <w:tmpl w:val="E19A5D7C"/>
    <w:lvl w:ilvl="0" w:tplc="D700C9AC">
      <w:start w:val="1"/>
      <w:numFmt w:val="lowerLetter"/>
      <w:lvlText w:val="%1."/>
      <w:lvlJc w:val="left"/>
      <w:pPr>
        <w:ind w:left="1440" w:hanging="360"/>
      </w:pPr>
      <w:rPr>
        <w:color w:val="auto"/>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9" w15:restartNumberingAfterBreak="0">
    <w:nsid w:val="77403031"/>
    <w:multiLevelType w:val="hybridMultilevel"/>
    <w:tmpl w:val="F3C20344"/>
    <w:lvl w:ilvl="0" w:tplc="328EFDBC">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8576E09"/>
    <w:multiLevelType w:val="hybridMultilevel"/>
    <w:tmpl w:val="24DEBED6"/>
    <w:lvl w:ilvl="0" w:tplc="EFE614BC">
      <w:start w:val="3"/>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789B1472"/>
    <w:multiLevelType w:val="hybridMultilevel"/>
    <w:tmpl w:val="2C3EA608"/>
    <w:lvl w:ilvl="0" w:tplc="094CF106">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8DA0BC5"/>
    <w:multiLevelType w:val="hybridMultilevel"/>
    <w:tmpl w:val="8FA663EE"/>
    <w:lvl w:ilvl="0" w:tplc="16DC4C32">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7A195879"/>
    <w:multiLevelType w:val="hybridMultilevel"/>
    <w:tmpl w:val="A0C8A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A3B01EF"/>
    <w:multiLevelType w:val="hybridMultilevel"/>
    <w:tmpl w:val="85DAA1D8"/>
    <w:lvl w:ilvl="0" w:tplc="328EFDBC">
      <w:start w:val="1"/>
      <w:numFmt w:val="decimal"/>
      <w:lvlText w:val="%1."/>
      <w:lvlJc w:val="right"/>
      <w:pPr>
        <w:ind w:left="1167" w:hanging="360"/>
      </w:pPr>
      <w:rPr>
        <w:rFonts w:hint="default"/>
      </w:rPr>
    </w:lvl>
    <w:lvl w:ilvl="1" w:tplc="328EFDBC">
      <w:start w:val="1"/>
      <w:numFmt w:val="decimal"/>
      <w:lvlText w:val="%2."/>
      <w:lvlJc w:val="right"/>
      <w:pPr>
        <w:ind w:left="2313" w:hanging="360"/>
      </w:pPr>
      <w:rPr>
        <w:rFonts w:hint="default"/>
      </w:rPr>
    </w:lvl>
    <w:lvl w:ilvl="2" w:tplc="3809001B" w:tentative="1">
      <w:start w:val="1"/>
      <w:numFmt w:val="lowerRoman"/>
      <w:lvlText w:val="%3."/>
      <w:lvlJc w:val="right"/>
      <w:pPr>
        <w:ind w:left="2607" w:hanging="180"/>
      </w:pPr>
    </w:lvl>
    <w:lvl w:ilvl="3" w:tplc="3809000F" w:tentative="1">
      <w:start w:val="1"/>
      <w:numFmt w:val="decimal"/>
      <w:lvlText w:val="%4."/>
      <w:lvlJc w:val="left"/>
      <w:pPr>
        <w:ind w:left="3327" w:hanging="360"/>
      </w:pPr>
    </w:lvl>
    <w:lvl w:ilvl="4" w:tplc="38090019" w:tentative="1">
      <w:start w:val="1"/>
      <w:numFmt w:val="lowerLetter"/>
      <w:lvlText w:val="%5."/>
      <w:lvlJc w:val="left"/>
      <w:pPr>
        <w:ind w:left="4047" w:hanging="360"/>
      </w:pPr>
    </w:lvl>
    <w:lvl w:ilvl="5" w:tplc="3809001B" w:tentative="1">
      <w:start w:val="1"/>
      <w:numFmt w:val="lowerRoman"/>
      <w:lvlText w:val="%6."/>
      <w:lvlJc w:val="right"/>
      <w:pPr>
        <w:ind w:left="4767" w:hanging="180"/>
      </w:pPr>
    </w:lvl>
    <w:lvl w:ilvl="6" w:tplc="3809000F" w:tentative="1">
      <w:start w:val="1"/>
      <w:numFmt w:val="decimal"/>
      <w:lvlText w:val="%7."/>
      <w:lvlJc w:val="left"/>
      <w:pPr>
        <w:ind w:left="5487" w:hanging="360"/>
      </w:pPr>
    </w:lvl>
    <w:lvl w:ilvl="7" w:tplc="38090019" w:tentative="1">
      <w:start w:val="1"/>
      <w:numFmt w:val="lowerLetter"/>
      <w:lvlText w:val="%8."/>
      <w:lvlJc w:val="left"/>
      <w:pPr>
        <w:ind w:left="6207" w:hanging="360"/>
      </w:pPr>
    </w:lvl>
    <w:lvl w:ilvl="8" w:tplc="3809001B" w:tentative="1">
      <w:start w:val="1"/>
      <w:numFmt w:val="lowerRoman"/>
      <w:lvlText w:val="%9."/>
      <w:lvlJc w:val="right"/>
      <w:pPr>
        <w:ind w:left="6927" w:hanging="180"/>
      </w:pPr>
    </w:lvl>
  </w:abstractNum>
  <w:abstractNum w:abstractNumId="95" w15:restartNumberingAfterBreak="0">
    <w:nsid w:val="7D5D1D4B"/>
    <w:multiLevelType w:val="hybridMultilevel"/>
    <w:tmpl w:val="59CC7408"/>
    <w:lvl w:ilvl="0" w:tplc="F4A2AAB6">
      <w:start w:val="1"/>
      <w:numFmt w:val="decimal"/>
      <w:lvlText w:val="(%1)"/>
      <w:lvlJc w:val="left"/>
      <w:pPr>
        <w:ind w:left="720" w:hanging="360"/>
      </w:pPr>
      <w:rPr>
        <w:rFonts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DC257FA"/>
    <w:multiLevelType w:val="hybridMultilevel"/>
    <w:tmpl w:val="C34CE884"/>
    <w:lvl w:ilvl="0" w:tplc="9E06E6C6">
      <w:start w:val="2"/>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7EF26E35"/>
    <w:multiLevelType w:val="hybridMultilevel"/>
    <w:tmpl w:val="68CE3F76"/>
    <w:lvl w:ilvl="0" w:tplc="FFFFFFFF">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51922007">
    <w:abstractNumId w:val="77"/>
  </w:num>
  <w:num w:numId="2" w16cid:durableId="1995912209">
    <w:abstractNumId w:val="62"/>
  </w:num>
  <w:num w:numId="3" w16cid:durableId="1118909764">
    <w:abstractNumId w:val="38"/>
  </w:num>
  <w:num w:numId="4" w16cid:durableId="297348041">
    <w:abstractNumId w:val="75"/>
  </w:num>
  <w:num w:numId="5" w16cid:durableId="1283918766">
    <w:abstractNumId w:val="52"/>
  </w:num>
  <w:num w:numId="6" w16cid:durableId="958880931">
    <w:abstractNumId w:val="18"/>
  </w:num>
  <w:num w:numId="7" w16cid:durableId="1199856299">
    <w:abstractNumId w:val="16"/>
  </w:num>
  <w:num w:numId="8" w16cid:durableId="147214961">
    <w:abstractNumId w:val="78"/>
  </w:num>
  <w:num w:numId="9" w16cid:durableId="615257793">
    <w:abstractNumId w:val="1"/>
  </w:num>
  <w:num w:numId="10" w16cid:durableId="872767246">
    <w:abstractNumId w:val="74"/>
  </w:num>
  <w:num w:numId="11" w16cid:durableId="114063746">
    <w:abstractNumId w:val="55"/>
  </w:num>
  <w:num w:numId="12" w16cid:durableId="1493983939">
    <w:abstractNumId w:val="73"/>
  </w:num>
  <w:num w:numId="13" w16cid:durableId="231086651">
    <w:abstractNumId w:val="91"/>
  </w:num>
  <w:num w:numId="14" w16cid:durableId="1975405315">
    <w:abstractNumId w:val="69"/>
  </w:num>
  <w:num w:numId="15" w16cid:durableId="508177005">
    <w:abstractNumId w:val="45"/>
  </w:num>
  <w:num w:numId="16" w16cid:durableId="912395524">
    <w:abstractNumId w:val="92"/>
  </w:num>
  <w:num w:numId="17" w16cid:durableId="316344690">
    <w:abstractNumId w:val="41"/>
  </w:num>
  <w:num w:numId="18" w16cid:durableId="943153751">
    <w:abstractNumId w:val="67"/>
  </w:num>
  <w:num w:numId="19" w16cid:durableId="451873658">
    <w:abstractNumId w:val="0"/>
  </w:num>
  <w:num w:numId="20" w16cid:durableId="356351056">
    <w:abstractNumId w:val="65"/>
  </w:num>
  <w:num w:numId="21" w16cid:durableId="349333312">
    <w:abstractNumId w:val="46"/>
  </w:num>
  <w:num w:numId="22" w16cid:durableId="107627867">
    <w:abstractNumId w:val="76"/>
  </w:num>
  <w:num w:numId="23" w16cid:durableId="262881187">
    <w:abstractNumId w:val="56"/>
  </w:num>
  <w:num w:numId="24" w16cid:durableId="1597055385">
    <w:abstractNumId w:val="44"/>
  </w:num>
  <w:num w:numId="25" w16cid:durableId="1880776686">
    <w:abstractNumId w:val="96"/>
  </w:num>
  <w:num w:numId="26" w16cid:durableId="1141655949">
    <w:abstractNumId w:val="80"/>
  </w:num>
  <w:num w:numId="27" w16cid:durableId="992559969">
    <w:abstractNumId w:val="15"/>
  </w:num>
  <w:num w:numId="28" w16cid:durableId="853618250">
    <w:abstractNumId w:val="94"/>
  </w:num>
  <w:num w:numId="29" w16cid:durableId="1091316638">
    <w:abstractNumId w:val="10"/>
  </w:num>
  <w:num w:numId="30" w16cid:durableId="2122989875">
    <w:abstractNumId w:val="79"/>
  </w:num>
  <w:num w:numId="31" w16cid:durableId="181668712">
    <w:abstractNumId w:val="85"/>
  </w:num>
  <w:num w:numId="32" w16cid:durableId="1682465113">
    <w:abstractNumId w:val="64"/>
  </w:num>
  <w:num w:numId="33" w16cid:durableId="1042943071">
    <w:abstractNumId w:val="27"/>
  </w:num>
  <w:num w:numId="34" w16cid:durableId="146896419">
    <w:abstractNumId w:val="71"/>
  </w:num>
  <w:num w:numId="35" w16cid:durableId="1892303108">
    <w:abstractNumId w:val="90"/>
  </w:num>
  <w:num w:numId="36" w16cid:durableId="243805042">
    <w:abstractNumId w:val="97"/>
  </w:num>
  <w:num w:numId="37" w16cid:durableId="182285013">
    <w:abstractNumId w:val="20"/>
  </w:num>
  <w:num w:numId="38" w16cid:durableId="523447094">
    <w:abstractNumId w:val="58"/>
  </w:num>
  <w:num w:numId="39" w16cid:durableId="1120495889">
    <w:abstractNumId w:val="9"/>
  </w:num>
  <w:num w:numId="40" w16cid:durableId="1159805620">
    <w:abstractNumId w:val="49"/>
  </w:num>
  <w:num w:numId="41" w16cid:durableId="1180394554">
    <w:abstractNumId w:val="63"/>
  </w:num>
  <w:num w:numId="42" w16cid:durableId="562562684">
    <w:abstractNumId w:val="8"/>
  </w:num>
  <w:num w:numId="43" w16cid:durableId="388920309">
    <w:abstractNumId w:val="31"/>
  </w:num>
  <w:num w:numId="44" w16cid:durableId="1080443335">
    <w:abstractNumId w:val="28"/>
  </w:num>
  <w:num w:numId="45" w16cid:durableId="1303081345">
    <w:abstractNumId w:val="72"/>
  </w:num>
  <w:num w:numId="46" w16cid:durableId="742876531">
    <w:abstractNumId w:val="42"/>
  </w:num>
  <w:num w:numId="47" w16cid:durableId="809173903">
    <w:abstractNumId w:val="36"/>
  </w:num>
  <w:num w:numId="48" w16cid:durableId="1285388606">
    <w:abstractNumId w:val="2"/>
  </w:num>
  <w:num w:numId="49" w16cid:durableId="514808835">
    <w:abstractNumId w:val="14"/>
  </w:num>
  <w:num w:numId="50" w16cid:durableId="1164977903">
    <w:abstractNumId w:val="51"/>
  </w:num>
  <w:num w:numId="51" w16cid:durableId="113063400">
    <w:abstractNumId w:val="39"/>
  </w:num>
  <w:num w:numId="52" w16cid:durableId="1560289634">
    <w:abstractNumId w:val="89"/>
  </w:num>
  <w:num w:numId="53" w16cid:durableId="935600874">
    <w:abstractNumId w:val="33"/>
  </w:num>
  <w:num w:numId="54" w16cid:durableId="1555391494">
    <w:abstractNumId w:val="4"/>
  </w:num>
  <w:num w:numId="55" w16cid:durableId="1773359101">
    <w:abstractNumId w:val="57"/>
  </w:num>
  <w:num w:numId="56" w16cid:durableId="2117674162">
    <w:abstractNumId w:val="84"/>
  </w:num>
  <w:num w:numId="57" w16cid:durableId="634600179">
    <w:abstractNumId w:val="12"/>
  </w:num>
  <w:num w:numId="58" w16cid:durableId="448357057">
    <w:abstractNumId w:val="54"/>
  </w:num>
  <w:num w:numId="59" w16cid:durableId="2063937615">
    <w:abstractNumId w:val="87"/>
  </w:num>
  <w:num w:numId="60" w16cid:durableId="2025938357">
    <w:abstractNumId w:val="26"/>
  </w:num>
  <w:num w:numId="61" w16cid:durableId="1004359887">
    <w:abstractNumId w:val="48"/>
  </w:num>
  <w:num w:numId="62" w16cid:durableId="1527212056">
    <w:abstractNumId w:val="32"/>
  </w:num>
  <w:num w:numId="63" w16cid:durableId="944967439">
    <w:abstractNumId w:val="59"/>
  </w:num>
  <w:num w:numId="64" w16cid:durableId="1064259940">
    <w:abstractNumId w:val="40"/>
  </w:num>
  <w:num w:numId="65" w16cid:durableId="972365060">
    <w:abstractNumId w:val="47"/>
  </w:num>
  <w:num w:numId="66" w16cid:durableId="2103605751">
    <w:abstractNumId w:val="60"/>
  </w:num>
  <w:num w:numId="67" w16cid:durableId="570578215">
    <w:abstractNumId w:val="86"/>
  </w:num>
  <w:num w:numId="68" w16cid:durableId="519509199">
    <w:abstractNumId w:val="5"/>
  </w:num>
  <w:num w:numId="69" w16cid:durableId="1813448494">
    <w:abstractNumId w:val="21"/>
  </w:num>
  <w:num w:numId="70" w16cid:durableId="866215368">
    <w:abstractNumId w:val="93"/>
  </w:num>
  <w:num w:numId="71" w16cid:durableId="137115502">
    <w:abstractNumId w:val="83"/>
  </w:num>
  <w:num w:numId="72" w16cid:durableId="1548642460">
    <w:abstractNumId w:val="70"/>
  </w:num>
  <w:num w:numId="73" w16cid:durableId="86578456">
    <w:abstractNumId w:val="82"/>
  </w:num>
  <w:num w:numId="74" w16cid:durableId="1942448331">
    <w:abstractNumId w:val="3"/>
  </w:num>
  <w:num w:numId="75" w16cid:durableId="1317995144">
    <w:abstractNumId w:val="50"/>
  </w:num>
  <w:num w:numId="76" w16cid:durableId="1783652263">
    <w:abstractNumId w:val="61"/>
  </w:num>
  <w:num w:numId="77" w16cid:durableId="1145969722">
    <w:abstractNumId w:val="13"/>
  </w:num>
  <w:num w:numId="78" w16cid:durableId="1721398249">
    <w:abstractNumId w:val="81"/>
  </w:num>
  <w:num w:numId="79" w16cid:durableId="1969160862">
    <w:abstractNumId w:val="95"/>
  </w:num>
  <w:num w:numId="80" w16cid:durableId="1185906160">
    <w:abstractNumId w:val="29"/>
  </w:num>
  <w:num w:numId="81" w16cid:durableId="1256522011">
    <w:abstractNumId w:val="24"/>
  </w:num>
  <w:num w:numId="82" w16cid:durableId="368648621">
    <w:abstractNumId w:val="7"/>
  </w:num>
  <w:num w:numId="83" w16cid:durableId="1429496118">
    <w:abstractNumId w:val="22"/>
  </w:num>
  <w:num w:numId="84" w16cid:durableId="784426547">
    <w:abstractNumId w:val="88"/>
  </w:num>
  <w:num w:numId="85" w16cid:durableId="2027440596">
    <w:abstractNumId w:val="17"/>
  </w:num>
  <w:num w:numId="86" w16cid:durableId="1022895078">
    <w:abstractNumId w:val="6"/>
  </w:num>
  <w:num w:numId="87" w16cid:durableId="844899142">
    <w:abstractNumId w:val="66"/>
  </w:num>
  <w:num w:numId="88" w16cid:durableId="546140325">
    <w:abstractNumId w:val="34"/>
  </w:num>
  <w:num w:numId="89" w16cid:durableId="1977179064">
    <w:abstractNumId w:val="37"/>
  </w:num>
  <w:num w:numId="90" w16cid:durableId="592277291">
    <w:abstractNumId w:val="23"/>
  </w:num>
  <w:num w:numId="91" w16cid:durableId="1848328156">
    <w:abstractNumId w:val="30"/>
  </w:num>
  <w:num w:numId="92" w16cid:durableId="473716122">
    <w:abstractNumId w:val="68"/>
  </w:num>
  <w:num w:numId="93" w16cid:durableId="521672243">
    <w:abstractNumId w:val="53"/>
  </w:num>
  <w:num w:numId="94" w16cid:durableId="1122844155">
    <w:abstractNumId w:val="11"/>
  </w:num>
  <w:num w:numId="95" w16cid:durableId="928463155">
    <w:abstractNumId w:val="19"/>
  </w:num>
  <w:num w:numId="96" w16cid:durableId="582028272">
    <w:abstractNumId w:val="25"/>
  </w:num>
  <w:num w:numId="97" w16cid:durableId="6055174">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80"/>
    <w:rsid w:val="000002D7"/>
    <w:rsid w:val="00000905"/>
    <w:rsid w:val="00000EE3"/>
    <w:rsid w:val="00001681"/>
    <w:rsid w:val="0000243A"/>
    <w:rsid w:val="000025DE"/>
    <w:rsid w:val="00002C29"/>
    <w:rsid w:val="00004D7A"/>
    <w:rsid w:val="000057E8"/>
    <w:rsid w:val="00006FEF"/>
    <w:rsid w:val="0000706D"/>
    <w:rsid w:val="0000750B"/>
    <w:rsid w:val="00007A1B"/>
    <w:rsid w:val="00011095"/>
    <w:rsid w:val="0001167B"/>
    <w:rsid w:val="00012881"/>
    <w:rsid w:val="00016E5B"/>
    <w:rsid w:val="00020209"/>
    <w:rsid w:val="000234ED"/>
    <w:rsid w:val="00023E36"/>
    <w:rsid w:val="00023ED9"/>
    <w:rsid w:val="00025203"/>
    <w:rsid w:val="00026208"/>
    <w:rsid w:val="000306BE"/>
    <w:rsid w:val="00032BC0"/>
    <w:rsid w:val="00033721"/>
    <w:rsid w:val="000360F8"/>
    <w:rsid w:val="0003685A"/>
    <w:rsid w:val="000370C3"/>
    <w:rsid w:val="00037DCD"/>
    <w:rsid w:val="000402E3"/>
    <w:rsid w:val="000457C3"/>
    <w:rsid w:val="00053B8F"/>
    <w:rsid w:val="0005433D"/>
    <w:rsid w:val="00054F58"/>
    <w:rsid w:val="00056ABD"/>
    <w:rsid w:val="00056B8F"/>
    <w:rsid w:val="00057D40"/>
    <w:rsid w:val="00062CD0"/>
    <w:rsid w:val="00065945"/>
    <w:rsid w:val="0006727A"/>
    <w:rsid w:val="00067673"/>
    <w:rsid w:val="00067698"/>
    <w:rsid w:val="00067935"/>
    <w:rsid w:val="000701C5"/>
    <w:rsid w:val="00070B0D"/>
    <w:rsid w:val="00070DD8"/>
    <w:rsid w:val="00074383"/>
    <w:rsid w:val="00074BC6"/>
    <w:rsid w:val="00074C60"/>
    <w:rsid w:val="000752F3"/>
    <w:rsid w:val="000763E3"/>
    <w:rsid w:val="000765A3"/>
    <w:rsid w:val="000766A1"/>
    <w:rsid w:val="000815EC"/>
    <w:rsid w:val="00083B74"/>
    <w:rsid w:val="00083C38"/>
    <w:rsid w:val="000867A6"/>
    <w:rsid w:val="000873D9"/>
    <w:rsid w:val="00087634"/>
    <w:rsid w:val="00087A54"/>
    <w:rsid w:val="00090281"/>
    <w:rsid w:val="000955BD"/>
    <w:rsid w:val="00097227"/>
    <w:rsid w:val="00097755"/>
    <w:rsid w:val="000A1180"/>
    <w:rsid w:val="000A13A3"/>
    <w:rsid w:val="000A2225"/>
    <w:rsid w:val="000A408A"/>
    <w:rsid w:val="000A615C"/>
    <w:rsid w:val="000B11C0"/>
    <w:rsid w:val="000B1363"/>
    <w:rsid w:val="000B1397"/>
    <w:rsid w:val="000B141E"/>
    <w:rsid w:val="000B18B3"/>
    <w:rsid w:val="000B5A2B"/>
    <w:rsid w:val="000B5A4A"/>
    <w:rsid w:val="000B7E9E"/>
    <w:rsid w:val="000C160B"/>
    <w:rsid w:val="000C20A6"/>
    <w:rsid w:val="000C4D4A"/>
    <w:rsid w:val="000C53BE"/>
    <w:rsid w:val="000C56C2"/>
    <w:rsid w:val="000D086B"/>
    <w:rsid w:val="000D12D8"/>
    <w:rsid w:val="000D4FF1"/>
    <w:rsid w:val="000D6638"/>
    <w:rsid w:val="000E3029"/>
    <w:rsid w:val="000E33CE"/>
    <w:rsid w:val="000E6ADE"/>
    <w:rsid w:val="000F18F5"/>
    <w:rsid w:val="000F3462"/>
    <w:rsid w:val="000F3B4A"/>
    <w:rsid w:val="000F4DED"/>
    <w:rsid w:val="000F71FB"/>
    <w:rsid w:val="000F7D14"/>
    <w:rsid w:val="001003FD"/>
    <w:rsid w:val="00101C22"/>
    <w:rsid w:val="00104B6F"/>
    <w:rsid w:val="00104CF1"/>
    <w:rsid w:val="00106024"/>
    <w:rsid w:val="0010733C"/>
    <w:rsid w:val="00107D43"/>
    <w:rsid w:val="0011027C"/>
    <w:rsid w:val="001105A2"/>
    <w:rsid w:val="001112EF"/>
    <w:rsid w:val="001131E5"/>
    <w:rsid w:val="00114B62"/>
    <w:rsid w:val="00116584"/>
    <w:rsid w:val="00117792"/>
    <w:rsid w:val="00121E5B"/>
    <w:rsid w:val="001233B2"/>
    <w:rsid w:val="00124D47"/>
    <w:rsid w:val="00127476"/>
    <w:rsid w:val="00127A74"/>
    <w:rsid w:val="00135AAB"/>
    <w:rsid w:val="00136926"/>
    <w:rsid w:val="00137122"/>
    <w:rsid w:val="00137565"/>
    <w:rsid w:val="001403AD"/>
    <w:rsid w:val="00143342"/>
    <w:rsid w:val="001454B0"/>
    <w:rsid w:val="001459D0"/>
    <w:rsid w:val="00152C02"/>
    <w:rsid w:val="001534BA"/>
    <w:rsid w:val="001542FF"/>
    <w:rsid w:val="0015458E"/>
    <w:rsid w:val="00156DF0"/>
    <w:rsid w:val="001579D2"/>
    <w:rsid w:val="0016160A"/>
    <w:rsid w:val="00161AD3"/>
    <w:rsid w:val="00162CE8"/>
    <w:rsid w:val="001642A9"/>
    <w:rsid w:val="001658A5"/>
    <w:rsid w:val="00172A3C"/>
    <w:rsid w:val="00174AE6"/>
    <w:rsid w:val="001766A2"/>
    <w:rsid w:val="0017781E"/>
    <w:rsid w:val="001817EF"/>
    <w:rsid w:val="00181CF0"/>
    <w:rsid w:val="0018791C"/>
    <w:rsid w:val="00187FED"/>
    <w:rsid w:val="00190B58"/>
    <w:rsid w:val="00191CBD"/>
    <w:rsid w:val="00193404"/>
    <w:rsid w:val="0019452D"/>
    <w:rsid w:val="001948D8"/>
    <w:rsid w:val="00194CAA"/>
    <w:rsid w:val="00196076"/>
    <w:rsid w:val="00196D39"/>
    <w:rsid w:val="001A0384"/>
    <w:rsid w:val="001A14C3"/>
    <w:rsid w:val="001A217D"/>
    <w:rsid w:val="001A25F1"/>
    <w:rsid w:val="001A525C"/>
    <w:rsid w:val="001A63B6"/>
    <w:rsid w:val="001A70B9"/>
    <w:rsid w:val="001A7B42"/>
    <w:rsid w:val="001A7C54"/>
    <w:rsid w:val="001B0409"/>
    <w:rsid w:val="001B1C34"/>
    <w:rsid w:val="001B3C54"/>
    <w:rsid w:val="001B4AF4"/>
    <w:rsid w:val="001B7B01"/>
    <w:rsid w:val="001C0818"/>
    <w:rsid w:val="001C1CA2"/>
    <w:rsid w:val="001C4E73"/>
    <w:rsid w:val="001C5854"/>
    <w:rsid w:val="001D0357"/>
    <w:rsid w:val="001D1750"/>
    <w:rsid w:val="001D24E3"/>
    <w:rsid w:val="001D431D"/>
    <w:rsid w:val="001E05FE"/>
    <w:rsid w:val="001E0F4E"/>
    <w:rsid w:val="001E2179"/>
    <w:rsid w:val="001E3648"/>
    <w:rsid w:val="001E3673"/>
    <w:rsid w:val="001E717A"/>
    <w:rsid w:val="001E7244"/>
    <w:rsid w:val="001F109E"/>
    <w:rsid w:val="001F14BF"/>
    <w:rsid w:val="001F3739"/>
    <w:rsid w:val="001F46D0"/>
    <w:rsid w:val="001F5902"/>
    <w:rsid w:val="001F66E6"/>
    <w:rsid w:val="001F7814"/>
    <w:rsid w:val="0020002B"/>
    <w:rsid w:val="00201694"/>
    <w:rsid w:val="00204455"/>
    <w:rsid w:val="00205106"/>
    <w:rsid w:val="00205971"/>
    <w:rsid w:val="002106EF"/>
    <w:rsid w:val="00210C3C"/>
    <w:rsid w:val="00211700"/>
    <w:rsid w:val="0021275A"/>
    <w:rsid w:val="00215537"/>
    <w:rsid w:val="0022542A"/>
    <w:rsid w:val="00227A92"/>
    <w:rsid w:val="0023107E"/>
    <w:rsid w:val="00231CF0"/>
    <w:rsid w:val="00232F9A"/>
    <w:rsid w:val="00233257"/>
    <w:rsid w:val="00233DDA"/>
    <w:rsid w:val="0023470F"/>
    <w:rsid w:val="00235249"/>
    <w:rsid w:val="002359FB"/>
    <w:rsid w:val="00235C6D"/>
    <w:rsid w:val="00236E20"/>
    <w:rsid w:val="0023705C"/>
    <w:rsid w:val="002373F6"/>
    <w:rsid w:val="00240DF8"/>
    <w:rsid w:val="002456C8"/>
    <w:rsid w:val="00246826"/>
    <w:rsid w:val="0024683D"/>
    <w:rsid w:val="0024696A"/>
    <w:rsid w:val="0024760E"/>
    <w:rsid w:val="002509A9"/>
    <w:rsid w:val="002511EC"/>
    <w:rsid w:val="00251735"/>
    <w:rsid w:val="0025342C"/>
    <w:rsid w:val="0025457D"/>
    <w:rsid w:val="002571B2"/>
    <w:rsid w:val="002609BB"/>
    <w:rsid w:val="002612F6"/>
    <w:rsid w:val="002623D1"/>
    <w:rsid w:val="00262AB1"/>
    <w:rsid w:val="00263868"/>
    <w:rsid w:val="00264DF0"/>
    <w:rsid w:val="00266B15"/>
    <w:rsid w:val="00267AF0"/>
    <w:rsid w:val="00277389"/>
    <w:rsid w:val="002815A5"/>
    <w:rsid w:val="002818CA"/>
    <w:rsid w:val="00282E39"/>
    <w:rsid w:val="00284618"/>
    <w:rsid w:val="00285155"/>
    <w:rsid w:val="002870EF"/>
    <w:rsid w:val="002921BC"/>
    <w:rsid w:val="00292EFF"/>
    <w:rsid w:val="00293DDF"/>
    <w:rsid w:val="002943F8"/>
    <w:rsid w:val="00295B8C"/>
    <w:rsid w:val="002974D4"/>
    <w:rsid w:val="0029783C"/>
    <w:rsid w:val="002A11FB"/>
    <w:rsid w:val="002A1FEF"/>
    <w:rsid w:val="002A223E"/>
    <w:rsid w:val="002A2B1E"/>
    <w:rsid w:val="002A3E62"/>
    <w:rsid w:val="002A431D"/>
    <w:rsid w:val="002A43B9"/>
    <w:rsid w:val="002A617E"/>
    <w:rsid w:val="002A762D"/>
    <w:rsid w:val="002A7BE7"/>
    <w:rsid w:val="002B252D"/>
    <w:rsid w:val="002B481E"/>
    <w:rsid w:val="002B76C7"/>
    <w:rsid w:val="002B7C71"/>
    <w:rsid w:val="002C0B66"/>
    <w:rsid w:val="002C301D"/>
    <w:rsid w:val="002C3EE1"/>
    <w:rsid w:val="002C515E"/>
    <w:rsid w:val="002C683E"/>
    <w:rsid w:val="002C794F"/>
    <w:rsid w:val="002C7B9C"/>
    <w:rsid w:val="002D0AA9"/>
    <w:rsid w:val="002D28A2"/>
    <w:rsid w:val="002D2908"/>
    <w:rsid w:val="002D6CD8"/>
    <w:rsid w:val="002E4BEE"/>
    <w:rsid w:val="002E7208"/>
    <w:rsid w:val="002F16DA"/>
    <w:rsid w:val="002F1B3B"/>
    <w:rsid w:val="002F6360"/>
    <w:rsid w:val="0030024F"/>
    <w:rsid w:val="0030081E"/>
    <w:rsid w:val="00306942"/>
    <w:rsid w:val="0031079F"/>
    <w:rsid w:val="003134E6"/>
    <w:rsid w:val="00313746"/>
    <w:rsid w:val="00316B5D"/>
    <w:rsid w:val="003218D5"/>
    <w:rsid w:val="003229CD"/>
    <w:rsid w:val="00322C4F"/>
    <w:rsid w:val="00324C11"/>
    <w:rsid w:val="00325C54"/>
    <w:rsid w:val="00327580"/>
    <w:rsid w:val="00333123"/>
    <w:rsid w:val="00333D03"/>
    <w:rsid w:val="00334460"/>
    <w:rsid w:val="003355E5"/>
    <w:rsid w:val="00337683"/>
    <w:rsid w:val="00340BC1"/>
    <w:rsid w:val="0034183B"/>
    <w:rsid w:val="00343C89"/>
    <w:rsid w:val="00344080"/>
    <w:rsid w:val="00347781"/>
    <w:rsid w:val="00350CBF"/>
    <w:rsid w:val="00352456"/>
    <w:rsid w:val="00353607"/>
    <w:rsid w:val="00355B65"/>
    <w:rsid w:val="00355C42"/>
    <w:rsid w:val="00356211"/>
    <w:rsid w:val="00356A67"/>
    <w:rsid w:val="00362C3F"/>
    <w:rsid w:val="00363B73"/>
    <w:rsid w:val="00367BA3"/>
    <w:rsid w:val="00367E90"/>
    <w:rsid w:val="0037159E"/>
    <w:rsid w:val="00373A28"/>
    <w:rsid w:val="00373C51"/>
    <w:rsid w:val="00373FFF"/>
    <w:rsid w:val="00374C15"/>
    <w:rsid w:val="00374C4A"/>
    <w:rsid w:val="00375F25"/>
    <w:rsid w:val="00380559"/>
    <w:rsid w:val="00380D8A"/>
    <w:rsid w:val="0038278A"/>
    <w:rsid w:val="00384A0B"/>
    <w:rsid w:val="00392845"/>
    <w:rsid w:val="003955DB"/>
    <w:rsid w:val="003957FE"/>
    <w:rsid w:val="003A11BA"/>
    <w:rsid w:val="003A3574"/>
    <w:rsid w:val="003A530A"/>
    <w:rsid w:val="003A54CB"/>
    <w:rsid w:val="003A5506"/>
    <w:rsid w:val="003B0CD3"/>
    <w:rsid w:val="003B1EB9"/>
    <w:rsid w:val="003B24A6"/>
    <w:rsid w:val="003B42F1"/>
    <w:rsid w:val="003B57EC"/>
    <w:rsid w:val="003B5FCE"/>
    <w:rsid w:val="003B6A7C"/>
    <w:rsid w:val="003C01FE"/>
    <w:rsid w:val="003C551D"/>
    <w:rsid w:val="003C5F87"/>
    <w:rsid w:val="003C7B2A"/>
    <w:rsid w:val="003D1E93"/>
    <w:rsid w:val="003D2FCF"/>
    <w:rsid w:val="003D5F35"/>
    <w:rsid w:val="003D602C"/>
    <w:rsid w:val="003D7729"/>
    <w:rsid w:val="003E0E6E"/>
    <w:rsid w:val="003E15CB"/>
    <w:rsid w:val="003E3EC9"/>
    <w:rsid w:val="003E43DE"/>
    <w:rsid w:val="003E7348"/>
    <w:rsid w:val="003F08D7"/>
    <w:rsid w:val="003F0A36"/>
    <w:rsid w:val="003F1FC4"/>
    <w:rsid w:val="003F20B7"/>
    <w:rsid w:val="003F723C"/>
    <w:rsid w:val="00403001"/>
    <w:rsid w:val="00407088"/>
    <w:rsid w:val="00410D44"/>
    <w:rsid w:val="004138E0"/>
    <w:rsid w:val="004159B0"/>
    <w:rsid w:val="0042082A"/>
    <w:rsid w:val="00421D4E"/>
    <w:rsid w:val="00423D1E"/>
    <w:rsid w:val="004270D2"/>
    <w:rsid w:val="00430EE7"/>
    <w:rsid w:val="00432D78"/>
    <w:rsid w:val="00433BBC"/>
    <w:rsid w:val="0043579D"/>
    <w:rsid w:val="004376AF"/>
    <w:rsid w:val="00440309"/>
    <w:rsid w:val="00440D61"/>
    <w:rsid w:val="00441322"/>
    <w:rsid w:val="00444B68"/>
    <w:rsid w:val="004476DF"/>
    <w:rsid w:val="00451A12"/>
    <w:rsid w:val="00454FD0"/>
    <w:rsid w:val="00455B6D"/>
    <w:rsid w:val="00456A82"/>
    <w:rsid w:val="00460F27"/>
    <w:rsid w:val="00462294"/>
    <w:rsid w:val="00462B21"/>
    <w:rsid w:val="00463D52"/>
    <w:rsid w:val="004642DA"/>
    <w:rsid w:val="004658FD"/>
    <w:rsid w:val="00474658"/>
    <w:rsid w:val="00476551"/>
    <w:rsid w:val="00476817"/>
    <w:rsid w:val="00476990"/>
    <w:rsid w:val="00481312"/>
    <w:rsid w:val="0048141D"/>
    <w:rsid w:val="0048180F"/>
    <w:rsid w:val="00482357"/>
    <w:rsid w:val="00483F76"/>
    <w:rsid w:val="00484336"/>
    <w:rsid w:val="00486DDD"/>
    <w:rsid w:val="00487EBE"/>
    <w:rsid w:val="004904EF"/>
    <w:rsid w:val="004907BE"/>
    <w:rsid w:val="0049106E"/>
    <w:rsid w:val="00492D39"/>
    <w:rsid w:val="004A119A"/>
    <w:rsid w:val="004A31C7"/>
    <w:rsid w:val="004A3995"/>
    <w:rsid w:val="004A6224"/>
    <w:rsid w:val="004B036E"/>
    <w:rsid w:val="004B07A4"/>
    <w:rsid w:val="004B11B8"/>
    <w:rsid w:val="004B3EF4"/>
    <w:rsid w:val="004B5216"/>
    <w:rsid w:val="004B576C"/>
    <w:rsid w:val="004B6D40"/>
    <w:rsid w:val="004B744B"/>
    <w:rsid w:val="004B7ED1"/>
    <w:rsid w:val="004C21FC"/>
    <w:rsid w:val="004C24AD"/>
    <w:rsid w:val="004C7912"/>
    <w:rsid w:val="004D1368"/>
    <w:rsid w:val="004D233C"/>
    <w:rsid w:val="004D23F7"/>
    <w:rsid w:val="004D483B"/>
    <w:rsid w:val="004D4F59"/>
    <w:rsid w:val="004E1423"/>
    <w:rsid w:val="004E4C93"/>
    <w:rsid w:val="004E4F08"/>
    <w:rsid w:val="004F1552"/>
    <w:rsid w:val="004F1B67"/>
    <w:rsid w:val="004F4355"/>
    <w:rsid w:val="004F6BBF"/>
    <w:rsid w:val="0050002F"/>
    <w:rsid w:val="00501089"/>
    <w:rsid w:val="0050203B"/>
    <w:rsid w:val="00504346"/>
    <w:rsid w:val="0050626C"/>
    <w:rsid w:val="00507503"/>
    <w:rsid w:val="00507A3E"/>
    <w:rsid w:val="005100DA"/>
    <w:rsid w:val="00514A0C"/>
    <w:rsid w:val="00514E38"/>
    <w:rsid w:val="00517F67"/>
    <w:rsid w:val="0052025E"/>
    <w:rsid w:val="005207C4"/>
    <w:rsid w:val="005249A2"/>
    <w:rsid w:val="005319B8"/>
    <w:rsid w:val="0053262E"/>
    <w:rsid w:val="00534439"/>
    <w:rsid w:val="00534474"/>
    <w:rsid w:val="00535F65"/>
    <w:rsid w:val="0053774C"/>
    <w:rsid w:val="0054254E"/>
    <w:rsid w:val="00544910"/>
    <w:rsid w:val="005475FD"/>
    <w:rsid w:val="00550724"/>
    <w:rsid w:val="0055123C"/>
    <w:rsid w:val="0055611F"/>
    <w:rsid w:val="00556988"/>
    <w:rsid w:val="005579BB"/>
    <w:rsid w:val="00562C64"/>
    <w:rsid w:val="0056328B"/>
    <w:rsid w:val="00564655"/>
    <w:rsid w:val="00565120"/>
    <w:rsid w:val="00567593"/>
    <w:rsid w:val="0056763F"/>
    <w:rsid w:val="005705F6"/>
    <w:rsid w:val="005854B6"/>
    <w:rsid w:val="00585F23"/>
    <w:rsid w:val="0058703C"/>
    <w:rsid w:val="00587EC9"/>
    <w:rsid w:val="00590665"/>
    <w:rsid w:val="00591781"/>
    <w:rsid w:val="00591F58"/>
    <w:rsid w:val="00596C94"/>
    <w:rsid w:val="00597020"/>
    <w:rsid w:val="005974BE"/>
    <w:rsid w:val="005A02E9"/>
    <w:rsid w:val="005A3784"/>
    <w:rsid w:val="005A507B"/>
    <w:rsid w:val="005A516D"/>
    <w:rsid w:val="005A58D2"/>
    <w:rsid w:val="005A7030"/>
    <w:rsid w:val="005A78FC"/>
    <w:rsid w:val="005B1432"/>
    <w:rsid w:val="005B221C"/>
    <w:rsid w:val="005B2285"/>
    <w:rsid w:val="005B697B"/>
    <w:rsid w:val="005B6CB5"/>
    <w:rsid w:val="005C2C16"/>
    <w:rsid w:val="005C3081"/>
    <w:rsid w:val="005C57A8"/>
    <w:rsid w:val="005D0229"/>
    <w:rsid w:val="005D14CF"/>
    <w:rsid w:val="005D1FC1"/>
    <w:rsid w:val="005D350B"/>
    <w:rsid w:val="005D3B45"/>
    <w:rsid w:val="005D4123"/>
    <w:rsid w:val="005D4FE9"/>
    <w:rsid w:val="005D794F"/>
    <w:rsid w:val="005D7D06"/>
    <w:rsid w:val="005E06B4"/>
    <w:rsid w:val="005E118C"/>
    <w:rsid w:val="005E1D8D"/>
    <w:rsid w:val="005E3CF7"/>
    <w:rsid w:val="005E7964"/>
    <w:rsid w:val="005F4C2A"/>
    <w:rsid w:val="00600229"/>
    <w:rsid w:val="00601781"/>
    <w:rsid w:val="0060213C"/>
    <w:rsid w:val="006038D9"/>
    <w:rsid w:val="006040BE"/>
    <w:rsid w:val="00604FA7"/>
    <w:rsid w:val="00606E2E"/>
    <w:rsid w:val="006078DA"/>
    <w:rsid w:val="006114E1"/>
    <w:rsid w:val="0061266A"/>
    <w:rsid w:val="00614031"/>
    <w:rsid w:val="00614830"/>
    <w:rsid w:val="00616447"/>
    <w:rsid w:val="006168A8"/>
    <w:rsid w:val="00616A42"/>
    <w:rsid w:val="00620C17"/>
    <w:rsid w:val="0062442E"/>
    <w:rsid w:val="00624903"/>
    <w:rsid w:val="00625ACE"/>
    <w:rsid w:val="00626294"/>
    <w:rsid w:val="00626386"/>
    <w:rsid w:val="00630531"/>
    <w:rsid w:val="00633EC5"/>
    <w:rsid w:val="006344C5"/>
    <w:rsid w:val="00641DFA"/>
    <w:rsid w:val="006423FA"/>
    <w:rsid w:val="006432D1"/>
    <w:rsid w:val="00646B99"/>
    <w:rsid w:val="006476BF"/>
    <w:rsid w:val="00650D6C"/>
    <w:rsid w:val="006513E3"/>
    <w:rsid w:val="006531B5"/>
    <w:rsid w:val="0065335B"/>
    <w:rsid w:val="006540AD"/>
    <w:rsid w:val="00654929"/>
    <w:rsid w:val="00655F29"/>
    <w:rsid w:val="00656618"/>
    <w:rsid w:val="00656CE7"/>
    <w:rsid w:val="006601C3"/>
    <w:rsid w:val="006630CF"/>
    <w:rsid w:val="00663A6F"/>
    <w:rsid w:val="00663F9D"/>
    <w:rsid w:val="00670968"/>
    <w:rsid w:val="00670EFC"/>
    <w:rsid w:val="00671215"/>
    <w:rsid w:val="00671CAC"/>
    <w:rsid w:val="00673921"/>
    <w:rsid w:val="00673AFF"/>
    <w:rsid w:val="006747D1"/>
    <w:rsid w:val="00675276"/>
    <w:rsid w:val="00675F4C"/>
    <w:rsid w:val="00683EF9"/>
    <w:rsid w:val="00684B36"/>
    <w:rsid w:val="00685D5E"/>
    <w:rsid w:val="00685F29"/>
    <w:rsid w:val="00685FC1"/>
    <w:rsid w:val="00687847"/>
    <w:rsid w:val="00692725"/>
    <w:rsid w:val="00692E7E"/>
    <w:rsid w:val="006A1768"/>
    <w:rsid w:val="006A1CA3"/>
    <w:rsid w:val="006A3041"/>
    <w:rsid w:val="006A3537"/>
    <w:rsid w:val="006B1D8F"/>
    <w:rsid w:val="006B24B4"/>
    <w:rsid w:val="006B5E8E"/>
    <w:rsid w:val="006B68CF"/>
    <w:rsid w:val="006C2520"/>
    <w:rsid w:val="006C460C"/>
    <w:rsid w:val="006C4B45"/>
    <w:rsid w:val="006C5AC6"/>
    <w:rsid w:val="006C6734"/>
    <w:rsid w:val="006D264F"/>
    <w:rsid w:val="006D3517"/>
    <w:rsid w:val="006E00A3"/>
    <w:rsid w:val="006E092C"/>
    <w:rsid w:val="006E1C09"/>
    <w:rsid w:val="006E5637"/>
    <w:rsid w:val="006F01AE"/>
    <w:rsid w:val="006F0247"/>
    <w:rsid w:val="006F1DE0"/>
    <w:rsid w:val="006F773A"/>
    <w:rsid w:val="00700156"/>
    <w:rsid w:val="00701BE2"/>
    <w:rsid w:val="0070319D"/>
    <w:rsid w:val="00704DF2"/>
    <w:rsid w:val="00705DC0"/>
    <w:rsid w:val="00706215"/>
    <w:rsid w:val="00706278"/>
    <w:rsid w:val="00706FD4"/>
    <w:rsid w:val="00710262"/>
    <w:rsid w:val="007103F4"/>
    <w:rsid w:val="007126C6"/>
    <w:rsid w:val="007140F5"/>
    <w:rsid w:val="00714723"/>
    <w:rsid w:val="00715E53"/>
    <w:rsid w:val="00716DF6"/>
    <w:rsid w:val="007216DE"/>
    <w:rsid w:val="00724607"/>
    <w:rsid w:val="0072542B"/>
    <w:rsid w:val="00726EF5"/>
    <w:rsid w:val="00734560"/>
    <w:rsid w:val="00734AA7"/>
    <w:rsid w:val="00735A71"/>
    <w:rsid w:val="00736376"/>
    <w:rsid w:val="00736380"/>
    <w:rsid w:val="00743593"/>
    <w:rsid w:val="00743E07"/>
    <w:rsid w:val="00746607"/>
    <w:rsid w:val="0075023A"/>
    <w:rsid w:val="0075396B"/>
    <w:rsid w:val="00753B13"/>
    <w:rsid w:val="00755808"/>
    <w:rsid w:val="00756352"/>
    <w:rsid w:val="007568CF"/>
    <w:rsid w:val="00756BE1"/>
    <w:rsid w:val="0076075F"/>
    <w:rsid w:val="00762F9D"/>
    <w:rsid w:val="007656B9"/>
    <w:rsid w:val="00770EEF"/>
    <w:rsid w:val="00770FC4"/>
    <w:rsid w:val="00773AB3"/>
    <w:rsid w:val="007754BA"/>
    <w:rsid w:val="007847B1"/>
    <w:rsid w:val="007856C2"/>
    <w:rsid w:val="007861B9"/>
    <w:rsid w:val="007903B6"/>
    <w:rsid w:val="00792F07"/>
    <w:rsid w:val="00793691"/>
    <w:rsid w:val="00793C64"/>
    <w:rsid w:val="00793FBC"/>
    <w:rsid w:val="00796040"/>
    <w:rsid w:val="00796A06"/>
    <w:rsid w:val="00797AF1"/>
    <w:rsid w:val="00797B99"/>
    <w:rsid w:val="007A0B74"/>
    <w:rsid w:val="007A181A"/>
    <w:rsid w:val="007A24C6"/>
    <w:rsid w:val="007A449E"/>
    <w:rsid w:val="007A5365"/>
    <w:rsid w:val="007A59DF"/>
    <w:rsid w:val="007A66EA"/>
    <w:rsid w:val="007B05C4"/>
    <w:rsid w:val="007B2717"/>
    <w:rsid w:val="007B34CF"/>
    <w:rsid w:val="007B3AC4"/>
    <w:rsid w:val="007B654B"/>
    <w:rsid w:val="007C0BE7"/>
    <w:rsid w:val="007C2CC4"/>
    <w:rsid w:val="007C3C28"/>
    <w:rsid w:val="007C43A4"/>
    <w:rsid w:val="007C4B17"/>
    <w:rsid w:val="007C5DC3"/>
    <w:rsid w:val="007C6173"/>
    <w:rsid w:val="007C7A01"/>
    <w:rsid w:val="007D05ED"/>
    <w:rsid w:val="007D09FF"/>
    <w:rsid w:val="007D3B71"/>
    <w:rsid w:val="007D5A21"/>
    <w:rsid w:val="007D633E"/>
    <w:rsid w:val="007D6C2A"/>
    <w:rsid w:val="007D6F33"/>
    <w:rsid w:val="007D6F68"/>
    <w:rsid w:val="007D7B73"/>
    <w:rsid w:val="007E4280"/>
    <w:rsid w:val="007E4F7B"/>
    <w:rsid w:val="007F2524"/>
    <w:rsid w:val="007F6774"/>
    <w:rsid w:val="007F79A8"/>
    <w:rsid w:val="008012BB"/>
    <w:rsid w:val="00802499"/>
    <w:rsid w:val="00806992"/>
    <w:rsid w:val="00810EC0"/>
    <w:rsid w:val="00814639"/>
    <w:rsid w:val="00814670"/>
    <w:rsid w:val="0081492E"/>
    <w:rsid w:val="0081556B"/>
    <w:rsid w:val="008200A5"/>
    <w:rsid w:val="00820341"/>
    <w:rsid w:val="00825171"/>
    <w:rsid w:val="0082641E"/>
    <w:rsid w:val="008277F7"/>
    <w:rsid w:val="008311F5"/>
    <w:rsid w:val="008352EB"/>
    <w:rsid w:val="008363FC"/>
    <w:rsid w:val="0083670A"/>
    <w:rsid w:val="00840D88"/>
    <w:rsid w:val="008437C3"/>
    <w:rsid w:val="00844A59"/>
    <w:rsid w:val="00844F08"/>
    <w:rsid w:val="00845D5D"/>
    <w:rsid w:val="00847222"/>
    <w:rsid w:val="00847A06"/>
    <w:rsid w:val="00851039"/>
    <w:rsid w:val="00851D29"/>
    <w:rsid w:val="008531DE"/>
    <w:rsid w:val="0085399C"/>
    <w:rsid w:val="00854160"/>
    <w:rsid w:val="00854402"/>
    <w:rsid w:val="0085566B"/>
    <w:rsid w:val="00857084"/>
    <w:rsid w:val="00857B88"/>
    <w:rsid w:val="0086256D"/>
    <w:rsid w:val="0086289E"/>
    <w:rsid w:val="00864298"/>
    <w:rsid w:val="008646A4"/>
    <w:rsid w:val="00864FD7"/>
    <w:rsid w:val="008675FD"/>
    <w:rsid w:val="00870D9F"/>
    <w:rsid w:val="00873C98"/>
    <w:rsid w:val="008756E1"/>
    <w:rsid w:val="0087770E"/>
    <w:rsid w:val="0088243A"/>
    <w:rsid w:val="00882820"/>
    <w:rsid w:val="00884D35"/>
    <w:rsid w:val="008850BC"/>
    <w:rsid w:val="00885221"/>
    <w:rsid w:val="00885E47"/>
    <w:rsid w:val="00892429"/>
    <w:rsid w:val="008944F4"/>
    <w:rsid w:val="00897001"/>
    <w:rsid w:val="0089704B"/>
    <w:rsid w:val="00897ABF"/>
    <w:rsid w:val="008A236A"/>
    <w:rsid w:val="008A3513"/>
    <w:rsid w:val="008A7C17"/>
    <w:rsid w:val="008B27F9"/>
    <w:rsid w:val="008B5F51"/>
    <w:rsid w:val="008C1456"/>
    <w:rsid w:val="008C38B4"/>
    <w:rsid w:val="008C4A82"/>
    <w:rsid w:val="008C4C4E"/>
    <w:rsid w:val="008C71DA"/>
    <w:rsid w:val="008D1327"/>
    <w:rsid w:val="008D17FA"/>
    <w:rsid w:val="008D578E"/>
    <w:rsid w:val="008D68AA"/>
    <w:rsid w:val="008E3F50"/>
    <w:rsid w:val="008E785C"/>
    <w:rsid w:val="008F31C4"/>
    <w:rsid w:val="008F5C6D"/>
    <w:rsid w:val="008F7AC8"/>
    <w:rsid w:val="0090033E"/>
    <w:rsid w:val="00901461"/>
    <w:rsid w:val="0090192C"/>
    <w:rsid w:val="00902D83"/>
    <w:rsid w:val="009039B2"/>
    <w:rsid w:val="00903BB1"/>
    <w:rsid w:val="0090488E"/>
    <w:rsid w:val="00904F22"/>
    <w:rsid w:val="00905257"/>
    <w:rsid w:val="00905BFF"/>
    <w:rsid w:val="0090694C"/>
    <w:rsid w:val="009073A1"/>
    <w:rsid w:val="0091013B"/>
    <w:rsid w:val="00910D5E"/>
    <w:rsid w:val="009142AD"/>
    <w:rsid w:val="00914A69"/>
    <w:rsid w:val="0091668B"/>
    <w:rsid w:val="00916805"/>
    <w:rsid w:val="00917AB1"/>
    <w:rsid w:val="00921313"/>
    <w:rsid w:val="00921B7B"/>
    <w:rsid w:val="00925207"/>
    <w:rsid w:val="00925C6C"/>
    <w:rsid w:val="00925F5A"/>
    <w:rsid w:val="00926DD6"/>
    <w:rsid w:val="00935A6A"/>
    <w:rsid w:val="00940287"/>
    <w:rsid w:val="0094345F"/>
    <w:rsid w:val="00944CB3"/>
    <w:rsid w:val="0094538C"/>
    <w:rsid w:val="00950499"/>
    <w:rsid w:val="00951E5F"/>
    <w:rsid w:val="00952621"/>
    <w:rsid w:val="00952B43"/>
    <w:rsid w:val="00952C11"/>
    <w:rsid w:val="00953A8B"/>
    <w:rsid w:val="009608EB"/>
    <w:rsid w:val="00960E46"/>
    <w:rsid w:val="00961285"/>
    <w:rsid w:val="00961B6E"/>
    <w:rsid w:val="009628DC"/>
    <w:rsid w:val="00963AF6"/>
    <w:rsid w:val="0096468F"/>
    <w:rsid w:val="00964C79"/>
    <w:rsid w:val="00965BC9"/>
    <w:rsid w:val="00966F0F"/>
    <w:rsid w:val="00967AC0"/>
    <w:rsid w:val="009702BE"/>
    <w:rsid w:val="0097151D"/>
    <w:rsid w:val="00972FB0"/>
    <w:rsid w:val="00976B95"/>
    <w:rsid w:val="00977BFD"/>
    <w:rsid w:val="00981F6F"/>
    <w:rsid w:val="009839EE"/>
    <w:rsid w:val="00984E0F"/>
    <w:rsid w:val="00985961"/>
    <w:rsid w:val="0098663C"/>
    <w:rsid w:val="00991554"/>
    <w:rsid w:val="009940C8"/>
    <w:rsid w:val="00995BE9"/>
    <w:rsid w:val="009962E3"/>
    <w:rsid w:val="009A012D"/>
    <w:rsid w:val="009A0870"/>
    <w:rsid w:val="009A0D0B"/>
    <w:rsid w:val="009A4CAD"/>
    <w:rsid w:val="009A4EF6"/>
    <w:rsid w:val="009A542C"/>
    <w:rsid w:val="009A5C32"/>
    <w:rsid w:val="009A6622"/>
    <w:rsid w:val="009B5216"/>
    <w:rsid w:val="009B70A1"/>
    <w:rsid w:val="009C0241"/>
    <w:rsid w:val="009C06C4"/>
    <w:rsid w:val="009C0818"/>
    <w:rsid w:val="009C36CD"/>
    <w:rsid w:val="009C4D6C"/>
    <w:rsid w:val="009C7B2D"/>
    <w:rsid w:val="009D07E0"/>
    <w:rsid w:val="009D1E50"/>
    <w:rsid w:val="009D5F74"/>
    <w:rsid w:val="009D6668"/>
    <w:rsid w:val="009D6F6C"/>
    <w:rsid w:val="009D72DB"/>
    <w:rsid w:val="009E085D"/>
    <w:rsid w:val="009E2177"/>
    <w:rsid w:val="009E3A7A"/>
    <w:rsid w:val="009E4BA4"/>
    <w:rsid w:val="009E5273"/>
    <w:rsid w:val="009E5475"/>
    <w:rsid w:val="009E5A8D"/>
    <w:rsid w:val="009E64DF"/>
    <w:rsid w:val="009E770F"/>
    <w:rsid w:val="009E785D"/>
    <w:rsid w:val="009F10AA"/>
    <w:rsid w:val="009F252E"/>
    <w:rsid w:val="009F2D31"/>
    <w:rsid w:val="009F5A72"/>
    <w:rsid w:val="009F710C"/>
    <w:rsid w:val="009F7445"/>
    <w:rsid w:val="009F77E6"/>
    <w:rsid w:val="00A00832"/>
    <w:rsid w:val="00A01FDB"/>
    <w:rsid w:val="00A02416"/>
    <w:rsid w:val="00A03BC3"/>
    <w:rsid w:val="00A06809"/>
    <w:rsid w:val="00A06C98"/>
    <w:rsid w:val="00A122E4"/>
    <w:rsid w:val="00A15752"/>
    <w:rsid w:val="00A16F7C"/>
    <w:rsid w:val="00A1774F"/>
    <w:rsid w:val="00A23A8E"/>
    <w:rsid w:val="00A2497A"/>
    <w:rsid w:val="00A25495"/>
    <w:rsid w:val="00A27E2C"/>
    <w:rsid w:val="00A30F79"/>
    <w:rsid w:val="00A31A81"/>
    <w:rsid w:val="00A32D05"/>
    <w:rsid w:val="00A33DA1"/>
    <w:rsid w:val="00A3473C"/>
    <w:rsid w:val="00A354EB"/>
    <w:rsid w:val="00A35D34"/>
    <w:rsid w:val="00A40D56"/>
    <w:rsid w:val="00A416FA"/>
    <w:rsid w:val="00A43C1D"/>
    <w:rsid w:val="00A47F26"/>
    <w:rsid w:val="00A5716C"/>
    <w:rsid w:val="00A646C9"/>
    <w:rsid w:val="00A64BB2"/>
    <w:rsid w:val="00A64C40"/>
    <w:rsid w:val="00A65FF5"/>
    <w:rsid w:val="00A70466"/>
    <w:rsid w:val="00A7055B"/>
    <w:rsid w:val="00A707CE"/>
    <w:rsid w:val="00A72F92"/>
    <w:rsid w:val="00A80617"/>
    <w:rsid w:val="00A82466"/>
    <w:rsid w:val="00A82F69"/>
    <w:rsid w:val="00A85816"/>
    <w:rsid w:val="00A85EBB"/>
    <w:rsid w:val="00A87926"/>
    <w:rsid w:val="00A91118"/>
    <w:rsid w:val="00A926B2"/>
    <w:rsid w:val="00A93275"/>
    <w:rsid w:val="00A941FA"/>
    <w:rsid w:val="00A9443C"/>
    <w:rsid w:val="00A948AF"/>
    <w:rsid w:val="00A94F87"/>
    <w:rsid w:val="00A97A5E"/>
    <w:rsid w:val="00AA0990"/>
    <w:rsid w:val="00AA23C0"/>
    <w:rsid w:val="00AA29B3"/>
    <w:rsid w:val="00AA7156"/>
    <w:rsid w:val="00AB3430"/>
    <w:rsid w:val="00AB4A67"/>
    <w:rsid w:val="00AB4ECE"/>
    <w:rsid w:val="00AB60BE"/>
    <w:rsid w:val="00AB6B96"/>
    <w:rsid w:val="00AC26B4"/>
    <w:rsid w:val="00AC2E76"/>
    <w:rsid w:val="00AC4791"/>
    <w:rsid w:val="00AC49A5"/>
    <w:rsid w:val="00AC7940"/>
    <w:rsid w:val="00AD0474"/>
    <w:rsid w:val="00AD1C47"/>
    <w:rsid w:val="00AD37D3"/>
    <w:rsid w:val="00AD61C6"/>
    <w:rsid w:val="00AE0DD4"/>
    <w:rsid w:val="00AE0F6D"/>
    <w:rsid w:val="00AE187B"/>
    <w:rsid w:val="00AE2FF7"/>
    <w:rsid w:val="00AE3895"/>
    <w:rsid w:val="00AE501A"/>
    <w:rsid w:val="00AE7032"/>
    <w:rsid w:val="00AE736E"/>
    <w:rsid w:val="00AE767C"/>
    <w:rsid w:val="00AF04B3"/>
    <w:rsid w:val="00AF19A6"/>
    <w:rsid w:val="00AF2EEC"/>
    <w:rsid w:val="00AF5B32"/>
    <w:rsid w:val="00AF6075"/>
    <w:rsid w:val="00AF63F4"/>
    <w:rsid w:val="00AF735B"/>
    <w:rsid w:val="00B00174"/>
    <w:rsid w:val="00B01CAF"/>
    <w:rsid w:val="00B06FF4"/>
    <w:rsid w:val="00B10490"/>
    <w:rsid w:val="00B10A06"/>
    <w:rsid w:val="00B12B54"/>
    <w:rsid w:val="00B137B7"/>
    <w:rsid w:val="00B14450"/>
    <w:rsid w:val="00B1477B"/>
    <w:rsid w:val="00B1578C"/>
    <w:rsid w:val="00B165BB"/>
    <w:rsid w:val="00B2515E"/>
    <w:rsid w:val="00B254AD"/>
    <w:rsid w:val="00B262DE"/>
    <w:rsid w:val="00B30AB1"/>
    <w:rsid w:val="00B31DBC"/>
    <w:rsid w:val="00B32668"/>
    <w:rsid w:val="00B34BE4"/>
    <w:rsid w:val="00B35CAD"/>
    <w:rsid w:val="00B3696F"/>
    <w:rsid w:val="00B40738"/>
    <w:rsid w:val="00B40D36"/>
    <w:rsid w:val="00B43B6C"/>
    <w:rsid w:val="00B443C8"/>
    <w:rsid w:val="00B4576E"/>
    <w:rsid w:val="00B459E7"/>
    <w:rsid w:val="00B477DB"/>
    <w:rsid w:val="00B4793C"/>
    <w:rsid w:val="00B47963"/>
    <w:rsid w:val="00B52F46"/>
    <w:rsid w:val="00B53410"/>
    <w:rsid w:val="00B53852"/>
    <w:rsid w:val="00B53AFE"/>
    <w:rsid w:val="00B57CB3"/>
    <w:rsid w:val="00B57D57"/>
    <w:rsid w:val="00B615B6"/>
    <w:rsid w:val="00B63EE9"/>
    <w:rsid w:val="00B65B18"/>
    <w:rsid w:val="00B65B86"/>
    <w:rsid w:val="00B66084"/>
    <w:rsid w:val="00B6611A"/>
    <w:rsid w:val="00B70465"/>
    <w:rsid w:val="00B7132A"/>
    <w:rsid w:val="00B72DB8"/>
    <w:rsid w:val="00B77AAE"/>
    <w:rsid w:val="00B829E6"/>
    <w:rsid w:val="00B82F08"/>
    <w:rsid w:val="00B83486"/>
    <w:rsid w:val="00B83D29"/>
    <w:rsid w:val="00B844D6"/>
    <w:rsid w:val="00B8456C"/>
    <w:rsid w:val="00B871A2"/>
    <w:rsid w:val="00B914A5"/>
    <w:rsid w:val="00B91E7F"/>
    <w:rsid w:val="00B92168"/>
    <w:rsid w:val="00B971F3"/>
    <w:rsid w:val="00BA17A6"/>
    <w:rsid w:val="00BA287C"/>
    <w:rsid w:val="00BA303F"/>
    <w:rsid w:val="00BA5B70"/>
    <w:rsid w:val="00BA6E1E"/>
    <w:rsid w:val="00BB0246"/>
    <w:rsid w:val="00BB0D6B"/>
    <w:rsid w:val="00BB2BC5"/>
    <w:rsid w:val="00BB497C"/>
    <w:rsid w:val="00BC06D7"/>
    <w:rsid w:val="00BC07AB"/>
    <w:rsid w:val="00BC2A7F"/>
    <w:rsid w:val="00BC545B"/>
    <w:rsid w:val="00BC5C5A"/>
    <w:rsid w:val="00BC6D5D"/>
    <w:rsid w:val="00BD3489"/>
    <w:rsid w:val="00BE2180"/>
    <w:rsid w:val="00BE2775"/>
    <w:rsid w:val="00BF2218"/>
    <w:rsid w:val="00BF2AFF"/>
    <w:rsid w:val="00C01E12"/>
    <w:rsid w:val="00C01E2B"/>
    <w:rsid w:val="00C0216E"/>
    <w:rsid w:val="00C03B67"/>
    <w:rsid w:val="00C04061"/>
    <w:rsid w:val="00C06794"/>
    <w:rsid w:val="00C11150"/>
    <w:rsid w:val="00C13109"/>
    <w:rsid w:val="00C14767"/>
    <w:rsid w:val="00C17C02"/>
    <w:rsid w:val="00C30CF5"/>
    <w:rsid w:val="00C35878"/>
    <w:rsid w:val="00C3797D"/>
    <w:rsid w:val="00C404D8"/>
    <w:rsid w:val="00C41945"/>
    <w:rsid w:val="00C423A7"/>
    <w:rsid w:val="00C43C50"/>
    <w:rsid w:val="00C4531E"/>
    <w:rsid w:val="00C46AA0"/>
    <w:rsid w:val="00C46AE8"/>
    <w:rsid w:val="00C50A68"/>
    <w:rsid w:val="00C52639"/>
    <w:rsid w:val="00C562C1"/>
    <w:rsid w:val="00C57939"/>
    <w:rsid w:val="00C61848"/>
    <w:rsid w:val="00C61A26"/>
    <w:rsid w:val="00C67330"/>
    <w:rsid w:val="00C70232"/>
    <w:rsid w:val="00C71570"/>
    <w:rsid w:val="00C721F4"/>
    <w:rsid w:val="00C74050"/>
    <w:rsid w:val="00C744AF"/>
    <w:rsid w:val="00C76FA2"/>
    <w:rsid w:val="00C77895"/>
    <w:rsid w:val="00C77A52"/>
    <w:rsid w:val="00C77DF4"/>
    <w:rsid w:val="00C81788"/>
    <w:rsid w:val="00C85495"/>
    <w:rsid w:val="00C917D9"/>
    <w:rsid w:val="00C936F3"/>
    <w:rsid w:val="00C973C5"/>
    <w:rsid w:val="00C979FA"/>
    <w:rsid w:val="00CA1309"/>
    <w:rsid w:val="00CA2E09"/>
    <w:rsid w:val="00CA322F"/>
    <w:rsid w:val="00CA3CC5"/>
    <w:rsid w:val="00CA4FE3"/>
    <w:rsid w:val="00CB0D5E"/>
    <w:rsid w:val="00CB680D"/>
    <w:rsid w:val="00CB7907"/>
    <w:rsid w:val="00CC0006"/>
    <w:rsid w:val="00CC1FA8"/>
    <w:rsid w:val="00CC1FD3"/>
    <w:rsid w:val="00CC2D04"/>
    <w:rsid w:val="00CC468D"/>
    <w:rsid w:val="00CC58AB"/>
    <w:rsid w:val="00CC598C"/>
    <w:rsid w:val="00CC6C35"/>
    <w:rsid w:val="00CD0200"/>
    <w:rsid w:val="00CD3F9A"/>
    <w:rsid w:val="00CD54A7"/>
    <w:rsid w:val="00CE0968"/>
    <w:rsid w:val="00CE14BD"/>
    <w:rsid w:val="00CE237F"/>
    <w:rsid w:val="00CE29BA"/>
    <w:rsid w:val="00CE4B75"/>
    <w:rsid w:val="00CE4E72"/>
    <w:rsid w:val="00CE78FD"/>
    <w:rsid w:val="00CF1433"/>
    <w:rsid w:val="00CF3B7F"/>
    <w:rsid w:val="00CF6C28"/>
    <w:rsid w:val="00CF6C32"/>
    <w:rsid w:val="00CF787C"/>
    <w:rsid w:val="00CF7A10"/>
    <w:rsid w:val="00D00B27"/>
    <w:rsid w:val="00D012CF"/>
    <w:rsid w:val="00D02D4A"/>
    <w:rsid w:val="00D04116"/>
    <w:rsid w:val="00D107F9"/>
    <w:rsid w:val="00D10D57"/>
    <w:rsid w:val="00D11539"/>
    <w:rsid w:val="00D15B20"/>
    <w:rsid w:val="00D22790"/>
    <w:rsid w:val="00D234FB"/>
    <w:rsid w:val="00D27A0F"/>
    <w:rsid w:val="00D3038F"/>
    <w:rsid w:val="00D321A1"/>
    <w:rsid w:val="00D34A38"/>
    <w:rsid w:val="00D37781"/>
    <w:rsid w:val="00D40E81"/>
    <w:rsid w:val="00D42758"/>
    <w:rsid w:val="00D43247"/>
    <w:rsid w:val="00D437EA"/>
    <w:rsid w:val="00D45606"/>
    <w:rsid w:val="00D45AD6"/>
    <w:rsid w:val="00D479F7"/>
    <w:rsid w:val="00D51E6D"/>
    <w:rsid w:val="00D5295E"/>
    <w:rsid w:val="00D52E51"/>
    <w:rsid w:val="00D532AE"/>
    <w:rsid w:val="00D5424C"/>
    <w:rsid w:val="00D55E28"/>
    <w:rsid w:val="00D57A9E"/>
    <w:rsid w:val="00D6154F"/>
    <w:rsid w:val="00D666C0"/>
    <w:rsid w:val="00D66C9A"/>
    <w:rsid w:val="00D713DA"/>
    <w:rsid w:val="00D71B17"/>
    <w:rsid w:val="00D725AD"/>
    <w:rsid w:val="00D72B9E"/>
    <w:rsid w:val="00D73D40"/>
    <w:rsid w:val="00D7480A"/>
    <w:rsid w:val="00D753DC"/>
    <w:rsid w:val="00D763FA"/>
    <w:rsid w:val="00D77509"/>
    <w:rsid w:val="00D81538"/>
    <w:rsid w:val="00D84772"/>
    <w:rsid w:val="00D85A0D"/>
    <w:rsid w:val="00D87107"/>
    <w:rsid w:val="00D87E6A"/>
    <w:rsid w:val="00D90CA1"/>
    <w:rsid w:val="00D9161A"/>
    <w:rsid w:val="00D91F1F"/>
    <w:rsid w:val="00D923ED"/>
    <w:rsid w:val="00D926EA"/>
    <w:rsid w:val="00DA0D9C"/>
    <w:rsid w:val="00DA27C5"/>
    <w:rsid w:val="00DA450E"/>
    <w:rsid w:val="00DA5033"/>
    <w:rsid w:val="00DB7285"/>
    <w:rsid w:val="00DB72AB"/>
    <w:rsid w:val="00DC3BCE"/>
    <w:rsid w:val="00DC4BF9"/>
    <w:rsid w:val="00DC54A5"/>
    <w:rsid w:val="00DC62EE"/>
    <w:rsid w:val="00DC64A7"/>
    <w:rsid w:val="00DC6712"/>
    <w:rsid w:val="00DC6A56"/>
    <w:rsid w:val="00DD0474"/>
    <w:rsid w:val="00DD4405"/>
    <w:rsid w:val="00DE1B56"/>
    <w:rsid w:val="00DE2F6E"/>
    <w:rsid w:val="00DE3A0C"/>
    <w:rsid w:val="00DE3F78"/>
    <w:rsid w:val="00DE6C77"/>
    <w:rsid w:val="00DF0CCE"/>
    <w:rsid w:val="00DF1216"/>
    <w:rsid w:val="00DF3478"/>
    <w:rsid w:val="00DF5DD1"/>
    <w:rsid w:val="00DF6299"/>
    <w:rsid w:val="00DF67E4"/>
    <w:rsid w:val="00DF69EB"/>
    <w:rsid w:val="00E0017A"/>
    <w:rsid w:val="00E0073E"/>
    <w:rsid w:val="00E0199D"/>
    <w:rsid w:val="00E01A50"/>
    <w:rsid w:val="00E07C19"/>
    <w:rsid w:val="00E23907"/>
    <w:rsid w:val="00E25B8B"/>
    <w:rsid w:val="00E26157"/>
    <w:rsid w:val="00E27FA2"/>
    <w:rsid w:val="00E31BB2"/>
    <w:rsid w:val="00E3326A"/>
    <w:rsid w:val="00E33720"/>
    <w:rsid w:val="00E33D40"/>
    <w:rsid w:val="00E37993"/>
    <w:rsid w:val="00E42307"/>
    <w:rsid w:val="00E43C31"/>
    <w:rsid w:val="00E43ED1"/>
    <w:rsid w:val="00E455EB"/>
    <w:rsid w:val="00E566C4"/>
    <w:rsid w:val="00E57966"/>
    <w:rsid w:val="00E67D61"/>
    <w:rsid w:val="00E7143C"/>
    <w:rsid w:val="00E732C3"/>
    <w:rsid w:val="00E84812"/>
    <w:rsid w:val="00E84AAB"/>
    <w:rsid w:val="00E855DD"/>
    <w:rsid w:val="00E86136"/>
    <w:rsid w:val="00E9136D"/>
    <w:rsid w:val="00E925DC"/>
    <w:rsid w:val="00E92C7A"/>
    <w:rsid w:val="00E93165"/>
    <w:rsid w:val="00E94D05"/>
    <w:rsid w:val="00E95821"/>
    <w:rsid w:val="00EA0CF3"/>
    <w:rsid w:val="00EA1BE9"/>
    <w:rsid w:val="00EA29CE"/>
    <w:rsid w:val="00EA4316"/>
    <w:rsid w:val="00EA5600"/>
    <w:rsid w:val="00EA5C8B"/>
    <w:rsid w:val="00EA7A3E"/>
    <w:rsid w:val="00EB1D40"/>
    <w:rsid w:val="00EB4F4F"/>
    <w:rsid w:val="00EB5FA9"/>
    <w:rsid w:val="00EC1D30"/>
    <w:rsid w:val="00EC6B3F"/>
    <w:rsid w:val="00EC722F"/>
    <w:rsid w:val="00EC7EAF"/>
    <w:rsid w:val="00ED0841"/>
    <w:rsid w:val="00ED0B01"/>
    <w:rsid w:val="00ED2C5E"/>
    <w:rsid w:val="00ED4543"/>
    <w:rsid w:val="00ED7AD9"/>
    <w:rsid w:val="00EE0CD9"/>
    <w:rsid w:val="00EE6320"/>
    <w:rsid w:val="00EF2BCE"/>
    <w:rsid w:val="00EF39FC"/>
    <w:rsid w:val="00EF5D34"/>
    <w:rsid w:val="00F019B0"/>
    <w:rsid w:val="00F02C0E"/>
    <w:rsid w:val="00F054B6"/>
    <w:rsid w:val="00F05554"/>
    <w:rsid w:val="00F06344"/>
    <w:rsid w:val="00F07C88"/>
    <w:rsid w:val="00F1123F"/>
    <w:rsid w:val="00F1291E"/>
    <w:rsid w:val="00F17F6C"/>
    <w:rsid w:val="00F23E0C"/>
    <w:rsid w:val="00F273C4"/>
    <w:rsid w:val="00F2782E"/>
    <w:rsid w:val="00F33525"/>
    <w:rsid w:val="00F33E34"/>
    <w:rsid w:val="00F3495A"/>
    <w:rsid w:val="00F3514F"/>
    <w:rsid w:val="00F36852"/>
    <w:rsid w:val="00F37D59"/>
    <w:rsid w:val="00F40197"/>
    <w:rsid w:val="00F43DA3"/>
    <w:rsid w:val="00F51296"/>
    <w:rsid w:val="00F5190C"/>
    <w:rsid w:val="00F5329D"/>
    <w:rsid w:val="00F53C01"/>
    <w:rsid w:val="00F54D21"/>
    <w:rsid w:val="00F56024"/>
    <w:rsid w:val="00F56978"/>
    <w:rsid w:val="00F60660"/>
    <w:rsid w:val="00F60E88"/>
    <w:rsid w:val="00F652DE"/>
    <w:rsid w:val="00F66676"/>
    <w:rsid w:val="00F67725"/>
    <w:rsid w:val="00F70727"/>
    <w:rsid w:val="00F715A3"/>
    <w:rsid w:val="00F73A3C"/>
    <w:rsid w:val="00F74A4D"/>
    <w:rsid w:val="00F8181D"/>
    <w:rsid w:val="00F827A1"/>
    <w:rsid w:val="00F82866"/>
    <w:rsid w:val="00F84200"/>
    <w:rsid w:val="00F85860"/>
    <w:rsid w:val="00F86193"/>
    <w:rsid w:val="00F863AF"/>
    <w:rsid w:val="00F867E8"/>
    <w:rsid w:val="00F870CB"/>
    <w:rsid w:val="00F87CC9"/>
    <w:rsid w:val="00F913D6"/>
    <w:rsid w:val="00F922CB"/>
    <w:rsid w:val="00F927C7"/>
    <w:rsid w:val="00F92D48"/>
    <w:rsid w:val="00F94496"/>
    <w:rsid w:val="00F946E7"/>
    <w:rsid w:val="00F94D9C"/>
    <w:rsid w:val="00F950C9"/>
    <w:rsid w:val="00FA10DA"/>
    <w:rsid w:val="00FA1B2E"/>
    <w:rsid w:val="00FA2D77"/>
    <w:rsid w:val="00FB03E5"/>
    <w:rsid w:val="00FB086E"/>
    <w:rsid w:val="00FB341C"/>
    <w:rsid w:val="00FB3429"/>
    <w:rsid w:val="00FB42C5"/>
    <w:rsid w:val="00FB4E6D"/>
    <w:rsid w:val="00FC0411"/>
    <w:rsid w:val="00FC13C1"/>
    <w:rsid w:val="00FC1ED9"/>
    <w:rsid w:val="00FC5E63"/>
    <w:rsid w:val="00FC6965"/>
    <w:rsid w:val="00FC6CDC"/>
    <w:rsid w:val="00FD0B53"/>
    <w:rsid w:val="00FD693E"/>
    <w:rsid w:val="00FD7A68"/>
    <w:rsid w:val="00FE0550"/>
    <w:rsid w:val="00FE290A"/>
    <w:rsid w:val="00FE29D8"/>
    <w:rsid w:val="00FE3A6B"/>
    <w:rsid w:val="00FE42F4"/>
    <w:rsid w:val="00FE4E83"/>
    <w:rsid w:val="00FF0DFE"/>
    <w:rsid w:val="00FF2B50"/>
    <w:rsid w:val="00FF3C8D"/>
    <w:rsid w:val="00FF531E"/>
    <w:rsid w:val="00FF5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2E6B"/>
  <w15:docId w15:val="{C4AEC684-F239-4710-8A41-4A0BA46A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C6C"/>
  </w:style>
  <w:style w:type="paragraph" w:styleId="Heading1">
    <w:name w:val="heading 1"/>
    <w:basedOn w:val="Normal"/>
    <w:next w:val="Normal"/>
    <w:link w:val="Heading1Char"/>
    <w:uiPriority w:val="9"/>
    <w:qFormat/>
    <w:rsid w:val="002978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ab,Colorful List - Accent 11,Source,Level 3,Atan,awal,List Paragraph2,List Paragraph 1,SLIKE,List Paragraph1,Cell bullets,Noise heading,RUS List,Text,Recommendation,List FIK,Heading 11,List Paragraph Char Char,kepala,Body Text Char1,lp"/>
    <w:basedOn w:val="Normal"/>
    <w:link w:val="ListParagraphChar"/>
    <w:uiPriority w:val="34"/>
    <w:qFormat/>
    <w:rsid w:val="00257C84"/>
    <w:pPr>
      <w:ind w:left="720"/>
      <w:contextualSpacing/>
    </w:pPr>
  </w:style>
  <w:style w:type="paragraph" w:styleId="BalloonText">
    <w:name w:val="Balloon Text"/>
    <w:basedOn w:val="Normal"/>
    <w:link w:val="BalloonTextChar"/>
    <w:uiPriority w:val="99"/>
    <w:semiHidden/>
    <w:unhideWhenUsed/>
    <w:rsid w:val="008B1A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B1A17"/>
    <w:rPr>
      <w:rFonts w:ascii="Tahoma" w:hAnsi="Tahoma" w:cs="Tahoma"/>
      <w:sz w:val="16"/>
      <w:szCs w:val="16"/>
    </w:rPr>
  </w:style>
  <w:style w:type="paragraph" w:styleId="Header">
    <w:name w:val="header"/>
    <w:basedOn w:val="Normal"/>
    <w:link w:val="HeaderChar"/>
    <w:uiPriority w:val="99"/>
    <w:unhideWhenUsed/>
    <w:rsid w:val="008B1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A17"/>
  </w:style>
  <w:style w:type="paragraph" w:styleId="Footer">
    <w:name w:val="footer"/>
    <w:basedOn w:val="Normal"/>
    <w:link w:val="FooterChar"/>
    <w:uiPriority w:val="99"/>
    <w:unhideWhenUsed/>
    <w:rsid w:val="008B1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A17"/>
  </w:style>
  <w:style w:type="character" w:styleId="CommentReference">
    <w:name w:val="annotation reference"/>
    <w:uiPriority w:val="99"/>
    <w:semiHidden/>
    <w:unhideWhenUsed/>
    <w:rsid w:val="00AF5483"/>
    <w:rPr>
      <w:sz w:val="16"/>
      <w:szCs w:val="16"/>
    </w:rPr>
  </w:style>
  <w:style w:type="paragraph" w:styleId="CommentText">
    <w:name w:val="annotation text"/>
    <w:basedOn w:val="Normal"/>
    <w:link w:val="CommentTextChar"/>
    <w:uiPriority w:val="99"/>
    <w:unhideWhenUsed/>
    <w:rsid w:val="00AF5483"/>
    <w:pPr>
      <w:spacing w:line="240" w:lineRule="auto"/>
    </w:pPr>
    <w:rPr>
      <w:sz w:val="20"/>
      <w:szCs w:val="20"/>
      <w:lang w:val="x-none" w:eastAsia="x-none"/>
    </w:rPr>
  </w:style>
  <w:style w:type="character" w:customStyle="1" w:styleId="CommentTextChar">
    <w:name w:val="Comment Text Char"/>
    <w:link w:val="CommentText"/>
    <w:uiPriority w:val="99"/>
    <w:rsid w:val="00AF5483"/>
    <w:rPr>
      <w:sz w:val="20"/>
      <w:szCs w:val="20"/>
    </w:rPr>
  </w:style>
  <w:style w:type="paragraph" w:styleId="CommentSubject">
    <w:name w:val="annotation subject"/>
    <w:basedOn w:val="CommentText"/>
    <w:next w:val="CommentText"/>
    <w:link w:val="CommentSubjectChar"/>
    <w:uiPriority w:val="99"/>
    <w:semiHidden/>
    <w:unhideWhenUsed/>
    <w:rsid w:val="00AF5483"/>
    <w:rPr>
      <w:b/>
      <w:bCs/>
    </w:rPr>
  </w:style>
  <w:style w:type="character" w:customStyle="1" w:styleId="CommentSubjectChar">
    <w:name w:val="Comment Subject Char"/>
    <w:link w:val="CommentSubject"/>
    <w:uiPriority w:val="99"/>
    <w:semiHidden/>
    <w:rsid w:val="00AF5483"/>
    <w:rPr>
      <w:b/>
      <w:bCs/>
      <w:sz w:val="20"/>
      <w:szCs w:val="20"/>
    </w:rPr>
  </w:style>
  <w:style w:type="paragraph" w:styleId="BodyText">
    <w:name w:val="Body Text"/>
    <w:aliases w:val=" Char Char Char,Char Char Char"/>
    <w:basedOn w:val="Normal"/>
    <w:link w:val="BodyTextChar"/>
    <w:rsid w:val="00DE7222"/>
    <w:pPr>
      <w:spacing w:after="0" w:line="240" w:lineRule="auto"/>
      <w:jc w:val="both"/>
    </w:pPr>
    <w:rPr>
      <w:rFonts w:ascii="Times New Roman" w:eastAsia="Times New Roman" w:hAnsi="Times New Roman"/>
      <w:sz w:val="24"/>
      <w:szCs w:val="24"/>
      <w:lang w:val="en-US" w:eastAsia="x-none"/>
    </w:rPr>
  </w:style>
  <w:style w:type="character" w:customStyle="1" w:styleId="BodyTextChar">
    <w:name w:val="Body Text Char"/>
    <w:aliases w:val=" Char Char Char Char,Char Char Char Char"/>
    <w:link w:val="BodyText"/>
    <w:rsid w:val="00DE7222"/>
    <w:rPr>
      <w:rFonts w:ascii="Times New Roman" w:eastAsia="Times New Roman" w:hAnsi="Times New Roman" w:cs="Times New Roman"/>
      <w:sz w:val="24"/>
      <w:szCs w:val="24"/>
      <w:lang w:val="en-US"/>
    </w:rPr>
  </w:style>
  <w:style w:type="character" w:customStyle="1" w:styleId="fontstyle01">
    <w:name w:val="fontstyle01"/>
    <w:rsid w:val="00435611"/>
    <w:rPr>
      <w:rFonts w:ascii="Bookman Old Style" w:hAnsi="Bookman Old Style" w:hint="default"/>
      <w:b w:val="0"/>
      <w:bCs w:val="0"/>
      <w:i w:val="0"/>
      <w:iCs w:val="0"/>
      <w:color w:val="000000"/>
      <w:sz w:val="24"/>
      <w:szCs w:val="24"/>
    </w:rPr>
  </w:style>
  <w:style w:type="table" w:styleId="TableGrid">
    <w:name w:val="Table Grid"/>
    <w:basedOn w:val="TableNormal"/>
    <w:uiPriority w:val="59"/>
    <w:rsid w:val="00EF4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1374"/>
    <w:pPr>
      <w:autoSpaceDE w:val="0"/>
      <w:autoSpaceDN w:val="0"/>
      <w:adjustRightInd w:val="0"/>
    </w:pPr>
    <w:rPr>
      <w:rFonts w:ascii="Bookman Old Style" w:hAnsi="Bookman Old Style" w:cs="Bookman Old Style"/>
      <w:color w:val="000000"/>
      <w:sz w:val="24"/>
      <w:szCs w:val="24"/>
    </w:rPr>
  </w:style>
  <w:style w:type="character" w:styleId="PageNumber">
    <w:name w:val="page number"/>
    <w:basedOn w:val="DefaultParagraphFont"/>
    <w:semiHidden/>
    <w:rsid w:val="00E82A21"/>
  </w:style>
  <w:style w:type="paragraph" w:styleId="Caption">
    <w:name w:val="caption"/>
    <w:basedOn w:val="Normal"/>
    <w:next w:val="Normal"/>
    <w:uiPriority w:val="35"/>
    <w:unhideWhenUsed/>
    <w:qFormat/>
    <w:rsid w:val="00060630"/>
    <w:rPr>
      <w:b/>
      <w:bCs/>
      <w:sz w:val="20"/>
      <w:szCs w:val="20"/>
    </w:rPr>
  </w:style>
  <w:style w:type="character" w:customStyle="1" w:styleId="ListParagraphChar">
    <w:name w:val="List Paragraph Char"/>
    <w:aliases w:val="Bab Char,Colorful List - Accent 11 Char,Source Char,Level 3 Char,Atan Char,awal Char,List Paragraph2 Char,List Paragraph 1 Char,SLIKE Char,List Paragraph1 Char,Cell bullets Char,Noise heading Char,RUS List Char,Text Char,kepala Char"/>
    <w:link w:val="ListParagraph"/>
    <w:uiPriority w:val="34"/>
    <w:qFormat/>
    <w:rsid w:val="00AE370B"/>
    <w:rPr>
      <w:sz w:val="22"/>
      <w:szCs w:val="22"/>
      <w:lang w:val="id-ID" w:eastAsia="en-US"/>
    </w:rPr>
  </w:style>
  <w:style w:type="paragraph" w:styleId="NormalWeb">
    <w:name w:val="Normal (Web)"/>
    <w:basedOn w:val="Normal"/>
    <w:uiPriority w:val="99"/>
    <w:unhideWhenUsed/>
    <w:rsid w:val="00DA4CFB"/>
    <w:pPr>
      <w:spacing w:before="100" w:beforeAutospacing="1" w:after="100" w:afterAutospacing="1" w:line="240" w:lineRule="auto"/>
    </w:pPr>
    <w:rPr>
      <w:rFonts w:ascii="Times New Roman" w:eastAsia="Times New Roman" w:hAnsi="Times New Roman"/>
      <w:sz w:val="24"/>
      <w:szCs w:val="24"/>
      <w:lang w:val="en-ID"/>
    </w:rPr>
  </w:style>
  <w:style w:type="character" w:customStyle="1" w:styleId="Heading1Char">
    <w:name w:val="Heading 1 Char"/>
    <w:link w:val="Heading1"/>
    <w:uiPriority w:val="9"/>
    <w:rsid w:val="002978E6"/>
    <w:rPr>
      <w:rFonts w:ascii="Calibri Light" w:eastAsia="Times New Roman" w:hAnsi="Calibri Light"/>
      <w:b/>
      <w:bCs/>
      <w:kern w:val="32"/>
      <w:sz w:val="32"/>
      <w:szCs w:val="32"/>
      <w:lang w:val="id-ID"/>
    </w:rPr>
  </w:style>
  <w:style w:type="paragraph" w:styleId="PlainText">
    <w:name w:val="Plain Text"/>
    <w:basedOn w:val="Normal"/>
    <w:link w:val="PlainTextChar"/>
    <w:uiPriority w:val="99"/>
    <w:rsid w:val="00E6148C"/>
    <w:pPr>
      <w:spacing w:after="0" w:line="240" w:lineRule="auto"/>
    </w:pPr>
    <w:rPr>
      <w:rFonts w:ascii="Courier New" w:eastAsia="Times New Roman" w:hAnsi="Courier New" w:cs="Courier New"/>
      <w:sz w:val="20"/>
      <w:szCs w:val="20"/>
      <w:lang w:val="sv-SE"/>
    </w:rPr>
  </w:style>
  <w:style w:type="character" w:customStyle="1" w:styleId="PlainTextChar">
    <w:name w:val="Plain Text Char"/>
    <w:basedOn w:val="DefaultParagraphFont"/>
    <w:link w:val="PlainText"/>
    <w:uiPriority w:val="99"/>
    <w:rsid w:val="00E6148C"/>
    <w:rPr>
      <w:rFonts w:ascii="Courier New" w:eastAsia="Times New Roman" w:hAnsi="Courier New" w:cs="Courier New"/>
      <w:lang w:val="sv-S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NoSpacing">
    <w:name w:val="No Spacing"/>
    <w:uiPriority w:val="1"/>
    <w:qFormat/>
    <w:rsid w:val="005D41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2580">
      <w:bodyDiv w:val="1"/>
      <w:marLeft w:val="0"/>
      <w:marRight w:val="0"/>
      <w:marTop w:val="0"/>
      <w:marBottom w:val="0"/>
      <w:divBdr>
        <w:top w:val="none" w:sz="0" w:space="0" w:color="auto"/>
        <w:left w:val="none" w:sz="0" w:space="0" w:color="auto"/>
        <w:bottom w:val="none" w:sz="0" w:space="0" w:color="auto"/>
        <w:right w:val="none" w:sz="0" w:space="0" w:color="auto"/>
      </w:divBdr>
      <w:divsChild>
        <w:div w:id="1614706122">
          <w:marLeft w:val="0"/>
          <w:marRight w:val="0"/>
          <w:marTop w:val="0"/>
          <w:marBottom w:val="0"/>
          <w:divBdr>
            <w:top w:val="none" w:sz="0" w:space="0" w:color="auto"/>
            <w:left w:val="none" w:sz="0" w:space="0" w:color="auto"/>
            <w:bottom w:val="none" w:sz="0" w:space="0" w:color="auto"/>
            <w:right w:val="none" w:sz="0" w:space="0" w:color="auto"/>
          </w:divBdr>
          <w:divsChild>
            <w:div w:id="300383250">
              <w:marLeft w:val="0"/>
              <w:marRight w:val="0"/>
              <w:marTop w:val="0"/>
              <w:marBottom w:val="0"/>
              <w:divBdr>
                <w:top w:val="none" w:sz="0" w:space="0" w:color="auto"/>
                <w:left w:val="none" w:sz="0" w:space="0" w:color="auto"/>
                <w:bottom w:val="none" w:sz="0" w:space="0" w:color="auto"/>
                <w:right w:val="none" w:sz="0" w:space="0" w:color="auto"/>
              </w:divBdr>
              <w:divsChild>
                <w:div w:id="200666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7066">
      <w:bodyDiv w:val="1"/>
      <w:marLeft w:val="0"/>
      <w:marRight w:val="0"/>
      <w:marTop w:val="0"/>
      <w:marBottom w:val="0"/>
      <w:divBdr>
        <w:top w:val="none" w:sz="0" w:space="0" w:color="auto"/>
        <w:left w:val="none" w:sz="0" w:space="0" w:color="auto"/>
        <w:bottom w:val="none" w:sz="0" w:space="0" w:color="auto"/>
        <w:right w:val="none" w:sz="0" w:space="0" w:color="auto"/>
      </w:divBdr>
      <w:divsChild>
        <w:div w:id="1877767666">
          <w:marLeft w:val="0"/>
          <w:marRight w:val="0"/>
          <w:marTop w:val="0"/>
          <w:marBottom w:val="0"/>
          <w:divBdr>
            <w:top w:val="none" w:sz="0" w:space="0" w:color="auto"/>
            <w:left w:val="none" w:sz="0" w:space="0" w:color="auto"/>
            <w:bottom w:val="none" w:sz="0" w:space="0" w:color="auto"/>
            <w:right w:val="none" w:sz="0" w:space="0" w:color="auto"/>
          </w:divBdr>
          <w:divsChild>
            <w:div w:id="1543977434">
              <w:marLeft w:val="0"/>
              <w:marRight w:val="0"/>
              <w:marTop w:val="0"/>
              <w:marBottom w:val="0"/>
              <w:divBdr>
                <w:top w:val="none" w:sz="0" w:space="0" w:color="auto"/>
                <w:left w:val="none" w:sz="0" w:space="0" w:color="auto"/>
                <w:bottom w:val="none" w:sz="0" w:space="0" w:color="auto"/>
                <w:right w:val="none" w:sz="0" w:space="0" w:color="auto"/>
              </w:divBdr>
              <w:divsChild>
                <w:div w:id="11873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1527">
      <w:bodyDiv w:val="1"/>
      <w:marLeft w:val="0"/>
      <w:marRight w:val="0"/>
      <w:marTop w:val="0"/>
      <w:marBottom w:val="0"/>
      <w:divBdr>
        <w:top w:val="none" w:sz="0" w:space="0" w:color="auto"/>
        <w:left w:val="none" w:sz="0" w:space="0" w:color="auto"/>
        <w:bottom w:val="none" w:sz="0" w:space="0" w:color="auto"/>
        <w:right w:val="none" w:sz="0" w:space="0" w:color="auto"/>
      </w:divBdr>
      <w:divsChild>
        <w:div w:id="298649364">
          <w:marLeft w:val="0"/>
          <w:marRight w:val="0"/>
          <w:marTop w:val="0"/>
          <w:marBottom w:val="0"/>
          <w:divBdr>
            <w:top w:val="none" w:sz="0" w:space="0" w:color="auto"/>
            <w:left w:val="none" w:sz="0" w:space="0" w:color="auto"/>
            <w:bottom w:val="none" w:sz="0" w:space="0" w:color="auto"/>
            <w:right w:val="none" w:sz="0" w:space="0" w:color="auto"/>
          </w:divBdr>
          <w:divsChild>
            <w:div w:id="1738019298">
              <w:marLeft w:val="0"/>
              <w:marRight w:val="0"/>
              <w:marTop w:val="0"/>
              <w:marBottom w:val="0"/>
              <w:divBdr>
                <w:top w:val="none" w:sz="0" w:space="0" w:color="auto"/>
                <w:left w:val="none" w:sz="0" w:space="0" w:color="auto"/>
                <w:bottom w:val="none" w:sz="0" w:space="0" w:color="auto"/>
                <w:right w:val="none" w:sz="0" w:space="0" w:color="auto"/>
              </w:divBdr>
              <w:divsChild>
                <w:div w:id="109323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06536">
      <w:bodyDiv w:val="1"/>
      <w:marLeft w:val="0"/>
      <w:marRight w:val="0"/>
      <w:marTop w:val="0"/>
      <w:marBottom w:val="0"/>
      <w:divBdr>
        <w:top w:val="none" w:sz="0" w:space="0" w:color="auto"/>
        <w:left w:val="none" w:sz="0" w:space="0" w:color="auto"/>
        <w:bottom w:val="none" w:sz="0" w:space="0" w:color="auto"/>
        <w:right w:val="none" w:sz="0" w:space="0" w:color="auto"/>
      </w:divBdr>
      <w:divsChild>
        <w:div w:id="1629585253">
          <w:marLeft w:val="0"/>
          <w:marRight w:val="0"/>
          <w:marTop w:val="0"/>
          <w:marBottom w:val="0"/>
          <w:divBdr>
            <w:top w:val="none" w:sz="0" w:space="0" w:color="auto"/>
            <w:left w:val="none" w:sz="0" w:space="0" w:color="auto"/>
            <w:bottom w:val="none" w:sz="0" w:space="0" w:color="auto"/>
            <w:right w:val="none" w:sz="0" w:space="0" w:color="auto"/>
          </w:divBdr>
          <w:divsChild>
            <w:div w:id="211112801">
              <w:marLeft w:val="0"/>
              <w:marRight w:val="0"/>
              <w:marTop w:val="0"/>
              <w:marBottom w:val="0"/>
              <w:divBdr>
                <w:top w:val="none" w:sz="0" w:space="0" w:color="auto"/>
                <w:left w:val="none" w:sz="0" w:space="0" w:color="auto"/>
                <w:bottom w:val="none" w:sz="0" w:space="0" w:color="auto"/>
                <w:right w:val="none" w:sz="0" w:space="0" w:color="auto"/>
              </w:divBdr>
              <w:divsChild>
                <w:div w:id="78840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9689">
      <w:bodyDiv w:val="1"/>
      <w:marLeft w:val="0"/>
      <w:marRight w:val="0"/>
      <w:marTop w:val="0"/>
      <w:marBottom w:val="0"/>
      <w:divBdr>
        <w:top w:val="none" w:sz="0" w:space="0" w:color="auto"/>
        <w:left w:val="none" w:sz="0" w:space="0" w:color="auto"/>
        <w:bottom w:val="none" w:sz="0" w:space="0" w:color="auto"/>
        <w:right w:val="none" w:sz="0" w:space="0" w:color="auto"/>
      </w:divBdr>
      <w:divsChild>
        <w:div w:id="961033003">
          <w:marLeft w:val="0"/>
          <w:marRight w:val="0"/>
          <w:marTop w:val="0"/>
          <w:marBottom w:val="0"/>
          <w:divBdr>
            <w:top w:val="none" w:sz="0" w:space="0" w:color="auto"/>
            <w:left w:val="none" w:sz="0" w:space="0" w:color="auto"/>
            <w:bottom w:val="none" w:sz="0" w:space="0" w:color="auto"/>
            <w:right w:val="none" w:sz="0" w:space="0" w:color="auto"/>
          </w:divBdr>
          <w:divsChild>
            <w:div w:id="415447416">
              <w:marLeft w:val="0"/>
              <w:marRight w:val="0"/>
              <w:marTop w:val="0"/>
              <w:marBottom w:val="0"/>
              <w:divBdr>
                <w:top w:val="none" w:sz="0" w:space="0" w:color="auto"/>
                <w:left w:val="none" w:sz="0" w:space="0" w:color="auto"/>
                <w:bottom w:val="none" w:sz="0" w:space="0" w:color="auto"/>
                <w:right w:val="none" w:sz="0" w:space="0" w:color="auto"/>
              </w:divBdr>
              <w:divsChild>
                <w:div w:id="3339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5549">
      <w:bodyDiv w:val="1"/>
      <w:marLeft w:val="0"/>
      <w:marRight w:val="0"/>
      <w:marTop w:val="0"/>
      <w:marBottom w:val="0"/>
      <w:divBdr>
        <w:top w:val="none" w:sz="0" w:space="0" w:color="auto"/>
        <w:left w:val="none" w:sz="0" w:space="0" w:color="auto"/>
        <w:bottom w:val="none" w:sz="0" w:space="0" w:color="auto"/>
        <w:right w:val="none" w:sz="0" w:space="0" w:color="auto"/>
      </w:divBdr>
      <w:divsChild>
        <w:div w:id="1959872040">
          <w:marLeft w:val="0"/>
          <w:marRight w:val="0"/>
          <w:marTop w:val="0"/>
          <w:marBottom w:val="0"/>
          <w:divBdr>
            <w:top w:val="none" w:sz="0" w:space="0" w:color="auto"/>
            <w:left w:val="none" w:sz="0" w:space="0" w:color="auto"/>
            <w:bottom w:val="none" w:sz="0" w:space="0" w:color="auto"/>
            <w:right w:val="none" w:sz="0" w:space="0" w:color="auto"/>
          </w:divBdr>
          <w:divsChild>
            <w:div w:id="2127580482">
              <w:marLeft w:val="0"/>
              <w:marRight w:val="0"/>
              <w:marTop w:val="0"/>
              <w:marBottom w:val="0"/>
              <w:divBdr>
                <w:top w:val="none" w:sz="0" w:space="0" w:color="auto"/>
                <w:left w:val="none" w:sz="0" w:space="0" w:color="auto"/>
                <w:bottom w:val="none" w:sz="0" w:space="0" w:color="auto"/>
                <w:right w:val="none" w:sz="0" w:space="0" w:color="auto"/>
              </w:divBdr>
              <w:divsChild>
                <w:div w:id="1845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9738">
      <w:bodyDiv w:val="1"/>
      <w:marLeft w:val="0"/>
      <w:marRight w:val="0"/>
      <w:marTop w:val="0"/>
      <w:marBottom w:val="0"/>
      <w:divBdr>
        <w:top w:val="none" w:sz="0" w:space="0" w:color="auto"/>
        <w:left w:val="none" w:sz="0" w:space="0" w:color="auto"/>
        <w:bottom w:val="none" w:sz="0" w:space="0" w:color="auto"/>
        <w:right w:val="none" w:sz="0" w:space="0" w:color="auto"/>
      </w:divBdr>
      <w:divsChild>
        <w:div w:id="220871024">
          <w:marLeft w:val="0"/>
          <w:marRight w:val="0"/>
          <w:marTop w:val="0"/>
          <w:marBottom w:val="0"/>
          <w:divBdr>
            <w:top w:val="none" w:sz="0" w:space="0" w:color="auto"/>
            <w:left w:val="none" w:sz="0" w:space="0" w:color="auto"/>
            <w:bottom w:val="none" w:sz="0" w:space="0" w:color="auto"/>
            <w:right w:val="none" w:sz="0" w:space="0" w:color="auto"/>
          </w:divBdr>
          <w:divsChild>
            <w:div w:id="1593053439">
              <w:marLeft w:val="0"/>
              <w:marRight w:val="0"/>
              <w:marTop w:val="0"/>
              <w:marBottom w:val="0"/>
              <w:divBdr>
                <w:top w:val="none" w:sz="0" w:space="0" w:color="auto"/>
                <w:left w:val="none" w:sz="0" w:space="0" w:color="auto"/>
                <w:bottom w:val="none" w:sz="0" w:space="0" w:color="auto"/>
                <w:right w:val="none" w:sz="0" w:space="0" w:color="auto"/>
              </w:divBdr>
              <w:divsChild>
                <w:div w:id="8512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7269">
      <w:bodyDiv w:val="1"/>
      <w:marLeft w:val="0"/>
      <w:marRight w:val="0"/>
      <w:marTop w:val="0"/>
      <w:marBottom w:val="0"/>
      <w:divBdr>
        <w:top w:val="none" w:sz="0" w:space="0" w:color="auto"/>
        <w:left w:val="none" w:sz="0" w:space="0" w:color="auto"/>
        <w:bottom w:val="none" w:sz="0" w:space="0" w:color="auto"/>
        <w:right w:val="none" w:sz="0" w:space="0" w:color="auto"/>
      </w:divBdr>
      <w:divsChild>
        <w:div w:id="1087069874">
          <w:marLeft w:val="0"/>
          <w:marRight w:val="0"/>
          <w:marTop w:val="0"/>
          <w:marBottom w:val="0"/>
          <w:divBdr>
            <w:top w:val="none" w:sz="0" w:space="0" w:color="auto"/>
            <w:left w:val="none" w:sz="0" w:space="0" w:color="auto"/>
            <w:bottom w:val="none" w:sz="0" w:space="0" w:color="auto"/>
            <w:right w:val="none" w:sz="0" w:space="0" w:color="auto"/>
          </w:divBdr>
          <w:divsChild>
            <w:div w:id="1946694801">
              <w:marLeft w:val="0"/>
              <w:marRight w:val="0"/>
              <w:marTop w:val="0"/>
              <w:marBottom w:val="0"/>
              <w:divBdr>
                <w:top w:val="none" w:sz="0" w:space="0" w:color="auto"/>
                <w:left w:val="none" w:sz="0" w:space="0" w:color="auto"/>
                <w:bottom w:val="none" w:sz="0" w:space="0" w:color="auto"/>
                <w:right w:val="none" w:sz="0" w:space="0" w:color="auto"/>
              </w:divBdr>
              <w:divsChild>
                <w:div w:id="1457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6909">
      <w:bodyDiv w:val="1"/>
      <w:marLeft w:val="0"/>
      <w:marRight w:val="0"/>
      <w:marTop w:val="0"/>
      <w:marBottom w:val="0"/>
      <w:divBdr>
        <w:top w:val="none" w:sz="0" w:space="0" w:color="auto"/>
        <w:left w:val="none" w:sz="0" w:space="0" w:color="auto"/>
        <w:bottom w:val="none" w:sz="0" w:space="0" w:color="auto"/>
        <w:right w:val="none" w:sz="0" w:space="0" w:color="auto"/>
      </w:divBdr>
      <w:divsChild>
        <w:div w:id="1966236242">
          <w:marLeft w:val="0"/>
          <w:marRight w:val="0"/>
          <w:marTop w:val="0"/>
          <w:marBottom w:val="0"/>
          <w:divBdr>
            <w:top w:val="none" w:sz="0" w:space="0" w:color="auto"/>
            <w:left w:val="none" w:sz="0" w:space="0" w:color="auto"/>
            <w:bottom w:val="none" w:sz="0" w:space="0" w:color="auto"/>
            <w:right w:val="none" w:sz="0" w:space="0" w:color="auto"/>
          </w:divBdr>
          <w:divsChild>
            <w:div w:id="1379085892">
              <w:marLeft w:val="0"/>
              <w:marRight w:val="0"/>
              <w:marTop w:val="0"/>
              <w:marBottom w:val="0"/>
              <w:divBdr>
                <w:top w:val="none" w:sz="0" w:space="0" w:color="auto"/>
                <w:left w:val="none" w:sz="0" w:space="0" w:color="auto"/>
                <w:bottom w:val="none" w:sz="0" w:space="0" w:color="auto"/>
                <w:right w:val="none" w:sz="0" w:space="0" w:color="auto"/>
              </w:divBdr>
              <w:divsChild>
                <w:div w:id="10458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371986">
      <w:bodyDiv w:val="1"/>
      <w:marLeft w:val="0"/>
      <w:marRight w:val="0"/>
      <w:marTop w:val="0"/>
      <w:marBottom w:val="0"/>
      <w:divBdr>
        <w:top w:val="none" w:sz="0" w:space="0" w:color="auto"/>
        <w:left w:val="none" w:sz="0" w:space="0" w:color="auto"/>
        <w:bottom w:val="none" w:sz="0" w:space="0" w:color="auto"/>
        <w:right w:val="none" w:sz="0" w:space="0" w:color="auto"/>
      </w:divBdr>
      <w:divsChild>
        <w:div w:id="1958557647">
          <w:marLeft w:val="0"/>
          <w:marRight w:val="0"/>
          <w:marTop w:val="0"/>
          <w:marBottom w:val="0"/>
          <w:divBdr>
            <w:top w:val="none" w:sz="0" w:space="0" w:color="auto"/>
            <w:left w:val="none" w:sz="0" w:space="0" w:color="auto"/>
            <w:bottom w:val="none" w:sz="0" w:space="0" w:color="auto"/>
            <w:right w:val="none" w:sz="0" w:space="0" w:color="auto"/>
          </w:divBdr>
          <w:divsChild>
            <w:div w:id="1292396971">
              <w:marLeft w:val="0"/>
              <w:marRight w:val="0"/>
              <w:marTop w:val="0"/>
              <w:marBottom w:val="0"/>
              <w:divBdr>
                <w:top w:val="none" w:sz="0" w:space="0" w:color="auto"/>
                <w:left w:val="none" w:sz="0" w:space="0" w:color="auto"/>
                <w:bottom w:val="none" w:sz="0" w:space="0" w:color="auto"/>
                <w:right w:val="none" w:sz="0" w:space="0" w:color="auto"/>
              </w:divBdr>
              <w:divsChild>
                <w:div w:id="20260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3880">
      <w:bodyDiv w:val="1"/>
      <w:marLeft w:val="0"/>
      <w:marRight w:val="0"/>
      <w:marTop w:val="0"/>
      <w:marBottom w:val="0"/>
      <w:divBdr>
        <w:top w:val="none" w:sz="0" w:space="0" w:color="auto"/>
        <w:left w:val="none" w:sz="0" w:space="0" w:color="auto"/>
        <w:bottom w:val="none" w:sz="0" w:space="0" w:color="auto"/>
        <w:right w:val="none" w:sz="0" w:space="0" w:color="auto"/>
      </w:divBdr>
      <w:divsChild>
        <w:div w:id="1141121090">
          <w:marLeft w:val="0"/>
          <w:marRight w:val="0"/>
          <w:marTop w:val="0"/>
          <w:marBottom w:val="0"/>
          <w:divBdr>
            <w:top w:val="none" w:sz="0" w:space="0" w:color="auto"/>
            <w:left w:val="none" w:sz="0" w:space="0" w:color="auto"/>
            <w:bottom w:val="none" w:sz="0" w:space="0" w:color="auto"/>
            <w:right w:val="none" w:sz="0" w:space="0" w:color="auto"/>
          </w:divBdr>
          <w:divsChild>
            <w:div w:id="1248467201">
              <w:marLeft w:val="0"/>
              <w:marRight w:val="0"/>
              <w:marTop w:val="0"/>
              <w:marBottom w:val="0"/>
              <w:divBdr>
                <w:top w:val="none" w:sz="0" w:space="0" w:color="auto"/>
                <w:left w:val="none" w:sz="0" w:space="0" w:color="auto"/>
                <w:bottom w:val="none" w:sz="0" w:space="0" w:color="auto"/>
                <w:right w:val="none" w:sz="0" w:space="0" w:color="auto"/>
              </w:divBdr>
              <w:divsChild>
                <w:div w:id="17750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94721">
      <w:bodyDiv w:val="1"/>
      <w:marLeft w:val="0"/>
      <w:marRight w:val="0"/>
      <w:marTop w:val="0"/>
      <w:marBottom w:val="0"/>
      <w:divBdr>
        <w:top w:val="none" w:sz="0" w:space="0" w:color="auto"/>
        <w:left w:val="none" w:sz="0" w:space="0" w:color="auto"/>
        <w:bottom w:val="none" w:sz="0" w:space="0" w:color="auto"/>
        <w:right w:val="none" w:sz="0" w:space="0" w:color="auto"/>
      </w:divBdr>
      <w:divsChild>
        <w:div w:id="349338406">
          <w:marLeft w:val="0"/>
          <w:marRight w:val="0"/>
          <w:marTop w:val="0"/>
          <w:marBottom w:val="0"/>
          <w:divBdr>
            <w:top w:val="none" w:sz="0" w:space="0" w:color="auto"/>
            <w:left w:val="none" w:sz="0" w:space="0" w:color="auto"/>
            <w:bottom w:val="none" w:sz="0" w:space="0" w:color="auto"/>
            <w:right w:val="none" w:sz="0" w:space="0" w:color="auto"/>
          </w:divBdr>
          <w:divsChild>
            <w:div w:id="388383365">
              <w:marLeft w:val="0"/>
              <w:marRight w:val="0"/>
              <w:marTop w:val="0"/>
              <w:marBottom w:val="0"/>
              <w:divBdr>
                <w:top w:val="none" w:sz="0" w:space="0" w:color="auto"/>
                <w:left w:val="none" w:sz="0" w:space="0" w:color="auto"/>
                <w:bottom w:val="none" w:sz="0" w:space="0" w:color="auto"/>
                <w:right w:val="none" w:sz="0" w:space="0" w:color="auto"/>
              </w:divBdr>
              <w:divsChild>
                <w:div w:id="178287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4679">
      <w:bodyDiv w:val="1"/>
      <w:marLeft w:val="0"/>
      <w:marRight w:val="0"/>
      <w:marTop w:val="0"/>
      <w:marBottom w:val="0"/>
      <w:divBdr>
        <w:top w:val="none" w:sz="0" w:space="0" w:color="auto"/>
        <w:left w:val="none" w:sz="0" w:space="0" w:color="auto"/>
        <w:bottom w:val="none" w:sz="0" w:space="0" w:color="auto"/>
        <w:right w:val="none" w:sz="0" w:space="0" w:color="auto"/>
      </w:divBdr>
      <w:divsChild>
        <w:div w:id="76680450">
          <w:marLeft w:val="0"/>
          <w:marRight w:val="0"/>
          <w:marTop w:val="0"/>
          <w:marBottom w:val="0"/>
          <w:divBdr>
            <w:top w:val="none" w:sz="0" w:space="0" w:color="auto"/>
            <w:left w:val="none" w:sz="0" w:space="0" w:color="auto"/>
            <w:bottom w:val="none" w:sz="0" w:space="0" w:color="auto"/>
            <w:right w:val="none" w:sz="0" w:space="0" w:color="auto"/>
          </w:divBdr>
          <w:divsChild>
            <w:div w:id="1641837523">
              <w:marLeft w:val="0"/>
              <w:marRight w:val="0"/>
              <w:marTop w:val="0"/>
              <w:marBottom w:val="0"/>
              <w:divBdr>
                <w:top w:val="none" w:sz="0" w:space="0" w:color="auto"/>
                <w:left w:val="none" w:sz="0" w:space="0" w:color="auto"/>
                <w:bottom w:val="none" w:sz="0" w:space="0" w:color="auto"/>
                <w:right w:val="none" w:sz="0" w:space="0" w:color="auto"/>
              </w:divBdr>
              <w:divsChild>
                <w:div w:id="16202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8439">
      <w:bodyDiv w:val="1"/>
      <w:marLeft w:val="0"/>
      <w:marRight w:val="0"/>
      <w:marTop w:val="0"/>
      <w:marBottom w:val="0"/>
      <w:divBdr>
        <w:top w:val="none" w:sz="0" w:space="0" w:color="auto"/>
        <w:left w:val="none" w:sz="0" w:space="0" w:color="auto"/>
        <w:bottom w:val="none" w:sz="0" w:space="0" w:color="auto"/>
        <w:right w:val="none" w:sz="0" w:space="0" w:color="auto"/>
      </w:divBdr>
      <w:divsChild>
        <w:div w:id="384138653">
          <w:marLeft w:val="0"/>
          <w:marRight w:val="0"/>
          <w:marTop w:val="0"/>
          <w:marBottom w:val="0"/>
          <w:divBdr>
            <w:top w:val="none" w:sz="0" w:space="0" w:color="auto"/>
            <w:left w:val="none" w:sz="0" w:space="0" w:color="auto"/>
            <w:bottom w:val="none" w:sz="0" w:space="0" w:color="auto"/>
            <w:right w:val="none" w:sz="0" w:space="0" w:color="auto"/>
          </w:divBdr>
          <w:divsChild>
            <w:div w:id="11272242">
              <w:marLeft w:val="0"/>
              <w:marRight w:val="0"/>
              <w:marTop w:val="0"/>
              <w:marBottom w:val="0"/>
              <w:divBdr>
                <w:top w:val="none" w:sz="0" w:space="0" w:color="auto"/>
                <w:left w:val="none" w:sz="0" w:space="0" w:color="auto"/>
                <w:bottom w:val="none" w:sz="0" w:space="0" w:color="auto"/>
                <w:right w:val="none" w:sz="0" w:space="0" w:color="auto"/>
              </w:divBdr>
              <w:divsChild>
                <w:div w:id="13936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69987">
      <w:bodyDiv w:val="1"/>
      <w:marLeft w:val="0"/>
      <w:marRight w:val="0"/>
      <w:marTop w:val="0"/>
      <w:marBottom w:val="0"/>
      <w:divBdr>
        <w:top w:val="none" w:sz="0" w:space="0" w:color="auto"/>
        <w:left w:val="none" w:sz="0" w:space="0" w:color="auto"/>
        <w:bottom w:val="none" w:sz="0" w:space="0" w:color="auto"/>
        <w:right w:val="none" w:sz="0" w:space="0" w:color="auto"/>
      </w:divBdr>
    </w:div>
    <w:div w:id="400059612">
      <w:bodyDiv w:val="1"/>
      <w:marLeft w:val="0"/>
      <w:marRight w:val="0"/>
      <w:marTop w:val="0"/>
      <w:marBottom w:val="0"/>
      <w:divBdr>
        <w:top w:val="none" w:sz="0" w:space="0" w:color="auto"/>
        <w:left w:val="none" w:sz="0" w:space="0" w:color="auto"/>
        <w:bottom w:val="none" w:sz="0" w:space="0" w:color="auto"/>
        <w:right w:val="none" w:sz="0" w:space="0" w:color="auto"/>
      </w:divBdr>
      <w:divsChild>
        <w:div w:id="1717242644">
          <w:marLeft w:val="0"/>
          <w:marRight w:val="0"/>
          <w:marTop w:val="0"/>
          <w:marBottom w:val="0"/>
          <w:divBdr>
            <w:top w:val="none" w:sz="0" w:space="0" w:color="auto"/>
            <w:left w:val="none" w:sz="0" w:space="0" w:color="auto"/>
            <w:bottom w:val="none" w:sz="0" w:space="0" w:color="auto"/>
            <w:right w:val="none" w:sz="0" w:space="0" w:color="auto"/>
          </w:divBdr>
          <w:divsChild>
            <w:div w:id="458258219">
              <w:marLeft w:val="0"/>
              <w:marRight w:val="0"/>
              <w:marTop w:val="0"/>
              <w:marBottom w:val="0"/>
              <w:divBdr>
                <w:top w:val="none" w:sz="0" w:space="0" w:color="auto"/>
                <w:left w:val="none" w:sz="0" w:space="0" w:color="auto"/>
                <w:bottom w:val="none" w:sz="0" w:space="0" w:color="auto"/>
                <w:right w:val="none" w:sz="0" w:space="0" w:color="auto"/>
              </w:divBdr>
              <w:divsChild>
                <w:div w:id="39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4913">
      <w:bodyDiv w:val="1"/>
      <w:marLeft w:val="0"/>
      <w:marRight w:val="0"/>
      <w:marTop w:val="0"/>
      <w:marBottom w:val="0"/>
      <w:divBdr>
        <w:top w:val="none" w:sz="0" w:space="0" w:color="auto"/>
        <w:left w:val="none" w:sz="0" w:space="0" w:color="auto"/>
        <w:bottom w:val="none" w:sz="0" w:space="0" w:color="auto"/>
        <w:right w:val="none" w:sz="0" w:space="0" w:color="auto"/>
      </w:divBdr>
      <w:divsChild>
        <w:div w:id="26686171">
          <w:marLeft w:val="0"/>
          <w:marRight w:val="0"/>
          <w:marTop w:val="0"/>
          <w:marBottom w:val="0"/>
          <w:divBdr>
            <w:top w:val="none" w:sz="0" w:space="0" w:color="auto"/>
            <w:left w:val="none" w:sz="0" w:space="0" w:color="auto"/>
            <w:bottom w:val="none" w:sz="0" w:space="0" w:color="auto"/>
            <w:right w:val="none" w:sz="0" w:space="0" w:color="auto"/>
          </w:divBdr>
          <w:divsChild>
            <w:div w:id="1421414531">
              <w:marLeft w:val="0"/>
              <w:marRight w:val="0"/>
              <w:marTop w:val="0"/>
              <w:marBottom w:val="0"/>
              <w:divBdr>
                <w:top w:val="none" w:sz="0" w:space="0" w:color="auto"/>
                <w:left w:val="none" w:sz="0" w:space="0" w:color="auto"/>
                <w:bottom w:val="none" w:sz="0" w:space="0" w:color="auto"/>
                <w:right w:val="none" w:sz="0" w:space="0" w:color="auto"/>
              </w:divBdr>
              <w:divsChild>
                <w:div w:id="18399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27943">
      <w:bodyDiv w:val="1"/>
      <w:marLeft w:val="0"/>
      <w:marRight w:val="0"/>
      <w:marTop w:val="0"/>
      <w:marBottom w:val="0"/>
      <w:divBdr>
        <w:top w:val="none" w:sz="0" w:space="0" w:color="auto"/>
        <w:left w:val="none" w:sz="0" w:space="0" w:color="auto"/>
        <w:bottom w:val="none" w:sz="0" w:space="0" w:color="auto"/>
        <w:right w:val="none" w:sz="0" w:space="0" w:color="auto"/>
      </w:divBdr>
      <w:divsChild>
        <w:div w:id="625935568">
          <w:marLeft w:val="0"/>
          <w:marRight w:val="0"/>
          <w:marTop w:val="0"/>
          <w:marBottom w:val="0"/>
          <w:divBdr>
            <w:top w:val="none" w:sz="0" w:space="0" w:color="auto"/>
            <w:left w:val="none" w:sz="0" w:space="0" w:color="auto"/>
            <w:bottom w:val="none" w:sz="0" w:space="0" w:color="auto"/>
            <w:right w:val="none" w:sz="0" w:space="0" w:color="auto"/>
          </w:divBdr>
          <w:divsChild>
            <w:div w:id="365562721">
              <w:marLeft w:val="0"/>
              <w:marRight w:val="0"/>
              <w:marTop w:val="0"/>
              <w:marBottom w:val="0"/>
              <w:divBdr>
                <w:top w:val="none" w:sz="0" w:space="0" w:color="auto"/>
                <w:left w:val="none" w:sz="0" w:space="0" w:color="auto"/>
                <w:bottom w:val="none" w:sz="0" w:space="0" w:color="auto"/>
                <w:right w:val="none" w:sz="0" w:space="0" w:color="auto"/>
              </w:divBdr>
              <w:divsChild>
                <w:div w:id="1987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849533">
      <w:bodyDiv w:val="1"/>
      <w:marLeft w:val="0"/>
      <w:marRight w:val="0"/>
      <w:marTop w:val="0"/>
      <w:marBottom w:val="0"/>
      <w:divBdr>
        <w:top w:val="none" w:sz="0" w:space="0" w:color="auto"/>
        <w:left w:val="none" w:sz="0" w:space="0" w:color="auto"/>
        <w:bottom w:val="none" w:sz="0" w:space="0" w:color="auto"/>
        <w:right w:val="none" w:sz="0" w:space="0" w:color="auto"/>
      </w:divBdr>
      <w:divsChild>
        <w:div w:id="473110684">
          <w:marLeft w:val="0"/>
          <w:marRight w:val="0"/>
          <w:marTop w:val="0"/>
          <w:marBottom w:val="0"/>
          <w:divBdr>
            <w:top w:val="none" w:sz="0" w:space="0" w:color="auto"/>
            <w:left w:val="none" w:sz="0" w:space="0" w:color="auto"/>
            <w:bottom w:val="none" w:sz="0" w:space="0" w:color="auto"/>
            <w:right w:val="none" w:sz="0" w:space="0" w:color="auto"/>
          </w:divBdr>
          <w:divsChild>
            <w:div w:id="1246381141">
              <w:marLeft w:val="0"/>
              <w:marRight w:val="0"/>
              <w:marTop w:val="0"/>
              <w:marBottom w:val="0"/>
              <w:divBdr>
                <w:top w:val="none" w:sz="0" w:space="0" w:color="auto"/>
                <w:left w:val="none" w:sz="0" w:space="0" w:color="auto"/>
                <w:bottom w:val="none" w:sz="0" w:space="0" w:color="auto"/>
                <w:right w:val="none" w:sz="0" w:space="0" w:color="auto"/>
              </w:divBdr>
              <w:divsChild>
                <w:div w:id="4875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29340">
      <w:bodyDiv w:val="1"/>
      <w:marLeft w:val="0"/>
      <w:marRight w:val="0"/>
      <w:marTop w:val="0"/>
      <w:marBottom w:val="0"/>
      <w:divBdr>
        <w:top w:val="none" w:sz="0" w:space="0" w:color="auto"/>
        <w:left w:val="none" w:sz="0" w:space="0" w:color="auto"/>
        <w:bottom w:val="none" w:sz="0" w:space="0" w:color="auto"/>
        <w:right w:val="none" w:sz="0" w:space="0" w:color="auto"/>
      </w:divBdr>
      <w:divsChild>
        <w:div w:id="1313021765">
          <w:marLeft w:val="0"/>
          <w:marRight w:val="0"/>
          <w:marTop w:val="0"/>
          <w:marBottom w:val="0"/>
          <w:divBdr>
            <w:top w:val="none" w:sz="0" w:space="0" w:color="auto"/>
            <w:left w:val="none" w:sz="0" w:space="0" w:color="auto"/>
            <w:bottom w:val="none" w:sz="0" w:space="0" w:color="auto"/>
            <w:right w:val="none" w:sz="0" w:space="0" w:color="auto"/>
          </w:divBdr>
          <w:divsChild>
            <w:div w:id="987201143">
              <w:marLeft w:val="0"/>
              <w:marRight w:val="0"/>
              <w:marTop w:val="0"/>
              <w:marBottom w:val="0"/>
              <w:divBdr>
                <w:top w:val="none" w:sz="0" w:space="0" w:color="auto"/>
                <w:left w:val="none" w:sz="0" w:space="0" w:color="auto"/>
                <w:bottom w:val="none" w:sz="0" w:space="0" w:color="auto"/>
                <w:right w:val="none" w:sz="0" w:space="0" w:color="auto"/>
              </w:divBdr>
              <w:divsChild>
                <w:div w:id="19389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53323">
      <w:bodyDiv w:val="1"/>
      <w:marLeft w:val="0"/>
      <w:marRight w:val="0"/>
      <w:marTop w:val="0"/>
      <w:marBottom w:val="0"/>
      <w:divBdr>
        <w:top w:val="none" w:sz="0" w:space="0" w:color="auto"/>
        <w:left w:val="none" w:sz="0" w:space="0" w:color="auto"/>
        <w:bottom w:val="none" w:sz="0" w:space="0" w:color="auto"/>
        <w:right w:val="none" w:sz="0" w:space="0" w:color="auto"/>
      </w:divBdr>
      <w:divsChild>
        <w:div w:id="1429303201">
          <w:marLeft w:val="547"/>
          <w:marRight w:val="0"/>
          <w:marTop w:val="0"/>
          <w:marBottom w:val="120"/>
          <w:divBdr>
            <w:top w:val="none" w:sz="0" w:space="0" w:color="auto"/>
            <w:left w:val="none" w:sz="0" w:space="0" w:color="auto"/>
            <w:bottom w:val="none" w:sz="0" w:space="0" w:color="auto"/>
            <w:right w:val="none" w:sz="0" w:space="0" w:color="auto"/>
          </w:divBdr>
        </w:div>
      </w:divsChild>
    </w:div>
    <w:div w:id="510681711">
      <w:bodyDiv w:val="1"/>
      <w:marLeft w:val="0"/>
      <w:marRight w:val="0"/>
      <w:marTop w:val="0"/>
      <w:marBottom w:val="0"/>
      <w:divBdr>
        <w:top w:val="none" w:sz="0" w:space="0" w:color="auto"/>
        <w:left w:val="none" w:sz="0" w:space="0" w:color="auto"/>
        <w:bottom w:val="none" w:sz="0" w:space="0" w:color="auto"/>
        <w:right w:val="none" w:sz="0" w:space="0" w:color="auto"/>
      </w:divBdr>
      <w:divsChild>
        <w:div w:id="1801724197">
          <w:marLeft w:val="0"/>
          <w:marRight w:val="0"/>
          <w:marTop w:val="0"/>
          <w:marBottom w:val="0"/>
          <w:divBdr>
            <w:top w:val="none" w:sz="0" w:space="0" w:color="auto"/>
            <w:left w:val="none" w:sz="0" w:space="0" w:color="auto"/>
            <w:bottom w:val="none" w:sz="0" w:space="0" w:color="auto"/>
            <w:right w:val="none" w:sz="0" w:space="0" w:color="auto"/>
          </w:divBdr>
          <w:divsChild>
            <w:div w:id="660431815">
              <w:marLeft w:val="0"/>
              <w:marRight w:val="0"/>
              <w:marTop w:val="0"/>
              <w:marBottom w:val="0"/>
              <w:divBdr>
                <w:top w:val="none" w:sz="0" w:space="0" w:color="auto"/>
                <w:left w:val="none" w:sz="0" w:space="0" w:color="auto"/>
                <w:bottom w:val="none" w:sz="0" w:space="0" w:color="auto"/>
                <w:right w:val="none" w:sz="0" w:space="0" w:color="auto"/>
              </w:divBdr>
              <w:divsChild>
                <w:div w:id="90846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03952">
      <w:bodyDiv w:val="1"/>
      <w:marLeft w:val="0"/>
      <w:marRight w:val="0"/>
      <w:marTop w:val="0"/>
      <w:marBottom w:val="0"/>
      <w:divBdr>
        <w:top w:val="none" w:sz="0" w:space="0" w:color="auto"/>
        <w:left w:val="none" w:sz="0" w:space="0" w:color="auto"/>
        <w:bottom w:val="none" w:sz="0" w:space="0" w:color="auto"/>
        <w:right w:val="none" w:sz="0" w:space="0" w:color="auto"/>
      </w:divBdr>
      <w:divsChild>
        <w:div w:id="2026442820">
          <w:marLeft w:val="1138"/>
          <w:marRight w:val="0"/>
          <w:marTop w:val="0"/>
          <w:marBottom w:val="0"/>
          <w:divBdr>
            <w:top w:val="none" w:sz="0" w:space="0" w:color="auto"/>
            <w:left w:val="none" w:sz="0" w:space="0" w:color="auto"/>
            <w:bottom w:val="none" w:sz="0" w:space="0" w:color="auto"/>
            <w:right w:val="none" w:sz="0" w:space="0" w:color="auto"/>
          </w:divBdr>
        </w:div>
      </w:divsChild>
    </w:div>
    <w:div w:id="515535831">
      <w:bodyDiv w:val="1"/>
      <w:marLeft w:val="0"/>
      <w:marRight w:val="0"/>
      <w:marTop w:val="0"/>
      <w:marBottom w:val="0"/>
      <w:divBdr>
        <w:top w:val="none" w:sz="0" w:space="0" w:color="auto"/>
        <w:left w:val="none" w:sz="0" w:space="0" w:color="auto"/>
        <w:bottom w:val="none" w:sz="0" w:space="0" w:color="auto"/>
        <w:right w:val="none" w:sz="0" w:space="0" w:color="auto"/>
      </w:divBdr>
      <w:divsChild>
        <w:div w:id="1810004671">
          <w:marLeft w:val="0"/>
          <w:marRight w:val="0"/>
          <w:marTop w:val="0"/>
          <w:marBottom w:val="0"/>
          <w:divBdr>
            <w:top w:val="none" w:sz="0" w:space="0" w:color="auto"/>
            <w:left w:val="none" w:sz="0" w:space="0" w:color="auto"/>
            <w:bottom w:val="none" w:sz="0" w:space="0" w:color="auto"/>
            <w:right w:val="none" w:sz="0" w:space="0" w:color="auto"/>
          </w:divBdr>
          <w:divsChild>
            <w:div w:id="1679386073">
              <w:marLeft w:val="0"/>
              <w:marRight w:val="0"/>
              <w:marTop w:val="0"/>
              <w:marBottom w:val="0"/>
              <w:divBdr>
                <w:top w:val="none" w:sz="0" w:space="0" w:color="auto"/>
                <w:left w:val="none" w:sz="0" w:space="0" w:color="auto"/>
                <w:bottom w:val="none" w:sz="0" w:space="0" w:color="auto"/>
                <w:right w:val="none" w:sz="0" w:space="0" w:color="auto"/>
              </w:divBdr>
              <w:divsChild>
                <w:div w:id="85526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98871">
      <w:bodyDiv w:val="1"/>
      <w:marLeft w:val="0"/>
      <w:marRight w:val="0"/>
      <w:marTop w:val="0"/>
      <w:marBottom w:val="0"/>
      <w:divBdr>
        <w:top w:val="none" w:sz="0" w:space="0" w:color="auto"/>
        <w:left w:val="none" w:sz="0" w:space="0" w:color="auto"/>
        <w:bottom w:val="none" w:sz="0" w:space="0" w:color="auto"/>
        <w:right w:val="none" w:sz="0" w:space="0" w:color="auto"/>
      </w:divBdr>
      <w:divsChild>
        <w:div w:id="634068001">
          <w:marLeft w:val="1138"/>
          <w:marRight w:val="0"/>
          <w:marTop w:val="0"/>
          <w:marBottom w:val="0"/>
          <w:divBdr>
            <w:top w:val="none" w:sz="0" w:space="0" w:color="auto"/>
            <w:left w:val="none" w:sz="0" w:space="0" w:color="auto"/>
            <w:bottom w:val="none" w:sz="0" w:space="0" w:color="auto"/>
            <w:right w:val="none" w:sz="0" w:space="0" w:color="auto"/>
          </w:divBdr>
        </w:div>
      </w:divsChild>
    </w:div>
    <w:div w:id="571090170">
      <w:bodyDiv w:val="1"/>
      <w:marLeft w:val="0"/>
      <w:marRight w:val="0"/>
      <w:marTop w:val="0"/>
      <w:marBottom w:val="0"/>
      <w:divBdr>
        <w:top w:val="none" w:sz="0" w:space="0" w:color="auto"/>
        <w:left w:val="none" w:sz="0" w:space="0" w:color="auto"/>
        <w:bottom w:val="none" w:sz="0" w:space="0" w:color="auto"/>
        <w:right w:val="none" w:sz="0" w:space="0" w:color="auto"/>
      </w:divBdr>
      <w:divsChild>
        <w:div w:id="1786002247">
          <w:marLeft w:val="1080"/>
          <w:marRight w:val="0"/>
          <w:marTop w:val="0"/>
          <w:marBottom w:val="120"/>
          <w:divBdr>
            <w:top w:val="none" w:sz="0" w:space="0" w:color="auto"/>
            <w:left w:val="none" w:sz="0" w:space="0" w:color="auto"/>
            <w:bottom w:val="none" w:sz="0" w:space="0" w:color="auto"/>
            <w:right w:val="none" w:sz="0" w:space="0" w:color="auto"/>
          </w:divBdr>
        </w:div>
      </w:divsChild>
    </w:div>
    <w:div w:id="593132554">
      <w:bodyDiv w:val="1"/>
      <w:marLeft w:val="0"/>
      <w:marRight w:val="0"/>
      <w:marTop w:val="0"/>
      <w:marBottom w:val="0"/>
      <w:divBdr>
        <w:top w:val="none" w:sz="0" w:space="0" w:color="auto"/>
        <w:left w:val="none" w:sz="0" w:space="0" w:color="auto"/>
        <w:bottom w:val="none" w:sz="0" w:space="0" w:color="auto"/>
        <w:right w:val="none" w:sz="0" w:space="0" w:color="auto"/>
      </w:divBdr>
      <w:divsChild>
        <w:div w:id="1740639217">
          <w:marLeft w:val="0"/>
          <w:marRight w:val="0"/>
          <w:marTop w:val="0"/>
          <w:marBottom w:val="0"/>
          <w:divBdr>
            <w:top w:val="none" w:sz="0" w:space="0" w:color="auto"/>
            <w:left w:val="none" w:sz="0" w:space="0" w:color="auto"/>
            <w:bottom w:val="none" w:sz="0" w:space="0" w:color="auto"/>
            <w:right w:val="none" w:sz="0" w:space="0" w:color="auto"/>
          </w:divBdr>
          <w:divsChild>
            <w:div w:id="1149402807">
              <w:marLeft w:val="0"/>
              <w:marRight w:val="0"/>
              <w:marTop w:val="0"/>
              <w:marBottom w:val="0"/>
              <w:divBdr>
                <w:top w:val="none" w:sz="0" w:space="0" w:color="auto"/>
                <w:left w:val="none" w:sz="0" w:space="0" w:color="auto"/>
                <w:bottom w:val="none" w:sz="0" w:space="0" w:color="auto"/>
                <w:right w:val="none" w:sz="0" w:space="0" w:color="auto"/>
              </w:divBdr>
              <w:divsChild>
                <w:div w:id="37146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62382">
      <w:bodyDiv w:val="1"/>
      <w:marLeft w:val="0"/>
      <w:marRight w:val="0"/>
      <w:marTop w:val="0"/>
      <w:marBottom w:val="0"/>
      <w:divBdr>
        <w:top w:val="none" w:sz="0" w:space="0" w:color="auto"/>
        <w:left w:val="none" w:sz="0" w:space="0" w:color="auto"/>
        <w:bottom w:val="none" w:sz="0" w:space="0" w:color="auto"/>
        <w:right w:val="none" w:sz="0" w:space="0" w:color="auto"/>
      </w:divBdr>
      <w:divsChild>
        <w:div w:id="539558693">
          <w:marLeft w:val="0"/>
          <w:marRight w:val="0"/>
          <w:marTop w:val="0"/>
          <w:marBottom w:val="0"/>
          <w:divBdr>
            <w:top w:val="none" w:sz="0" w:space="0" w:color="auto"/>
            <w:left w:val="none" w:sz="0" w:space="0" w:color="auto"/>
            <w:bottom w:val="none" w:sz="0" w:space="0" w:color="auto"/>
            <w:right w:val="none" w:sz="0" w:space="0" w:color="auto"/>
          </w:divBdr>
          <w:divsChild>
            <w:div w:id="580792895">
              <w:marLeft w:val="0"/>
              <w:marRight w:val="0"/>
              <w:marTop w:val="0"/>
              <w:marBottom w:val="0"/>
              <w:divBdr>
                <w:top w:val="none" w:sz="0" w:space="0" w:color="auto"/>
                <w:left w:val="none" w:sz="0" w:space="0" w:color="auto"/>
                <w:bottom w:val="none" w:sz="0" w:space="0" w:color="auto"/>
                <w:right w:val="none" w:sz="0" w:space="0" w:color="auto"/>
              </w:divBdr>
              <w:divsChild>
                <w:div w:id="2688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90031">
      <w:bodyDiv w:val="1"/>
      <w:marLeft w:val="0"/>
      <w:marRight w:val="0"/>
      <w:marTop w:val="0"/>
      <w:marBottom w:val="0"/>
      <w:divBdr>
        <w:top w:val="none" w:sz="0" w:space="0" w:color="auto"/>
        <w:left w:val="none" w:sz="0" w:space="0" w:color="auto"/>
        <w:bottom w:val="none" w:sz="0" w:space="0" w:color="auto"/>
        <w:right w:val="none" w:sz="0" w:space="0" w:color="auto"/>
      </w:divBdr>
      <w:divsChild>
        <w:div w:id="1585919801">
          <w:marLeft w:val="0"/>
          <w:marRight w:val="0"/>
          <w:marTop w:val="0"/>
          <w:marBottom w:val="0"/>
          <w:divBdr>
            <w:top w:val="none" w:sz="0" w:space="0" w:color="auto"/>
            <w:left w:val="none" w:sz="0" w:space="0" w:color="auto"/>
            <w:bottom w:val="none" w:sz="0" w:space="0" w:color="auto"/>
            <w:right w:val="none" w:sz="0" w:space="0" w:color="auto"/>
          </w:divBdr>
          <w:divsChild>
            <w:div w:id="979844179">
              <w:marLeft w:val="0"/>
              <w:marRight w:val="0"/>
              <w:marTop w:val="0"/>
              <w:marBottom w:val="0"/>
              <w:divBdr>
                <w:top w:val="none" w:sz="0" w:space="0" w:color="auto"/>
                <w:left w:val="none" w:sz="0" w:space="0" w:color="auto"/>
                <w:bottom w:val="none" w:sz="0" w:space="0" w:color="auto"/>
                <w:right w:val="none" w:sz="0" w:space="0" w:color="auto"/>
              </w:divBdr>
              <w:divsChild>
                <w:div w:id="5627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32515">
      <w:bodyDiv w:val="1"/>
      <w:marLeft w:val="0"/>
      <w:marRight w:val="0"/>
      <w:marTop w:val="0"/>
      <w:marBottom w:val="0"/>
      <w:divBdr>
        <w:top w:val="none" w:sz="0" w:space="0" w:color="auto"/>
        <w:left w:val="none" w:sz="0" w:space="0" w:color="auto"/>
        <w:bottom w:val="none" w:sz="0" w:space="0" w:color="auto"/>
        <w:right w:val="none" w:sz="0" w:space="0" w:color="auto"/>
      </w:divBdr>
      <w:divsChild>
        <w:div w:id="554583816">
          <w:marLeft w:val="0"/>
          <w:marRight w:val="0"/>
          <w:marTop w:val="0"/>
          <w:marBottom w:val="0"/>
          <w:divBdr>
            <w:top w:val="none" w:sz="0" w:space="0" w:color="auto"/>
            <w:left w:val="none" w:sz="0" w:space="0" w:color="auto"/>
            <w:bottom w:val="none" w:sz="0" w:space="0" w:color="auto"/>
            <w:right w:val="none" w:sz="0" w:space="0" w:color="auto"/>
          </w:divBdr>
          <w:divsChild>
            <w:div w:id="1364476179">
              <w:marLeft w:val="0"/>
              <w:marRight w:val="0"/>
              <w:marTop w:val="0"/>
              <w:marBottom w:val="0"/>
              <w:divBdr>
                <w:top w:val="none" w:sz="0" w:space="0" w:color="auto"/>
                <w:left w:val="none" w:sz="0" w:space="0" w:color="auto"/>
                <w:bottom w:val="none" w:sz="0" w:space="0" w:color="auto"/>
                <w:right w:val="none" w:sz="0" w:space="0" w:color="auto"/>
              </w:divBdr>
              <w:divsChild>
                <w:div w:id="19660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36214">
      <w:bodyDiv w:val="1"/>
      <w:marLeft w:val="0"/>
      <w:marRight w:val="0"/>
      <w:marTop w:val="0"/>
      <w:marBottom w:val="0"/>
      <w:divBdr>
        <w:top w:val="none" w:sz="0" w:space="0" w:color="auto"/>
        <w:left w:val="none" w:sz="0" w:space="0" w:color="auto"/>
        <w:bottom w:val="none" w:sz="0" w:space="0" w:color="auto"/>
        <w:right w:val="none" w:sz="0" w:space="0" w:color="auto"/>
      </w:divBdr>
      <w:divsChild>
        <w:div w:id="1425153454">
          <w:marLeft w:val="0"/>
          <w:marRight w:val="0"/>
          <w:marTop w:val="0"/>
          <w:marBottom w:val="0"/>
          <w:divBdr>
            <w:top w:val="none" w:sz="0" w:space="0" w:color="auto"/>
            <w:left w:val="none" w:sz="0" w:space="0" w:color="auto"/>
            <w:bottom w:val="none" w:sz="0" w:space="0" w:color="auto"/>
            <w:right w:val="none" w:sz="0" w:space="0" w:color="auto"/>
          </w:divBdr>
          <w:divsChild>
            <w:div w:id="1326864142">
              <w:marLeft w:val="0"/>
              <w:marRight w:val="0"/>
              <w:marTop w:val="0"/>
              <w:marBottom w:val="0"/>
              <w:divBdr>
                <w:top w:val="none" w:sz="0" w:space="0" w:color="auto"/>
                <w:left w:val="none" w:sz="0" w:space="0" w:color="auto"/>
                <w:bottom w:val="none" w:sz="0" w:space="0" w:color="auto"/>
                <w:right w:val="none" w:sz="0" w:space="0" w:color="auto"/>
              </w:divBdr>
              <w:divsChild>
                <w:div w:id="7418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19842">
      <w:bodyDiv w:val="1"/>
      <w:marLeft w:val="0"/>
      <w:marRight w:val="0"/>
      <w:marTop w:val="0"/>
      <w:marBottom w:val="0"/>
      <w:divBdr>
        <w:top w:val="none" w:sz="0" w:space="0" w:color="auto"/>
        <w:left w:val="none" w:sz="0" w:space="0" w:color="auto"/>
        <w:bottom w:val="none" w:sz="0" w:space="0" w:color="auto"/>
        <w:right w:val="none" w:sz="0" w:space="0" w:color="auto"/>
      </w:divBdr>
      <w:divsChild>
        <w:div w:id="696007058">
          <w:marLeft w:val="0"/>
          <w:marRight w:val="0"/>
          <w:marTop w:val="0"/>
          <w:marBottom w:val="0"/>
          <w:divBdr>
            <w:top w:val="none" w:sz="0" w:space="0" w:color="auto"/>
            <w:left w:val="none" w:sz="0" w:space="0" w:color="auto"/>
            <w:bottom w:val="none" w:sz="0" w:space="0" w:color="auto"/>
            <w:right w:val="none" w:sz="0" w:space="0" w:color="auto"/>
          </w:divBdr>
          <w:divsChild>
            <w:div w:id="1823426693">
              <w:marLeft w:val="0"/>
              <w:marRight w:val="0"/>
              <w:marTop w:val="0"/>
              <w:marBottom w:val="0"/>
              <w:divBdr>
                <w:top w:val="none" w:sz="0" w:space="0" w:color="auto"/>
                <w:left w:val="none" w:sz="0" w:space="0" w:color="auto"/>
                <w:bottom w:val="none" w:sz="0" w:space="0" w:color="auto"/>
                <w:right w:val="none" w:sz="0" w:space="0" w:color="auto"/>
              </w:divBdr>
              <w:divsChild>
                <w:div w:id="13213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12379">
      <w:bodyDiv w:val="1"/>
      <w:marLeft w:val="0"/>
      <w:marRight w:val="0"/>
      <w:marTop w:val="0"/>
      <w:marBottom w:val="0"/>
      <w:divBdr>
        <w:top w:val="none" w:sz="0" w:space="0" w:color="auto"/>
        <w:left w:val="none" w:sz="0" w:space="0" w:color="auto"/>
        <w:bottom w:val="none" w:sz="0" w:space="0" w:color="auto"/>
        <w:right w:val="none" w:sz="0" w:space="0" w:color="auto"/>
      </w:divBdr>
      <w:divsChild>
        <w:div w:id="1772312019">
          <w:marLeft w:val="0"/>
          <w:marRight w:val="0"/>
          <w:marTop w:val="0"/>
          <w:marBottom w:val="0"/>
          <w:divBdr>
            <w:top w:val="none" w:sz="0" w:space="0" w:color="auto"/>
            <w:left w:val="none" w:sz="0" w:space="0" w:color="auto"/>
            <w:bottom w:val="none" w:sz="0" w:space="0" w:color="auto"/>
            <w:right w:val="none" w:sz="0" w:space="0" w:color="auto"/>
          </w:divBdr>
          <w:divsChild>
            <w:div w:id="741947629">
              <w:marLeft w:val="0"/>
              <w:marRight w:val="0"/>
              <w:marTop w:val="0"/>
              <w:marBottom w:val="0"/>
              <w:divBdr>
                <w:top w:val="none" w:sz="0" w:space="0" w:color="auto"/>
                <w:left w:val="none" w:sz="0" w:space="0" w:color="auto"/>
                <w:bottom w:val="none" w:sz="0" w:space="0" w:color="auto"/>
                <w:right w:val="none" w:sz="0" w:space="0" w:color="auto"/>
              </w:divBdr>
              <w:divsChild>
                <w:div w:id="41910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9332">
      <w:bodyDiv w:val="1"/>
      <w:marLeft w:val="0"/>
      <w:marRight w:val="0"/>
      <w:marTop w:val="0"/>
      <w:marBottom w:val="0"/>
      <w:divBdr>
        <w:top w:val="none" w:sz="0" w:space="0" w:color="auto"/>
        <w:left w:val="none" w:sz="0" w:space="0" w:color="auto"/>
        <w:bottom w:val="none" w:sz="0" w:space="0" w:color="auto"/>
        <w:right w:val="none" w:sz="0" w:space="0" w:color="auto"/>
      </w:divBdr>
    </w:div>
    <w:div w:id="719404462">
      <w:bodyDiv w:val="1"/>
      <w:marLeft w:val="0"/>
      <w:marRight w:val="0"/>
      <w:marTop w:val="0"/>
      <w:marBottom w:val="0"/>
      <w:divBdr>
        <w:top w:val="none" w:sz="0" w:space="0" w:color="auto"/>
        <w:left w:val="none" w:sz="0" w:space="0" w:color="auto"/>
        <w:bottom w:val="none" w:sz="0" w:space="0" w:color="auto"/>
        <w:right w:val="none" w:sz="0" w:space="0" w:color="auto"/>
      </w:divBdr>
      <w:divsChild>
        <w:div w:id="793331845">
          <w:marLeft w:val="0"/>
          <w:marRight w:val="0"/>
          <w:marTop w:val="0"/>
          <w:marBottom w:val="0"/>
          <w:divBdr>
            <w:top w:val="none" w:sz="0" w:space="0" w:color="auto"/>
            <w:left w:val="none" w:sz="0" w:space="0" w:color="auto"/>
            <w:bottom w:val="none" w:sz="0" w:space="0" w:color="auto"/>
            <w:right w:val="none" w:sz="0" w:space="0" w:color="auto"/>
          </w:divBdr>
          <w:divsChild>
            <w:div w:id="2073845551">
              <w:marLeft w:val="0"/>
              <w:marRight w:val="0"/>
              <w:marTop w:val="0"/>
              <w:marBottom w:val="0"/>
              <w:divBdr>
                <w:top w:val="none" w:sz="0" w:space="0" w:color="auto"/>
                <w:left w:val="none" w:sz="0" w:space="0" w:color="auto"/>
                <w:bottom w:val="none" w:sz="0" w:space="0" w:color="auto"/>
                <w:right w:val="none" w:sz="0" w:space="0" w:color="auto"/>
              </w:divBdr>
              <w:divsChild>
                <w:div w:id="158526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7866">
      <w:bodyDiv w:val="1"/>
      <w:marLeft w:val="0"/>
      <w:marRight w:val="0"/>
      <w:marTop w:val="0"/>
      <w:marBottom w:val="0"/>
      <w:divBdr>
        <w:top w:val="none" w:sz="0" w:space="0" w:color="auto"/>
        <w:left w:val="none" w:sz="0" w:space="0" w:color="auto"/>
        <w:bottom w:val="none" w:sz="0" w:space="0" w:color="auto"/>
        <w:right w:val="none" w:sz="0" w:space="0" w:color="auto"/>
      </w:divBdr>
      <w:divsChild>
        <w:div w:id="1843470052">
          <w:marLeft w:val="0"/>
          <w:marRight w:val="0"/>
          <w:marTop w:val="0"/>
          <w:marBottom w:val="0"/>
          <w:divBdr>
            <w:top w:val="none" w:sz="0" w:space="0" w:color="auto"/>
            <w:left w:val="none" w:sz="0" w:space="0" w:color="auto"/>
            <w:bottom w:val="none" w:sz="0" w:space="0" w:color="auto"/>
            <w:right w:val="none" w:sz="0" w:space="0" w:color="auto"/>
          </w:divBdr>
          <w:divsChild>
            <w:div w:id="598682513">
              <w:marLeft w:val="0"/>
              <w:marRight w:val="0"/>
              <w:marTop w:val="0"/>
              <w:marBottom w:val="0"/>
              <w:divBdr>
                <w:top w:val="none" w:sz="0" w:space="0" w:color="auto"/>
                <w:left w:val="none" w:sz="0" w:space="0" w:color="auto"/>
                <w:bottom w:val="none" w:sz="0" w:space="0" w:color="auto"/>
                <w:right w:val="none" w:sz="0" w:space="0" w:color="auto"/>
              </w:divBdr>
              <w:divsChild>
                <w:div w:id="1369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89562">
      <w:bodyDiv w:val="1"/>
      <w:marLeft w:val="0"/>
      <w:marRight w:val="0"/>
      <w:marTop w:val="0"/>
      <w:marBottom w:val="0"/>
      <w:divBdr>
        <w:top w:val="none" w:sz="0" w:space="0" w:color="auto"/>
        <w:left w:val="none" w:sz="0" w:space="0" w:color="auto"/>
        <w:bottom w:val="none" w:sz="0" w:space="0" w:color="auto"/>
        <w:right w:val="none" w:sz="0" w:space="0" w:color="auto"/>
      </w:divBdr>
      <w:divsChild>
        <w:div w:id="68963741">
          <w:marLeft w:val="0"/>
          <w:marRight w:val="0"/>
          <w:marTop w:val="0"/>
          <w:marBottom w:val="0"/>
          <w:divBdr>
            <w:top w:val="none" w:sz="0" w:space="0" w:color="auto"/>
            <w:left w:val="none" w:sz="0" w:space="0" w:color="auto"/>
            <w:bottom w:val="none" w:sz="0" w:space="0" w:color="auto"/>
            <w:right w:val="none" w:sz="0" w:space="0" w:color="auto"/>
          </w:divBdr>
          <w:divsChild>
            <w:div w:id="460418766">
              <w:marLeft w:val="0"/>
              <w:marRight w:val="0"/>
              <w:marTop w:val="0"/>
              <w:marBottom w:val="0"/>
              <w:divBdr>
                <w:top w:val="none" w:sz="0" w:space="0" w:color="auto"/>
                <w:left w:val="none" w:sz="0" w:space="0" w:color="auto"/>
                <w:bottom w:val="none" w:sz="0" w:space="0" w:color="auto"/>
                <w:right w:val="none" w:sz="0" w:space="0" w:color="auto"/>
              </w:divBdr>
              <w:divsChild>
                <w:div w:id="47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89675">
      <w:bodyDiv w:val="1"/>
      <w:marLeft w:val="0"/>
      <w:marRight w:val="0"/>
      <w:marTop w:val="0"/>
      <w:marBottom w:val="0"/>
      <w:divBdr>
        <w:top w:val="none" w:sz="0" w:space="0" w:color="auto"/>
        <w:left w:val="none" w:sz="0" w:space="0" w:color="auto"/>
        <w:bottom w:val="none" w:sz="0" w:space="0" w:color="auto"/>
        <w:right w:val="none" w:sz="0" w:space="0" w:color="auto"/>
      </w:divBdr>
    </w:div>
    <w:div w:id="752819146">
      <w:bodyDiv w:val="1"/>
      <w:marLeft w:val="0"/>
      <w:marRight w:val="0"/>
      <w:marTop w:val="0"/>
      <w:marBottom w:val="0"/>
      <w:divBdr>
        <w:top w:val="none" w:sz="0" w:space="0" w:color="auto"/>
        <w:left w:val="none" w:sz="0" w:space="0" w:color="auto"/>
        <w:bottom w:val="none" w:sz="0" w:space="0" w:color="auto"/>
        <w:right w:val="none" w:sz="0" w:space="0" w:color="auto"/>
      </w:divBdr>
      <w:divsChild>
        <w:div w:id="952977087">
          <w:marLeft w:val="1296"/>
          <w:marRight w:val="14"/>
          <w:marTop w:val="29"/>
          <w:marBottom w:val="0"/>
          <w:divBdr>
            <w:top w:val="none" w:sz="0" w:space="0" w:color="auto"/>
            <w:left w:val="none" w:sz="0" w:space="0" w:color="auto"/>
            <w:bottom w:val="none" w:sz="0" w:space="0" w:color="auto"/>
            <w:right w:val="none" w:sz="0" w:space="0" w:color="auto"/>
          </w:divBdr>
        </w:div>
      </w:divsChild>
    </w:div>
    <w:div w:id="769787380">
      <w:bodyDiv w:val="1"/>
      <w:marLeft w:val="0"/>
      <w:marRight w:val="0"/>
      <w:marTop w:val="0"/>
      <w:marBottom w:val="0"/>
      <w:divBdr>
        <w:top w:val="none" w:sz="0" w:space="0" w:color="auto"/>
        <w:left w:val="none" w:sz="0" w:space="0" w:color="auto"/>
        <w:bottom w:val="none" w:sz="0" w:space="0" w:color="auto"/>
        <w:right w:val="none" w:sz="0" w:space="0" w:color="auto"/>
      </w:divBdr>
      <w:divsChild>
        <w:div w:id="1901550206">
          <w:marLeft w:val="0"/>
          <w:marRight w:val="0"/>
          <w:marTop w:val="0"/>
          <w:marBottom w:val="0"/>
          <w:divBdr>
            <w:top w:val="none" w:sz="0" w:space="0" w:color="auto"/>
            <w:left w:val="none" w:sz="0" w:space="0" w:color="auto"/>
            <w:bottom w:val="none" w:sz="0" w:space="0" w:color="auto"/>
            <w:right w:val="none" w:sz="0" w:space="0" w:color="auto"/>
          </w:divBdr>
          <w:divsChild>
            <w:div w:id="1047991714">
              <w:marLeft w:val="0"/>
              <w:marRight w:val="0"/>
              <w:marTop w:val="0"/>
              <w:marBottom w:val="0"/>
              <w:divBdr>
                <w:top w:val="none" w:sz="0" w:space="0" w:color="auto"/>
                <w:left w:val="none" w:sz="0" w:space="0" w:color="auto"/>
                <w:bottom w:val="none" w:sz="0" w:space="0" w:color="auto"/>
                <w:right w:val="none" w:sz="0" w:space="0" w:color="auto"/>
              </w:divBdr>
              <w:divsChild>
                <w:div w:id="2040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63248">
      <w:bodyDiv w:val="1"/>
      <w:marLeft w:val="0"/>
      <w:marRight w:val="0"/>
      <w:marTop w:val="0"/>
      <w:marBottom w:val="0"/>
      <w:divBdr>
        <w:top w:val="none" w:sz="0" w:space="0" w:color="auto"/>
        <w:left w:val="none" w:sz="0" w:space="0" w:color="auto"/>
        <w:bottom w:val="none" w:sz="0" w:space="0" w:color="auto"/>
        <w:right w:val="none" w:sz="0" w:space="0" w:color="auto"/>
      </w:divBdr>
      <w:divsChild>
        <w:div w:id="941835170">
          <w:marLeft w:val="1296"/>
          <w:marRight w:val="14"/>
          <w:marTop w:val="29"/>
          <w:marBottom w:val="0"/>
          <w:divBdr>
            <w:top w:val="none" w:sz="0" w:space="0" w:color="auto"/>
            <w:left w:val="none" w:sz="0" w:space="0" w:color="auto"/>
            <w:bottom w:val="none" w:sz="0" w:space="0" w:color="auto"/>
            <w:right w:val="none" w:sz="0" w:space="0" w:color="auto"/>
          </w:divBdr>
        </w:div>
      </w:divsChild>
    </w:div>
    <w:div w:id="831221610">
      <w:bodyDiv w:val="1"/>
      <w:marLeft w:val="0"/>
      <w:marRight w:val="0"/>
      <w:marTop w:val="0"/>
      <w:marBottom w:val="0"/>
      <w:divBdr>
        <w:top w:val="none" w:sz="0" w:space="0" w:color="auto"/>
        <w:left w:val="none" w:sz="0" w:space="0" w:color="auto"/>
        <w:bottom w:val="none" w:sz="0" w:space="0" w:color="auto"/>
        <w:right w:val="none" w:sz="0" w:space="0" w:color="auto"/>
      </w:divBdr>
      <w:divsChild>
        <w:div w:id="126944634">
          <w:marLeft w:val="446"/>
          <w:marRight w:val="0"/>
          <w:marTop w:val="0"/>
          <w:marBottom w:val="120"/>
          <w:divBdr>
            <w:top w:val="none" w:sz="0" w:space="0" w:color="auto"/>
            <w:left w:val="none" w:sz="0" w:space="0" w:color="auto"/>
            <w:bottom w:val="none" w:sz="0" w:space="0" w:color="auto"/>
            <w:right w:val="none" w:sz="0" w:space="0" w:color="auto"/>
          </w:divBdr>
        </w:div>
      </w:divsChild>
    </w:div>
    <w:div w:id="840895785">
      <w:bodyDiv w:val="1"/>
      <w:marLeft w:val="0"/>
      <w:marRight w:val="0"/>
      <w:marTop w:val="0"/>
      <w:marBottom w:val="0"/>
      <w:divBdr>
        <w:top w:val="none" w:sz="0" w:space="0" w:color="auto"/>
        <w:left w:val="none" w:sz="0" w:space="0" w:color="auto"/>
        <w:bottom w:val="none" w:sz="0" w:space="0" w:color="auto"/>
        <w:right w:val="none" w:sz="0" w:space="0" w:color="auto"/>
      </w:divBdr>
      <w:divsChild>
        <w:div w:id="1417938465">
          <w:marLeft w:val="0"/>
          <w:marRight w:val="0"/>
          <w:marTop w:val="0"/>
          <w:marBottom w:val="0"/>
          <w:divBdr>
            <w:top w:val="none" w:sz="0" w:space="0" w:color="auto"/>
            <w:left w:val="none" w:sz="0" w:space="0" w:color="auto"/>
            <w:bottom w:val="none" w:sz="0" w:space="0" w:color="auto"/>
            <w:right w:val="none" w:sz="0" w:space="0" w:color="auto"/>
          </w:divBdr>
          <w:divsChild>
            <w:div w:id="732778360">
              <w:marLeft w:val="0"/>
              <w:marRight w:val="0"/>
              <w:marTop w:val="0"/>
              <w:marBottom w:val="0"/>
              <w:divBdr>
                <w:top w:val="none" w:sz="0" w:space="0" w:color="auto"/>
                <w:left w:val="none" w:sz="0" w:space="0" w:color="auto"/>
                <w:bottom w:val="none" w:sz="0" w:space="0" w:color="auto"/>
                <w:right w:val="none" w:sz="0" w:space="0" w:color="auto"/>
              </w:divBdr>
              <w:divsChild>
                <w:div w:id="18048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13001">
      <w:bodyDiv w:val="1"/>
      <w:marLeft w:val="0"/>
      <w:marRight w:val="0"/>
      <w:marTop w:val="0"/>
      <w:marBottom w:val="0"/>
      <w:divBdr>
        <w:top w:val="none" w:sz="0" w:space="0" w:color="auto"/>
        <w:left w:val="none" w:sz="0" w:space="0" w:color="auto"/>
        <w:bottom w:val="none" w:sz="0" w:space="0" w:color="auto"/>
        <w:right w:val="none" w:sz="0" w:space="0" w:color="auto"/>
      </w:divBdr>
      <w:divsChild>
        <w:div w:id="116726961">
          <w:marLeft w:val="446"/>
          <w:marRight w:val="0"/>
          <w:marTop w:val="0"/>
          <w:marBottom w:val="120"/>
          <w:divBdr>
            <w:top w:val="none" w:sz="0" w:space="0" w:color="auto"/>
            <w:left w:val="none" w:sz="0" w:space="0" w:color="auto"/>
            <w:bottom w:val="none" w:sz="0" w:space="0" w:color="auto"/>
            <w:right w:val="none" w:sz="0" w:space="0" w:color="auto"/>
          </w:divBdr>
        </w:div>
      </w:divsChild>
    </w:div>
    <w:div w:id="857237762">
      <w:bodyDiv w:val="1"/>
      <w:marLeft w:val="0"/>
      <w:marRight w:val="0"/>
      <w:marTop w:val="0"/>
      <w:marBottom w:val="0"/>
      <w:divBdr>
        <w:top w:val="none" w:sz="0" w:space="0" w:color="auto"/>
        <w:left w:val="none" w:sz="0" w:space="0" w:color="auto"/>
        <w:bottom w:val="none" w:sz="0" w:space="0" w:color="auto"/>
        <w:right w:val="none" w:sz="0" w:space="0" w:color="auto"/>
      </w:divBdr>
      <w:divsChild>
        <w:div w:id="1357269198">
          <w:marLeft w:val="0"/>
          <w:marRight w:val="0"/>
          <w:marTop w:val="0"/>
          <w:marBottom w:val="0"/>
          <w:divBdr>
            <w:top w:val="none" w:sz="0" w:space="0" w:color="auto"/>
            <w:left w:val="none" w:sz="0" w:space="0" w:color="auto"/>
            <w:bottom w:val="none" w:sz="0" w:space="0" w:color="auto"/>
            <w:right w:val="none" w:sz="0" w:space="0" w:color="auto"/>
          </w:divBdr>
          <w:divsChild>
            <w:div w:id="985470636">
              <w:marLeft w:val="0"/>
              <w:marRight w:val="0"/>
              <w:marTop w:val="0"/>
              <w:marBottom w:val="0"/>
              <w:divBdr>
                <w:top w:val="none" w:sz="0" w:space="0" w:color="auto"/>
                <w:left w:val="none" w:sz="0" w:space="0" w:color="auto"/>
                <w:bottom w:val="none" w:sz="0" w:space="0" w:color="auto"/>
                <w:right w:val="none" w:sz="0" w:space="0" w:color="auto"/>
              </w:divBdr>
              <w:divsChild>
                <w:div w:id="12848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05984">
      <w:bodyDiv w:val="1"/>
      <w:marLeft w:val="0"/>
      <w:marRight w:val="0"/>
      <w:marTop w:val="0"/>
      <w:marBottom w:val="0"/>
      <w:divBdr>
        <w:top w:val="none" w:sz="0" w:space="0" w:color="auto"/>
        <w:left w:val="none" w:sz="0" w:space="0" w:color="auto"/>
        <w:bottom w:val="none" w:sz="0" w:space="0" w:color="auto"/>
        <w:right w:val="none" w:sz="0" w:space="0" w:color="auto"/>
      </w:divBdr>
    </w:div>
    <w:div w:id="915090418">
      <w:bodyDiv w:val="1"/>
      <w:marLeft w:val="0"/>
      <w:marRight w:val="0"/>
      <w:marTop w:val="0"/>
      <w:marBottom w:val="0"/>
      <w:divBdr>
        <w:top w:val="none" w:sz="0" w:space="0" w:color="auto"/>
        <w:left w:val="none" w:sz="0" w:space="0" w:color="auto"/>
        <w:bottom w:val="none" w:sz="0" w:space="0" w:color="auto"/>
        <w:right w:val="none" w:sz="0" w:space="0" w:color="auto"/>
      </w:divBdr>
      <w:divsChild>
        <w:div w:id="628442342">
          <w:marLeft w:val="0"/>
          <w:marRight w:val="0"/>
          <w:marTop w:val="0"/>
          <w:marBottom w:val="0"/>
          <w:divBdr>
            <w:top w:val="none" w:sz="0" w:space="0" w:color="auto"/>
            <w:left w:val="none" w:sz="0" w:space="0" w:color="auto"/>
            <w:bottom w:val="none" w:sz="0" w:space="0" w:color="auto"/>
            <w:right w:val="none" w:sz="0" w:space="0" w:color="auto"/>
          </w:divBdr>
          <w:divsChild>
            <w:div w:id="262417715">
              <w:marLeft w:val="0"/>
              <w:marRight w:val="0"/>
              <w:marTop w:val="0"/>
              <w:marBottom w:val="0"/>
              <w:divBdr>
                <w:top w:val="none" w:sz="0" w:space="0" w:color="auto"/>
                <w:left w:val="none" w:sz="0" w:space="0" w:color="auto"/>
                <w:bottom w:val="none" w:sz="0" w:space="0" w:color="auto"/>
                <w:right w:val="none" w:sz="0" w:space="0" w:color="auto"/>
              </w:divBdr>
              <w:divsChild>
                <w:div w:id="186601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0231">
      <w:bodyDiv w:val="1"/>
      <w:marLeft w:val="0"/>
      <w:marRight w:val="0"/>
      <w:marTop w:val="0"/>
      <w:marBottom w:val="0"/>
      <w:divBdr>
        <w:top w:val="none" w:sz="0" w:space="0" w:color="auto"/>
        <w:left w:val="none" w:sz="0" w:space="0" w:color="auto"/>
        <w:bottom w:val="none" w:sz="0" w:space="0" w:color="auto"/>
        <w:right w:val="none" w:sz="0" w:space="0" w:color="auto"/>
      </w:divBdr>
      <w:divsChild>
        <w:div w:id="1296059719">
          <w:marLeft w:val="0"/>
          <w:marRight w:val="0"/>
          <w:marTop w:val="0"/>
          <w:marBottom w:val="0"/>
          <w:divBdr>
            <w:top w:val="none" w:sz="0" w:space="0" w:color="auto"/>
            <w:left w:val="none" w:sz="0" w:space="0" w:color="auto"/>
            <w:bottom w:val="none" w:sz="0" w:space="0" w:color="auto"/>
            <w:right w:val="none" w:sz="0" w:space="0" w:color="auto"/>
          </w:divBdr>
          <w:divsChild>
            <w:div w:id="286744408">
              <w:marLeft w:val="0"/>
              <w:marRight w:val="0"/>
              <w:marTop w:val="0"/>
              <w:marBottom w:val="0"/>
              <w:divBdr>
                <w:top w:val="none" w:sz="0" w:space="0" w:color="auto"/>
                <w:left w:val="none" w:sz="0" w:space="0" w:color="auto"/>
                <w:bottom w:val="none" w:sz="0" w:space="0" w:color="auto"/>
                <w:right w:val="none" w:sz="0" w:space="0" w:color="auto"/>
              </w:divBdr>
              <w:divsChild>
                <w:div w:id="176338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565475">
      <w:bodyDiv w:val="1"/>
      <w:marLeft w:val="0"/>
      <w:marRight w:val="0"/>
      <w:marTop w:val="0"/>
      <w:marBottom w:val="0"/>
      <w:divBdr>
        <w:top w:val="none" w:sz="0" w:space="0" w:color="auto"/>
        <w:left w:val="none" w:sz="0" w:space="0" w:color="auto"/>
        <w:bottom w:val="none" w:sz="0" w:space="0" w:color="auto"/>
        <w:right w:val="none" w:sz="0" w:space="0" w:color="auto"/>
      </w:divBdr>
      <w:divsChild>
        <w:div w:id="1215198364">
          <w:marLeft w:val="1296"/>
          <w:marRight w:val="14"/>
          <w:marTop w:val="29"/>
          <w:marBottom w:val="0"/>
          <w:divBdr>
            <w:top w:val="none" w:sz="0" w:space="0" w:color="auto"/>
            <w:left w:val="none" w:sz="0" w:space="0" w:color="auto"/>
            <w:bottom w:val="none" w:sz="0" w:space="0" w:color="auto"/>
            <w:right w:val="none" w:sz="0" w:space="0" w:color="auto"/>
          </w:divBdr>
        </w:div>
      </w:divsChild>
    </w:div>
    <w:div w:id="945116547">
      <w:bodyDiv w:val="1"/>
      <w:marLeft w:val="0"/>
      <w:marRight w:val="0"/>
      <w:marTop w:val="0"/>
      <w:marBottom w:val="0"/>
      <w:divBdr>
        <w:top w:val="none" w:sz="0" w:space="0" w:color="auto"/>
        <w:left w:val="none" w:sz="0" w:space="0" w:color="auto"/>
        <w:bottom w:val="none" w:sz="0" w:space="0" w:color="auto"/>
        <w:right w:val="none" w:sz="0" w:space="0" w:color="auto"/>
      </w:divBdr>
      <w:divsChild>
        <w:div w:id="1115372306">
          <w:marLeft w:val="0"/>
          <w:marRight w:val="0"/>
          <w:marTop w:val="0"/>
          <w:marBottom w:val="0"/>
          <w:divBdr>
            <w:top w:val="none" w:sz="0" w:space="0" w:color="auto"/>
            <w:left w:val="none" w:sz="0" w:space="0" w:color="auto"/>
            <w:bottom w:val="none" w:sz="0" w:space="0" w:color="auto"/>
            <w:right w:val="none" w:sz="0" w:space="0" w:color="auto"/>
          </w:divBdr>
          <w:divsChild>
            <w:div w:id="1322731940">
              <w:marLeft w:val="0"/>
              <w:marRight w:val="0"/>
              <w:marTop w:val="0"/>
              <w:marBottom w:val="0"/>
              <w:divBdr>
                <w:top w:val="none" w:sz="0" w:space="0" w:color="auto"/>
                <w:left w:val="none" w:sz="0" w:space="0" w:color="auto"/>
                <w:bottom w:val="none" w:sz="0" w:space="0" w:color="auto"/>
                <w:right w:val="none" w:sz="0" w:space="0" w:color="auto"/>
              </w:divBdr>
              <w:divsChild>
                <w:div w:id="17164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0679">
      <w:bodyDiv w:val="1"/>
      <w:marLeft w:val="0"/>
      <w:marRight w:val="0"/>
      <w:marTop w:val="0"/>
      <w:marBottom w:val="0"/>
      <w:divBdr>
        <w:top w:val="none" w:sz="0" w:space="0" w:color="auto"/>
        <w:left w:val="none" w:sz="0" w:space="0" w:color="auto"/>
        <w:bottom w:val="none" w:sz="0" w:space="0" w:color="auto"/>
        <w:right w:val="none" w:sz="0" w:space="0" w:color="auto"/>
      </w:divBdr>
      <w:divsChild>
        <w:div w:id="1957717981">
          <w:marLeft w:val="0"/>
          <w:marRight w:val="0"/>
          <w:marTop w:val="0"/>
          <w:marBottom w:val="0"/>
          <w:divBdr>
            <w:top w:val="none" w:sz="0" w:space="0" w:color="auto"/>
            <w:left w:val="none" w:sz="0" w:space="0" w:color="auto"/>
            <w:bottom w:val="none" w:sz="0" w:space="0" w:color="auto"/>
            <w:right w:val="none" w:sz="0" w:space="0" w:color="auto"/>
          </w:divBdr>
          <w:divsChild>
            <w:div w:id="1129516900">
              <w:marLeft w:val="0"/>
              <w:marRight w:val="0"/>
              <w:marTop w:val="0"/>
              <w:marBottom w:val="0"/>
              <w:divBdr>
                <w:top w:val="none" w:sz="0" w:space="0" w:color="auto"/>
                <w:left w:val="none" w:sz="0" w:space="0" w:color="auto"/>
                <w:bottom w:val="none" w:sz="0" w:space="0" w:color="auto"/>
                <w:right w:val="none" w:sz="0" w:space="0" w:color="auto"/>
              </w:divBdr>
              <w:divsChild>
                <w:div w:id="20784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79325">
      <w:bodyDiv w:val="1"/>
      <w:marLeft w:val="0"/>
      <w:marRight w:val="0"/>
      <w:marTop w:val="0"/>
      <w:marBottom w:val="0"/>
      <w:divBdr>
        <w:top w:val="none" w:sz="0" w:space="0" w:color="auto"/>
        <w:left w:val="none" w:sz="0" w:space="0" w:color="auto"/>
        <w:bottom w:val="none" w:sz="0" w:space="0" w:color="auto"/>
        <w:right w:val="none" w:sz="0" w:space="0" w:color="auto"/>
      </w:divBdr>
      <w:divsChild>
        <w:div w:id="1897088160">
          <w:marLeft w:val="0"/>
          <w:marRight w:val="0"/>
          <w:marTop w:val="0"/>
          <w:marBottom w:val="0"/>
          <w:divBdr>
            <w:top w:val="none" w:sz="0" w:space="0" w:color="auto"/>
            <w:left w:val="none" w:sz="0" w:space="0" w:color="auto"/>
            <w:bottom w:val="none" w:sz="0" w:space="0" w:color="auto"/>
            <w:right w:val="none" w:sz="0" w:space="0" w:color="auto"/>
          </w:divBdr>
          <w:divsChild>
            <w:div w:id="280988">
              <w:marLeft w:val="0"/>
              <w:marRight w:val="0"/>
              <w:marTop w:val="0"/>
              <w:marBottom w:val="0"/>
              <w:divBdr>
                <w:top w:val="none" w:sz="0" w:space="0" w:color="auto"/>
                <w:left w:val="none" w:sz="0" w:space="0" w:color="auto"/>
                <w:bottom w:val="none" w:sz="0" w:space="0" w:color="auto"/>
                <w:right w:val="none" w:sz="0" w:space="0" w:color="auto"/>
              </w:divBdr>
              <w:divsChild>
                <w:div w:id="8896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4749">
      <w:bodyDiv w:val="1"/>
      <w:marLeft w:val="0"/>
      <w:marRight w:val="0"/>
      <w:marTop w:val="0"/>
      <w:marBottom w:val="0"/>
      <w:divBdr>
        <w:top w:val="none" w:sz="0" w:space="0" w:color="auto"/>
        <w:left w:val="none" w:sz="0" w:space="0" w:color="auto"/>
        <w:bottom w:val="none" w:sz="0" w:space="0" w:color="auto"/>
        <w:right w:val="none" w:sz="0" w:space="0" w:color="auto"/>
      </w:divBdr>
      <w:divsChild>
        <w:div w:id="728961467">
          <w:marLeft w:val="547"/>
          <w:marRight w:val="0"/>
          <w:marTop w:val="0"/>
          <w:marBottom w:val="0"/>
          <w:divBdr>
            <w:top w:val="none" w:sz="0" w:space="0" w:color="auto"/>
            <w:left w:val="none" w:sz="0" w:space="0" w:color="auto"/>
            <w:bottom w:val="none" w:sz="0" w:space="0" w:color="auto"/>
            <w:right w:val="none" w:sz="0" w:space="0" w:color="auto"/>
          </w:divBdr>
        </w:div>
      </w:divsChild>
    </w:div>
    <w:div w:id="998734637">
      <w:bodyDiv w:val="1"/>
      <w:marLeft w:val="0"/>
      <w:marRight w:val="0"/>
      <w:marTop w:val="0"/>
      <w:marBottom w:val="0"/>
      <w:divBdr>
        <w:top w:val="none" w:sz="0" w:space="0" w:color="auto"/>
        <w:left w:val="none" w:sz="0" w:space="0" w:color="auto"/>
        <w:bottom w:val="none" w:sz="0" w:space="0" w:color="auto"/>
        <w:right w:val="none" w:sz="0" w:space="0" w:color="auto"/>
      </w:divBdr>
      <w:divsChild>
        <w:div w:id="2080443905">
          <w:marLeft w:val="0"/>
          <w:marRight w:val="0"/>
          <w:marTop w:val="0"/>
          <w:marBottom w:val="0"/>
          <w:divBdr>
            <w:top w:val="none" w:sz="0" w:space="0" w:color="auto"/>
            <w:left w:val="none" w:sz="0" w:space="0" w:color="auto"/>
            <w:bottom w:val="none" w:sz="0" w:space="0" w:color="auto"/>
            <w:right w:val="none" w:sz="0" w:space="0" w:color="auto"/>
          </w:divBdr>
          <w:divsChild>
            <w:div w:id="1022777126">
              <w:marLeft w:val="0"/>
              <w:marRight w:val="0"/>
              <w:marTop w:val="0"/>
              <w:marBottom w:val="0"/>
              <w:divBdr>
                <w:top w:val="none" w:sz="0" w:space="0" w:color="auto"/>
                <w:left w:val="none" w:sz="0" w:space="0" w:color="auto"/>
                <w:bottom w:val="none" w:sz="0" w:space="0" w:color="auto"/>
                <w:right w:val="none" w:sz="0" w:space="0" w:color="auto"/>
              </w:divBdr>
              <w:divsChild>
                <w:div w:id="3873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5463">
      <w:bodyDiv w:val="1"/>
      <w:marLeft w:val="0"/>
      <w:marRight w:val="0"/>
      <w:marTop w:val="0"/>
      <w:marBottom w:val="0"/>
      <w:divBdr>
        <w:top w:val="none" w:sz="0" w:space="0" w:color="auto"/>
        <w:left w:val="none" w:sz="0" w:space="0" w:color="auto"/>
        <w:bottom w:val="none" w:sz="0" w:space="0" w:color="auto"/>
        <w:right w:val="none" w:sz="0" w:space="0" w:color="auto"/>
      </w:divBdr>
      <w:divsChild>
        <w:div w:id="1642342187">
          <w:marLeft w:val="0"/>
          <w:marRight w:val="0"/>
          <w:marTop w:val="0"/>
          <w:marBottom w:val="0"/>
          <w:divBdr>
            <w:top w:val="none" w:sz="0" w:space="0" w:color="auto"/>
            <w:left w:val="none" w:sz="0" w:space="0" w:color="auto"/>
            <w:bottom w:val="none" w:sz="0" w:space="0" w:color="auto"/>
            <w:right w:val="none" w:sz="0" w:space="0" w:color="auto"/>
          </w:divBdr>
          <w:divsChild>
            <w:div w:id="293096859">
              <w:marLeft w:val="0"/>
              <w:marRight w:val="0"/>
              <w:marTop w:val="0"/>
              <w:marBottom w:val="0"/>
              <w:divBdr>
                <w:top w:val="none" w:sz="0" w:space="0" w:color="auto"/>
                <w:left w:val="none" w:sz="0" w:space="0" w:color="auto"/>
                <w:bottom w:val="none" w:sz="0" w:space="0" w:color="auto"/>
                <w:right w:val="none" w:sz="0" w:space="0" w:color="auto"/>
              </w:divBdr>
              <w:divsChild>
                <w:div w:id="12307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29799">
      <w:bodyDiv w:val="1"/>
      <w:marLeft w:val="0"/>
      <w:marRight w:val="0"/>
      <w:marTop w:val="0"/>
      <w:marBottom w:val="0"/>
      <w:divBdr>
        <w:top w:val="none" w:sz="0" w:space="0" w:color="auto"/>
        <w:left w:val="none" w:sz="0" w:space="0" w:color="auto"/>
        <w:bottom w:val="none" w:sz="0" w:space="0" w:color="auto"/>
        <w:right w:val="none" w:sz="0" w:space="0" w:color="auto"/>
      </w:divBdr>
      <w:divsChild>
        <w:div w:id="1941331996">
          <w:marLeft w:val="0"/>
          <w:marRight w:val="0"/>
          <w:marTop w:val="0"/>
          <w:marBottom w:val="0"/>
          <w:divBdr>
            <w:top w:val="none" w:sz="0" w:space="0" w:color="auto"/>
            <w:left w:val="none" w:sz="0" w:space="0" w:color="auto"/>
            <w:bottom w:val="none" w:sz="0" w:space="0" w:color="auto"/>
            <w:right w:val="none" w:sz="0" w:space="0" w:color="auto"/>
          </w:divBdr>
          <w:divsChild>
            <w:div w:id="1549997384">
              <w:marLeft w:val="0"/>
              <w:marRight w:val="0"/>
              <w:marTop w:val="0"/>
              <w:marBottom w:val="0"/>
              <w:divBdr>
                <w:top w:val="none" w:sz="0" w:space="0" w:color="auto"/>
                <w:left w:val="none" w:sz="0" w:space="0" w:color="auto"/>
                <w:bottom w:val="none" w:sz="0" w:space="0" w:color="auto"/>
                <w:right w:val="none" w:sz="0" w:space="0" w:color="auto"/>
              </w:divBdr>
              <w:divsChild>
                <w:div w:id="10797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830848">
      <w:bodyDiv w:val="1"/>
      <w:marLeft w:val="0"/>
      <w:marRight w:val="0"/>
      <w:marTop w:val="0"/>
      <w:marBottom w:val="0"/>
      <w:divBdr>
        <w:top w:val="none" w:sz="0" w:space="0" w:color="auto"/>
        <w:left w:val="none" w:sz="0" w:space="0" w:color="auto"/>
        <w:bottom w:val="none" w:sz="0" w:space="0" w:color="auto"/>
        <w:right w:val="none" w:sz="0" w:space="0" w:color="auto"/>
      </w:divBdr>
      <w:divsChild>
        <w:div w:id="1623993272">
          <w:marLeft w:val="0"/>
          <w:marRight w:val="0"/>
          <w:marTop w:val="0"/>
          <w:marBottom w:val="0"/>
          <w:divBdr>
            <w:top w:val="none" w:sz="0" w:space="0" w:color="auto"/>
            <w:left w:val="none" w:sz="0" w:space="0" w:color="auto"/>
            <w:bottom w:val="none" w:sz="0" w:space="0" w:color="auto"/>
            <w:right w:val="none" w:sz="0" w:space="0" w:color="auto"/>
          </w:divBdr>
          <w:divsChild>
            <w:div w:id="159588517">
              <w:marLeft w:val="0"/>
              <w:marRight w:val="0"/>
              <w:marTop w:val="0"/>
              <w:marBottom w:val="0"/>
              <w:divBdr>
                <w:top w:val="none" w:sz="0" w:space="0" w:color="auto"/>
                <w:left w:val="none" w:sz="0" w:space="0" w:color="auto"/>
                <w:bottom w:val="none" w:sz="0" w:space="0" w:color="auto"/>
                <w:right w:val="none" w:sz="0" w:space="0" w:color="auto"/>
              </w:divBdr>
              <w:divsChild>
                <w:div w:id="9702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8918">
      <w:bodyDiv w:val="1"/>
      <w:marLeft w:val="0"/>
      <w:marRight w:val="0"/>
      <w:marTop w:val="0"/>
      <w:marBottom w:val="0"/>
      <w:divBdr>
        <w:top w:val="none" w:sz="0" w:space="0" w:color="auto"/>
        <w:left w:val="none" w:sz="0" w:space="0" w:color="auto"/>
        <w:bottom w:val="none" w:sz="0" w:space="0" w:color="auto"/>
        <w:right w:val="none" w:sz="0" w:space="0" w:color="auto"/>
      </w:divBdr>
      <w:divsChild>
        <w:div w:id="610749494">
          <w:marLeft w:val="0"/>
          <w:marRight w:val="0"/>
          <w:marTop w:val="0"/>
          <w:marBottom w:val="0"/>
          <w:divBdr>
            <w:top w:val="none" w:sz="0" w:space="0" w:color="auto"/>
            <w:left w:val="none" w:sz="0" w:space="0" w:color="auto"/>
            <w:bottom w:val="none" w:sz="0" w:space="0" w:color="auto"/>
            <w:right w:val="none" w:sz="0" w:space="0" w:color="auto"/>
          </w:divBdr>
          <w:divsChild>
            <w:div w:id="579293341">
              <w:marLeft w:val="0"/>
              <w:marRight w:val="0"/>
              <w:marTop w:val="0"/>
              <w:marBottom w:val="0"/>
              <w:divBdr>
                <w:top w:val="none" w:sz="0" w:space="0" w:color="auto"/>
                <w:left w:val="none" w:sz="0" w:space="0" w:color="auto"/>
                <w:bottom w:val="none" w:sz="0" w:space="0" w:color="auto"/>
                <w:right w:val="none" w:sz="0" w:space="0" w:color="auto"/>
              </w:divBdr>
              <w:divsChild>
                <w:div w:id="2340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72068">
      <w:bodyDiv w:val="1"/>
      <w:marLeft w:val="0"/>
      <w:marRight w:val="0"/>
      <w:marTop w:val="0"/>
      <w:marBottom w:val="0"/>
      <w:divBdr>
        <w:top w:val="none" w:sz="0" w:space="0" w:color="auto"/>
        <w:left w:val="none" w:sz="0" w:space="0" w:color="auto"/>
        <w:bottom w:val="none" w:sz="0" w:space="0" w:color="auto"/>
        <w:right w:val="none" w:sz="0" w:space="0" w:color="auto"/>
      </w:divBdr>
      <w:divsChild>
        <w:div w:id="1111052589">
          <w:marLeft w:val="0"/>
          <w:marRight w:val="0"/>
          <w:marTop w:val="0"/>
          <w:marBottom w:val="0"/>
          <w:divBdr>
            <w:top w:val="none" w:sz="0" w:space="0" w:color="auto"/>
            <w:left w:val="none" w:sz="0" w:space="0" w:color="auto"/>
            <w:bottom w:val="none" w:sz="0" w:space="0" w:color="auto"/>
            <w:right w:val="none" w:sz="0" w:space="0" w:color="auto"/>
          </w:divBdr>
          <w:divsChild>
            <w:div w:id="1926109828">
              <w:marLeft w:val="0"/>
              <w:marRight w:val="0"/>
              <w:marTop w:val="0"/>
              <w:marBottom w:val="0"/>
              <w:divBdr>
                <w:top w:val="none" w:sz="0" w:space="0" w:color="auto"/>
                <w:left w:val="none" w:sz="0" w:space="0" w:color="auto"/>
                <w:bottom w:val="none" w:sz="0" w:space="0" w:color="auto"/>
                <w:right w:val="none" w:sz="0" w:space="0" w:color="auto"/>
              </w:divBdr>
              <w:divsChild>
                <w:div w:id="20875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243517">
      <w:bodyDiv w:val="1"/>
      <w:marLeft w:val="0"/>
      <w:marRight w:val="0"/>
      <w:marTop w:val="0"/>
      <w:marBottom w:val="0"/>
      <w:divBdr>
        <w:top w:val="none" w:sz="0" w:space="0" w:color="auto"/>
        <w:left w:val="none" w:sz="0" w:space="0" w:color="auto"/>
        <w:bottom w:val="none" w:sz="0" w:space="0" w:color="auto"/>
        <w:right w:val="none" w:sz="0" w:space="0" w:color="auto"/>
      </w:divBdr>
      <w:divsChild>
        <w:div w:id="2010787228">
          <w:marLeft w:val="0"/>
          <w:marRight w:val="0"/>
          <w:marTop w:val="0"/>
          <w:marBottom w:val="0"/>
          <w:divBdr>
            <w:top w:val="none" w:sz="0" w:space="0" w:color="auto"/>
            <w:left w:val="none" w:sz="0" w:space="0" w:color="auto"/>
            <w:bottom w:val="none" w:sz="0" w:space="0" w:color="auto"/>
            <w:right w:val="none" w:sz="0" w:space="0" w:color="auto"/>
          </w:divBdr>
          <w:divsChild>
            <w:div w:id="1066143895">
              <w:marLeft w:val="0"/>
              <w:marRight w:val="0"/>
              <w:marTop w:val="0"/>
              <w:marBottom w:val="0"/>
              <w:divBdr>
                <w:top w:val="none" w:sz="0" w:space="0" w:color="auto"/>
                <w:left w:val="none" w:sz="0" w:space="0" w:color="auto"/>
                <w:bottom w:val="none" w:sz="0" w:space="0" w:color="auto"/>
                <w:right w:val="none" w:sz="0" w:space="0" w:color="auto"/>
              </w:divBdr>
              <w:divsChild>
                <w:div w:id="20454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18445">
      <w:bodyDiv w:val="1"/>
      <w:marLeft w:val="0"/>
      <w:marRight w:val="0"/>
      <w:marTop w:val="0"/>
      <w:marBottom w:val="0"/>
      <w:divBdr>
        <w:top w:val="none" w:sz="0" w:space="0" w:color="auto"/>
        <w:left w:val="none" w:sz="0" w:space="0" w:color="auto"/>
        <w:bottom w:val="none" w:sz="0" w:space="0" w:color="auto"/>
        <w:right w:val="none" w:sz="0" w:space="0" w:color="auto"/>
      </w:divBdr>
      <w:divsChild>
        <w:div w:id="59788549">
          <w:marLeft w:val="0"/>
          <w:marRight w:val="0"/>
          <w:marTop w:val="0"/>
          <w:marBottom w:val="0"/>
          <w:divBdr>
            <w:top w:val="none" w:sz="0" w:space="0" w:color="auto"/>
            <w:left w:val="none" w:sz="0" w:space="0" w:color="auto"/>
            <w:bottom w:val="none" w:sz="0" w:space="0" w:color="auto"/>
            <w:right w:val="none" w:sz="0" w:space="0" w:color="auto"/>
          </w:divBdr>
          <w:divsChild>
            <w:div w:id="1794131166">
              <w:marLeft w:val="0"/>
              <w:marRight w:val="0"/>
              <w:marTop w:val="0"/>
              <w:marBottom w:val="0"/>
              <w:divBdr>
                <w:top w:val="none" w:sz="0" w:space="0" w:color="auto"/>
                <w:left w:val="none" w:sz="0" w:space="0" w:color="auto"/>
                <w:bottom w:val="none" w:sz="0" w:space="0" w:color="auto"/>
                <w:right w:val="none" w:sz="0" w:space="0" w:color="auto"/>
              </w:divBdr>
              <w:divsChild>
                <w:div w:id="158907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2729">
      <w:bodyDiv w:val="1"/>
      <w:marLeft w:val="0"/>
      <w:marRight w:val="0"/>
      <w:marTop w:val="0"/>
      <w:marBottom w:val="0"/>
      <w:divBdr>
        <w:top w:val="none" w:sz="0" w:space="0" w:color="auto"/>
        <w:left w:val="none" w:sz="0" w:space="0" w:color="auto"/>
        <w:bottom w:val="none" w:sz="0" w:space="0" w:color="auto"/>
        <w:right w:val="none" w:sz="0" w:space="0" w:color="auto"/>
      </w:divBdr>
      <w:divsChild>
        <w:div w:id="2004428584">
          <w:marLeft w:val="446"/>
          <w:marRight w:val="0"/>
          <w:marTop w:val="0"/>
          <w:marBottom w:val="120"/>
          <w:divBdr>
            <w:top w:val="none" w:sz="0" w:space="0" w:color="auto"/>
            <w:left w:val="none" w:sz="0" w:space="0" w:color="auto"/>
            <w:bottom w:val="none" w:sz="0" w:space="0" w:color="auto"/>
            <w:right w:val="none" w:sz="0" w:space="0" w:color="auto"/>
          </w:divBdr>
        </w:div>
      </w:divsChild>
    </w:div>
    <w:div w:id="1202867398">
      <w:bodyDiv w:val="1"/>
      <w:marLeft w:val="0"/>
      <w:marRight w:val="0"/>
      <w:marTop w:val="0"/>
      <w:marBottom w:val="0"/>
      <w:divBdr>
        <w:top w:val="none" w:sz="0" w:space="0" w:color="auto"/>
        <w:left w:val="none" w:sz="0" w:space="0" w:color="auto"/>
        <w:bottom w:val="none" w:sz="0" w:space="0" w:color="auto"/>
        <w:right w:val="none" w:sz="0" w:space="0" w:color="auto"/>
      </w:divBdr>
      <w:divsChild>
        <w:div w:id="1272778651">
          <w:marLeft w:val="0"/>
          <w:marRight w:val="0"/>
          <w:marTop w:val="0"/>
          <w:marBottom w:val="0"/>
          <w:divBdr>
            <w:top w:val="none" w:sz="0" w:space="0" w:color="auto"/>
            <w:left w:val="none" w:sz="0" w:space="0" w:color="auto"/>
            <w:bottom w:val="none" w:sz="0" w:space="0" w:color="auto"/>
            <w:right w:val="none" w:sz="0" w:space="0" w:color="auto"/>
          </w:divBdr>
          <w:divsChild>
            <w:div w:id="723409611">
              <w:marLeft w:val="0"/>
              <w:marRight w:val="0"/>
              <w:marTop w:val="0"/>
              <w:marBottom w:val="0"/>
              <w:divBdr>
                <w:top w:val="none" w:sz="0" w:space="0" w:color="auto"/>
                <w:left w:val="none" w:sz="0" w:space="0" w:color="auto"/>
                <w:bottom w:val="none" w:sz="0" w:space="0" w:color="auto"/>
                <w:right w:val="none" w:sz="0" w:space="0" w:color="auto"/>
              </w:divBdr>
              <w:divsChild>
                <w:div w:id="17422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95828">
      <w:bodyDiv w:val="1"/>
      <w:marLeft w:val="0"/>
      <w:marRight w:val="0"/>
      <w:marTop w:val="0"/>
      <w:marBottom w:val="0"/>
      <w:divBdr>
        <w:top w:val="none" w:sz="0" w:space="0" w:color="auto"/>
        <w:left w:val="none" w:sz="0" w:space="0" w:color="auto"/>
        <w:bottom w:val="none" w:sz="0" w:space="0" w:color="auto"/>
        <w:right w:val="none" w:sz="0" w:space="0" w:color="auto"/>
      </w:divBdr>
      <w:divsChild>
        <w:div w:id="1797095148">
          <w:marLeft w:val="1080"/>
          <w:marRight w:val="0"/>
          <w:marTop w:val="0"/>
          <w:marBottom w:val="120"/>
          <w:divBdr>
            <w:top w:val="none" w:sz="0" w:space="0" w:color="auto"/>
            <w:left w:val="none" w:sz="0" w:space="0" w:color="auto"/>
            <w:bottom w:val="none" w:sz="0" w:space="0" w:color="auto"/>
            <w:right w:val="none" w:sz="0" w:space="0" w:color="auto"/>
          </w:divBdr>
        </w:div>
      </w:divsChild>
    </w:div>
    <w:div w:id="1236933410">
      <w:bodyDiv w:val="1"/>
      <w:marLeft w:val="0"/>
      <w:marRight w:val="0"/>
      <w:marTop w:val="0"/>
      <w:marBottom w:val="0"/>
      <w:divBdr>
        <w:top w:val="none" w:sz="0" w:space="0" w:color="auto"/>
        <w:left w:val="none" w:sz="0" w:space="0" w:color="auto"/>
        <w:bottom w:val="none" w:sz="0" w:space="0" w:color="auto"/>
        <w:right w:val="none" w:sz="0" w:space="0" w:color="auto"/>
      </w:divBdr>
      <w:divsChild>
        <w:div w:id="1573810246">
          <w:marLeft w:val="0"/>
          <w:marRight w:val="0"/>
          <w:marTop w:val="0"/>
          <w:marBottom w:val="0"/>
          <w:divBdr>
            <w:top w:val="none" w:sz="0" w:space="0" w:color="auto"/>
            <w:left w:val="none" w:sz="0" w:space="0" w:color="auto"/>
            <w:bottom w:val="none" w:sz="0" w:space="0" w:color="auto"/>
            <w:right w:val="none" w:sz="0" w:space="0" w:color="auto"/>
          </w:divBdr>
          <w:divsChild>
            <w:div w:id="1777872324">
              <w:marLeft w:val="0"/>
              <w:marRight w:val="0"/>
              <w:marTop w:val="0"/>
              <w:marBottom w:val="0"/>
              <w:divBdr>
                <w:top w:val="none" w:sz="0" w:space="0" w:color="auto"/>
                <w:left w:val="none" w:sz="0" w:space="0" w:color="auto"/>
                <w:bottom w:val="none" w:sz="0" w:space="0" w:color="auto"/>
                <w:right w:val="none" w:sz="0" w:space="0" w:color="auto"/>
              </w:divBdr>
              <w:divsChild>
                <w:div w:id="6238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64253">
      <w:bodyDiv w:val="1"/>
      <w:marLeft w:val="0"/>
      <w:marRight w:val="0"/>
      <w:marTop w:val="0"/>
      <w:marBottom w:val="0"/>
      <w:divBdr>
        <w:top w:val="none" w:sz="0" w:space="0" w:color="auto"/>
        <w:left w:val="none" w:sz="0" w:space="0" w:color="auto"/>
        <w:bottom w:val="none" w:sz="0" w:space="0" w:color="auto"/>
        <w:right w:val="none" w:sz="0" w:space="0" w:color="auto"/>
      </w:divBdr>
      <w:divsChild>
        <w:div w:id="1540051002">
          <w:marLeft w:val="0"/>
          <w:marRight w:val="0"/>
          <w:marTop w:val="0"/>
          <w:marBottom w:val="0"/>
          <w:divBdr>
            <w:top w:val="none" w:sz="0" w:space="0" w:color="auto"/>
            <w:left w:val="none" w:sz="0" w:space="0" w:color="auto"/>
            <w:bottom w:val="none" w:sz="0" w:space="0" w:color="auto"/>
            <w:right w:val="none" w:sz="0" w:space="0" w:color="auto"/>
          </w:divBdr>
          <w:divsChild>
            <w:div w:id="311758177">
              <w:marLeft w:val="0"/>
              <w:marRight w:val="0"/>
              <w:marTop w:val="0"/>
              <w:marBottom w:val="0"/>
              <w:divBdr>
                <w:top w:val="none" w:sz="0" w:space="0" w:color="auto"/>
                <w:left w:val="none" w:sz="0" w:space="0" w:color="auto"/>
                <w:bottom w:val="none" w:sz="0" w:space="0" w:color="auto"/>
                <w:right w:val="none" w:sz="0" w:space="0" w:color="auto"/>
              </w:divBdr>
              <w:divsChild>
                <w:div w:id="19194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54382">
      <w:bodyDiv w:val="1"/>
      <w:marLeft w:val="0"/>
      <w:marRight w:val="0"/>
      <w:marTop w:val="0"/>
      <w:marBottom w:val="0"/>
      <w:divBdr>
        <w:top w:val="none" w:sz="0" w:space="0" w:color="auto"/>
        <w:left w:val="none" w:sz="0" w:space="0" w:color="auto"/>
        <w:bottom w:val="none" w:sz="0" w:space="0" w:color="auto"/>
        <w:right w:val="none" w:sz="0" w:space="0" w:color="auto"/>
      </w:divBdr>
      <w:divsChild>
        <w:div w:id="68701428">
          <w:marLeft w:val="0"/>
          <w:marRight w:val="0"/>
          <w:marTop w:val="0"/>
          <w:marBottom w:val="0"/>
          <w:divBdr>
            <w:top w:val="none" w:sz="0" w:space="0" w:color="auto"/>
            <w:left w:val="none" w:sz="0" w:space="0" w:color="auto"/>
            <w:bottom w:val="none" w:sz="0" w:space="0" w:color="auto"/>
            <w:right w:val="none" w:sz="0" w:space="0" w:color="auto"/>
          </w:divBdr>
          <w:divsChild>
            <w:div w:id="293950163">
              <w:marLeft w:val="0"/>
              <w:marRight w:val="0"/>
              <w:marTop w:val="0"/>
              <w:marBottom w:val="0"/>
              <w:divBdr>
                <w:top w:val="none" w:sz="0" w:space="0" w:color="auto"/>
                <w:left w:val="none" w:sz="0" w:space="0" w:color="auto"/>
                <w:bottom w:val="none" w:sz="0" w:space="0" w:color="auto"/>
                <w:right w:val="none" w:sz="0" w:space="0" w:color="auto"/>
              </w:divBdr>
              <w:divsChild>
                <w:div w:id="153029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34128">
      <w:bodyDiv w:val="1"/>
      <w:marLeft w:val="0"/>
      <w:marRight w:val="0"/>
      <w:marTop w:val="0"/>
      <w:marBottom w:val="0"/>
      <w:divBdr>
        <w:top w:val="none" w:sz="0" w:space="0" w:color="auto"/>
        <w:left w:val="none" w:sz="0" w:space="0" w:color="auto"/>
        <w:bottom w:val="none" w:sz="0" w:space="0" w:color="auto"/>
        <w:right w:val="none" w:sz="0" w:space="0" w:color="auto"/>
      </w:divBdr>
      <w:divsChild>
        <w:div w:id="145053621">
          <w:marLeft w:val="0"/>
          <w:marRight w:val="0"/>
          <w:marTop w:val="0"/>
          <w:marBottom w:val="0"/>
          <w:divBdr>
            <w:top w:val="none" w:sz="0" w:space="0" w:color="auto"/>
            <w:left w:val="none" w:sz="0" w:space="0" w:color="auto"/>
            <w:bottom w:val="none" w:sz="0" w:space="0" w:color="auto"/>
            <w:right w:val="none" w:sz="0" w:space="0" w:color="auto"/>
          </w:divBdr>
          <w:divsChild>
            <w:div w:id="495347129">
              <w:marLeft w:val="0"/>
              <w:marRight w:val="0"/>
              <w:marTop w:val="0"/>
              <w:marBottom w:val="0"/>
              <w:divBdr>
                <w:top w:val="none" w:sz="0" w:space="0" w:color="auto"/>
                <w:left w:val="none" w:sz="0" w:space="0" w:color="auto"/>
                <w:bottom w:val="none" w:sz="0" w:space="0" w:color="auto"/>
                <w:right w:val="none" w:sz="0" w:space="0" w:color="auto"/>
              </w:divBdr>
              <w:divsChild>
                <w:div w:id="8323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98336">
      <w:bodyDiv w:val="1"/>
      <w:marLeft w:val="0"/>
      <w:marRight w:val="0"/>
      <w:marTop w:val="0"/>
      <w:marBottom w:val="0"/>
      <w:divBdr>
        <w:top w:val="none" w:sz="0" w:space="0" w:color="auto"/>
        <w:left w:val="none" w:sz="0" w:space="0" w:color="auto"/>
        <w:bottom w:val="none" w:sz="0" w:space="0" w:color="auto"/>
        <w:right w:val="none" w:sz="0" w:space="0" w:color="auto"/>
      </w:divBdr>
      <w:divsChild>
        <w:div w:id="790977134">
          <w:marLeft w:val="0"/>
          <w:marRight w:val="0"/>
          <w:marTop w:val="0"/>
          <w:marBottom w:val="0"/>
          <w:divBdr>
            <w:top w:val="none" w:sz="0" w:space="0" w:color="auto"/>
            <w:left w:val="none" w:sz="0" w:space="0" w:color="auto"/>
            <w:bottom w:val="none" w:sz="0" w:space="0" w:color="auto"/>
            <w:right w:val="none" w:sz="0" w:space="0" w:color="auto"/>
          </w:divBdr>
          <w:divsChild>
            <w:div w:id="1654943536">
              <w:marLeft w:val="0"/>
              <w:marRight w:val="0"/>
              <w:marTop w:val="0"/>
              <w:marBottom w:val="0"/>
              <w:divBdr>
                <w:top w:val="none" w:sz="0" w:space="0" w:color="auto"/>
                <w:left w:val="none" w:sz="0" w:space="0" w:color="auto"/>
                <w:bottom w:val="none" w:sz="0" w:space="0" w:color="auto"/>
                <w:right w:val="none" w:sz="0" w:space="0" w:color="auto"/>
              </w:divBdr>
              <w:divsChild>
                <w:div w:id="11158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56523">
      <w:bodyDiv w:val="1"/>
      <w:marLeft w:val="0"/>
      <w:marRight w:val="0"/>
      <w:marTop w:val="0"/>
      <w:marBottom w:val="0"/>
      <w:divBdr>
        <w:top w:val="none" w:sz="0" w:space="0" w:color="auto"/>
        <w:left w:val="none" w:sz="0" w:space="0" w:color="auto"/>
        <w:bottom w:val="none" w:sz="0" w:space="0" w:color="auto"/>
        <w:right w:val="none" w:sz="0" w:space="0" w:color="auto"/>
      </w:divBdr>
      <w:divsChild>
        <w:div w:id="1768034170">
          <w:marLeft w:val="0"/>
          <w:marRight w:val="0"/>
          <w:marTop w:val="0"/>
          <w:marBottom w:val="0"/>
          <w:divBdr>
            <w:top w:val="none" w:sz="0" w:space="0" w:color="auto"/>
            <w:left w:val="none" w:sz="0" w:space="0" w:color="auto"/>
            <w:bottom w:val="none" w:sz="0" w:space="0" w:color="auto"/>
            <w:right w:val="none" w:sz="0" w:space="0" w:color="auto"/>
          </w:divBdr>
          <w:divsChild>
            <w:div w:id="1814761306">
              <w:marLeft w:val="0"/>
              <w:marRight w:val="0"/>
              <w:marTop w:val="0"/>
              <w:marBottom w:val="0"/>
              <w:divBdr>
                <w:top w:val="none" w:sz="0" w:space="0" w:color="auto"/>
                <w:left w:val="none" w:sz="0" w:space="0" w:color="auto"/>
                <w:bottom w:val="none" w:sz="0" w:space="0" w:color="auto"/>
                <w:right w:val="none" w:sz="0" w:space="0" w:color="auto"/>
              </w:divBdr>
              <w:divsChild>
                <w:div w:id="7739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129533">
      <w:bodyDiv w:val="1"/>
      <w:marLeft w:val="0"/>
      <w:marRight w:val="0"/>
      <w:marTop w:val="0"/>
      <w:marBottom w:val="0"/>
      <w:divBdr>
        <w:top w:val="none" w:sz="0" w:space="0" w:color="auto"/>
        <w:left w:val="none" w:sz="0" w:space="0" w:color="auto"/>
        <w:bottom w:val="none" w:sz="0" w:space="0" w:color="auto"/>
        <w:right w:val="none" w:sz="0" w:space="0" w:color="auto"/>
      </w:divBdr>
      <w:divsChild>
        <w:div w:id="1744595807">
          <w:marLeft w:val="547"/>
          <w:marRight w:val="0"/>
          <w:marTop w:val="0"/>
          <w:marBottom w:val="120"/>
          <w:divBdr>
            <w:top w:val="none" w:sz="0" w:space="0" w:color="auto"/>
            <w:left w:val="none" w:sz="0" w:space="0" w:color="auto"/>
            <w:bottom w:val="none" w:sz="0" w:space="0" w:color="auto"/>
            <w:right w:val="none" w:sz="0" w:space="0" w:color="auto"/>
          </w:divBdr>
        </w:div>
      </w:divsChild>
    </w:div>
    <w:div w:id="1404376935">
      <w:bodyDiv w:val="1"/>
      <w:marLeft w:val="0"/>
      <w:marRight w:val="0"/>
      <w:marTop w:val="0"/>
      <w:marBottom w:val="0"/>
      <w:divBdr>
        <w:top w:val="none" w:sz="0" w:space="0" w:color="auto"/>
        <w:left w:val="none" w:sz="0" w:space="0" w:color="auto"/>
        <w:bottom w:val="none" w:sz="0" w:space="0" w:color="auto"/>
        <w:right w:val="none" w:sz="0" w:space="0" w:color="auto"/>
      </w:divBdr>
      <w:divsChild>
        <w:div w:id="539055632">
          <w:marLeft w:val="446"/>
          <w:marRight w:val="0"/>
          <w:marTop w:val="0"/>
          <w:marBottom w:val="120"/>
          <w:divBdr>
            <w:top w:val="none" w:sz="0" w:space="0" w:color="auto"/>
            <w:left w:val="none" w:sz="0" w:space="0" w:color="auto"/>
            <w:bottom w:val="none" w:sz="0" w:space="0" w:color="auto"/>
            <w:right w:val="none" w:sz="0" w:space="0" w:color="auto"/>
          </w:divBdr>
        </w:div>
      </w:divsChild>
    </w:div>
    <w:div w:id="1421219270">
      <w:bodyDiv w:val="1"/>
      <w:marLeft w:val="0"/>
      <w:marRight w:val="0"/>
      <w:marTop w:val="0"/>
      <w:marBottom w:val="0"/>
      <w:divBdr>
        <w:top w:val="none" w:sz="0" w:space="0" w:color="auto"/>
        <w:left w:val="none" w:sz="0" w:space="0" w:color="auto"/>
        <w:bottom w:val="none" w:sz="0" w:space="0" w:color="auto"/>
        <w:right w:val="none" w:sz="0" w:space="0" w:color="auto"/>
      </w:divBdr>
      <w:divsChild>
        <w:div w:id="2023360234">
          <w:marLeft w:val="0"/>
          <w:marRight w:val="0"/>
          <w:marTop w:val="0"/>
          <w:marBottom w:val="0"/>
          <w:divBdr>
            <w:top w:val="none" w:sz="0" w:space="0" w:color="auto"/>
            <w:left w:val="none" w:sz="0" w:space="0" w:color="auto"/>
            <w:bottom w:val="none" w:sz="0" w:space="0" w:color="auto"/>
            <w:right w:val="none" w:sz="0" w:space="0" w:color="auto"/>
          </w:divBdr>
          <w:divsChild>
            <w:div w:id="202526295">
              <w:marLeft w:val="0"/>
              <w:marRight w:val="0"/>
              <w:marTop w:val="0"/>
              <w:marBottom w:val="0"/>
              <w:divBdr>
                <w:top w:val="none" w:sz="0" w:space="0" w:color="auto"/>
                <w:left w:val="none" w:sz="0" w:space="0" w:color="auto"/>
                <w:bottom w:val="none" w:sz="0" w:space="0" w:color="auto"/>
                <w:right w:val="none" w:sz="0" w:space="0" w:color="auto"/>
              </w:divBdr>
              <w:divsChild>
                <w:div w:id="9848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754182">
      <w:bodyDiv w:val="1"/>
      <w:marLeft w:val="0"/>
      <w:marRight w:val="0"/>
      <w:marTop w:val="0"/>
      <w:marBottom w:val="0"/>
      <w:divBdr>
        <w:top w:val="none" w:sz="0" w:space="0" w:color="auto"/>
        <w:left w:val="none" w:sz="0" w:space="0" w:color="auto"/>
        <w:bottom w:val="none" w:sz="0" w:space="0" w:color="auto"/>
        <w:right w:val="none" w:sz="0" w:space="0" w:color="auto"/>
      </w:divBdr>
      <w:divsChild>
        <w:div w:id="51776815">
          <w:marLeft w:val="0"/>
          <w:marRight w:val="0"/>
          <w:marTop w:val="0"/>
          <w:marBottom w:val="0"/>
          <w:divBdr>
            <w:top w:val="none" w:sz="0" w:space="0" w:color="auto"/>
            <w:left w:val="none" w:sz="0" w:space="0" w:color="auto"/>
            <w:bottom w:val="none" w:sz="0" w:space="0" w:color="auto"/>
            <w:right w:val="none" w:sz="0" w:space="0" w:color="auto"/>
          </w:divBdr>
          <w:divsChild>
            <w:div w:id="828641545">
              <w:marLeft w:val="0"/>
              <w:marRight w:val="0"/>
              <w:marTop w:val="0"/>
              <w:marBottom w:val="0"/>
              <w:divBdr>
                <w:top w:val="none" w:sz="0" w:space="0" w:color="auto"/>
                <w:left w:val="none" w:sz="0" w:space="0" w:color="auto"/>
                <w:bottom w:val="none" w:sz="0" w:space="0" w:color="auto"/>
                <w:right w:val="none" w:sz="0" w:space="0" w:color="auto"/>
              </w:divBdr>
              <w:divsChild>
                <w:div w:id="1244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98889">
      <w:bodyDiv w:val="1"/>
      <w:marLeft w:val="0"/>
      <w:marRight w:val="0"/>
      <w:marTop w:val="0"/>
      <w:marBottom w:val="0"/>
      <w:divBdr>
        <w:top w:val="none" w:sz="0" w:space="0" w:color="auto"/>
        <w:left w:val="none" w:sz="0" w:space="0" w:color="auto"/>
        <w:bottom w:val="none" w:sz="0" w:space="0" w:color="auto"/>
        <w:right w:val="none" w:sz="0" w:space="0" w:color="auto"/>
      </w:divBdr>
      <w:divsChild>
        <w:div w:id="488251523">
          <w:marLeft w:val="547"/>
          <w:marRight w:val="0"/>
          <w:marTop w:val="0"/>
          <w:marBottom w:val="120"/>
          <w:divBdr>
            <w:top w:val="none" w:sz="0" w:space="0" w:color="auto"/>
            <w:left w:val="none" w:sz="0" w:space="0" w:color="auto"/>
            <w:bottom w:val="none" w:sz="0" w:space="0" w:color="auto"/>
            <w:right w:val="none" w:sz="0" w:space="0" w:color="auto"/>
          </w:divBdr>
        </w:div>
      </w:divsChild>
    </w:div>
    <w:div w:id="1467311352">
      <w:bodyDiv w:val="1"/>
      <w:marLeft w:val="0"/>
      <w:marRight w:val="0"/>
      <w:marTop w:val="0"/>
      <w:marBottom w:val="0"/>
      <w:divBdr>
        <w:top w:val="none" w:sz="0" w:space="0" w:color="auto"/>
        <w:left w:val="none" w:sz="0" w:space="0" w:color="auto"/>
        <w:bottom w:val="none" w:sz="0" w:space="0" w:color="auto"/>
        <w:right w:val="none" w:sz="0" w:space="0" w:color="auto"/>
      </w:divBdr>
      <w:divsChild>
        <w:div w:id="487328561">
          <w:marLeft w:val="547"/>
          <w:marRight w:val="0"/>
          <w:marTop w:val="0"/>
          <w:marBottom w:val="120"/>
          <w:divBdr>
            <w:top w:val="none" w:sz="0" w:space="0" w:color="auto"/>
            <w:left w:val="none" w:sz="0" w:space="0" w:color="auto"/>
            <w:bottom w:val="none" w:sz="0" w:space="0" w:color="auto"/>
            <w:right w:val="none" w:sz="0" w:space="0" w:color="auto"/>
          </w:divBdr>
        </w:div>
      </w:divsChild>
    </w:div>
    <w:div w:id="1493329253">
      <w:bodyDiv w:val="1"/>
      <w:marLeft w:val="0"/>
      <w:marRight w:val="0"/>
      <w:marTop w:val="0"/>
      <w:marBottom w:val="0"/>
      <w:divBdr>
        <w:top w:val="none" w:sz="0" w:space="0" w:color="auto"/>
        <w:left w:val="none" w:sz="0" w:space="0" w:color="auto"/>
        <w:bottom w:val="none" w:sz="0" w:space="0" w:color="auto"/>
        <w:right w:val="none" w:sz="0" w:space="0" w:color="auto"/>
      </w:divBdr>
      <w:divsChild>
        <w:div w:id="1483040994">
          <w:marLeft w:val="0"/>
          <w:marRight w:val="0"/>
          <w:marTop w:val="0"/>
          <w:marBottom w:val="0"/>
          <w:divBdr>
            <w:top w:val="none" w:sz="0" w:space="0" w:color="auto"/>
            <w:left w:val="none" w:sz="0" w:space="0" w:color="auto"/>
            <w:bottom w:val="none" w:sz="0" w:space="0" w:color="auto"/>
            <w:right w:val="none" w:sz="0" w:space="0" w:color="auto"/>
          </w:divBdr>
          <w:divsChild>
            <w:div w:id="1788355512">
              <w:marLeft w:val="0"/>
              <w:marRight w:val="0"/>
              <w:marTop w:val="0"/>
              <w:marBottom w:val="0"/>
              <w:divBdr>
                <w:top w:val="none" w:sz="0" w:space="0" w:color="auto"/>
                <w:left w:val="none" w:sz="0" w:space="0" w:color="auto"/>
                <w:bottom w:val="none" w:sz="0" w:space="0" w:color="auto"/>
                <w:right w:val="none" w:sz="0" w:space="0" w:color="auto"/>
              </w:divBdr>
              <w:divsChild>
                <w:div w:id="149036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5682">
      <w:bodyDiv w:val="1"/>
      <w:marLeft w:val="0"/>
      <w:marRight w:val="0"/>
      <w:marTop w:val="0"/>
      <w:marBottom w:val="0"/>
      <w:divBdr>
        <w:top w:val="none" w:sz="0" w:space="0" w:color="auto"/>
        <w:left w:val="none" w:sz="0" w:space="0" w:color="auto"/>
        <w:bottom w:val="none" w:sz="0" w:space="0" w:color="auto"/>
        <w:right w:val="none" w:sz="0" w:space="0" w:color="auto"/>
      </w:divBdr>
    </w:div>
    <w:div w:id="1547911030">
      <w:bodyDiv w:val="1"/>
      <w:marLeft w:val="0"/>
      <w:marRight w:val="0"/>
      <w:marTop w:val="0"/>
      <w:marBottom w:val="0"/>
      <w:divBdr>
        <w:top w:val="none" w:sz="0" w:space="0" w:color="auto"/>
        <w:left w:val="none" w:sz="0" w:space="0" w:color="auto"/>
        <w:bottom w:val="none" w:sz="0" w:space="0" w:color="auto"/>
        <w:right w:val="none" w:sz="0" w:space="0" w:color="auto"/>
      </w:divBdr>
      <w:divsChild>
        <w:div w:id="940528508">
          <w:marLeft w:val="0"/>
          <w:marRight w:val="0"/>
          <w:marTop w:val="0"/>
          <w:marBottom w:val="0"/>
          <w:divBdr>
            <w:top w:val="none" w:sz="0" w:space="0" w:color="auto"/>
            <w:left w:val="none" w:sz="0" w:space="0" w:color="auto"/>
            <w:bottom w:val="none" w:sz="0" w:space="0" w:color="auto"/>
            <w:right w:val="none" w:sz="0" w:space="0" w:color="auto"/>
          </w:divBdr>
          <w:divsChild>
            <w:div w:id="334501180">
              <w:marLeft w:val="0"/>
              <w:marRight w:val="0"/>
              <w:marTop w:val="0"/>
              <w:marBottom w:val="0"/>
              <w:divBdr>
                <w:top w:val="none" w:sz="0" w:space="0" w:color="auto"/>
                <w:left w:val="none" w:sz="0" w:space="0" w:color="auto"/>
                <w:bottom w:val="none" w:sz="0" w:space="0" w:color="auto"/>
                <w:right w:val="none" w:sz="0" w:space="0" w:color="auto"/>
              </w:divBdr>
              <w:divsChild>
                <w:div w:id="760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7169">
      <w:bodyDiv w:val="1"/>
      <w:marLeft w:val="0"/>
      <w:marRight w:val="0"/>
      <w:marTop w:val="0"/>
      <w:marBottom w:val="0"/>
      <w:divBdr>
        <w:top w:val="none" w:sz="0" w:space="0" w:color="auto"/>
        <w:left w:val="none" w:sz="0" w:space="0" w:color="auto"/>
        <w:bottom w:val="none" w:sz="0" w:space="0" w:color="auto"/>
        <w:right w:val="none" w:sz="0" w:space="0" w:color="auto"/>
      </w:divBdr>
      <w:divsChild>
        <w:div w:id="1325819430">
          <w:marLeft w:val="0"/>
          <w:marRight w:val="0"/>
          <w:marTop w:val="0"/>
          <w:marBottom w:val="0"/>
          <w:divBdr>
            <w:top w:val="none" w:sz="0" w:space="0" w:color="auto"/>
            <w:left w:val="none" w:sz="0" w:space="0" w:color="auto"/>
            <w:bottom w:val="none" w:sz="0" w:space="0" w:color="auto"/>
            <w:right w:val="none" w:sz="0" w:space="0" w:color="auto"/>
          </w:divBdr>
          <w:divsChild>
            <w:div w:id="1053431274">
              <w:marLeft w:val="0"/>
              <w:marRight w:val="0"/>
              <w:marTop w:val="0"/>
              <w:marBottom w:val="0"/>
              <w:divBdr>
                <w:top w:val="none" w:sz="0" w:space="0" w:color="auto"/>
                <w:left w:val="none" w:sz="0" w:space="0" w:color="auto"/>
                <w:bottom w:val="none" w:sz="0" w:space="0" w:color="auto"/>
                <w:right w:val="none" w:sz="0" w:space="0" w:color="auto"/>
              </w:divBdr>
              <w:divsChild>
                <w:div w:id="19564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35445">
      <w:bodyDiv w:val="1"/>
      <w:marLeft w:val="0"/>
      <w:marRight w:val="0"/>
      <w:marTop w:val="0"/>
      <w:marBottom w:val="0"/>
      <w:divBdr>
        <w:top w:val="none" w:sz="0" w:space="0" w:color="auto"/>
        <w:left w:val="none" w:sz="0" w:space="0" w:color="auto"/>
        <w:bottom w:val="none" w:sz="0" w:space="0" w:color="auto"/>
        <w:right w:val="none" w:sz="0" w:space="0" w:color="auto"/>
      </w:divBdr>
      <w:divsChild>
        <w:div w:id="408117751">
          <w:marLeft w:val="0"/>
          <w:marRight w:val="0"/>
          <w:marTop w:val="0"/>
          <w:marBottom w:val="0"/>
          <w:divBdr>
            <w:top w:val="none" w:sz="0" w:space="0" w:color="auto"/>
            <w:left w:val="none" w:sz="0" w:space="0" w:color="auto"/>
            <w:bottom w:val="none" w:sz="0" w:space="0" w:color="auto"/>
            <w:right w:val="none" w:sz="0" w:space="0" w:color="auto"/>
          </w:divBdr>
          <w:divsChild>
            <w:div w:id="950235762">
              <w:marLeft w:val="0"/>
              <w:marRight w:val="0"/>
              <w:marTop w:val="0"/>
              <w:marBottom w:val="0"/>
              <w:divBdr>
                <w:top w:val="none" w:sz="0" w:space="0" w:color="auto"/>
                <w:left w:val="none" w:sz="0" w:space="0" w:color="auto"/>
                <w:bottom w:val="none" w:sz="0" w:space="0" w:color="auto"/>
                <w:right w:val="none" w:sz="0" w:space="0" w:color="auto"/>
              </w:divBdr>
              <w:divsChild>
                <w:div w:id="17749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2940">
      <w:bodyDiv w:val="1"/>
      <w:marLeft w:val="0"/>
      <w:marRight w:val="0"/>
      <w:marTop w:val="0"/>
      <w:marBottom w:val="0"/>
      <w:divBdr>
        <w:top w:val="none" w:sz="0" w:space="0" w:color="auto"/>
        <w:left w:val="none" w:sz="0" w:space="0" w:color="auto"/>
        <w:bottom w:val="none" w:sz="0" w:space="0" w:color="auto"/>
        <w:right w:val="none" w:sz="0" w:space="0" w:color="auto"/>
      </w:divBdr>
    </w:div>
    <w:div w:id="1684552537">
      <w:bodyDiv w:val="1"/>
      <w:marLeft w:val="0"/>
      <w:marRight w:val="0"/>
      <w:marTop w:val="0"/>
      <w:marBottom w:val="0"/>
      <w:divBdr>
        <w:top w:val="none" w:sz="0" w:space="0" w:color="auto"/>
        <w:left w:val="none" w:sz="0" w:space="0" w:color="auto"/>
        <w:bottom w:val="none" w:sz="0" w:space="0" w:color="auto"/>
        <w:right w:val="none" w:sz="0" w:space="0" w:color="auto"/>
      </w:divBdr>
      <w:divsChild>
        <w:div w:id="579021106">
          <w:marLeft w:val="0"/>
          <w:marRight w:val="0"/>
          <w:marTop w:val="0"/>
          <w:marBottom w:val="0"/>
          <w:divBdr>
            <w:top w:val="none" w:sz="0" w:space="0" w:color="auto"/>
            <w:left w:val="none" w:sz="0" w:space="0" w:color="auto"/>
            <w:bottom w:val="none" w:sz="0" w:space="0" w:color="auto"/>
            <w:right w:val="none" w:sz="0" w:space="0" w:color="auto"/>
          </w:divBdr>
          <w:divsChild>
            <w:div w:id="1314263012">
              <w:marLeft w:val="0"/>
              <w:marRight w:val="0"/>
              <w:marTop w:val="0"/>
              <w:marBottom w:val="0"/>
              <w:divBdr>
                <w:top w:val="none" w:sz="0" w:space="0" w:color="auto"/>
                <w:left w:val="none" w:sz="0" w:space="0" w:color="auto"/>
                <w:bottom w:val="none" w:sz="0" w:space="0" w:color="auto"/>
                <w:right w:val="none" w:sz="0" w:space="0" w:color="auto"/>
              </w:divBdr>
              <w:divsChild>
                <w:div w:id="3096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47675">
      <w:bodyDiv w:val="1"/>
      <w:marLeft w:val="0"/>
      <w:marRight w:val="0"/>
      <w:marTop w:val="0"/>
      <w:marBottom w:val="0"/>
      <w:divBdr>
        <w:top w:val="none" w:sz="0" w:space="0" w:color="auto"/>
        <w:left w:val="none" w:sz="0" w:space="0" w:color="auto"/>
        <w:bottom w:val="none" w:sz="0" w:space="0" w:color="auto"/>
        <w:right w:val="none" w:sz="0" w:space="0" w:color="auto"/>
      </w:divBdr>
      <w:divsChild>
        <w:div w:id="12584249">
          <w:marLeft w:val="0"/>
          <w:marRight w:val="0"/>
          <w:marTop w:val="0"/>
          <w:marBottom w:val="0"/>
          <w:divBdr>
            <w:top w:val="none" w:sz="0" w:space="0" w:color="auto"/>
            <w:left w:val="none" w:sz="0" w:space="0" w:color="auto"/>
            <w:bottom w:val="none" w:sz="0" w:space="0" w:color="auto"/>
            <w:right w:val="none" w:sz="0" w:space="0" w:color="auto"/>
          </w:divBdr>
          <w:divsChild>
            <w:div w:id="109324721">
              <w:marLeft w:val="0"/>
              <w:marRight w:val="0"/>
              <w:marTop w:val="0"/>
              <w:marBottom w:val="0"/>
              <w:divBdr>
                <w:top w:val="none" w:sz="0" w:space="0" w:color="auto"/>
                <w:left w:val="none" w:sz="0" w:space="0" w:color="auto"/>
                <w:bottom w:val="none" w:sz="0" w:space="0" w:color="auto"/>
                <w:right w:val="none" w:sz="0" w:space="0" w:color="auto"/>
              </w:divBdr>
              <w:divsChild>
                <w:div w:id="3467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603">
      <w:bodyDiv w:val="1"/>
      <w:marLeft w:val="0"/>
      <w:marRight w:val="0"/>
      <w:marTop w:val="0"/>
      <w:marBottom w:val="0"/>
      <w:divBdr>
        <w:top w:val="none" w:sz="0" w:space="0" w:color="auto"/>
        <w:left w:val="none" w:sz="0" w:space="0" w:color="auto"/>
        <w:bottom w:val="none" w:sz="0" w:space="0" w:color="auto"/>
        <w:right w:val="none" w:sz="0" w:space="0" w:color="auto"/>
      </w:divBdr>
      <w:divsChild>
        <w:div w:id="794983342">
          <w:marLeft w:val="0"/>
          <w:marRight w:val="0"/>
          <w:marTop w:val="0"/>
          <w:marBottom w:val="0"/>
          <w:divBdr>
            <w:top w:val="none" w:sz="0" w:space="0" w:color="auto"/>
            <w:left w:val="none" w:sz="0" w:space="0" w:color="auto"/>
            <w:bottom w:val="none" w:sz="0" w:space="0" w:color="auto"/>
            <w:right w:val="none" w:sz="0" w:space="0" w:color="auto"/>
          </w:divBdr>
          <w:divsChild>
            <w:div w:id="264773645">
              <w:marLeft w:val="0"/>
              <w:marRight w:val="0"/>
              <w:marTop w:val="0"/>
              <w:marBottom w:val="0"/>
              <w:divBdr>
                <w:top w:val="none" w:sz="0" w:space="0" w:color="auto"/>
                <w:left w:val="none" w:sz="0" w:space="0" w:color="auto"/>
                <w:bottom w:val="none" w:sz="0" w:space="0" w:color="auto"/>
                <w:right w:val="none" w:sz="0" w:space="0" w:color="auto"/>
              </w:divBdr>
              <w:divsChild>
                <w:div w:id="8514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831575">
      <w:bodyDiv w:val="1"/>
      <w:marLeft w:val="0"/>
      <w:marRight w:val="0"/>
      <w:marTop w:val="0"/>
      <w:marBottom w:val="0"/>
      <w:divBdr>
        <w:top w:val="none" w:sz="0" w:space="0" w:color="auto"/>
        <w:left w:val="none" w:sz="0" w:space="0" w:color="auto"/>
        <w:bottom w:val="none" w:sz="0" w:space="0" w:color="auto"/>
        <w:right w:val="none" w:sz="0" w:space="0" w:color="auto"/>
      </w:divBdr>
      <w:divsChild>
        <w:div w:id="447547011">
          <w:marLeft w:val="0"/>
          <w:marRight w:val="0"/>
          <w:marTop w:val="0"/>
          <w:marBottom w:val="0"/>
          <w:divBdr>
            <w:top w:val="none" w:sz="0" w:space="0" w:color="auto"/>
            <w:left w:val="none" w:sz="0" w:space="0" w:color="auto"/>
            <w:bottom w:val="none" w:sz="0" w:space="0" w:color="auto"/>
            <w:right w:val="none" w:sz="0" w:space="0" w:color="auto"/>
          </w:divBdr>
          <w:divsChild>
            <w:div w:id="162472329">
              <w:marLeft w:val="0"/>
              <w:marRight w:val="0"/>
              <w:marTop w:val="0"/>
              <w:marBottom w:val="0"/>
              <w:divBdr>
                <w:top w:val="none" w:sz="0" w:space="0" w:color="auto"/>
                <w:left w:val="none" w:sz="0" w:space="0" w:color="auto"/>
                <w:bottom w:val="none" w:sz="0" w:space="0" w:color="auto"/>
                <w:right w:val="none" w:sz="0" w:space="0" w:color="auto"/>
              </w:divBdr>
              <w:divsChild>
                <w:div w:id="18655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26566">
      <w:bodyDiv w:val="1"/>
      <w:marLeft w:val="0"/>
      <w:marRight w:val="0"/>
      <w:marTop w:val="0"/>
      <w:marBottom w:val="0"/>
      <w:divBdr>
        <w:top w:val="none" w:sz="0" w:space="0" w:color="auto"/>
        <w:left w:val="none" w:sz="0" w:space="0" w:color="auto"/>
        <w:bottom w:val="none" w:sz="0" w:space="0" w:color="auto"/>
        <w:right w:val="none" w:sz="0" w:space="0" w:color="auto"/>
      </w:divBdr>
      <w:divsChild>
        <w:div w:id="1239250733">
          <w:marLeft w:val="547"/>
          <w:marRight w:val="0"/>
          <w:marTop w:val="0"/>
          <w:marBottom w:val="120"/>
          <w:divBdr>
            <w:top w:val="none" w:sz="0" w:space="0" w:color="auto"/>
            <w:left w:val="none" w:sz="0" w:space="0" w:color="auto"/>
            <w:bottom w:val="none" w:sz="0" w:space="0" w:color="auto"/>
            <w:right w:val="none" w:sz="0" w:space="0" w:color="auto"/>
          </w:divBdr>
        </w:div>
        <w:div w:id="1148863263">
          <w:marLeft w:val="547"/>
          <w:marRight w:val="0"/>
          <w:marTop w:val="0"/>
          <w:marBottom w:val="120"/>
          <w:divBdr>
            <w:top w:val="none" w:sz="0" w:space="0" w:color="auto"/>
            <w:left w:val="none" w:sz="0" w:space="0" w:color="auto"/>
            <w:bottom w:val="none" w:sz="0" w:space="0" w:color="auto"/>
            <w:right w:val="none" w:sz="0" w:space="0" w:color="auto"/>
          </w:divBdr>
        </w:div>
        <w:div w:id="1682708234">
          <w:marLeft w:val="547"/>
          <w:marRight w:val="0"/>
          <w:marTop w:val="0"/>
          <w:marBottom w:val="120"/>
          <w:divBdr>
            <w:top w:val="none" w:sz="0" w:space="0" w:color="auto"/>
            <w:left w:val="none" w:sz="0" w:space="0" w:color="auto"/>
            <w:bottom w:val="none" w:sz="0" w:space="0" w:color="auto"/>
            <w:right w:val="none" w:sz="0" w:space="0" w:color="auto"/>
          </w:divBdr>
        </w:div>
        <w:div w:id="1610971641">
          <w:marLeft w:val="547"/>
          <w:marRight w:val="0"/>
          <w:marTop w:val="0"/>
          <w:marBottom w:val="120"/>
          <w:divBdr>
            <w:top w:val="none" w:sz="0" w:space="0" w:color="auto"/>
            <w:left w:val="none" w:sz="0" w:space="0" w:color="auto"/>
            <w:bottom w:val="none" w:sz="0" w:space="0" w:color="auto"/>
            <w:right w:val="none" w:sz="0" w:space="0" w:color="auto"/>
          </w:divBdr>
        </w:div>
      </w:divsChild>
    </w:div>
    <w:div w:id="1752385822">
      <w:bodyDiv w:val="1"/>
      <w:marLeft w:val="0"/>
      <w:marRight w:val="0"/>
      <w:marTop w:val="0"/>
      <w:marBottom w:val="0"/>
      <w:divBdr>
        <w:top w:val="none" w:sz="0" w:space="0" w:color="auto"/>
        <w:left w:val="none" w:sz="0" w:space="0" w:color="auto"/>
        <w:bottom w:val="none" w:sz="0" w:space="0" w:color="auto"/>
        <w:right w:val="none" w:sz="0" w:space="0" w:color="auto"/>
      </w:divBdr>
      <w:divsChild>
        <w:div w:id="2141070128">
          <w:marLeft w:val="1123"/>
          <w:marRight w:val="14"/>
          <w:marTop w:val="29"/>
          <w:marBottom w:val="0"/>
          <w:divBdr>
            <w:top w:val="none" w:sz="0" w:space="0" w:color="auto"/>
            <w:left w:val="none" w:sz="0" w:space="0" w:color="auto"/>
            <w:bottom w:val="none" w:sz="0" w:space="0" w:color="auto"/>
            <w:right w:val="none" w:sz="0" w:space="0" w:color="auto"/>
          </w:divBdr>
        </w:div>
      </w:divsChild>
    </w:div>
    <w:div w:id="1753818102">
      <w:bodyDiv w:val="1"/>
      <w:marLeft w:val="0"/>
      <w:marRight w:val="0"/>
      <w:marTop w:val="0"/>
      <w:marBottom w:val="0"/>
      <w:divBdr>
        <w:top w:val="none" w:sz="0" w:space="0" w:color="auto"/>
        <w:left w:val="none" w:sz="0" w:space="0" w:color="auto"/>
        <w:bottom w:val="none" w:sz="0" w:space="0" w:color="auto"/>
        <w:right w:val="none" w:sz="0" w:space="0" w:color="auto"/>
      </w:divBdr>
      <w:divsChild>
        <w:div w:id="1258252892">
          <w:marLeft w:val="0"/>
          <w:marRight w:val="0"/>
          <w:marTop w:val="0"/>
          <w:marBottom w:val="0"/>
          <w:divBdr>
            <w:top w:val="none" w:sz="0" w:space="0" w:color="auto"/>
            <w:left w:val="none" w:sz="0" w:space="0" w:color="auto"/>
            <w:bottom w:val="none" w:sz="0" w:space="0" w:color="auto"/>
            <w:right w:val="none" w:sz="0" w:space="0" w:color="auto"/>
          </w:divBdr>
          <w:divsChild>
            <w:div w:id="1269776801">
              <w:marLeft w:val="0"/>
              <w:marRight w:val="0"/>
              <w:marTop w:val="0"/>
              <w:marBottom w:val="0"/>
              <w:divBdr>
                <w:top w:val="none" w:sz="0" w:space="0" w:color="auto"/>
                <w:left w:val="none" w:sz="0" w:space="0" w:color="auto"/>
                <w:bottom w:val="none" w:sz="0" w:space="0" w:color="auto"/>
                <w:right w:val="none" w:sz="0" w:space="0" w:color="auto"/>
              </w:divBdr>
              <w:divsChild>
                <w:div w:id="5651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2678">
      <w:bodyDiv w:val="1"/>
      <w:marLeft w:val="0"/>
      <w:marRight w:val="0"/>
      <w:marTop w:val="0"/>
      <w:marBottom w:val="0"/>
      <w:divBdr>
        <w:top w:val="none" w:sz="0" w:space="0" w:color="auto"/>
        <w:left w:val="none" w:sz="0" w:space="0" w:color="auto"/>
        <w:bottom w:val="none" w:sz="0" w:space="0" w:color="auto"/>
        <w:right w:val="none" w:sz="0" w:space="0" w:color="auto"/>
      </w:divBdr>
      <w:divsChild>
        <w:div w:id="1606032742">
          <w:marLeft w:val="0"/>
          <w:marRight w:val="0"/>
          <w:marTop w:val="0"/>
          <w:marBottom w:val="0"/>
          <w:divBdr>
            <w:top w:val="none" w:sz="0" w:space="0" w:color="auto"/>
            <w:left w:val="none" w:sz="0" w:space="0" w:color="auto"/>
            <w:bottom w:val="none" w:sz="0" w:space="0" w:color="auto"/>
            <w:right w:val="none" w:sz="0" w:space="0" w:color="auto"/>
          </w:divBdr>
          <w:divsChild>
            <w:div w:id="1753505861">
              <w:marLeft w:val="0"/>
              <w:marRight w:val="0"/>
              <w:marTop w:val="0"/>
              <w:marBottom w:val="0"/>
              <w:divBdr>
                <w:top w:val="none" w:sz="0" w:space="0" w:color="auto"/>
                <w:left w:val="none" w:sz="0" w:space="0" w:color="auto"/>
                <w:bottom w:val="none" w:sz="0" w:space="0" w:color="auto"/>
                <w:right w:val="none" w:sz="0" w:space="0" w:color="auto"/>
              </w:divBdr>
              <w:divsChild>
                <w:div w:id="6305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45304">
      <w:bodyDiv w:val="1"/>
      <w:marLeft w:val="0"/>
      <w:marRight w:val="0"/>
      <w:marTop w:val="0"/>
      <w:marBottom w:val="0"/>
      <w:divBdr>
        <w:top w:val="none" w:sz="0" w:space="0" w:color="auto"/>
        <w:left w:val="none" w:sz="0" w:space="0" w:color="auto"/>
        <w:bottom w:val="none" w:sz="0" w:space="0" w:color="auto"/>
        <w:right w:val="none" w:sz="0" w:space="0" w:color="auto"/>
      </w:divBdr>
      <w:divsChild>
        <w:div w:id="1665205431">
          <w:marLeft w:val="1296"/>
          <w:marRight w:val="14"/>
          <w:marTop w:val="29"/>
          <w:marBottom w:val="0"/>
          <w:divBdr>
            <w:top w:val="none" w:sz="0" w:space="0" w:color="auto"/>
            <w:left w:val="none" w:sz="0" w:space="0" w:color="auto"/>
            <w:bottom w:val="none" w:sz="0" w:space="0" w:color="auto"/>
            <w:right w:val="none" w:sz="0" w:space="0" w:color="auto"/>
          </w:divBdr>
        </w:div>
      </w:divsChild>
    </w:div>
    <w:div w:id="1815415929">
      <w:bodyDiv w:val="1"/>
      <w:marLeft w:val="0"/>
      <w:marRight w:val="0"/>
      <w:marTop w:val="0"/>
      <w:marBottom w:val="0"/>
      <w:divBdr>
        <w:top w:val="none" w:sz="0" w:space="0" w:color="auto"/>
        <w:left w:val="none" w:sz="0" w:space="0" w:color="auto"/>
        <w:bottom w:val="none" w:sz="0" w:space="0" w:color="auto"/>
        <w:right w:val="none" w:sz="0" w:space="0" w:color="auto"/>
      </w:divBdr>
      <w:divsChild>
        <w:div w:id="347407957">
          <w:marLeft w:val="1296"/>
          <w:marRight w:val="14"/>
          <w:marTop w:val="29"/>
          <w:marBottom w:val="0"/>
          <w:divBdr>
            <w:top w:val="none" w:sz="0" w:space="0" w:color="auto"/>
            <w:left w:val="none" w:sz="0" w:space="0" w:color="auto"/>
            <w:bottom w:val="none" w:sz="0" w:space="0" w:color="auto"/>
            <w:right w:val="none" w:sz="0" w:space="0" w:color="auto"/>
          </w:divBdr>
        </w:div>
      </w:divsChild>
    </w:div>
    <w:div w:id="1848252766">
      <w:bodyDiv w:val="1"/>
      <w:marLeft w:val="0"/>
      <w:marRight w:val="0"/>
      <w:marTop w:val="0"/>
      <w:marBottom w:val="0"/>
      <w:divBdr>
        <w:top w:val="none" w:sz="0" w:space="0" w:color="auto"/>
        <w:left w:val="none" w:sz="0" w:space="0" w:color="auto"/>
        <w:bottom w:val="none" w:sz="0" w:space="0" w:color="auto"/>
        <w:right w:val="none" w:sz="0" w:space="0" w:color="auto"/>
      </w:divBdr>
      <w:divsChild>
        <w:div w:id="932012645">
          <w:marLeft w:val="1138"/>
          <w:marRight w:val="0"/>
          <w:marTop w:val="0"/>
          <w:marBottom w:val="0"/>
          <w:divBdr>
            <w:top w:val="none" w:sz="0" w:space="0" w:color="auto"/>
            <w:left w:val="none" w:sz="0" w:space="0" w:color="auto"/>
            <w:bottom w:val="none" w:sz="0" w:space="0" w:color="auto"/>
            <w:right w:val="none" w:sz="0" w:space="0" w:color="auto"/>
          </w:divBdr>
        </w:div>
      </w:divsChild>
    </w:div>
    <w:div w:id="1881741777">
      <w:bodyDiv w:val="1"/>
      <w:marLeft w:val="0"/>
      <w:marRight w:val="0"/>
      <w:marTop w:val="0"/>
      <w:marBottom w:val="0"/>
      <w:divBdr>
        <w:top w:val="none" w:sz="0" w:space="0" w:color="auto"/>
        <w:left w:val="none" w:sz="0" w:space="0" w:color="auto"/>
        <w:bottom w:val="none" w:sz="0" w:space="0" w:color="auto"/>
        <w:right w:val="none" w:sz="0" w:space="0" w:color="auto"/>
      </w:divBdr>
    </w:div>
    <w:div w:id="1908571443">
      <w:bodyDiv w:val="1"/>
      <w:marLeft w:val="0"/>
      <w:marRight w:val="0"/>
      <w:marTop w:val="0"/>
      <w:marBottom w:val="0"/>
      <w:divBdr>
        <w:top w:val="none" w:sz="0" w:space="0" w:color="auto"/>
        <w:left w:val="none" w:sz="0" w:space="0" w:color="auto"/>
        <w:bottom w:val="none" w:sz="0" w:space="0" w:color="auto"/>
        <w:right w:val="none" w:sz="0" w:space="0" w:color="auto"/>
      </w:divBdr>
      <w:divsChild>
        <w:div w:id="703167009">
          <w:marLeft w:val="0"/>
          <w:marRight w:val="0"/>
          <w:marTop w:val="0"/>
          <w:marBottom w:val="0"/>
          <w:divBdr>
            <w:top w:val="none" w:sz="0" w:space="0" w:color="auto"/>
            <w:left w:val="none" w:sz="0" w:space="0" w:color="auto"/>
            <w:bottom w:val="none" w:sz="0" w:space="0" w:color="auto"/>
            <w:right w:val="none" w:sz="0" w:space="0" w:color="auto"/>
          </w:divBdr>
          <w:divsChild>
            <w:div w:id="498816394">
              <w:marLeft w:val="0"/>
              <w:marRight w:val="0"/>
              <w:marTop w:val="0"/>
              <w:marBottom w:val="0"/>
              <w:divBdr>
                <w:top w:val="none" w:sz="0" w:space="0" w:color="auto"/>
                <w:left w:val="none" w:sz="0" w:space="0" w:color="auto"/>
                <w:bottom w:val="none" w:sz="0" w:space="0" w:color="auto"/>
                <w:right w:val="none" w:sz="0" w:space="0" w:color="auto"/>
              </w:divBdr>
              <w:divsChild>
                <w:div w:id="19624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14276">
      <w:bodyDiv w:val="1"/>
      <w:marLeft w:val="0"/>
      <w:marRight w:val="0"/>
      <w:marTop w:val="0"/>
      <w:marBottom w:val="0"/>
      <w:divBdr>
        <w:top w:val="none" w:sz="0" w:space="0" w:color="auto"/>
        <w:left w:val="none" w:sz="0" w:space="0" w:color="auto"/>
        <w:bottom w:val="none" w:sz="0" w:space="0" w:color="auto"/>
        <w:right w:val="none" w:sz="0" w:space="0" w:color="auto"/>
      </w:divBdr>
      <w:divsChild>
        <w:div w:id="1314942099">
          <w:marLeft w:val="0"/>
          <w:marRight w:val="0"/>
          <w:marTop w:val="0"/>
          <w:marBottom w:val="0"/>
          <w:divBdr>
            <w:top w:val="none" w:sz="0" w:space="0" w:color="auto"/>
            <w:left w:val="none" w:sz="0" w:space="0" w:color="auto"/>
            <w:bottom w:val="none" w:sz="0" w:space="0" w:color="auto"/>
            <w:right w:val="none" w:sz="0" w:space="0" w:color="auto"/>
          </w:divBdr>
          <w:divsChild>
            <w:div w:id="2144158053">
              <w:marLeft w:val="0"/>
              <w:marRight w:val="0"/>
              <w:marTop w:val="0"/>
              <w:marBottom w:val="0"/>
              <w:divBdr>
                <w:top w:val="none" w:sz="0" w:space="0" w:color="auto"/>
                <w:left w:val="none" w:sz="0" w:space="0" w:color="auto"/>
                <w:bottom w:val="none" w:sz="0" w:space="0" w:color="auto"/>
                <w:right w:val="none" w:sz="0" w:space="0" w:color="auto"/>
              </w:divBdr>
              <w:divsChild>
                <w:div w:id="190756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2665">
      <w:bodyDiv w:val="1"/>
      <w:marLeft w:val="0"/>
      <w:marRight w:val="0"/>
      <w:marTop w:val="0"/>
      <w:marBottom w:val="0"/>
      <w:divBdr>
        <w:top w:val="none" w:sz="0" w:space="0" w:color="auto"/>
        <w:left w:val="none" w:sz="0" w:space="0" w:color="auto"/>
        <w:bottom w:val="none" w:sz="0" w:space="0" w:color="auto"/>
        <w:right w:val="none" w:sz="0" w:space="0" w:color="auto"/>
      </w:divBdr>
      <w:divsChild>
        <w:div w:id="753479866">
          <w:marLeft w:val="1296"/>
          <w:marRight w:val="14"/>
          <w:marTop w:val="29"/>
          <w:marBottom w:val="0"/>
          <w:divBdr>
            <w:top w:val="none" w:sz="0" w:space="0" w:color="auto"/>
            <w:left w:val="none" w:sz="0" w:space="0" w:color="auto"/>
            <w:bottom w:val="none" w:sz="0" w:space="0" w:color="auto"/>
            <w:right w:val="none" w:sz="0" w:space="0" w:color="auto"/>
          </w:divBdr>
        </w:div>
      </w:divsChild>
    </w:div>
    <w:div w:id="1947880981">
      <w:bodyDiv w:val="1"/>
      <w:marLeft w:val="0"/>
      <w:marRight w:val="0"/>
      <w:marTop w:val="0"/>
      <w:marBottom w:val="0"/>
      <w:divBdr>
        <w:top w:val="none" w:sz="0" w:space="0" w:color="auto"/>
        <w:left w:val="none" w:sz="0" w:space="0" w:color="auto"/>
        <w:bottom w:val="none" w:sz="0" w:space="0" w:color="auto"/>
        <w:right w:val="none" w:sz="0" w:space="0" w:color="auto"/>
      </w:divBdr>
      <w:divsChild>
        <w:div w:id="320084560">
          <w:marLeft w:val="1267"/>
          <w:marRight w:val="0"/>
          <w:marTop w:val="0"/>
          <w:marBottom w:val="120"/>
          <w:divBdr>
            <w:top w:val="none" w:sz="0" w:space="0" w:color="auto"/>
            <w:left w:val="none" w:sz="0" w:space="0" w:color="auto"/>
            <w:bottom w:val="none" w:sz="0" w:space="0" w:color="auto"/>
            <w:right w:val="none" w:sz="0" w:space="0" w:color="auto"/>
          </w:divBdr>
        </w:div>
      </w:divsChild>
    </w:div>
    <w:div w:id="1951469514">
      <w:bodyDiv w:val="1"/>
      <w:marLeft w:val="0"/>
      <w:marRight w:val="0"/>
      <w:marTop w:val="0"/>
      <w:marBottom w:val="0"/>
      <w:divBdr>
        <w:top w:val="none" w:sz="0" w:space="0" w:color="auto"/>
        <w:left w:val="none" w:sz="0" w:space="0" w:color="auto"/>
        <w:bottom w:val="none" w:sz="0" w:space="0" w:color="auto"/>
        <w:right w:val="none" w:sz="0" w:space="0" w:color="auto"/>
      </w:divBdr>
      <w:divsChild>
        <w:div w:id="1717462476">
          <w:marLeft w:val="0"/>
          <w:marRight w:val="0"/>
          <w:marTop w:val="0"/>
          <w:marBottom w:val="0"/>
          <w:divBdr>
            <w:top w:val="none" w:sz="0" w:space="0" w:color="auto"/>
            <w:left w:val="none" w:sz="0" w:space="0" w:color="auto"/>
            <w:bottom w:val="none" w:sz="0" w:space="0" w:color="auto"/>
            <w:right w:val="none" w:sz="0" w:space="0" w:color="auto"/>
          </w:divBdr>
          <w:divsChild>
            <w:div w:id="485972807">
              <w:marLeft w:val="0"/>
              <w:marRight w:val="0"/>
              <w:marTop w:val="0"/>
              <w:marBottom w:val="0"/>
              <w:divBdr>
                <w:top w:val="none" w:sz="0" w:space="0" w:color="auto"/>
                <w:left w:val="none" w:sz="0" w:space="0" w:color="auto"/>
                <w:bottom w:val="none" w:sz="0" w:space="0" w:color="auto"/>
                <w:right w:val="none" w:sz="0" w:space="0" w:color="auto"/>
              </w:divBdr>
              <w:divsChild>
                <w:div w:id="50155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1647">
      <w:bodyDiv w:val="1"/>
      <w:marLeft w:val="0"/>
      <w:marRight w:val="0"/>
      <w:marTop w:val="0"/>
      <w:marBottom w:val="0"/>
      <w:divBdr>
        <w:top w:val="none" w:sz="0" w:space="0" w:color="auto"/>
        <w:left w:val="none" w:sz="0" w:space="0" w:color="auto"/>
        <w:bottom w:val="none" w:sz="0" w:space="0" w:color="auto"/>
        <w:right w:val="none" w:sz="0" w:space="0" w:color="auto"/>
      </w:divBdr>
      <w:divsChild>
        <w:div w:id="383719285">
          <w:marLeft w:val="0"/>
          <w:marRight w:val="0"/>
          <w:marTop w:val="0"/>
          <w:marBottom w:val="0"/>
          <w:divBdr>
            <w:top w:val="none" w:sz="0" w:space="0" w:color="auto"/>
            <w:left w:val="none" w:sz="0" w:space="0" w:color="auto"/>
            <w:bottom w:val="none" w:sz="0" w:space="0" w:color="auto"/>
            <w:right w:val="none" w:sz="0" w:space="0" w:color="auto"/>
          </w:divBdr>
          <w:divsChild>
            <w:div w:id="801726344">
              <w:marLeft w:val="0"/>
              <w:marRight w:val="0"/>
              <w:marTop w:val="0"/>
              <w:marBottom w:val="0"/>
              <w:divBdr>
                <w:top w:val="none" w:sz="0" w:space="0" w:color="auto"/>
                <w:left w:val="none" w:sz="0" w:space="0" w:color="auto"/>
                <w:bottom w:val="none" w:sz="0" w:space="0" w:color="auto"/>
                <w:right w:val="none" w:sz="0" w:space="0" w:color="auto"/>
              </w:divBdr>
              <w:divsChild>
                <w:div w:id="13038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80412">
      <w:bodyDiv w:val="1"/>
      <w:marLeft w:val="0"/>
      <w:marRight w:val="0"/>
      <w:marTop w:val="0"/>
      <w:marBottom w:val="0"/>
      <w:divBdr>
        <w:top w:val="none" w:sz="0" w:space="0" w:color="auto"/>
        <w:left w:val="none" w:sz="0" w:space="0" w:color="auto"/>
        <w:bottom w:val="none" w:sz="0" w:space="0" w:color="auto"/>
        <w:right w:val="none" w:sz="0" w:space="0" w:color="auto"/>
      </w:divBdr>
      <w:divsChild>
        <w:div w:id="711152662">
          <w:marLeft w:val="0"/>
          <w:marRight w:val="0"/>
          <w:marTop w:val="0"/>
          <w:marBottom w:val="0"/>
          <w:divBdr>
            <w:top w:val="none" w:sz="0" w:space="0" w:color="auto"/>
            <w:left w:val="none" w:sz="0" w:space="0" w:color="auto"/>
            <w:bottom w:val="none" w:sz="0" w:space="0" w:color="auto"/>
            <w:right w:val="none" w:sz="0" w:space="0" w:color="auto"/>
          </w:divBdr>
          <w:divsChild>
            <w:div w:id="1856462255">
              <w:marLeft w:val="0"/>
              <w:marRight w:val="0"/>
              <w:marTop w:val="0"/>
              <w:marBottom w:val="0"/>
              <w:divBdr>
                <w:top w:val="none" w:sz="0" w:space="0" w:color="auto"/>
                <w:left w:val="none" w:sz="0" w:space="0" w:color="auto"/>
                <w:bottom w:val="none" w:sz="0" w:space="0" w:color="auto"/>
                <w:right w:val="none" w:sz="0" w:space="0" w:color="auto"/>
              </w:divBdr>
              <w:divsChild>
                <w:div w:id="18297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77722">
      <w:bodyDiv w:val="1"/>
      <w:marLeft w:val="0"/>
      <w:marRight w:val="0"/>
      <w:marTop w:val="0"/>
      <w:marBottom w:val="0"/>
      <w:divBdr>
        <w:top w:val="none" w:sz="0" w:space="0" w:color="auto"/>
        <w:left w:val="none" w:sz="0" w:space="0" w:color="auto"/>
        <w:bottom w:val="none" w:sz="0" w:space="0" w:color="auto"/>
        <w:right w:val="none" w:sz="0" w:space="0" w:color="auto"/>
      </w:divBdr>
      <w:divsChild>
        <w:div w:id="1470323848">
          <w:marLeft w:val="0"/>
          <w:marRight w:val="0"/>
          <w:marTop w:val="0"/>
          <w:marBottom w:val="0"/>
          <w:divBdr>
            <w:top w:val="none" w:sz="0" w:space="0" w:color="auto"/>
            <w:left w:val="none" w:sz="0" w:space="0" w:color="auto"/>
            <w:bottom w:val="none" w:sz="0" w:space="0" w:color="auto"/>
            <w:right w:val="none" w:sz="0" w:space="0" w:color="auto"/>
          </w:divBdr>
          <w:divsChild>
            <w:div w:id="330564260">
              <w:marLeft w:val="0"/>
              <w:marRight w:val="0"/>
              <w:marTop w:val="0"/>
              <w:marBottom w:val="0"/>
              <w:divBdr>
                <w:top w:val="none" w:sz="0" w:space="0" w:color="auto"/>
                <w:left w:val="none" w:sz="0" w:space="0" w:color="auto"/>
                <w:bottom w:val="none" w:sz="0" w:space="0" w:color="auto"/>
                <w:right w:val="none" w:sz="0" w:space="0" w:color="auto"/>
              </w:divBdr>
              <w:divsChild>
                <w:div w:id="4763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7958">
      <w:bodyDiv w:val="1"/>
      <w:marLeft w:val="0"/>
      <w:marRight w:val="0"/>
      <w:marTop w:val="0"/>
      <w:marBottom w:val="0"/>
      <w:divBdr>
        <w:top w:val="none" w:sz="0" w:space="0" w:color="auto"/>
        <w:left w:val="none" w:sz="0" w:space="0" w:color="auto"/>
        <w:bottom w:val="none" w:sz="0" w:space="0" w:color="auto"/>
        <w:right w:val="none" w:sz="0" w:space="0" w:color="auto"/>
      </w:divBdr>
      <w:divsChild>
        <w:div w:id="1378965957">
          <w:marLeft w:val="0"/>
          <w:marRight w:val="0"/>
          <w:marTop w:val="0"/>
          <w:marBottom w:val="0"/>
          <w:divBdr>
            <w:top w:val="none" w:sz="0" w:space="0" w:color="auto"/>
            <w:left w:val="none" w:sz="0" w:space="0" w:color="auto"/>
            <w:bottom w:val="none" w:sz="0" w:space="0" w:color="auto"/>
            <w:right w:val="none" w:sz="0" w:space="0" w:color="auto"/>
          </w:divBdr>
          <w:divsChild>
            <w:div w:id="500507105">
              <w:marLeft w:val="0"/>
              <w:marRight w:val="0"/>
              <w:marTop w:val="0"/>
              <w:marBottom w:val="0"/>
              <w:divBdr>
                <w:top w:val="none" w:sz="0" w:space="0" w:color="auto"/>
                <w:left w:val="none" w:sz="0" w:space="0" w:color="auto"/>
                <w:bottom w:val="none" w:sz="0" w:space="0" w:color="auto"/>
                <w:right w:val="none" w:sz="0" w:space="0" w:color="auto"/>
              </w:divBdr>
              <w:divsChild>
                <w:div w:id="5336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91489">
      <w:bodyDiv w:val="1"/>
      <w:marLeft w:val="0"/>
      <w:marRight w:val="0"/>
      <w:marTop w:val="0"/>
      <w:marBottom w:val="0"/>
      <w:divBdr>
        <w:top w:val="none" w:sz="0" w:space="0" w:color="auto"/>
        <w:left w:val="none" w:sz="0" w:space="0" w:color="auto"/>
        <w:bottom w:val="none" w:sz="0" w:space="0" w:color="auto"/>
        <w:right w:val="none" w:sz="0" w:space="0" w:color="auto"/>
      </w:divBdr>
      <w:divsChild>
        <w:div w:id="1143887497">
          <w:marLeft w:val="0"/>
          <w:marRight w:val="0"/>
          <w:marTop w:val="0"/>
          <w:marBottom w:val="0"/>
          <w:divBdr>
            <w:top w:val="none" w:sz="0" w:space="0" w:color="auto"/>
            <w:left w:val="none" w:sz="0" w:space="0" w:color="auto"/>
            <w:bottom w:val="none" w:sz="0" w:space="0" w:color="auto"/>
            <w:right w:val="none" w:sz="0" w:space="0" w:color="auto"/>
          </w:divBdr>
          <w:divsChild>
            <w:div w:id="88085233">
              <w:marLeft w:val="0"/>
              <w:marRight w:val="0"/>
              <w:marTop w:val="0"/>
              <w:marBottom w:val="0"/>
              <w:divBdr>
                <w:top w:val="none" w:sz="0" w:space="0" w:color="auto"/>
                <w:left w:val="none" w:sz="0" w:space="0" w:color="auto"/>
                <w:bottom w:val="none" w:sz="0" w:space="0" w:color="auto"/>
                <w:right w:val="none" w:sz="0" w:space="0" w:color="auto"/>
              </w:divBdr>
              <w:divsChild>
                <w:div w:id="1441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66000">
      <w:bodyDiv w:val="1"/>
      <w:marLeft w:val="0"/>
      <w:marRight w:val="0"/>
      <w:marTop w:val="0"/>
      <w:marBottom w:val="0"/>
      <w:divBdr>
        <w:top w:val="none" w:sz="0" w:space="0" w:color="auto"/>
        <w:left w:val="none" w:sz="0" w:space="0" w:color="auto"/>
        <w:bottom w:val="none" w:sz="0" w:space="0" w:color="auto"/>
        <w:right w:val="none" w:sz="0" w:space="0" w:color="auto"/>
      </w:divBdr>
      <w:divsChild>
        <w:div w:id="1468354759">
          <w:marLeft w:val="0"/>
          <w:marRight w:val="0"/>
          <w:marTop w:val="0"/>
          <w:marBottom w:val="0"/>
          <w:divBdr>
            <w:top w:val="none" w:sz="0" w:space="0" w:color="auto"/>
            <w:left w:val="none" w:sz="0" w:space="0" w:color="auto"/>
            <w:bottom w:val="none" w:sz="0" w:space="0" w:color="auto"/>
            <w:right w:val="none" w:sz="0" w:space="0" w:color="auto"/>
          </w:divBdr>
          <w:divsChild>
            <w:div w:id="210579532">
              <w:marLeft w:val="0"/>
              <w:marRight w:val="0"/>
              <w:marTop w:val="0"/>
              <w:marBottom w:val="0"/>
              <w:divBdr>
                <w:top w:val="none" w:sz="0" w:space="0" w:color="auto"/>
                <w:left w:val="none" w:sz="0" w:space="0" w:color="auto"/>
                <w:bottom w:val="none" w:sz="0" w:space="0" w:color="auto"/>
                <w:right w:val="none" w:sz="0" w:space="0" w:color="auto"/>
              </w:divBdr>
              <w:divsChild>
                <w:div w:id="180932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8363">
      <w:bodyDiv w:val="1"/>
      <w:marLeft w:val="0"/>
      <w:marRight w:val="0"/>
      <w:marTop w:val="0"/>
      <w:marBottom w:val="0"/>
      <w:divBdr>
        <w:top w:val="none" w:sz="0" w:space="0" w:color="auto"/>
        <w:left w:val="none" w:sz="0" w:space="0" w:color="auto"/>
        <w:bottom w:val="none" w:sz="0" w:space="0" w:color="auto"/>
        <w:right w:val="none" w:sz="0" w:space="0" w:color="auto"/>
      </w:divBdr>
    </w:div>
    <w:div w:id="2061005202">
      <w:bodyDiv w:val="1"/>
      <w:marLeft w:val="0"/>
      <w:marRight w:val="0"/>
      <w:marTop w:val="0"/>
      <w:marBottom w:val="0"/>
      <w:divBdr>
        <w:top w:val="none" w:sz="0" w:space="0" w:color="auto"/>
        <w:left w:val="none" w:sz="0" w:space="0" w:color="auto"/>
        <w:bottom w:val="none" w:sz="0" w:space="0" w:color="auto"/>
        <w:right w:val="none" w:sz="0" w:space="0" w:color="auto"/>
      </w:divBdr>
      <w:divsChild>
        <w:div w:id="1573856822">
          <w:marLeft w:val="0"/>
          <w:marRight w:val="0"/>
          <w:marTop w:val="0"/>
          <w:marBottom w:val="0"/>
          <w:divBdr>
            <w:top w:val="none" w:sz="0" w:space="0" w:color="auto"/>
            <w:left w:val="none" w:sz="0" w:space="0" w:color="auto"/>
            <w:bottom w:val="none" w:sz="0" w:space="0" w:color="auto"/>
            <w:right w:val="none" w:sz="0" w:space="0" w:color="auto"/>
          </w:divBdr>
          <w:divsChild>
            <w:div w:id="1778676423">
              <w:marLeft w:val="0"/>
              <w:marRight w:val="0"/>
              <w:marTop w:val="0"/>
              <w:marBottom w:val="0"/>
              <w:divBdr>
                <w:top w:val="none" w:sz="0" w:space="0" w:color="auto"/>
                <w:left w:val="none" w:sz="0" w:space="0" w:color="auto"/>
                <w:bottom w:val="none" w:sz="0" w:space="0" w:color="auto"/>
                <w:right w:val="none" w:sz="0" w:space="0" w:color="auto"/>
              </w:divBdr>
              <w:divsChild>
                <w:div w:id="3491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477419">
      <w:bodyDiv w:val="1"/>
      <w:marLeft w:val="0"/>
      <w:marRight w:val="0"/>
      <w:marTop w:val="0"/>
      <w:marBottom w:val="0"/>
      <w:divBdr>
        <w:top w:val="none" w:sz="0" w:space="0" w:color="auto"/>
        <w:left w:val="none" w:sz="0" w:space="0" w:color="auto"/>
        <w:bottom w:val="none" w:sz="0" w:space="0" w:color="auto"/>
        <w:right w:val="none" w:sz="0" w:space="0" w:color="auto"/>
      </w:divBdr>
      <w:divsChild>
        <w:div w:id="1603680703">
          <w:marLeft w:val="0"/>
          <w:marRight w:val="0"/>
          <w:marTop w:val="0"/>
          <w:marBottom w:val="0"/>
          <w:divBdr>
            <w:top w:val="none" w:sz="0" w:space="0" w:color="auto"/>
            <w:left w:val="none" w:sz="0" w:space="0" w:color="auto"/>
            <w:bottom w:val="none" w:sz="0" w:space="0" w:color="auto"/>
            <w:right w:val="none" w:sz="0" w:space="0" w:color="auto"/>
          </w:divBdr>
          <w:divsChild>
            <w:div w:id="970597521">
              <w:marLeft w:val="0"/>
              <w:marRight w:val="0"/>
              <w:marTop w:val="0"/>
              <w:marBottom w:val="0"/>
              <w:divBdr>
                <w:top w:val="none" w:sz="0" w:space="0" w:color="auto"/>
                <w:left w:val="none" w:sz="0" w:space="0" w:color="auto"/>
                <w:bottom w:val="none" w:sz="0" w:space="0" w:color="auto"/>
                <w:right w:val="none" w:sz="0" w:space="0" w:color="auto"/>
              </w:divBdr>
              <w:divsChild>
                <w:div w:id="108823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54512">
      <w:bodyDiv w:val="1"/>
      <w:marLeft w:val="0"/>
      <w:marRight w:val="0"/>
      <w:marTop w:val="0"/>
      <w:marBottom w:val="0"/>
      <w:divBdr>
        <w:top w:val="none" w:sz="0" w:space="0" w:color="auto"/>
        <w:left w:val="none" w:sz="0" w:space="0" w:color="auto"/>
        <w:bottom w:val="none" w:sz="0" w:space="0" w:color="auto"/>
        <w:right w:val="none" w:sz="0" w:space="0" w:color="auto"/>
      </w:divBdr>
      <w:divsChild>
        <w:div w:id="1261991540">
          <w:marLeft w:val="0"/>
          <w:marRight w:val="0"/>
          <w:marTop w:val="0"/>
          <w:marBottom w:val="0"/>
          <w:divBdr>
            <w:top w:val="none" w:sz="0" w:space="0" w:color="auto"/>
            <w:left w:val="none" w:sz="0" w:space="0" w:color="auto"/>
            <w:bottom w:val="none" w:sz="0" w:space="0" w:color="auto"/>
            <w:right w:val="none" w:sz="0" w:space="0" w:color="auto"/>
          </w:divBdr>
          <w:divsChild>
            <w:div w:id="945504696">
              <w:marLeft w:val="0"/>
              <w:marRight w:val="0"/>
              <w:marTop w:val="0"/>
              <w:marBottom w:val="0"/>
              <w:divBdr>
                <w:top w:val="none" w:sz="0" w:space="0" w:color="auto"/>
                <w:left w:val="none" w:sz="0" w:space="0" w:color="auto"/>
                <w:bottom w:val="none" w:sz="0" w:space="0" w:color="auto"/>
                <w:right w:val="none" w:sz="0" w:space="0" w:color="auto"/>
              </w:divBdr>
              <w:divsChild>
                <w:div w:id="4089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33874">
      <w:bodyDiv w:val="1"/>
      <w:marLeft w:val="0"/>
      <w:marRight w:val="0"/>
      <w:marTop w:val="0"/>
      <w:marBottom w:val="0"/>
      <w:divBdr>
        <w:top w:val="none" w:sz="0" w:space="0" w:color="auto"/>
        <w:left w:val="none" w:sz="0" w:space="0" w:color="auto"/>
        <w:bottom w:val="none" w:sz="0" w:space="0" w:color="auto"/>
        <w:right w:val="none" w:sz="0" w:space="0" w:color="auto"/>
      </w:divBdr>
      <w:divsChild>
        <w:div w:id="818770815">
          <w:marLeft w:val="0"/>
          <w:marRight w:val="0"/>
          <w:marTop w:val="0"/>
          <w:marBottom w:val="0"/>
          <w:divBdr>
            <w:top w:val="none" w:sz="0" w:space="0" w:color="auto"/>
            <w:left w:val="none" w:sz="0" w:space="0" w:color="auto"/>
            <w:bottom w:val="none" w:sz="0" w:space="0" w:color="auto"/>
            <w:right w:val="none" w:sz="0" w:space="0" w:color="auto"/>
          </w:divBdr>
          <w:divsChild>
            <w:div w:id="1338731742">
              <w:marLeft w:val="0"/>
              <w:marRight w:val="0"/>
              <w:marTop w:val="0"/>
              <w:marBottom w:val="0"/>
              <w:divBdr>
                <w:top w:val="none" w:sz="0" w:space="0" w:color="auto"/>
                <w:left w:val="none" w:sz="0" w:space="0" w:color="auto"/>
                <w:bottom w:val="none" w:sz="0" w:space="0" w:color="auto"/>
                <w:right w:val="none" w:sz="0" w:space="0" w:color="auto"/>
              </w:divBdr>
              <w:divsChild>
                <w:div w:id="3853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94744">
      <w:bodyDiv w:val="1"/>
      <w:marLeft w:val="0"/>
      <w:marRight w:val="0"/>
      <w:marTop w:val="0"/>
      <w:marBottom w:val="0"/>
      <w:divBdr>
        <w:top w:val="none" w:sz="0" w:space="0" w:color="auto"/>
        <w:left w:val="none" w:sz="0" w:space="0" w:color="auto"/>
        <w:bottom w:val="none" w:sz="0" w:space="0" w:color="auto"/>
        <w:right w:val="none" w:sz="0" w:space="0" w:color="auto"/>
      </w:divBdr>
      <w:divsChild>
        <w:div w:id="830291472">
          <w:marLeft w:val="0"/>
          <w:marRight w:val="0"/>
          <w:marTop w:val="0"/>
          <w:marBottom w:val="0"/>
          <w:divBdr>
            <w:top w:val="none" w:sz="0" w:space="0" w:color="auto"/>
            <w:left w:val="none" w:sz="0" w:space="0" w:color="auto"/>
            <w:bottom w:val="none" w:sz="0" w:space="0" w:color="auto"/>
            <w:right w:val="none" w:sz="0" w:space="0" w:color="auto"/>
          </w:divBdr>
          <w:divsChild>
            <w:div w:id="697051177">
              <w:marLeft w:val="0"/>
              <w:marRight w:val="0"/>
              <w:marTop w:val="0"/>
              <w:marBottom w:val="0"/>
              <w:divBdr>
                <w:top w:val="none" w:sz="0" w:space="0" w:color="auto"/>
                <w:left w:val="none" w:sz="0" w:space="0" w:color="auto"/>
                <w:bottom w:val="none" w:sz="0" w:space="0" w:color="auto"/>
                <w:right w:val="none" w:sz="0" w:space="0" w:color="auto"/>
              </w:divBdr>
              <w:divsChild>
                <w:div w:id="16696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0773">
      <w:bodyDiv w:val="1"/>
      <w:marLeft w:val="0"/>
      <w:marRight w:val="0"/>
      <w:marTop w:val="0"/>
      <w:marBottom w:val="0"/>
      <w:divBdr>
        <w:top w:val="none" w:sz="0" w:space="0" w:color="auto"/>
        <w:left w:val="none" w:sz="0" w:space="0" w:color="auto"/>
        <w:bottom w:val="none" w:sz="0" w:space="0" w:color="auto"/>
        <w:right w:val="none" w:sz="0" w:space="0" w:color="auto"/>
      </w:divBdr>
      <w:divsChild>
        <w:div w:id="978850120">
          <w:marLeft w:val="0"/>
          <w:marRight w:val="0"/>
          <w:marTop w:val="0"/>
          <w:marBottom w:val="0"/>
          <w:divBdr>
            <w:top w:val="none" w:sz="0" w:space="0" w:color="auto"/>
            <w:left w:val="none" w:sz="0" w:space="0" w:color="auto"/>
            <w:bottom w:val="none" w:sz="0" w:space="0" w:color="auto"/>
            <w:right w:val="none" w:sz="0" w:space="0" w:color="auto"/>
          </w:divBdr>
          <w:divsChild>
            <w:div w:id="1922131426">
              <w:marLeft w:val="0"/>
              <w:marRight w:val="0"/>
              <w:marTop w:val="0"/>
              <w:marBottom w:val="0"/>
              <w:divBdr>
                <w:top w:val="none" w:sz="0" w:space="0" w:color="auto"/>
                <w:left w:val="none" w:sz="0" w:space="0" w:color="auto"/>
                <w:bottom w:val="none" w:sz="0" w:space="0" w:color="auto"/>
                <w:right w:val="none" w:sz="0" w:space="0" w:color="auto"/>
              </w:divBdr>
              <w:divsChild>
                <w:div w:id="9124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4678">
      <w:bodyDiv w:val="1"/>
      <w:marLeft w:val="0"/>
      <w:marRight w:val="0"/>
      <w:marTop w:val="0"/>
      <w:marBottom w:val="0"/>
      <w:divBdr>
        <w:top w:val="none" w:sz="0" w:space="0" w:color="auto"/>
        <w:left w:val="none" w:sz="0" w:space="0" w:color="auto"/>
        <w:bottom w:val="none" w:sz="0" w:space="0" w:color="auto"/>
        <w:right w:val="none" w:sz="0" w:space="0" w:color="auto"/>
      </w:divBdr>
      <w:divsChild>
        <w:div w:id="433020668">
          <w:marLeft w:val="0"/>
          <w:marRight w:val="0"/>
          <w:marTop w:val="0"/>
          <w:marBottom w:val="0"/>
          <w:divBdr>
            <w:top w:val="none" w:sz="0" w:space="0" w:color="auto"/>
            <w:left w:val="none" w:sz="0" w:space="0" w:color="auto"/>
            <w:bottom w:val="none" w:sz="0" w:space="0" w:color="auto"/>
            <w:right w:val="none" w:sz="0" w:space="0" w:color="auto"/>
          </w:divBdr>
          <w:divsChild>
            <w:div w:id="319042364">
              <w:marLeft w:val="0"/>
              <w:marRight w:val="0"/>
              <w:marTop w:val="0"/>
              <w:marBottom w:val="0"/>
              <w:divBdr>
                <w:top w:val="none" w:sz="0" w:space="0" w:color="auto"/>
                <w:left w:val="none" w:sz="0" w:space="0" w:color="auto"/>
                <w:bottom w:val="none" w:sz="0" w:space="0" w:color="auto"/>
                <w:right w:val="none" w:sz="0" w:space="0" w:color="auto"/>
              </w:divBdr>
              <w:divsChild>
                <w:div w:id="18006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DCjTfkquhV1+HU4nATzJZqFmNeA==">AMUW2mXjl/oVR6yiV5YI656jKRzZE021tETglXmqqCuZ7ru9xBBw4casYssj21o0BLH9ruxv6VM8MjxXKgttS4yMoaeHH8S3geTKyr2jpobb5G4EpoT+z3UX2v81x0NBOYY2cDn5IdCP</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0E98E84-92A5-4513-A4E9-49F5E997884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25541FC-C788-44D1-B087-465CD7347B5E}"/>
</file>

<file path=customXml/itemProps4.xml><?xml version="1.0" encoding="utf-8"?>
<ds:datastoreItem xmlns:ds="http://schemas.openxmlformats.org/officeDocument/2006/customXml" ds:itemID="{293EEC7C-96CB-4F71-8D0E-A48084278FEA}"/>
</file>

<file path=customXml/itemProps5.xml><?xml version="1.0" encoding="utf-8"?>
<ds:datastoreItem xmlns:ds="http://schemas.openxmlformats.org/officeDocument/2006/customXml" ds:itemID="{F27F560E-4FF7-4461-99C0-C36742185AC6}"/>
</file>

<file path=docProps/app.xml><?xml version="1.0" encoding="utf-8"?>
<Properties xmlns="http://schemas.openxmlformats.org/officeDocument/2006/extended-properties" xmlns:vt="http://schemas.openxmlformats.org/officeDocument/2006/docPropsVTypes">
  <Template>Normal</Template>
  <TotalTime>472</TotalTime>
  <Pages>52</Pages>
  <Words>8682</Words>
  <Characters>49493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FEBRI</dc:creator>
  <cp:lastModifiedBy>Yuera Elisabeth Simbolon</cp:lastModifiedBy>
  <cp:revision>16</cp:revision>
  <dcterms:created xsi:type="dcterms:W3CDTF">2026-08-10T09:05:00Z</dcterms:created>
  <dcterms:modified xsi:type="dcterms:W3CDTF">2026-08-18T03:05:00Z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