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8144" w:type="dxa"/>
        <w:tblInd w:w="-1139" w:type="dxa"/>
        <w:tblLook w:val="04A0" w:firstRow="1" w:lastRow="0" w:firstColumn="1" w:lastColumn="0" w:noHBand="0" w:noVBand="1"/>
      </w:tblPr>
      <w:tblGrid>
        <w:gridCol w:w="7865"/>
        <w:gridCol w:w="3759"/>
        <w:gridCol w:w="2977"/>
        <w:gridCol w:w="3543"/>
      </w:tblGrid>
      <w:tr w:rsidR="00FA3685" w:rsidRPr="00D628A0" w14:paraId="5F267FEC" w14:textId="16FC8EDF" w:rsidTr="00F16790">
        <w:trPr>
          <w:tblHeader/>
        </w:trPr>
        <w:tc>
          <w:tcPr>
            <w:tcW w:w="11624" w:type="dxa"/>
            <w:gridSpan w:val="2"/>
            <w:shd w:val="clear" w:color="auto" w:fill="FFFF00"/>
            <w:vAlign w:val="center"/>
          </w:tcPr>
          <w:p w14:paraId="541461E7" w14:textId="5E7D56FE" w:rsidR="00FA3685" w:rsidRPr="00D628A0" w:rsidRDefault="00FA3685" w:rsidP="00D628A0">
            <w:pPr>
              <w:spacing w:line="276" w:lineRule="auto"/>
              <w:jc w:val="center"/>
              <w:rPr>
                <w:rFonts w:ascii="Bookman Old Style" w:eastAsia="Bookman Old Style" w:hAnsi="Bookman Old Style" w:cs="Bookman Old Style"/>
                <w:b/>
                <w:bCs/>
                <w:sz w:val="22"/>
                <w:szCs w:val="22"/>
              </w:rPr>
            </w:pPr>
            <w:r w:rsidRPr="00D628A0">
              <w:rPr>
                <w:rFonts w:ascii="Bookman Old Style" w:eastAsia="Bookman Old Style" w:hAnsi="Bookman Old Style" w:cs="Bookman Old Style"/>
                <w:b/>
                <w:bCs/>
                <w:sz w:val="22"/>
                <w:szCs w:val="22"/>
              </w:rPr>
              <w:t>Draf Peraturan</w:t>
            </w:r>
          </w:p>
        </w:tc>
        <w:tc>
          <w:tcPr>
            <w:tcW w:w="2977" w:type="dxa"/>
            <w:vMerge w:val="restart"/>
            <w:shd w:val="clear" w:color="auto" w:fill="FFFF00"/>
            <w:vAlign w:val="center"/>
          </w:tcPr>
          <w:p w14:paraId="053DB15B" w14:textId="5DD43589" w:rsidR="00FA3685" w:rsidRPr="00D628A0" w:rsidRDefault="00FA3685" w:rsidP="00D628A0">
            <w:pPr>
              <w:spacing w:line="276" w:lineRule="auto"/>
              <w:jc w:val="center"/>
              <w:rPr>
                <w:rFonts w:ascii="Bookman Old Style" w:eastAsia="Bookman Old Style" w:hAnsi="Bookman Old Style" w:cs="Bookman Old Style"/>
                <w:b/>
                <w:bCs/>
                <w:sz w:val="22"/>
                <w:szCs w:val="22"/>
              </w:rPr>
            </w:pPr>
            <w:r w:rsidRPr="00D628A0">
              <w:rPr>
                <w:rFonts w:ascii="Bookman Old Style" w:eastAsia="Bookman Old Style" w:hAnsi="Bookman Old Style" w:cs="Bookman Old Style"/>
                <w:b/>
                <w:bCs/>
                <w:sz w:val="22"/>
                <w:szCs w:val="22"/>
              </w:rPr>
              <w:t>Tanggapan</w:t>
            </w:r>
          </w:p>
        </w:tc>
        <w:tc>
          <w:tcPr>
            <w:tcW w:w="3543" w:type="dxa"/>
            <w:vMerge w:val="restart"/>
            <w:shd w:val="clear" w:color="auto" w:fill="FFFF00"/>
            <w:vAlign w:val="center"/>
          </w:tcPr>
          <w:p w14:paraId="7201BC94" w14:textId="150F5F0B" w:rsidR="00FA3685" w:rsidRPr="00D628A0" w:rsidRDefault="00FA3685" w:rsidP="00D628A0">
            <w:pPr>
              <w:spacing w:line="276" w:lineRule="auto"/>
              <w:jc w:val="center"/>
              <w:rPr>
                <w:rFonts w:ascii="Bookman Old Style" w:eastAsia="Bookman Old Style" w:hAnsi="Bookman Old Style" w:cs="Bookman Old Style"/>
                <w:b/>
                <w:bCs/>
                <w:sz w:val="22"/>
                <w:szCs w:val="22"/>
              </w:rPr>
            </w:pPr>
            <w:r w:rsidRPr="00D628A0">
              <w:rPr>
                <w:rFonts w:ascii="Bookman Old Style" w:eastAsia="Bookman Old Style" w:hAnsi="Bookman Old Style" w:cs="Bookman Old Style"/>
                <w:b/>
                <w:bCs/>
                <w:sz w:val="22"/>
                <w:szCs w:val="22"/>
              </w:rPr>
              <w:t>Usulan Perubahan</w:t>
            </w:r>
          </w:p>
        </w:tc>
      </w:tr>
      <w:tr w:rsidR="0007415D" w:rsidRPr="00D628A0" w14:paraId="7B159B4A" w14:textId="6875FFAE" w:rsidTr="00F16790">
        <w:trPr>
          <w:trHeight w:val="337"/>
          <w:tblHeader/>
        </w:trPr>
        <w:tc>
          <w:tcPr>
            <w:tcW w:w="7865" w:type="dxa"/>
            <w:shd w:val="clear" w:color="auto" w:fill="FFFF00"/>
            <w:vAlign w:val="center"/>
          </w:tcPr>
          <w:p w14:paraId="54311C40" w14:textId="601BD0D1" w:rsidR="0007415D" w:rsidRPr="00D628A0" w:rsidRDefault="0007415D" w:rsidP="00D628A0">
            <w:pPr>
              <w:spacing w:line="276" w:lineRule="auto"/>
              <w:jc w:val="center"/>
              <w:rPr>
                <w:rFonts w:ascii="Bookman Old Style" w:eastAsia="Bookman Old Style" w:hAnsi="Bookman Old Style" w:cs="Bookman Old Style"/>
                <w:b/>
                <w:bCs/>
                <w:sz w:val="22"/>
                <w:szCs w:val="22"/>
              </w:rPr>
            </w:pPr>
            <w:r w:rsidRPr="00D628A0">
              <w:rPr>
                <w:rFonts w:ascii="Bookman Old Style" w:eastAsia="Bookman Old Style" w:hAnsi="Bookman Old Style" w:cs="Bookman Old Style"/>
                <w:b/>
                <w:bCs/>
                <w:sz w:val="22"/>
                <w:szCs w:val="22"/>
              </w:rPr>
              <w:t>Batang Tubuh</w:t>
            </w:r>
          </w:p>
        </w:tc>
        <w:tc>
          <w:tcPr>
            <w:tcW w:w="3759" w:type="dxa"/>
            <w:shd w:val="clear" w:color="auto" w:fill="FFFF00"/>
            <w:vAlign w:val="center"/>
          </w:tcPr>
          <w:p w14:paraId="39EFC273" w14:textId="48B53F30" w:rsidR="0007415D" w:rsidRPr="00D628A0" w:rsidRDefault="0007415D" w:rsidP="00D628A0">
            <w:pPr>
              <w:spacing w:line="276" w:lineRule="auto"/>
              <w:jc w:val="center"/>
              <w:rPr>
                <w:rFonts w:ascii="Bookman Old Style" w:eastAsia="Bookman Old Style" w:hAnsi="Bookman Old Style" w:cs="Bookman Old Style"/>
                <w:b/>
                <w:bCs/>
                <w:sz w:val="22"/>
                <w:szCs w:val="22"/>
              </w:rPr>
            </w:pPr>
            <w:r w:rsidRPr="00D628A0">
              <w:rPr>
                <w:rFonts w:ascii="Bookman Old Style" w:eastAsia="Bookman Old Style" w:hAnsi="Bookman Old Style" w:cs="Bookman Old Style"/>
                <w:b/>
                <w:bCs/>
                <w:sz w:val="22"/>
                <w:szCs w:val="22"/>
              </w:rPr>
              <w:t>Penjelasan</w:t>
            </w:r>
          </w:p>
        </w:tc>
        <w:tc>
          <w:tcPr>
            <w:tcW w:w="2977" w:type="dxa"/>
            <w:vMerge/>
            <w:shd w:val="clear" w:color="auto" w:fill="FFFF00"/>
          </w:tcPr>
          <w:p w14:paraId="77C826A8" w14:textId="77777777" w:rsidR="0007415D" w:rsidRPr="00D628A0" w:rsidRDefault="0007415D" w:rsidP="00D628A0">
            <w:pPr>
              <w:spacing w:line="276" w:lineRule="auto"/>
              <w:rPr>
                <w:rFonts w:ascii="Bookman Old Style" w:eastAsia="Bookman Old Style" w:hAnsi="Bookman Old Style" w:cs="Bookman Old Style"/>
                <w:sz w:val="22"/>
                <w:szCs w:val="22"/>
              </w:rPr>
            </w:pPr>
          </w:p>
        </w:tc>
        <w:tc>
          <w:tcPr>
            <w:tcW w:w="3543" w:type="dxa"/>
            <w:vMerge/>
            <w:shd w:val="clear" w:color="auto" w:fill="FFFF00"/>
          </w:tcPr>
          <w:p w14:paraId="11DEA362" w14:textId="77777777" w:rsidR="0007415D" w:rsidRPr="00D628A0" w:rsidRDefault="0007415D" w:rsidP="00D628A0">
            <w:pPr>
              <w:spacing w:line="276" w:lineRule="auto"/>
              <w:rPr>
                <w:rFonts w:ascii="Bookman Old Style" w:eastAsia="Bookman Old Style" w:hAnsi="Bookman Old Style" w:cs="Bookman Old Style"/>
                <w:sz w:val="22"/>
                <w:szCs w:val="22"/>
              </w:rPr>
            </w:pPr>
          </w:p>
        </w:tc>
      </w:tr>
      <w:tr w:rsidR="00632EF9" w:rsidRPr="00D628A0" w14:paraId="12E6F723" w14:textId="40F247A2" w:rsidTr="0007415D">
        <w:tc>
          <w:tcPr>
            <w:tcW w:w="7865" w:type="dxa"/>
          </w:tcPr>
          <w:p w14:paraId="712B14C3" w14:textId="77777777" w:rsidR="00C124C5" w:rsidRPr="00C124C5" w:rsidRDefault="00C124C5" w:rsidP="00C124C5">
            <w:pPr>
              <w:widowControl w:val="0"/>
              <w:spacing w:line="276" w:lineRule="auto"/>
              <w:ind w:left="360"/>
              <w:jc w:val="center"/>
              <w:rPr>
                <w:rFonts w:ascii="Bookman Old Style" w:eastAsia="Bookman Old Style" w:hAnsi="Bookman Old Style" w:cs="Bookman Old Style"/>
                <w:sz w:val="22"/>
                <w:szCs w:val="22"/>
              </w:rPr>
            </w:pPr>
            <w:r w:rsidRPr="00C124C5">
              <w:rPr>
                <w:rFonts w:ascii="Bookman Old Style" w:eastAsia="Bookman Old Style" w:hAnsi="Bookman Old Style" w:cs="Bookman Old Style"/>
                <w:sz w:val="22"/>
                <w:szCs w:val="22"/>
              </w:rPr>
              <w:t>PERATURAN OTORITAS JASA KEUANGAN</w:t>
            </w:r>
          </w:p>
          <w:p w14:paraId="1CC868D0" w14:textId="77777777" w:rsidR="00C124C5" w:rsidRPr="00C124C5" w:rsidRDefault="00C124C5" w:rsidP="00C124C5">
            <w:pPr>
              <w:widowControl w:val="0"/>
              <w:spacing w:line="276" w:lineRule="auto"/>
              <w:ind w:left="360"/>
              <w:jc w:val="center"/>
              <w:rPr>
                <w:rFonts w:ascii="Bookman Old Style" w:eastAsia="Bookman Old Style" w:hAnsi="Bookman Old Style" w:cs="Bookman Old Style"/>
                <w:sz w:val="22"/>
                <w:szCs w:val="22"/>
              </w:rPr>
            </w:pPr>
            <w:r w:rsidRPr="00C124C5">
              <w:rPr>
                <w:rFonts w:ascii="Bookman Old Style" w:eastAsia="Bookman Old Style" w:hAnsi="Bookman Old Style" w:cs="Bookman Old Style"/>
                <w:sz w:val="22"/>
                <w:szCs w:val="22"/>
              </w:rPr>
              <w:t>REPUBLIK INDONESIA</w:t>
            </w:r>
          </w:p>
          <w:p w14:paraId="4F69C3A9" w14:textId="77777777" w:rsidR="00C124C5" w:rsidRPr="00C124C5" w:rsidRDefault="00C124C5" w:rsidP="00C124C5">
            <w:pPr>
              <w:widowControl w:val="0"/>
              <w:spacing w:line="276" w:lineRule="auto"/>
              <w:ind w:left="360"/>
              <w:jc w:val="center"/>
              <w:rPr>
                <w:rFonts w:ascii="Bookman Old Style" w:eastAsia="Bookman Old Style" w:hAnsi="Bookman Old Style" w:cs="Bookman Old Style"/>
                <w:sz w:val="22"/>
                <w:szCs w:val="22"/>
              </w:rPr>
            </w:pPr>
            <w:r w:rsidRPr="00C124C5">
              <w:rPr>
                <w:rFonts w:ascii="Bookman Old Style" w:eastAsia="Bookman Old Style" w:hAnsi="Bookman Old Style" w:cs="Bookman Old Style"/>
                <w:sz w:val="22"/>
                <w:szCs w:val="22"/>
              </w:rPr>
              <w:t xml:space="preserve">NOMOR … TAHUN … </w:t>
            </w:r>
          </w:p>
          <w:p w14:paraId="27840AE7" w14:textId="77777777" w:rsidR="00C124C5" w:rsidRPr="00C124C5" w:rsidRDefault="00C124C5" w:rsidP="00C124C5">
            <w:pPr>
              <w:widowControl w:val="0"/>
              <w:spacing w:line="276" w:lineRule="auto"/>
              <w:ind w:left="360"/>
              <w:jc w:val="center"/>
              <w:rPr>
                <w:rFonts w:ascii="Bookman Old Style" w:eastAsia="Bookman Old Style" w:hAnsi="Bookman Old Style" w:cs="Bookman Old Style"/>
                <w:sz w:val="22"/>
                <w:szCs w:val="22"/>
              </w:rPr>
            </w:pPr>
            <w:r w:rsidRPr="00C124C5">
              <w:rPr>
                <w:rFonts w:ascii="Bookman Old Style" w:eastAsia="Bookman Old Style" w:hAnsi="Bookman Old Style" w:cs="Bookman Old Style"/>
                <w:sz w:val="22"/>
                <w:szCs w:val="22"/>
              </w:rPr>
              <w:t>TENTANG</w:t>
            </w:r>
          </w:p>
          <w:p w14:paraId="596F0385" w14:textId="1A4402E0" w:rsidR="0007415D" w:rsidRPr="00C124C5" w:rsidRDefault="00C124C5" w:rsidP="00C124C5">
            <w:pPr>
              <w:widowControl w:val="0"/>
              <w:spacing w:line="276" w:lineRule="auto"/>
              <w:ind w:left="360"/>
              <w:jc w:val="center"/>
              <w:rPr>
                <w:rFonts w:ascii="Bookman Old Style" w:eastAsia="Bookman Old Style" w:hAnsi="Bookman Old Style" w:cs="Bookman Old Style"/>
                <w:sz w:val="22"/>
                <w:szCs w:val="22"/>
              </w:rPr>
            </w:pPr>
            <w:r w:rsidRPr="00C124C5">
              <w:rPr>
                <w:rFonts w:ascii="Bookman Old Style" w:eastAsia="Bookman Old Style" w:hAnsi="Bookman Old Style" w:cs="Bookman Old Style"/>
                <w:sz w:val="22"/>
                <w:szCs w:val="22"/>
              </w:rPr>
              <w:t>PENYUSUNAN LAPORAN KEUANGAN EMITEN ATAU PERUSAHAAN PUBLIK</w:t>
            </w:r>
          </w:p>
        </w:tc>
        <w:tc>
          <w:tcPr>
            <w:tcW w:w="3759" w:type="dxa"/>
          </w:tcPr>
          <w:p w14:paraId="422EC30F" w14:textId="77777777" w:rsidR="00632EF9" w:rsidRPr="00C124C5" w:rsidRDefault="00632EF9" w:rsidP="00C124C5">
            <w:pPr>
              <w:widowControl w:val="0"/>
              <w:spacing w:line="276" w:lineRule="auto"/>
              <w:ind w:left="360"/>
              <w:jc w:val="center"/>
              <w:rPr>
                <w:rFonts w:ascii="Bookman Old Style" w:eastAsia="Bookman Old Style" w:hAnsi="Bookman Old Style" w:cs="Bookman Old Style"/>
                <w:sz w:val="22"/>
                <w:szCs w:val="22"/>
              </w:rPr>
            </w:pPr>
          </w:p>
        </w:tc>
        <w:tc>
          <w:tcPr>
            <w:tcW w:w="2977" w:type="dxa"/>
          </w:tcPr>
          <w:p w14:paraId="32CC9B1B" w14:textId="77777777" w:rsidR="00632EF9" w:rsidRPr="00D628A0" w:rsidRDefault="00632EF9" w:rsidP="00D628A0">
            <w:pPr>
              <w:widowControl w:val="0"/>
              <w:spacing w:line="276" w:lineRule="auto"/>
              <w:jc w:val="center"/>
              <w:rPr>
                <w:rFonts w:ascii="Bookman Old Style" w:eastAsia="Bookman Old Style" w:hAnsi="Bookman Old Style" w:cs="Bookman Old Style"/>
                <w:sz w:val="22"/>
                <w:szCs w:val="22"/>
              </w:rPr>
            </w:pPr>
          </w:p>
        </w:tc>
        <w:tc>
          <w:tcPr>
            <w:tcW w:w="3543" w:type="dxa"/>
          </w:tcPr>
          <w:p w14:paraId="29B2EC97" w14:textId="77777777" w:rsidR="00632EF9" w:rsidRPr="00D628A0" w:rsidRDefault="00632EF9" w:rsidP="00D628A0">
            <w:pPr>
              <w:widowControl w:val="0"/>
              <w:spacing w:line="276" w:lineRule="auto"/>
              <w:jc w:val="center"/>
              <w:rPr>
                <w:rFonts w:ascii="Bookman Old Style" w:eastAsia="Bookman Old Style" w:hAnsi="Bookman Old Style" w:cs="Bookman Old Style"/>
                <w:sz w:val="22"/>
                <w:szCs w:val="22"/>
              </w:rPr>
            </w:pPr>
          </w:p>
        </w:tc>
      </w:tr>
      <w:tr w:rsidR="00632EF9" w:rsidRPr="00D628A0" w14:paraId="53BB72ED" w14:textId="2C68476F" w:rsidTr="0007415D">
        <w:tc>
          <w:tcPr>
            <w:tcW w:w="7865" w:type="dxa"/>
          </w:tcPr>
          <w:p w14:paraId="260CCA59" w14:textId="134B8F20" w:rsidR="00632EF9" w:rsidRPr="00C124C5" w:rsidRDefault="00632EF9" w:rsidP="00C124C5">
            <w:pPr>
              <w:widowControl w:val="0"/>
              <w:tabs>
                <w:tab w:val="left" w:pos="6510"/>
              </w:tabs>
              <w:spacing w:line="276" w:lineRule="auto"/>
              <w:ind w:left="360"/>
              <w:rPr>
                <w:rFonts w:ascii="Bookman Old Style" w:eastAsia="Bookman Old Style" w:hAnsi="Bookman Old Style" w:cs="Bookman Old Style"/>
                <w:sz w:val="22"/>
                <w:szCs w:val="22"/>
              </w:rPr>
            </w:pPr>
          </w:p>
        </w:tc>
        <w:tc>
          <w:tcPr>
            <w:tcW w:w="3759" w:type="dxa"/>
          </w:tcPr>
          <w:p w14:paraId="3CD0C6D4" w14:textId="77777777" w:rsidR="00632EF9" w:rsidRPr="00C124C5" w:rsidRDefault="00632EF9" w:rsidP="00C124C5">
            <w:pPr>
              <w:widowControl w:val="0"/>
              <w:tabs>
                <w:tab w:val="left" w:pos="6510"/>
              </w:tabs>
              <w:spacing w:line="276" w:lineRule="auto"/>
              <w:ind w:left="360"/>
              <w:rPr>
                <w:rFonts w:ascii="Bookman Old Style" w:eastAsia="Bookman Old Style" w:hAnsi="Bookman Old Style" w:cs="Bookman Old Style"/>
                <w:sz w:val="22"/>
                <w:szCs w:val="22"/>
              </w:rPr>
            </w:pPr>
          </w:p>
        </w:tc>
        <w:tc>
          <w:tcPr>
            <w:tcW w:w="2977" w:type="dxa"/>
          </w:tcPr>
          <w:p w14:paraId="3C26D07B" w14:textId="77777777" w:rsidR="00632EF9" w:rsidRPr="00D628A0" w:rsidRDefault="00632EF9" w:rsidP="00D628A0">
            <w:pPr>
              <w:widowControl w:val="0"/>
              <w:tabs>
                <w:tab w:val="left" w:pos="6510"/>
              </w:tabs>
              <w:spacing w:line="276" w:lineRule="auto"/>
              <w:rPr>
                <w:rFonts w:ascii="Bookman Old Style" w:eastAsia="Bookman Old Style" w:hAnsi="Bookman Old Style" w:cs="Bookman Old Style"/>
                <w:sz w:val="22"/>
                <w:szCs w:val="22"/>
              </w:rPr>
            </w:pPr>
          </w:p>
        </w:tc>
        <w:tc>
          <w:tcPr>
            <w:tcW w:w="3543" w:type="dxa"/>
          </w:tcPr>
          <w:p w14:paraId="37892931" w14:textId="77777777" w:rsidR="00632EF9" w:rsidRPr="00D628A0" w:rsidRDefault="00632EF9" w:rsidP="00D628A0">
            <w:pPr>
              <w:widowControl w:val="0"/>
              <w:tabs>
                <w:tab w:val="left" w:pos="6510"/>
              </w:tabs>
              <w:spacing w:line="276" w:lineRule="auto"/>
              <w:rPr>
                <w:rFonts w:ascii="Bookman Old Style" w:eastAsia="Bookman Old Style" w:hAnsi="Bookman Old Style" w:cs="Bookman Old Style"/>
                <w:sz w:val="22"/>
                <w:szCs w:val="22"/>
              </w:rPr>
            </w:pPr>
          </w:p>
        </w:tc>
      </w:tr>
      <w:tr w:rsidR="00632EF9" w:rsidRPr="00D628A0" w14:paraId="59265103" w14:textId="23D51E51" w:rsidTr="0007415D">
        <w:tc>
          <w:tcPr>
            <w:tcW w:w="7865" w:type="dxa"/>
          </w:tcPr>
          <w:p w14:paraId="5934C995" w14:textId="6C5D7E30" w:rsidR="00632EF9" w:rsidRPr="00C124C5" w:rsidRDefault="00C124C5" w:rsidP="00C124C5">
            <w:pPr>
              <w:widowControl w:val="0"/>
              <w:spacing w:line="276" w:lineRule="auto"/>
              <w:ind w:left="360"/>
              <w:jc w:val="center"/>
              <w:rPr>
                <w:rFonts w:ascii="Bookman Old Style" w:eastAsia="Bookman Old Style" w:hAnsi="Bookman Old Style" w:cs="Bookman Old Style"/>
                <w:sz w:val="22"/>
                <w:szCs w:val="22"/>
              </w:rPr>
            </w:pPr>
            <w:r w:rsidRPr="00C124C5">
              <w:rPr>
                <w:rFonts w:ascii="Bookman Old Style" w:eastAsia="Bookman Old Style" w:hAnsi="Bookman Old Style" w:cs="Bookman Old Style"/>
                <w:sz w:val="22"/>
                <w:szCs w:val="22"/>
              </w:rPr>
              <w:t>DENGAN RAHMAT TUHAN YANG MAHA ESA</w:t>
            </w:r>
          </w:p>
        </w:tc>
        <w:tc>
          <w:tcPr>
            <w:tcW w:w="3759" w:type="dxa"/>
          </w:tcPr>
          <w:p w14:paraId="39CD3ABC" w14:textId="77777777" w:rsidR="00632EF9" w:rsidRPr="00C124C5" w:rsidRDefault="00632EF9" w:rsidP="00C124C5">
            <w:pPr>
              <w:widowControl w:val="0"/>
              <w:spacing w:line="276" w:lineRule="auto"/>
              <w:ind w:left="360"/>
              <w:jc w:val="center"/>
              <w:rPr>
                <w:rFonts w:ascii="Bookman Old Style" w:eastAsia="Bookman Old Style" w:hAnsi="Bookman Old Style" w:cs="Bookman Old Style"/>
                <w:sz w:val="22"/>
                <w:szCs w:val="22"/>
              </w:rPr>
            </w:pPr>
          </w:p>
        </w:tc>
        <w:tc>
          <w:tcPr>
            <w:tcW w:w="2977" w:type="dxa"/>
          </w:tcPr>
          <w:p w14:paraId="61AA5BA2" w14:textId="77777777" w:rsidR="00632EF9" w:rsidRPr="00D628A0" w:rsidRDefault="00632EF9" w:rsidP="00D628A0">
            <w:pPr>
              <w:widowControl w:val="0"/>
              <w:spacing w:line="276" w:lineRule="auto"/>
              <w:jc w:val="center"/>
              <w:rPr>
                <w:rFonts w:ascii="Bookman Old Style" w:eastAsia="Bookman Old Style" w:hAnsi="Bookman Old Style" w:cs="Bookman Old Style"/>
                <w:sz w:val="22"/>
                <w:szCs w:val="22"/>
              </w:rPr>
            </w:pPr>
          </w:p>
        </w:tc>
        <w:tc>
          <w:tcPr>
            <w:tcW w:w="3543" w:type="dxa"/>
          </w:tcPr>
          <w:p w14:paraId="41F8CA64" w14:textId="77777777" w:rsidR="00632EF9" w:rsidRPr="00D628A0" w:rsidRDefault="00632EF9" w:rsidP="00D628A0">
            <w:pPr>
              <w:widowControl w:val="0"/>
              <w:spacing w:line="276" w:lineRule="auto"/>
              <w:jc w:val="center"/>
              <w:rPr>
                <w:rFonts w:ascii="Bookman Old Style" w:eastAsia="Bookman Old Style" w:hAnsi="Bookman Old Style" w:cs="Bookman Old Style"/>
                <w:sz w:val="22"/>
                <w:szCs w:val="22"/>
              </w:rPr>
            </w:pPr>
          </w:p>
        </w:tc>
      </w:tr>
      <w:tr w:rsidR="00632EF9" w:rsidRPr="00D628A0" w14:paraId="23C787C0" w14:textId="4BAAC89C" w:rsidTr="0007415D">
        <w:tc>
          <w:tcPr>
            <w:tcW w:w="7865" w:type="dxa"/>
          </w:tcPr>
          <w:p w14:paraId="2DFED1E8" w14:textId="77777777" w:rsidR="00632EF9" w:rsidRPr="00C124C5" w:rsidRDefault="00632EF9" w:rsidP="00C124C5">
            <w:pPr>
              <w:widowControl w:val="0"/>
              <w:spacing w:line="276" w:lineRule="auto"/>
              <w:ind w:left="360"/>
              <w:jc w:val="center"/>
              <w:rPr>
                <w:rFonts w:ascii="Bookman Old Style" w:eastAsia="Bookman Old Style" w:hAnsi="Bookman Old Style" w:cs="Bookman Old Style"/>
                <w:sz w:val="22"/>
                <w:szCs w:val="22"/>
              </w:rPr>
            </w:pPr>
          </w:p>
        </w:tc>
        <w:tc>
          <w:tcPr>
            <w:tcW w:w="3759" w:type="dxa"/>
          </w:tcPr>
          <w:p w14:paraId="3AE38DE8" w14:textId="77777777" w:rsidR="00632EF9" w:rsidRPr="00C124C5" w:rsidRDefault="00632EF9" w:rsidP="00C124C5">
            <w:pPr>
              <w:widowControl w:val="0"/>
              <w:spacing w:line="276" w:lineRule="auto"/>
              <w:ind w:left="360"/>
              <w:jc w:val="center"/>
              <w:rPr>
                <w:rFonts w:ascii="Bookman Old Style" w:eastAsia="Bookman Old Style" w:hAnsi="Bookman Old Style" w:cs="Bookman Old Style"/>
                <w:sz w:val="22"/>
                <w:szCs w:val="22"/>
              </w:rPr>
            </w:pPr>
          </w:p>
        </w:tc>
        <w:tc>
          <w:tcPr>
            <w:tcW w:w="2977" w:type="dxa"/>
          </w:tcPr>
          <w:p w14:paraId="4B8810F4" w14:textId="77777777" w:rsidR="00632EF9" w:rsidRPr="00D628A0" w:rsidRDefault="00632EF9" w:rsidP="00D628A0">
            <w:pPr>
              <w:widowControl w:val="0"/>
              <w:spacing w:line="276" w:lineRule="auto"/>
              <w:jc w:val="center"/>
              <w:rPr>
                <w:rFonts w:ascii="Bookman Old Style" w:eastAsia="Bookman Old Style" w:hAnsi="Bookman Old Style" w:cs="Bookman Old Style"/>
                <w:sz w:val="22"/>
                <w:szCs w:val="22"/>
              </w:rPr>
            </w:pPr>
          </w:p>
        </w:tc>
        <w:tc>
          <w:tcPr>
            <w:tcW w:w="3543" w:type="dxa"/>
          </w:tcPr>
          <w:p w14:paraId="71DEF22B" w14:textId="77777777" w:rsidR="00632EF9" w:rsidRPr="00D628A0" w:rsidRDefault="00632EF9" w:rsidP="00D628A0">
            <w:pPr>
              <w:widowControl w:val="0"/>
              <w:spacing w:line="276" w:lineRule="auto"/>
              <w:jc w:val="center"/>
              <w:rPr>
                <w:rFonts w:ascii="Bookman Old Style" w:eastAsia="Bookman Old Style" w:hAnsi="Bookman Old Style" w:cs="Bookman Old Style"/>
                <w:sz w:val="22"/>
                <w:szCs w:val="22"/>
              </w:rPr>
            </w:pPr>
          </w:p>
        </w:tc>
      </w:tr>
      <w:tr w:rsidR="00632EF9" w:rsidRPr="00D628A0" w14:paraId="43F70E22" w14:textId="37C75A69" w:rsidTr="0007415D">
        <w:tc>
          <w:tcPr>
            <w:tcW w:w="7865" w:type="dxa"/>
          </w:tcPr>
          <w:p w14:paraId="38AF9BC1" w14:textId="661A731A" w:rsidR="00632EF9" w:rsidRPr="00C124C5" w:rsidRDefault="00C124C5" w:rsidP="00C124C5">
            <w:pPr>
              <w:widowControl w:val="0"/>
              <w:spacing w:line="276" w:lineRule="auto"/>
              <w:ind w:left="360"/>
              <w:jc w:val="center"/>
              <w:rPr>
                <w:rFonts w:ascii="Bookman Old Style" w:eastAsia="Bookman Old Style" w:hAnsi="Bookman Old Style" w:cs="Bookman Old Style"/>
                <w:sz w:val="22"/>
                <w:szCs w:val="22"/>
              </w:rPr>
            </w:pPr>
            <w:r w:rsidRPr="00C124C5">
              <w:rPr>
                <w:rFonts w:ascii="Bookman Old Style" w:eastAsia="Bookman Old Style" w:hAnsi="Bookman Old Style" w:cs="Bookman Old Style"/>
                <w:sz w:val="22"/>
                <w:szCs w:val="22"/>
              </w:rPr>
              <w:t>DEWAN KOMISIONER OTORITAS JASA KEUANGAN,</w:t>
            </w:r>
          </w:p>
        </w:tc>
        <w:tc>
          <w:tcPr>
            <w:tcW w:w="3759" w:type="dxa"/>
          </w:tcPr>
          <w:p w14:paraId="6F315CBC" w14:textId="77777777" w:rsidR="00632EF9" w:rsidRPr="00C124C5" w:rsidRDefault="00632EF9" w:rsidP="00C124C5">
            <w:pPr>
              <w:widowControl w:val="0"/>
              <w:spacing w:line="276" w:lineRule="auto"/>
              <w:ind w:left="360"/>
              <w:jc w:val="center"/>
              <w:rPr>
                <w:rFonts w:ascii="Bookman Old Style" w:eastAsia="Bookman Old Style" w:hAnsi="Bookman Old Style" w:cs="Bookman Old Style"/>
                <w:sz w:val="22"/>
                <w:szCs w:val="22"/>
              </w:rPr>
            </w:pPr>
          </w:p>
        </w:tc>
        <w:tc>
          <w:tcPr>
            <w:tcW w:w="2977" w:type="dxa"/>
          </w:tcPr>
          <w:p w14:paraId="273B1F36" w14:textId="77777777" w:rsidR="00632EF9" w:rsidRPr="00D628A0" w:rsidRDefault="00632EF9" w:rsidP="00D628A0">
            <w:pPr>
              <w:widowControl w:val="0"/>
              <w:spacing w:line="276" w:lineRule="auto"/>
              <w:jc w:val="center"/>
              <w:rPr>
                <w:rFonts w:ascii="Bookman Old Style" w:eastAsia="Bookman Old Style" w:hAnsi="Bookman Old Style" w:cs="Bookman Old Style"/>
                <w:sz w:val="22"/>
                <w:szCs w:val="22"/>
              </w:rPr>
            </w:pPr>
          </w:p>
        </w:tc>
        <w:tc>
          <w:tcPr>
            <w:tcW w:w="3543" w:type="dxa"/>
          </w:tcPr>
          <w:p w14:paraId="75E42EA8" w14:textId="77777777" w:rsidR="00632EF9" w:rsidRPr="00D628A0" w:rsidRDefault="00632EF9" w:rsidP="00D628A0">
            <w:pPr>
              <w:widowControl w:val="0"/>
              <w:spacing w:line="276" w:lineRule="auto"/>
              <w:jc w:val="center"/>
              <w:rPr>
                <w:rFonts w:ascii="Bookman Old Style" w:eastAsia="Bookman Old Style" w:hAnsi="Bookman Old Style" w:cs="Bookman Old Style"/>
                <w:sz w:val="22"/>
                <w:szCs w:val="22"/>
              </w:rPr>
            </w:pPr>
          </w:p>
        </w:tc>
      </w:tr>
      <w:tr w:rsidR="00632EF9" w:rsidRPr="00D628A0" w14:paraId="50508067" w14:textId="45D19EFD" w:rsidTr="0007415D">
        <w:tc>
          <w:tcPr>
            <w:tcW w:w="7865" w:type="dxa"/>
          </w:tcPr>
          <w:p w14:paraId="77E61214" w14:textId="77777777" w:rsidR="00632EF9" w:rsidRPr="00C124C5" w:rsidRDefault="00632EF9" w:rsidP="00C124C5">
            <w:pPr>
              <w:widowControl w:val="0"/>
              <w:spacing w:line="276" w:lineRule="auto"/>
              <w:ind w:left="360"/>
              <w:rPr>
                <w:rFonts w:ascii="Bookman Old Style" w:eastAsia="Bookman Old Style" w:hAnsi="Bookman Old Style" w:cs="Bookman Old Style"/>
                <w:sz w:val="22"/>
                <w:szCs w:val="22"/>
              </w:rPr>
            </w:pPr>
          </w:p>
        </w:tc>
        <w:tc>
          <w:tcPr>
            <w:tcW w:w="3759" w:type="dxa"/>
          </w:tcPr>
          <w:p w14:paraId="21A91B78" w14:textId="77777777" w:rsidR="00632EF9" w:rsidRPr="00C124C5" w:rsidRDefault="00632EF9" w:rsidP="00C124C5">
            <w:pPr>
              <w:widowControl w:val="0"/>
              <w:spacing w:line="276" w:lineRule="auto"/>
              <w:ind w:left="360"/>
              <w:rPr>
                <w:rFonts w:ascii="Bookman Old Style" w:eastAsia="Bookman Old Style" w:hAnsi="Bookman Old Style" w:cs="Bookman Old Style"/>
                <w:sz w:val="22"/>
                <w:szCs w:val="22"/>
              </w:rPr>
            </w:pPr>
          </w:p>
        </w:tc>
        <w:tc>
          <w:tcPr>
            <w:tcW w:w="2977" w:type="dxa"/>
          </w:tcPr>
          <w:p w14:paraId="2ACB622C" w14:textId="77777777" w:rsidR="00632EF9" w:rsidRPr="00D628A0" w:rsidRDefault="00632EF9" w:rsidP="00D628A0">
            <w:pPr>
              <w:widowControl w:val="0"/>
              <w:spacing w:line="276" w:lineRule="auto"/>
              <w:rPr>
                <w:rFonts w:ascii="Bookman Old Style" w:eastAsia="Bookman Old Style" w:hAnsi="Bookman Old Style" w:cs="Bookman Old Style"/>
                <w:sz w:val="22"/>
                <w:szCs w:val="22"/>
              </w:rPr>
            </w:pPr>
          </w:p>
        </w:tc>
        <w:tc>
          <w:tcPr>
            <w:tcW w:w="3543" w:type="dxa"/>
          </w:tcPr>
          <w:p w14:paraId="15CD1CDD" w14:textId="77777777" w:rsidR="00632EF9" w:rsidRPr="00D628A0" w:rsidRDefault="00632EF9" w:rsidP="00D628A0">
            <w:pPr>
              <w:widowControl w:val="0"/>
              <w:spacing w:line="276" w:lineRule="auto"/>
              <w:rPr>
                <w:rFonts w:ascii="Bookman Old Style" w:eastAsia="Bookman Old Style" w:hAnsi="Bookman Old Style" w:cs="Bookman Old Style"/>
                <w:sz w:val="22"/>
                <w:szCs w:val="22"/>
              </w:rPr>
            </w:pPr>
          </w:p>
        </w:tc>
      </w:tr>
      <w:tr w:rsidR="00632EF9" w:rsidRPr="00D628A0" w14:paraId="23D3C711" w14:textId="3DC7298D" w:rsidTr="0007415D">
        <w:tc>
          <w:tcPr>
            <w:tcW w:w="7865" w:type="dxa"/>
          </w:tcPr>
          <w:p w14:paraId="3B5AC211" w14:textId="52D8DC45" w:rsidR="00632EF9" w:rsidRPr="00C124C5" w:rsidRDefault="00C124C5" w:rsidP="00C124C5">
            <w:pPr>
              <w:widowControl w:val="0"/>
              <w:tabs>
                <w:tab w:val="left" w:pos="1701"/>
                <w:tab w:val="left" w:pos="1985"/>
                <w:tab w:val="left" w:pos="2268"/>
                <w:tab w:val="left" w:pos="2127"/>
                <w:tab w:val="left" w:pos="2552"/>
                <w:tab w:val="center" w:pos="4320"/>
                <w:tab w:val="right" w:pos="8640"/>
                <w:tab w:val="left" w:pos="1701"/>
                <w:tab w:val="left" w:pos="1985"/>
                <w:tab w:val="left" w:pos="2268"/>
                <w:tab w:val="left" w:pos="2552"/>
                <w:tab w:val="left" w:pos="3119"/>
                <w:tab w:val="left" w:pos="3686"/>
              </w:tabs>
              <w:spacing w:line="276" w:lineRule="auto"/>
              <w:jc w:val="both"/>
              <w:rPr>
                <w:rFonts w:ascii="Bookman Old Style" w:eastAsia="Bookman Old Style" w:hAnsi="Bookman Old Style" w:cs="Bookman Old Style"/>
                <w:color w:val="000000" w:themeColor="text1"/>
                <w:sz w:val="22"/>
                <w:szCs w:val="22"/>
              </w:rPr>
            </w:pPr>
            <w:r>
              <w:rPr>
                <w:rFonts w:ascii="Bookman Old Style" w:eastAsia="Bookman Old Style" w:hAnsi="Bookman Old Style" w:cs="Bookman Old Style"/>
                <w:color w:val="000000" w:themeColor="text1"/>
                <w:sz w:val="22"/>
                <w:szCs w:val="22"/>
              </w:rPr>
              <w:t>Menimbang:</w:t>
            </w:r>
          </w:p>
        </w:tc>
        <w:tc>
          <w:tcPr>
            <w:tcW w:w="3759" w:type="dxa"/>
          </w:tcPr>
          <w:p w14:paraId="4B5F67E3" w14:textId="32AEE4AD" w:rsidR="00632EF9" w:rsidRPr="00646B92" w:rsidRDefault="00646B92" w:rsidP="00646B92">
            <w:pPr>
              <w:pStyle w:val="ListParagraph"/>
              <w:widowControl w:val="0"/>
              <w:numPr>
                <w:ilvl w:val="0"/>
                <w:numId w:val="14"/>
              </w:numPr>
              <w:tabs>
                <w:tab w:val="left" w:pos="1701"/>
                <w:tab w:val="left" w:pos="1985"/>
                <w:tab w:val="left" w:pos="2268"/>
                <w:tab w:val="left" w:pos="2127"/>
                <w:tab w:val="left" w:pos="2552"/>
                <w:tab w:val="center" w:pos="4320"/>
                <w:tab w:val="right" w:pos="8640"/>
                <w:tab w:val="left" w:pos="1701"/>
                <w:tab w:val="left" w:pos="1985"/>
                <w:tab w:val="left" w:pos="2268"/>
                <w:tab w:val="left" w:pos="2552"/>
                <w:tab w:val="left" w:pos="3119"/>
                <w:tab w:val="left" w:pos="3686"/>
              </w:tabs>
              <w:spacing w:line="276"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UMUM</w:t>
            </w:r>
          </w:p>
        </w:tc>
        <w:tc>
          <w:tcPr>
            <w:tcW w:w="2977" w:type="dxa"/>
          </w:tcPr>
          <w:p w14:paraId="5CC42C66" w14:textId="77777777" w:rsidR="00632EF9" w:rsidRPr="00D628A0" w:rsidRDefault="00632EF9" w:rsidP="00D628A0">
            <w:pPr>
              <w:widowControl w:val="0"/>
              <w:tabs>
                <w:tab w:val="left" w:pos="1701"/>
                <w:tab w:val="left" w:pos="1985"/>
                <w:tab w:val="left" w:pos="2268"/>
                <w:tab w:val="left" w:pos="2127"/>
                <w:tab w:val="left" w:pos="2552"/>
                <w:tab w:val="center" w:pos="4320"/>
                <w:tab w:val="right" w:pos="8640"/>
                <w:tab w:val="left" w:pos="1701"/>
                <w:tab w:val="left" w:pos="1985"/>
                <w:tab w:val="left" w:pos="2268"/>
                <w:tab w:val="left" w:pos="2552"/>
                <w:tab w:val="left" w:pos="3119"/>
                <w:tab w:val="left" w:pos="3686"/>
              </w:tabs>
              <w:spacing w:line="276" w:lineRule="auto"/>
              <w:jc w:val="both"/>
              <w:rPr>
                <w:rFonts w:ascii="Bookman Old Style" w:eastAsia="Bookman Old Style" w:hAnsi="Bookman Old Style" w:cs="Bookman Old Style"/>
                <w:sz w:val="22"/>
                <w:szCs w:val="22"/>
              </w:rPr>
            </w:pPr>
          </w:p>
        </w:tc>
        <w:tc>
          <w:tcPr>
            <w:tcW w:w="3543" w:type="dxa"/>
          </w:tcPr>
          <w:p w14:paraId="1C91D0DB" w14:textId="77777777" w:rsidR="00632EF9" w:rsidRPr="00D628A0" w:rsidRDefault="00632EF9" w:rsidP="00D628A0">
            <w:pPr>
              <w:widowControl w:val="0"/>
              <w:tabs>
                <w:tab w:val="left" w:pos="1701"/>
                <w:tab w:val="left" w:pos="1985"/>
                <w:tab w:val="left" w:pos="2268"/>
                <w:tab w:val="left" w:pos="2127"/>
                <w:tab w:val="left" w:pos="2552"/>
                <w:tab w:val="center" w:pos="4320"/>
                <w:tab w:val="right" w:pos="8640"/>
                <w:tab w:val="left" w:pos="1701"/>
                <w:tab w:val="left" w:pos="1985"/>
                <w:tab w:val="left" w:pos="2268"/>
                <w:tab w:val="left" w:pos="2552"/>
                <w:tab w:val="left" w:pos="3119"/>
                <w:tab w:val="left" w:pos="3686"/>
              </w:tabs>
              <w:spacing w:line="276" w:lineRule="auto"/>
              <w:jc w:val="both"/>
              <w:rPr>
                <w:rFonts w:ascii="Bookman Old Style" w:eastAsia="Bookman Old Style" w:hAnsi="Bookman Old Style" w:cs="Bookman Old Style"/>
                <w:sz w:val="22"/>
                <w:szCs w:val="22"/>
              </w:rPr>
            </w:pPr>
          </w:p>
        </w:tc>
      </w:tr>
      <w:tr w:rsidR="00646B92" w:rsidRPr="00D628A0" w14:paraId="023E3D5A" w14:textId="375E1308" w:rsidTr="0007415D">
        <w:tc>
          <w:tcPr>
            <w:tcW w:w="7865" w:type="dxa"/>
          </w:tcPr>
          <w:p w14:paraId="374C3948" w14:textId="1F53C2AB" w:rsidR="00646B92" w:rsidRPr="00C124C5" w:rsidRDefault="00646B92" w:rsidP="006D063E">
            <w:pPr>
              <w:pStyle w:val="ListParagraph"/>
              <w:numPr>
                <w:ilvl w:val="0"/>
                <w:numId w:val="2"/>
              </w:numPr>
              <w:spacing w:line="276" w:lineRule="auto"/>
              <w:jc w:val="both"/>
              <w:rPr>
                <w:rFonts w:ascii="Bookman Old Style" w:eastAsia="Bookman Old Style" w:hAnsi="Bookman Old Style" w:cs="Bookman Old Style"/>
                <w:sz w:val="22"/>
                <w:szCs w:val="22"/>
              </w:rPr>
            </w:pPr>
            <w:r w:rsidRPr="00DB02E6">
              <w:rPr>
                <w:rFonts w:ascii="Bookman Old Style" w:eastAsia="Bookman Old Style" w:hAnsi="Bookman Old Style" w:cs="Bookman Old Style"/>
                <w:sz w:val="22"/>
                <w:szCs w:val="22"/>
              </w:rPr>
              <w:t>bahwa emiten atau perusahaan publik perlu menyajikan laporan keuangan yang berkualitas tinggi sehingga dapat memberikan informasi yang akurat dan komprehensif bagi seluruh pihak yang berkepentingan, khususnya investor</w:t>
            </w:r>
            <w:r w:rsidRPr="00C124C5">
              <w:rPr>
                <w:rFonts w:ascii="Bookman Old Style" w:eastAsia="Bookman Old Style" w:hAnsi="Bookman Old Style" w:cs="Bookman Old Style"/>
                <w:sz w:val="22"/>
                <w:szCs w:val="22"/>
              </w:rPr>
              <w:t>;</w:t>
            </w:r>
          </w:p>
        </w:tc>
        <w:tc>
          <w:tcPr>
            <w:tcW w:w="3759" w:type="dxa"/>
            <w:vMerge w:val="restart"/>
          </w:tcPr>
          <w:p w14:paraId="7A667558" w14:textId="77777777" w:rsidR="00646B92" w:rsidRDefault="00646B92" w:rsidP="00646B92">
            <w:pPr>
              <w:spacing w:line="276" w:lineRule="auto"/>
              <w:ind w:firstLine="400"/>
              <w:jc w:val="both"/>
              <w:rPr>
                <w:rFonts w:ascii="Bookman Old Style" w:eastAsia="Bookman Old Style" w:hAnsi="Bookman Old Style" w:cs="Bookman Old Style"/>
                <w:sz w:val="22"/>
                <w:szCs w:val="22"/>
              </w:rPr>
            </w:pPr>
            <w:r w:rsidRPr="00646B92">
              <w:rPr>
                <w:rFonts w:ascii="Bookman Old Style" w:eastAsia="Bookman Old Style" w:hAnsi="Bookman Old Style" w:cs="Bookman Old Style"/>
                <w:sz w:val="22"/>
                <w:szCs w:val="22"/>
              </w:rPr>
              <w:t xml:space="preserve">Emiten atau Perusahaan Publik merupakan salah satu pilar fundamental dalam menopang dan menggerakkan dinamika dunia usaha. Aktivitas dan ekspansi yang dilakukan Emiten atau Perusahaan Publik secara langsung berkontribusi pada pertumbuhan ekonomi nasional. Pentingnya peran Emiten atau Perusahaan Publik harus diikuti dengan adanya pertanggungjawaban dan akuntabilitas. Salah satu wujud </w:t>
            </w:r>
            <w:r w:rsidRPr="00646B92">
              <w:rPr>
                <w:rFonts w:ascii="Bookman Old Style" w:eastAsia="Bookman Old Style" w:hAnsi="Bookman Old Style" w:cs="Bookman Old Style"/>
                <w:sz w:val="22"/>
                <w:szCs w:val="22"/>
              </w:rPr>
              <w:lastRenderedPageBreak/>
              <w:t>pertanggungjawaban dan akuntabilitas Emiten atau Perusahaan Publik bagi pemangku kepentingan melalui penyusunan laporan keuangan. Pada tahun 2012, Bapepam dan LK menerbitkan Peraturan Nomor VIII.G.7 tentang Penyajian dan Pengungkapan Laporan Keuangan Emiten atau Perusahaan Publik yang bertujuan sebagai pedoman bagi Emiten atau Perusahaan Publik dalam menyusun laporan keuangan. Ketentuan yang ada pada Peraturan Nomor VIII.G.7 disusun berdasarkan standar akuntansi keuangan dan peraturan terkait lainnya yang berlaku pada tahun 2012.</w:t>
            </w:r>
          </w:p>
          <w:p w14:paraId="4BD354FB" w14:textId="77777777" w:rsidR="00646B92" w:rsidRDefault="00646B92" w:rsidP="00646B92">
            <w:pPr>
              <w:spacing w:line="276" w:lineRule="auto"/>
              <w:ind w:firstLine="400"/>
              <w:jc w:val="both"/>
              <w:rPr>
                <w:rFonts w:ascii="Bookman Old Style" w:eastAsia="Bookman Old Style" w:hAnsi="Bookman Old Style" w:cs="Bookman Old Style"/>
                <w:sz w:val="22"/>
                <w:szCs w:val="22"/>
              </w:rPr>
            </w:pPr>
            <w:r w:rsidRPr="00646B92">
              <w:rPr>
                <w:rFonts w:ascii="Bookman Old Style" w:eastAsia="Bookman Old Style" w:hAnsi="Bookman Old Style" w:cs="Bookman Old Style"/>
                <w:sz w:val="22"/>
                <w:szCs w:val="22"/>
              </w:rPr>
              <w:t xml:space="preserve">Pada tahun 2025, Pernyataan Standar Akuntansi Keuangan 201 tentang Penyajian Laporan Keuangan yang menjadi acuan utama dalam penyusunan Peraturan Nomor VIII.G.7 telah digantikan oleh Pernyataan Standar Akuntansi Keuangan </w:t>
            </w:r>
            <w:r w:rsidRPr="00646B92">
              <w:rPr>
                <w:rFonts w:ascii="Bookman Old Style" w:eastAsia="Bookman Old Style" w:hAnsi="Bookman Old Style" w:cs="Bookman Old Style"/>
                <w:sz w:val="22"/>
                <w:szCs w:val="22"/>
              </w:rPr>
              <w:lastRenderedPageBreak/>
              <w:t xml:space="preserve">118 tentang Penyajian dan Pengungkapan dalam Laporan Keuangan dan akan berlaku efektif pada tanggal 1 Januari 2027. Dengan diubahnya PSAK 201 serta perubahan pernyataan standar akuntansi keuangan lain yang masif sejak konvergensi Pernyataan Standar Akuntansi Keuangan ke </w:t>
            </w:r>
            <w:r w:rsidRPr="00646B92">
              <w:rPr>
                <w:rFonts w:ascii="Bookman Old Style" w:eastAsia="Bookman Old Style" w:hAnsi="Bookman Old Style" w:cs="Bookman Old Style"/>
                <w:i/>
                <w:sz w:val="22"/>
                <w:szCs w:val="22"/>
              </w:rPr>
              <w:t>International Financial Reporting Standards</w:t>
            </w:r>
            <w:r w:rsidRPr="00646B92">
              <w:rPr>
                <w:rFonts w:ascii="Bookman Old Style" w:eastAsia="Bookman Old Style" w:hAnsi="Bookman Old Style" w:cs="Bookman Old Style"/>
                <w:sz w:val="22"/>
                <w:szCs w:val="22"/>
              </w:rPr>
              <w:t xml:space="preserve"> tahap 2 pada tahun 2015, maka Peraturan Nomor VIII.G.7 menjadi sudah tidak relevan terhadap standar akuntansi keuangan yang berlaku. Dengan fakta, standar akuntansi keuangan merupakan pedoman umum yang harus diikuti oleh Emiten atau Perusahaan Publik dalam menyusun laporan keuangan, hal ini berpotensi menimbulkan permasalahan kepastian hukum, pelindungan investor, dan ketidakefisienan biaya penyusunan laporan keuangan.</w:t>
            </w:r>
          </w:p>
          <w:p w14:paraId="1CAF4692" w14:textId="5E85BDE8" w:rsidR="00646B92" w:rsidRPr="00C124C5" w:rsidRDefault="00646B92" w:rsidP="00646B92">
            <w:pPr>
              <w:spacing w:line="276" w:lineRule="auto"/>
              <w:ind w:firstLine="400"/>
              <w:jc w:val="both"/>
              <w:rPr>
                <w:rFonts w:ascii="Bookman Old Style" w:eastAsia="Bookman Old Style" w:hAnsi="Bookman Old Style" w:cs="Bookman Old Style"/>
                <w:sz w:val="22"/>
                <w:szCs w:val="22"/>
              </w:rPr>
            </w:pPr>
            <w:r w:rsidRPr="00646B92">
              <w:rPr>
                <w:rFonts w:ascii="Bookman Old Style" w:eastAsia="Bookman Old Style" w:hAnsi="Bookman Old Style" w:cs="Bookman Old Style"/>
                <w:sz w:val="22"/>
                <w:szCs w:val="22"/>
              </w:rPr>
              <w:lastRenderedPageBreak/>
              <w:t>Melihat kondisi tersebut dan dalam rangka meningkatkan daya banding laporan keuangan Emiten atau Perusahaan Publik yang menerapkan prinsip substansi ekonomi mengungguli bentuk (</w:t>
            </w:r>
            <w:r w:rsidRPr="00646B92">
              <w:rPr>
                <w:rFonts w:ascii="Bookman Old Style" w:eastAsia="Bookman Old Style" w:hAnsi="Bookman Old Style" w:cs="Bookman Old Style"/>
                <w:i/>
                <w:sz w:val="22"/>
                <w:szCs w:val="22"/>
              </w:rPr>
              <w:t>substance over the form</w:t>
            </w:r>
            <w:r w:rsidRPr="00646B92">
              <w:rPr>
                <w:rFonts w:ascii="Bookman Old Style" w:eastAsia="Bookman Old Style" w:hAnsi="Bookman Old Style" w:cs="Bookman Old Style"/>
                <w:sz w:val="22"/>
                <w:szCs w:val="22"/>
              </w:rPr>
              <w:t>), serta untuk memberikan landasan hukum bagi Emiten atau Perusahaan Publik dalam menyusun laporan keuangan sesuai dengan ketentuan terbaru dari standar akuntansi keuangan, maka perlu diatur ketentuan mengenai penyusunan laporan keuangan Emiten atau Perusahaan Publik berdasarkan standar akuntansi keuangan terkini.</w:t>
            </w:r>
          </w:p>
        </w:tc>
        <w:tc>
          <w:tcPr>
            <w:tcW w:w="2977" w:type="dxa"/>
          </w:tcPr>
          <w:p w14:paraId="4780988B" w14:textId="77777777" w:rsidR="00646B92" w:rsidRPr="00D628A0" w:rsidRDefault="00646B92" w:rsidP="00D628A0">
            <w:pPr>
              <w:spacing w:line="276" w:lineRule="auto"/>
              <w:rPr>
                <w:rFonts w:ascii="Bookman Old Style" w:eastAsia="Bookman Old Style" w:hAnsi="Bookman Old Style" w:cs="Bookman Old Style"/>
                <w:sz w:val="22"/>
                <w:szCs w:val="22"/>
              </w:rPr>
            </w:pPr>
          </w:p>
        </w:tc>
        <w:tc>
          <w:tcPr>
            <w:tcW w:w="3543" w:type="dxa"/>
          </w:tcPr>
          <w:p w14:paraId="2F0CF27A" w14:textId="77777777" w:rsidR="00646B92" w:rsidRPr="00D628A0" w:rsidRDefault="00646B92" w:rsidP="00D628A0">
            <w:pPr>
              <w:spacing w:line="276" w:lineRule="auto"/>
              <w:rPr>
                <w:rFonts w:ascii="Bookman Old Style" w:eastAsia="Bookman Old Style" w:hAnsi="Bookman Old Style" w:cs="Bookman Old Style"/>
                <w:sz w:val="22"/>
                <w:szCs w:val="22"/>
              </w:rPr>
            </w:pPr>
          </w:p>
        </w:tc>
      </w:tr>
      <w:tr w:rsidR="00646B92" w:rsidRPr="00D628A0" w14:paraId="0E3F0E71" w14:textId="40A7DF51" w:rsidTr="0007415D">
        <w:tc>
          <w:tcPr>
            <w:tcW w:w="7865" w:type="dxa"/>
          </w:tcPr>
          <w:p w14:paraId="28C45008" w14:textId="1E802E8D" w:rsidR="00646B92" w:rsidRPr="00C124C5" w:rsidRDefault="00646B92" w:rsidP="006D063E">
            <w:pPr>
              <w:pStyle w:val="ListParagraph"/>
              <w:numPr>
                <w:ilvl w:val="0"/>
                <w:numId w:val="2"/>
              </w:numPr>
              <w:spacing w:line="276" w:lineRule="auto"/>
              <w:jc w:val="both"/>
              <w:rPr>
                <w:rFonts w:ascii="Bookman Old Style" w:eastAsia="Bookman Old Style" w:hAnsi="Bookman Old Style" w:cs="Bookman Old Style"/>
                <w:sz w:val="22"/>
                <w:szCs w:val="22"/>
              </w:rPr>
            </w:pPr>
            <w:r w:rsidRPr="00DB02E6">
              <w:rPr>
                <w:rFonts w:ascii="Bookman Old Style" w:eastAsia="Bookman Old Style" w:hAnsi="Bookman Old Style" w:cs="Bookman Old Style"/>
                <w:sz w:val="22"/>
                <w:szCs w:val="22"/>
              </w:rPr>
              <w:t>bahwa untuk menyajikan laporan keuangan emiten atau perusahaan publik yang berkualitas tinggi, perlu meningkatkan kualitas transparansi, keterbukaan, keseragaman penyusunan, dan daya banding laporan keuangan emiten atau perusahaan publik yang menerapkan prinsip substansi ekonomi mengungguli bentuk</w:t>
            </w:r>
            <w:r w:rsidRPr="00C124C5">
              <w:rPr>
                <w:rFonts w:ascii="Bookman Old Style" w:eastAsia="Bookman Old Style" w:hAnsi="Bookman Old Style" w:cs="Bookman Old Style"/>
                <w:sz w:val="22"/>
                <w:szCs w:val="22"/>
              </w:rPr>
              <w:t>;</w:t>
            </w:r>
          </w:p>
        </w:tc>
        <w:tc>
          <w:tcPr>
            <w:tcW w:w="3759" w:type="dxa"/>
            <w:vMerge/>
          </w:tcPr>
          <w:p w14:paraId="7533BBB2" w14:textId="77777777" w:rsidR="00646B92" w:rsidRPr="00C124C5" w:rsidRDefault="00646B92" w:rsidP="00C124C5">
            <w:pPr>
              <w:spacing w:line="276" w:lineRule="auto"/>
              <w:ind w:left="360"/>
              <w:jc w:val="center"/>
              <w:rPr>
                <w:rFonts w:ascii="Bookman Old Style" w:eastAsia="Bookman Old Style" w:hAnsi="Bookman Old Style" w:cs="Bookman Old Style"/>
                <w:sz w:val="22"/>
                <w:szCs w:val="22"/>
              </w:rPr>
            </w:pPr>
          </w:p>
        </w:tc>
        <w:tc>
          <w:tcPr>
            <w:tcW w:w="2977" w:type="dxa"/>
          </w:tcPr>
          <w:p w14:paraId="4C729727" w14:textId="77777777" w:rsidR="00646B92" w:rsidRPr="00D628A0" w:rsidRDefault="00646B92" w:rsidP="00D628A0">
            <w:pPr>
              <w:spacing w:line="276" w:lineRule="auto"/>
              <w:jc w:val="center"/>
              <w:rPr>
                <w:rFonts w:ascii="Bookman Old Style" w:eastAsia="Bookman Old Style" w:hAnsi="Bookman Old Style" w:cs="Bookman Old Style"/>
                <w:sz w:val="22"/>
                <w:szCs w:val="22"/>
              </w:rPr>
            </w:pPr>
          </w:p>
        </w:tc>
        <w:tc>
          <w:tcPr>
            <w:tcW w:w="3543" w:type="dxa"/>
          </w:tcPr>
          <w:p w14:paraId="032F079D" w14:textId="77777777" w:rsidR="00646B92" w:rsidRPr="00D628A0" w:rsidRDefault="00646B92" w:rsidP="00D628A0">
            <w:pPr>
              <w:spacing w:line="276" w:lineRule="auto"/>
              <w:jc w:val="center"/>
              <w:rPr>
                <w:rFonts w:ascii="Bookman Old Style" w:eastAsia="Bookman Old Style" w:hAnsi="Bookman Old Style" w:cs="Bookman Old Style"/>
                <w:sz w:val="22"/>
                <w:szCs w:val="22"/>
              </w:rPr>
            </w:pPr>
          </w:p>
        </w:tc>
      </w:tr>
      <w:tr w:rsidR="00646B92" w:rsidRPr="00D628A0" w14:paraId="08059906" w14:textId="499027CD" w:rsidTr="0007415D">
        <w:tc>
          <w:tcPr>
            <w:tcW w:w="7865" w:type="dxa"/>
          </w:tcPr>
          <w:p w14:paraId="2419ACC4" w14:textId="55900975" w:rsidR="00646B92" w:rsidRPr="00C124C5" w:rsidRDefault="00646B92" w:rsidP="006D063E">
            <w:pPr>
              <w:pStyle w:val="ListParagraph"/>
              <w:numPr>
                <w:ilvl w:val="0"/>
                <w:numId w:val="2"/>
              </w:numPr>
              <w:spacing w:line="276" w:lineRule="auto"/>
              <w:jc w:val="both"/>
              <w:rPr>
                <w:rFonts w:ascii="Bookman Old Style" w:eastAsia="Bookman Old Style" w:hAnsi="Bookman Old Style" w:cs="Bookman Old Style"/>
                <w:sz w:val="22"/>
                <w:szCs w:val="22"/>
              </w:rPr>
            </w:pPr>
            <w:r w:rsidRPr="00DB02E6">
              <w:rPr>
                <w:rFonts w:ascii="Bookman Old Style" w:eastAsia="Bookman Old Style" w:hAnsi="Bookman Old Style" w:cs="Bookman Old Style"/>
                <w:sz w:val="22"/>
                <w:szCs w:val="22"/>
              </w:rPr>
              <w:t xml:space="preserve">bahwa standar dan pedoman akuntansi yang berlaku perlu terus disempurnakan sejalan dengan perkembangan transaksi dan produk pasar modal serta harmonisasi dengan standar akuntansi internasional melalui program konvergensi pernyataan standar akuntansi keuangan ke </w:t>
            </w:r>
            <w:r w:rsidRPr="00DB02E6">
              <w:rPr>
                <w:rFonts w:ascii="Bookman Old Style" w:eastAsia="Bookman Old Style" w:hAnsi="Bookman Old Style" w:cs="Bookman Old Style"/>
                <w:i/>
                <w:sz w:val="22"/>
                <w:szCs w:val="22"/>
              </w:rPr>
              <w:t>international financial reporting standard</w:t>
            </w:r>
            <w:r w:rsidRPr="00C124C5">
              <w:rPr>
                <w:rFonts w:ascii="Bookman Old Style" w:eastAsia="Bookman Old Style" w:hAnsi="Bookman Old Style" w:cs="Bookman Old Style"/>
                <w:sz w:val="22"/>
                <w:szCs w:val="22"/>
              </w:rPr>
              <w:t>;</w:t>
            </w:r>
          </w:p>
        </w:tc>
        <w:tc>
          <w:tcPr>
            <w:tcW w:w="3759" w:type="dxa"/>
            <w:vMerge/>
          </w:tcPr>
          <w:p w14:paraId="0C4A0DA1" w14:textId="77777777" w:rsidR="00646B92" w:rsidRPr="00C124C5" w:rsidRDefault="00646B92" w:rsidP="00C124C5">
            <w:pPr>
              <w:spacing w:line="276" w:lineRule="auto"/>
              <w:ind w:left="360"/>
              <w:jc w:val="center"/>
              <w:rPr>
                <w:rFonts w:ascii="Bookman Old Style" w:eastAsia="Bookman Old Style" w:hAnsi="Bookman Old Style" w:cs="Bookman Old Style"/>
                <w:sz w:val="22"/>
                <w:szCs w:val="22"/>
              </w:rPr>
            </w:pPr>
          </w:p>
        </w:tc>
        <w:tc>
          <w:tcPr>
            <w:tcW w:w="2977" w:type="dxa"/>
          </w:tcPr>
          <w:p w14:paraId="18C6AB80" w14:textId="77777777" w:rsidR="00646B92" w:rsidRPr="00D628A0" w:rsidRDefault="00646B92" w:rsidP="00D628A0">
            <w:pPr>
              <w:spacing w:line="276" w:lineRule="auto"/>
              <w:jc w:val="center"/>
              <w:rPr>
                <w:rFonts w:ascii="Bookman Old Style" w:eastAsia="Bookman Old Style" w:hAnsi="Bookman Old Style" w:cs="Bookman Old Style"/>
                <w:sz w:val="22"/>
                <w:szCs w:val="22"/>
              </w:rPr>
            </w:pPr>
          </w:p>
        </w:tc>
        <w:tc>
          <w:tcPr>
            <w:tcW w:w="3543" w:type="dxa"/>
          </w:tcPr>
          <w:p w14:paraId="3A53CCAC" w14:textId="77777777" w:rsidR="00646B92" w:rsidRPr="00D628A0" w:rsidRDefault="00646B92" w:rsidP="00D628A0">
            <w:pPr>
              <w:spacing w:line="276" w:lineRule="auto"/>
              <w:jc w:val="center"/>
              <w:rPr>
                <w:rFonts w:ascii="Bookman Old Style" w:eastAsia="Bookman Old Style" w:hAnsi="Bookman Old Style" w:cs="Bookman Old Style"/>
                <w:sz w:val="22"/>
                <w:szCs w:val="22"/>
              </w:rPr>
            </w:pPr>
          </w:p>
        </w:tc>
      </w:tr>
      <w:tr w:rsidR="00646B92" w:rsidRPr="00D628A0" w14:paraId="084F1E68" w14:textId="52C2A7BB" w:rsidTr="0007415D">
        <w:tc>
          <w:tcPr>
            <w:tcW w:w="7865" w:type="dxa"/>
          </w:tcPr>
          <w:p w14:paraId="59CC2909" w14:textId="3BE9663C" w:rsidR="00646B92" w:rsidRPr="00C124C5" w:rsidRDefault="00646B92" w:rsidP="006D063E">
            <w:pPr>
              <w:pStyle w:val="ListParagraph"/>
              <w:numPr>
                <w:ilvl w:val="0"/>
                <w:numId w:val="2"/>
              </w:numPr>
              <w:spacing w:line="276" w:lineRule="auto"/>
              <w:jc w:val="both"/>
              <w:rPr>
                <w:rFonts w:ascii="Bookman Old Style" w:eastAsia="Bookman Old Style" w:hAnsi="Bookman Old Style" w:cs="Bookman Old Style"/>
                <w:sz w:val="22"/>
                <w:szCs w:val="22"/>
              </w:rPr>
            </w:pPr>
            <w:r w:rsidRPr="00DB02E6">
              <w:rPr>
                <w:rFonts w:ascii="Bookman Old Style" w:eastAsia="Bookman Old Style" w:hAnsi="Bookman Old Style" w:cs="Bookman Old Style"/>
                <w:sz w:val="22"/>
                <w:szCs w:val="22"/>
              </w:rPr>
              <w:lastRenderedPageBreak/>
              <w:t>bahwa berdasarkan pertimbangan sebagaimana dimaksud dalam huruf a, huruf b, dan huruf c, perlu menetapkan Peraturan Otoritas Jasa Keuangan tentang Penyusunan Laporan Keuangan Emiten atau Perusahaan Publik</w:t>
            </w:r>
            <w:r w:rsidRPr="00C124C5">
              <w:rPr>
                <w:rFonts w:ascii="Bookman Old Style" w:eastAsia="Bookman Old Style" w:hAnsi="Bookman Old Style" w:cs="Bookman Old Style"/>
                <w:sz w:val="22"/>
                <w:szCs w:val="22"/>
              </w:rPr>
              <w:t>;</w:t>
            </w:r>
          </w:p>
        </w:tc>
        <w:tc>
          <w:tcPr>
            <w:tcW w:w="3759" w:type="dxa"/>
            <w:vMerge/>
          </w:tcPr>
          <w:p w14:paraId="5ADFC33A" w14:textId="77777777" w:rsidR="00646B92" w:rsidRPr="00C124C5" w:rsidRDefault="00646B92" w:rsidP="00C124C5">
            <w:pPr>
              <w:widowControl w:val="0"/>
              <w:tabs>
                <w:tab w:val="left" w:pos="1701"/>
                <w:tab w:val="left" w:pos="1843"/>
                <w:tab w:val="left" w:pos="1985"/>
                <w:tab w:val="left" w:pos="2552"/>
                <w:tab w:val="left" w:pos="3119"/>
                <w:tab w:val="left" w:pos="3686"/>
                <w:tab w:val="center" w:pos="4320"/>
                <w:tab w:val="right" w:pos="8640"/>
                <w:tab w:val="left" w:pos="1701"/>
                <w:tab w:val="left" w:pos="1985"/>
              </w:tabs>
              <w:spacing w:line="276" w:lineRule="auto"/>
              <w:ind w:left="360"/>
              <w:jc w:val="both"/>
              <w:rPr>
                <w:rFonts w:ascii="Bookman Old Style" w:eastAsia="Bookman Old Style" w:hAnsi="Bookman Old Style" w:cs="Bookman Old Style"/>
                <w:sz w:val="22"/>
                <w:szCs w:val="22"/>
              </w:rPr>
            </w:pPr>
          </w:p>
        </w:tc>
        <w:tc>
          <w:tcPr>
            <w:tcW w:w="2977" w:type="dxa"/>
          </w:tcPr>
          <w:p w14:paraId="31232667" w14:textId="77777777" w:rsidR="00646B92" w:rsidRPr="00D628A0" w:rsidRDefault="00646B92" w:rsidP="00D628A0">
            <w:pPr>
              <w:widowControl w:val="0"/>
              <w:tabs>
                <w:tab w:val="left" w:pos="1701"/>
                <w:tab w:val="left" w:pos="1843"/>
                <w:tab w:val="left" w:pos="1985"/>
                <w:tab w:val="left" w:pos="2552"/>
                <w:tab w:val="left" w:pos="3119"/>
                <w:tab w:val="left" w:pos="3686"/>
                <w:tab w:val="center" w:pos="4320"/>
                <w:tab w:val="right" w:pos="8640"/>
                <w:tab w:val="left" w:pos="1701"/>
                <w:tab w:val="left" w:pos="1985"/>
              </w:tabs>
              <w:spacing w:line="276" w:lineRule="auto"/>
              <w:jc w:val="both"/>
              <w:rPr>
                <w:rFonts w:ascii="Bookman Old Style" w:eastAsia="Bookman Old Style" w:hAnsi="Bookman Old Style" w:cs="Bookman Old Style"/>
                <w:sz w:val="22"/>
                <w:szCs w:val="22"/>
              </w:rPr>
            </w:pPr>
          </w:p>
        </w:tc>
        <w:tc>
          <w:tcPr>
            <w:tcW w:w="3543" w:type="dxa"/>
          </w:tcPr>
          <w:p w14:paraId="10A983A8" w14:textId="77777777" w:rsidR="00646B92" w:rsidRPr="00D628A0" w:rsidRDefault="00646B92" w:rsidP="00D628A0">
            <w:pPr>
              <w:widowControl w:val="0"/>
              <w:tabs>
                <w:tab w:val="left" w:pos="1701"/>
                <w:tab w:val="left" w:pos="1843"/>
                <w:tab w:val="left" w:pos="1985"/>
                <w:tab w:val="left" w:pos="2552"/>
                <w:tab w:val="left" w:pos="3119"/>
                <w:tab w:val="left" w:pos="3686"/>
                <w:tab w:val="center" w:pos="4320"/>
                <w:tab w:val="right" w:pos="8640"/>
                <w:tab w:val="left" w:pos="1701"/>
                <w:tab w:val="left" w:pos="1985"/>
              </w:tabs>
              <w:spacing w:line="276" w:lineRule="auto"/>
              <w:jc w:val="both"/>
              <w:rPr>
                <w:rFonts w:ascii="Bookman Old Style" w:eastAsia="Bookman Old Style" w:hAnsi="Bookman Old Style" w:cs="Bookman Old Style"/>
                <w:sz w:val="22"/>
                <w:szCs w:val="22"/>
              </w:rPr>
            </w:pPr>
          </w:p>
        </w:tc>
      </w:tr>
      <w:tr w:rsidR="00646B92" w:rsidRPr="00D628A0" w14:paraId="5EB3535C" w14:textId="77777777" w:rsidTr="0007415D">
        <w:tc>
          <w:tcPr>
            <w:tcW w:w="7865" w:type="dxa"/>
          </w:tcPr>
          <w:p w14:paraId="116780F8" w14:textId="620D4748" w:rsidR="00646B92" w:rsidRPr="00C124C5" w:rsidRDefault="00646B92" w:rsidP="00C124C5">
            <w:pPr>
              <w:widowControl w:val="0"/>
              <w:tabs>
                <w:tab w:val="left" w:pos="1701"/>
                <w:tab w:val="left" w:pos="1843"/>
                <w:tab w:val="left" w:pos="1985"/>
                <w:tab w:val="left" w:pos="2552"/>
                <w:tab w:val="left" w:pos="3119"/>
                <w:tab w:val="left" w:pos="3686"/>
                <w:tab w:val="center" w:pos="4320"/>
                <w:tab w:val="right" w:pos="8640"/>
                <w:tab w:val="left" w:pos="1701"/>
                <w:tab w:val="left" w:pos="1985"/>
              </w:tabs>
              <w:spacing w:line="276" w:lineRule="auto"/>
              <w:ind w:left="360"/>
              <w:jc w:val="both"/>
              <w:rPr>
                <w:rFonts w:ascii="Bookman Old Style" w:eastAsia="Bookman Old Style" w:hAnsi="Bookman Old Style" w:cs="Bookman Old Style"/>
                <w:sz w:val="22"/>
                <w:szCs w:val="22"/>
              </w:rPr>
            </w:pPr>
          </w:p>
        </w:tc>
        <w:tc>
          <w:tcPr>
            <w:tcW w:w="3759" w:type="dxa"/>
            <w:vMerge/>
          </w:tcPr>
          <w:p w14:paraId="4ACB5913" w14:textId="77777777" w:rsidR="00646B92" w:rsidRPr="00C124C5" w:rsidRDefault="00646B92" w:rsidP="00C124C5">
            <w:pPr>
              <w:widowControl w:val="0"/>
              <w:tabs>
                <w:tab w:val="left" w:pos="1701"/>
                <w:tab w:val="left" w:pos="1843"/>
                <w:tab w:val="left" w:pos="1985"/>
                <w:tab w:val="left" w:pos="2552"/>
                <w:tab w:val="left" w:pos="3119"/>
                <w:tab w:val="left" w:pos="3686"/>
                <w:tab w:val="center" w:pos="4320"/>
                <w:tab w:val="right" w:pos="8640"/>
                <w:tab w:val="left" w:pos="1701"/>
                <w:tab w:val="left" w:pos="1985"/>
              </w:tabs>
              <w:spacing w:line="276" w:lineRule="auto"/>
              <w:ind w:left="360"/>
              <w:jc w:val="both"/>
              <w:rPr>
                <w:rFonts w:ascii="Bookman Old Style" w:eastAsia="Bookman Old Style" w:hAnsi="Bookman Old Style" w:cs="Bookman Old Style"/>
                <w:sz w:val="22"/>
                <w:szCs w:val="22"/>
              </w:rPr>
            </w:pPr>
          </w:p>
        </w:tc>
        <w:tc>
          <w:tcPr>
            <w:tcW w:w="2977" w:type="dxa"/>
          </w:tcPr>
          <w:p w14:paraId="76250378" w14:textId="77777777" w:rsidR="00646B92" w:rsidRPr="00D628A0" w:rsidRDefault="00646B92" w:rsidP="00D628A0">
            <w:pPr>
              <w:widowControl w:val="0"/>
              <w:tabs>
                <w:tab w:val="left" w:pos="1701"/>
                <w:tab w:val="left" w:pos="1843"/>
                <w:tab w:val="left" w:pos="1985"/>
                <w:tab w:val="left" w:pos="2552"/>
                <w:tab w:val="left" w:pos="3119"/>
                <w:tab w:val="left" w:pos="3686"/>
                <w:tab w:val="center" w:pos="4320"/>
                <w:tab w:val="right" w:pos="8640"/>
                <w:tab w:val="left" w:pos="1701"/>
                <w:tab w:val="left" w:pos="1985"/>
              </w:tabs>
              <w:spacing w:line="276" w:lineRule="auto"/>
              <w:jc w:val="both"/>
              <w:rPr>
                <w:rFonts w:ascii="Bookman Old Style" w:eastAsia="Bookman Old Style" w:hAnsi="Bookman Old Style" w:cs="Bookman Old Style"/>
                <w:sz w:val="22"/>
                <w:szCs w:val="22"/>
              </w:rPr>
            </w:pPr>
          </w:p>
        </w:tc>
        <w:tc>
          <w:tcPr>
            <w:tcW w:w="3543" w:type="dxa"/>
          </w:tcPr>
          <w:p w14:paraId="0502FD12" w14:textId="77777777" w:rsidR="00646B92" w:rsidRPr="00D628A0" w:rsidRDefault="00646B92" w:rsidP="00D628A0">
            <w:pPr>
              <w:widowControl w:val="0"/>
              <w:tabs>
                <w:tab w:val="left" w:pos="1701"/>
                <w:tab w:val="left" w:pos="1843"/>
                <w:tab w:val="left" w:pos="1985"/>
                <w:tab w:val="left" w:pos="2552"/>
                <w:tab w:val="left" w:pos="3119"/>
                <w:tab w:val="left" w:pos="3686"/>
                <w:tab w:val="center" w:pos="4320"/>
                <w:tab w:val="right" w:pos="8640"/>
                <w:tab w:val="left" w:pos="1701"/>
                <w:tab w:val="left" w:pos="1985"/>
              </w:tabs>
              <w:spacing w:line="276" w:lineRule="auto"/>
              <w:jc w:val="both"/>
              <w:rPr>
                <w:rFonts w:ascii="Bookman Old Style" w:eastAsia="Bookman Old Style" w:hAnsi="Bookman Old Style" w:cs="Bookman Old Style"/>
                <w:sz w:val="22"/>
                <w:szCs w:val="22"/>
              </w:rPr>
            </w:pPr>
          </w:p>
        </w:tc>
      </w:tr>
      <w:tr w:rsidR="00646B92" w:rsidRPr="00D628A0" w14:paraId="24191234" w14:textId="77777777" w:rsidTr="0007415D">
        <w:tc>
          <w:tcPr>
            <w:tcW w:w="7865" w:type="dxa"/>
          </w:tcPr>
          <w:p w14:paraId="0C3902D8" w14:textId="6D09EA23" w:rsidR="00646B92" w:rsidRPr="00C124C5" w:rsidRDefault="00646B92" w:rsidP="008D1121">
            <w:pPr>
              <w:widowControl w:val="0"/>
              <w:tabs>
                <w:tab w:val="left" w:pos="1701"/>
                <w:tab w:val="left" w:pos="1985"/>
                <w:tab w:val="left" w:pos="2268"/>
              </w:tabs>
              <w:spacing w:line="276"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Mengingat:</w:t>
            </w:r>
          </w:p>
        </w:tc>
        <w:tc>
          <w:tcPr>
            <w:tcW w:w="3759" w:type="dxa"/>
            <w:vMerge/>
          </w:tcPr>
          <w:p w14:paraId="022ED34B" w14:textId="77777777" w:rsidR="00646B92" w:rsidRPr="00C124C5" w:rsidRDefault="00646B92" w:rsidP="00C124C5">
            <w:pPr>
              <w:widowControl w:val="0"/>
              <w:tabs>
                <w:tab w:val="left" w:pos="1701"/>
                <w:tab w:val="left" w:pos="1985"/>
                <w:tab w:val="left" w:pos="2268"/>
              </w:tabs>
              <w:spacing w:line="276" w:lineRule="auto"/>
              <w:ind w:left="360"/>
              <w:jc w:val="center"/>
              <w:rPr>
                <w:rFonts w:ascii="Bookman Old Style" w:eastAsia="Bookman Old Style" w:hAnsi="Bookman Old Style" w:cs="Bookman Old Style"/>
                <w:sz w:val="22"/>
                <w:szCs w:val="22"/>
              </w:rPr>
            </w:pPr>
          </w:p>
        </w:tc>
        <w:tc>
          <w:tcPr>
            <w:tcW w:w="2977" w:type="dxa"/>
          </w:tcPr>
          <w:p w14:paraId="596C87E9" w14:textId="77777777" w:rsidR="00646B92" w:rsidRPr="00D628A0" w:rsidRDefault="00646B92" w:rsidP="00D628A0">
            <w:pPr>
              <w:widowControl w:val="0"/>
              <w:tabs>
                <w:tab w:val="left" w:pos="1701"/>
                <w:tab w:val="left" w:pos="1985"/>
                <w:tab w:val="left" w:pos="2268"/>
              </w:tabs>
              <w:spacing w:line="276" w:lineRule="auto"/>
              <w:jc w:val="center"/>
              <w:rPr>
                <w:rFonts w:ascii="Bookman Old Style" w:eastAsia="Bookman Old Style" w:hAnsi="Bookman Old Style" w:cs="Bookman Old Style"/>
                <w:sz w:val="22"/>
                <w:szCs w:val="22"/>
              </w:rPr>
            </w:pPr>
          </w:p>
        </w:tc>
        <w:tc>
          <w:tcPr>
            <w:tcW w:w="3543" w:type="dxa"/>
          </w:tcPr>
          <w:p w14:paraId="33A6E12C" w14:textId="77777777" w:rsidR="00646B92" w:rsidRPr="00D628A0" w:rsidRDefault="00646B92" w:rsidP="00D628A0">
            <w:pPr>
              <w:widowControl w:val="0"/>
              <w:tabs>
                <w:tab w:val="left" w:pos="1701"/>
                <w:tab w:val="left" w:pos="1985"/>
                <w:tab w:val="left" w:pos="2268"/>
              </w:tabs>
              <w:spacing w:line="276" w:lineRule="auto"/>
              <w:jc w:val="center"/>
              <w:rPr>
                <w:rFonts w:ascii="Bookman Old Style" w:eastAsia="Bookman Old Style" w:hAnsi="Bookman Old Style" w:cs="Bookman Old Style"/>
                <w:sz w:val="22"/>
                <w:szCs w:val="22"/>
              </w:rPr>
            </w:pPr>
          </w:p>
        </w:tc>
      </w:tr>
      <w:tr w:rsidR="00646B92" w:rsidRPr="00D628A0" w14:paraId="78B9E5AC" w14:textId="0DC7DE35" w:rsidTr="0007415D">
        <w:tc>
          <w:tcPr>
            <w:tcW w:w="7865" w:type="dxa"/>
          </w:tcPr>
          <w:p w14:paraId="5E4E30FB" w14:textId="520689F8" w:rsidR="00646B92" w:rsidRPr="008D1121" w:rsidRDefault="00646B92" w:rsidP="006D063E">
            <w:pPr>
              <w:pStyle w:val="ListParagraph"/>
              <w:widowControl w:val="0"/>
              <w:numPr>
                <w:ilvl w:val="0"/>
                <w:numId w:val="3"/>
              </w:numPr>
              <w:tabs>
                <w:tab w:val="left" w:pos="1701"/>
                <w:tab w:val="left" w:pos="1985"/>
                <w:tab w:val="left" w:pos="2268"/>
              </w:tabs>
              <w:spacing w:line="276" w:lineRule="auto"/>
              <w:jc w:val="both"/>
              <w:rPr>
                <w:rFonts w:ascii="Bookman Old Style" w:eastAsia="Bookman Old Style" w:hAnsi="Bookman Old Style" w:cs="Bookman Old Style"/>
                <w:sz w:val="22"/>
                <w:szCs w:val="22"/>
              </w:rPr>
            </w:pPr>
            <w:r w:rsidRPr="00DB02E6">
              <w:rPr>
                <w:rFonts w:ascii="Bookman Old Style" w:eastAsia="Bookman Old Style" w:hAnsi="Bookman Old Style" w:cs="Bookman Old Style"/>
                <w:sz w:val="22"/>
                <w:szCs w:val="22"/>
              </w:rPr>
              <w:t>Undang-Undang Nomor 8 Tahun 1995 tentang Pasar Modal (Lembaran Negara Republik Indonesia Tahun 1995 Nomor 64, Tambahan Lembaran Negara Republik Indonesia Nomor 3608)</w:t>
            </w:r>
            <w:r w:rsidRPr="008D1121">
              <w:rPr>
                <w:rFonts w:ascii="Bookman Old Style" w:eastAsia="Bookman Old Style" w:hAnsi="Bookman Old Style" w:cs="Bookman Old Style"/>
                <w:sz w:val="22"/>
                <w:szCs w:val="22"/>
              </w:rPr>
              <w:t>;</w:t>
            </w:r>
          </w:p>
        </w:tc>
        <w:tc>
          <w:tcPr>
            <w:tcW w:w="3759" w:type="dxa"/>
            <w:vMerge/>
          </w:tcPr>
          <w:p w14:paraId="5D965EA5" w14:textId="327473B8" w:rsidR="00646B92" w:rsidRPr="00C124C5" w:rsidRDefault="00646B92" w:rsidP="00C124C5">
            <w:pPr>
              <w:widowControl w:val="0"/>
              <w:tabs>
                <w:tab w:val="left" w:pos="1701"/>
                <w:tab w:val="left" w:pos="1985"/>
                <w:tab w:val="left" w:pos="2268"/>
                <w:tab w:val="left" w:pos="2127"/>
                <w:tab w:val="left" w:pos="2552"/>
                <w:tab w:val="center" w:pos="4320"/>
                <w:tab w:val="right" w:pos="8640"/>
                <w:tab w:val="left" w:pos="1701"/>
                <w:tab w:val="left" w:pos="1985"/>
                <w:tab w:val="left" w:pos="2268"/>
                <w:tab w:val="left" w:pos="2552"/>
                <w:tab w:val="left" w:pos="3119"/>
                <w:tab w:val="left" w:pos="3686"/>
              </w:tabs>
              <w:spacing w:line="276" w:lineRule="auto"/>
              <w:ind w:left="360"/>
              <w:jc w:val="both"/>
              <w:rPr>
                <w:rFonts w:ascii="Bookman Old Style" w:eastAsia="Bookman Old Style" w:hAnsi="Bookman Old Style" w:cs="Bookman Old Style"/>
                <w:sz w:val="22"/>
                <w:szCs w:val="22"/>
              </w:rPr>
            </w:pPr>
          </w:p>
        </w:tc>
        <w:tc>
          <w:tcPr>
            <w:tcW w:w="2977" w:type="dxa"/>
          </w:tcPr>
          <w:p w14:paraId="6DF6B888" w14:textId="77777777" w:rsidR="00646B92" w:rsidRPr="00D628A0" w:rsidRDefault="00646B92" w:rsidP="00D628A0">
            <w:pPr>
              <w:widowControl w:val="0"/>
              <w:tabs>
                <w:tab w:val="left" w:pos="1701"/>
                <w:tab w:val="left" w:pos="1985"/>
                <w:tab w:val="left" w:pos="2268"/>
              </w:tabs>
              <w:spacing w:line="276" w:lineRule="auto"/>
              <w:jc w:val="center"/>
              <w:rPr>
                <w:rFonts w:ascii="Bookman Old Style" w:eastAsia="Bookman Old Style" w:hAnsi="Bookman Old Style" w:cs="Bookman Old Style"/>
                <w:sz w:val="22"/>
                <w:szCs w:val="22"/>
              </w:rPr>
            </w:pPr>
          </w:p>
        </w:tc>
        <w:tc>
          <w:tcPr>
            <w:tcW w:w="3543" w:type="dxa"/>
          </w:tcPr>
          <w:p w14:paraId="47A4584B" w14:textId="77777777" w:rsidR="00646B92" w:rsidRPr="00D628A0" w:rsidRDefault="00646B92" w:rsidP="00D628A0">
            <w:pPr>
              <w:widowControl w:val="0"/>
              <w:tabs>
                <w:tab w:val="left" w:pos="1701"/>
                <w:tab w:val="left" w:pos="1985"/>
                <w:tab w:val="left" w:pos="2268"/>
              </w:tabs>
              <w:spacing w:line="276" w:lineRule="auto"/>
              <w:jc w:val="center"/>
              <w:rPr>
                <w:rFonts w:ascii="Bookman Old Style" w:eastAsia="Bookman Old Style" w:hAnsi="Bookman Old Style" w:cs="Bookman Old Style"/>
                <w:sz w:val="22"/>
                <w:szCs w:val="22"/>
              </w:rPr>
            </w:pPr>
          </w:p>
        </w:tc>
      </w:tr>
      <w:tr w:rsidR="00646B92" w:rsidRPr="00D628A0" w14:paraId="19E0EC8E" w14:textId="47DA7DF4" w:rsidTr="0007415D">
        <w:tc>
          <w:tcPr>
            <w:tcW w:w="7865" w:type="dxa"/>
          </w:tcPr>
          <w:p w14:paraId="0EACE52F" w14:textId="4ED21624" w:rsidR="00646B92" w:rsidRPr="00C124C5" w:rsidRDefault="00646B92" w:rsidP="006D063E">
            <w:pPr>
              <w:pStyle w:val="ListParagraph"/>
              <w:widowControl w:val="0"/>
              <w:numPr>
                <w:ilvl w:val="0"/>
                <w:numId w:val="3"/>
              </w:numPr>
              <w:tabs>
                <w:tab w:val="left" w:pos="1701"/>
                <w:tab w:val="left" w:pos="1985"/>
                <w:tab w:val="left" w:pos="2268"/>
              </w:tabs>
              <w:spacing w:line="276" w:lineRule="auto"/>
              <w:jc w:val="both"/>
              <w:rPr>
                <w:rFonts w:ascii="Bookman Old Style" w:eastAsia="Bookman Old Style" w:hAnsi="Bookman Old Style" w:cs="Bookman Old Style"/>
                <w:sz w:val="22"/>
                <w:szCs w:val="22"/>
              </w:rPr>
            </w:pPr>
            <w:r w:rsidRPr="00DB02E6">
              <w:rPr>
                <w:rFonts w:ascii="Bookman Old Style" w:eastAsia="Bookman Old Style" w:hAnsi="Bookman Old Style" w:cs="Bookman Old Style"/>
                <w:sz w:val="22"/>
                <w:szCs w:val="22"/>
              </w:rPr>
              <w:t>Undang-Undang Nomor 21 Tahun 2011 tentang Otoritas Jasa Keuangan (Lembaran Negara Republik Indonesia Tahun 2011 Nomor 111, Tambahan Lembaran Negara Republik Indonesia Nomor 5253) sebagaimana telah diubah dengan Undang-Undang Nomor 4 Tahun 2023 tentang Pengembangan dan Penguatan Sektor Keuangan (Lembaran Negara Republik Indonesia Tahun 2023 Nomor 4, Tambahan Lembaran Negara Republik Indonesia Nomor 6845)</w:t>
            </w:r>
            <w:r w:rsidRPr="008D1121">
              <w:rPr>
                <w:rFonts w:ascii="Bookman Old Style" w:eastAsia="Bookman Old Style" w:hAnsi="Bookman Old Style" w:cs="Bookman Old Style"/>
                <w:sz w:val="22"/>
                <w:szCs w:val="22"/>
              </w:rPr>
              <w:t>;</w:t>
            </w:r>
          </w:p>
        </w:tc>
        <w:tc>
          <w:tcPr>
            <w:tcW w:w="3759" w:type="dxa"/>
            <w:vMerge/>
          </w:tcPr>
          <w:p w14:paraId="711E2A8D" w14:textId="77777777" w:rsidR="00646B92" w:rsidRPr="00C124C5" w:rsidRDefault="00646B92" w:rsidP="00C124C5">
            <w:pPr>
              <w:widowControl w:val="0"/>
              <w:tabs>
                <w:tab w:val="left" w:pos="2268"/>
              </w:tabs>
              <w:spacing w:line="276" w:lineRule="auto"/>
              <w:ind w:left="360"/>
              <w:jc w:val="center"/>
              <w:rPr>
                <w:rFonts w:ascii="Bookman Old Style" w:eastAsia="Bookman Old Style" w:hAnsi="Bookman Old Style" w:cs="Bookman Old Style"/>
                <w:sz w:val="22"/>
                <w:szCs w:val="22"/>
              </w:rPr>
            </w:pPr>
          </w:p>
        </w:tc>
        <w:tc>
          <w:tcPr>
            <w:tcW w:w="2977" w:type="dxa"/>
          </w:tcPr>
          <w:p w14:paraId="16DDDF99" w14:textId="77777777" w:rsidR="00646B92" w:rsidRPr="00D628A0" w:rsidRDefault="00646B92"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3543" w:type="dxa"/>
          </w:tcPr>
          <w:p w14:paraId="241ED428" w14:textId="77777777" w:rsidR="00646B92" w:rsidRPr="00D628A0" w:rsidRDefault="00646B92" w:rsidP="00D628A0">
            <w:pPr>
              <w:widowControl w:val="0"/>
              <w:tabs>
                <w:tab w:val="left" w:pos="2268"/>
              </w:tabs>
              <w:spacing w:line="276" w:lineRule="auto"/>
              <w:jc w:val="center"/>
              <w:rPr>
                <w:rFonts w:ascii="Bookman Old Style" w:eastAsia="Bookman Old Style" w:hAnsi="Bookman Old Style" w:cs="Bookman Old Style"/>
                <w:sz w:val="22"/>
                <w:szCs w:val="22"/>
              </w:rPr>
            </w:pPr>
          </w:p>
        </w:tc>
      </w:tr>
      <w:tr w:rsidR="00646B92" w:rsidRPr="00D628A0" w14:paraId="787E2FF4" w14:textId="500F46D4" w:rsidTr="0007415D">
        <w:tc>
          <w:tcPr>
            <w:tcW w:w="7865" w:type="dxa"/>
          </w:tcPr>
          <w:p w14:paraId="64DFCB11" w14:textId="79B1B606" w:rsidR="00646B92" w:rsidRPr="00C124C5" w:rsidRDefault="00646B92" w:rsidP="006D063E">
            <w:pPr>
              <w:pStyle w:val="ListParagraph"/>
              <w:widowControl w:val="0"/>
              <w:numPr>
                <w:ilvl w:val="0"/>
                <w:numId w:val="3"/>
              </w:numPr>
              <w:tabs>
                <w:tab w:val="left" w:pos="1701"/>
                <w:tab w:val="left" w:pos="1985"/>
                <w:tab w:val="left" w:pos="2268"/>
              </w:tabs>
              <w:spacing w:line="276" w:lineRule="auto"/>
              <w:jc w:val="both"/>
              <w:rPr>
                <w:rFonts w:ascii="Bookman Old Style" w:eastAsia="Bookman Old Style" w:hAnsi="Bookman Old Style" w:cs="Bookman Old Style"/>
                <w:sz w:val="22"/>
                <w:szCs w:val="22"/>
              </w:rPr>
            </w:pPr>
            <w:r w:rsidRPr="00DB02E6">
              <w:rPr>
                <w:rFonts w:ascii="Bookman Old Style" w:eastAsia="Bookman Old Style" w:hAnsi="Bookman Old Style" w:cs="Bookman Old Style"/>
                <w:sz w:val="22"/>
                <w:szCs w:val="22"/>
              </w:rPr>
              <w:t>Undang-Undang Nomor 4 Tahun 2023 tentang Pengembangan dan Penguatan Sektor Keuangan (Lembaran Negara Republik Indonesia Tahun 2023 Nomor 4, Tambahan Lembaran Negara Republik Indonesia Nomor 6845)</w:t>
            </w:r>
            <w:r w:rsidRPr="008D1121">
              <w:rPr>
                <w:rFonts w:ascii="Bookman Old Style" w:eastAsia="Bookman Old Style" w:hAnsi="Bookman Old Style" w:cs="Bookman Old Style"/>
                <w:sz w:val="22"/>
                <w:szCs w:val="22"/>
              </w:rPr>
              <w:t>;</w:t>
            </w:r>
          </w:p>
        </w:tc>
        <w:tc>
          <w:tcPr>
            <w:tcW w:w="3759" w:type="dxa"/>
            <w:vMerge/>
          </w:tcPr>
          <w:p w14:paraId="14A0BB74" w14:textId="77777777" w:rsidR="00646B92" w:rsidRPr="00C124C5" w:rsidRDefault="00646B92" w:rsidP="00C124C5">
            <w:pPr>
              <w:widowControl w:val="0"/>
              <w:tabs>
                <w:tab w:val="left" w:pos="2268"/>
              </w:tabs>
              <w:spacing w:line="276" w:lineRule="auto"/>
              <w:ind w:left="360"/>
              <w:jc w:val="center"/>
              <w:rPr>
                <w:rFonts w:ascii="Bookman Old Style" w:eastAsia="Bookman Old Style" w:hAnsi="Bookman Old Style" w:cs="Bookman Old Style"/>
                <w:sz w:val="22"/>
                <w:szCs w:val="22"/>
              </w:rPr>
            </w:pPr>
          </w:p>
        </w:tc>
        <w:tc>
          <w:tcPr>
            <w:tcW w:w="2977" w:type="dxa"/>
          </w:tcPr>
          <w:p w14:paraId="63C27E95" w14:textId="77777777" w:rsidR="00646B92" w:rsidRPr="00D628A0" w:rsidRDefault="00646B92"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3543" w:type="dxa"/>
          </w:tcPr>
          <w:p w14:paraId="751D056F" w14:textId="77777777" w:rsidR="00646B92" w:rsidRPr="00D628A0" w:rsidRDefault="00646B92" w:rsidP="00D628A0">
            <w:pPr>
              <w:widowControl w:val="0"/>
              <w:tabs>
                <w:tab w:val="left" w:pos="2268"/>
              </w:tabs>
              <w:spacing w:line="276" w:lineRule="auto"/>
              <w:jc w:val="center"/>
              <w:rPr>
                <w:rFonts w:ascii="Bookman Old Style" w:eastAsia="Bookman Old Style" w:hAnsi="Bookman Old Style" w:cs="Bookman Old Style"/>
                <w:sz w:val="22"/>
                <w:szCs w:val="22"/>
              </w:rPr>
            </w:pPr>
          </w:p>
        </w:tc>
      </w:tr>
      <w:tr w:rsidR="00632EF9" w:rsidRPr="00D628A0" w14:paraId="2857F50E" w14:textId="67CA6FBF" w:rsidTr="0007415D">
        <w:tc>
          <w:tcPr>
            <w:tcW w:w="7865" w:type="dxa"/>
          </w:tcPr>
          <w:p w14:paraId="1C02893F" w14:textId="13008622" w:rsidR="00632EF9" w:rsidRPr="00C124C5" w:rsidRDefault="00632EF9" w:rsidP="00C124C5">
            <w:pPr>
              <w:widowControl w:val="0"/>
              <w:tabs>
                <w:tab w:val="left" w:pos="2268"/>
              </w:tabs>
              <w:spacing w:line="276" w:lineRule="auto"/>
              <w:ind w:left="360"/>
              <w:jc w:val="center"/>
              <w:rPr>
                <w:rFonts w:ascii="Bookman Old Style" w:eastAsia="Bookman Old Style" w:hAnsi="Bookman Old Style" w:cs="Bookman Old Style"/>
                <w:sz w:val="22"/>
                <w:szCs w:val="22"/>
              </w:rPr>
            </w:pPr>
          </w:p>
        </w:tc>
        <w:tc>
          <w:tcPr>
            <w:tcW w:w="3759" w:type="dxa"/>
          </w:tcPr>
          <w:p w14:paraId="28FB04A4" w14:textId="091F5B5C" w:rsidR="00632EF9" w:rsidRPr="00C124C5" w:rsidRDefault="00632EF9" w:rsidP="00C124C5">
            <w:pPr>
              <w:widowControl w:val="0"/>
              <w:tabs>
                <w:tab w:val="left" w:pos="2268"/>
              </w:tabs>
              <w:spacing w:line="276" w:lineRule="auto"/>
              <w:ind w:left="360"/>
              <w:rPr>
                <w:rFonts w:ascii="Bookman Old Style" w:eastAsia="Bookman Old Style" w:hAnsi="Bookman Old Style" w:cs="Bookman Old Style"/>
                <w:sz w:val="22"/>
                <w:szCs w:val="22"/>
              </w:rPr>
            </w:pPr>
          </w:p>
        </w:tc>
        <w:tc>
          <w:tcPr>
            <w:tcW w:w="2977" w:type="dxa"/>
          </w:tcPr>
          <w:p w14:paraId="4AC68E19" w14:textId="77777777" w:rsidR="00632EF9" w:rsidRPr="00D628A0" w:rsidRDefault="00632EF9"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3543" w:type="dxa"/>
          </w:tcPr>
          <w:p w14:paraId="5C2DEACC" w14:textId="77777777" w:rsidR="00632EF9" w:rsidRPr="00D628A0" w:rsidRDefault="00632EF9" w:rsidP="00D628A0">
            <w:pPr>
              <w:widowControl w:val="0"/>
              <w:tabs>
                <w:tab w:val="left" w:pos="2268"/>
              </w:tabs>
              <w:spacing w:line="276" w:lineRule="auto"/>
              <w:jc w:val="center"/>
              <w:rPr>
                <w:rFonts w:ascii="Bookman Old Style" w:eastAsia="Bookman Old Style" w:hAnsi="Bookman Old Style" w:cs="Bookman Old Style"/>
                <w:sz w:val="22"/>
                <w:szCs w:val="22"/>
              </w:rPr>
            </w:pPr>
          </w:p>
        </w:tc>
      </w:tr>
      <w:tr w:rsidR="00632EF9" w:rsidRPr="00D628A0" w14:paraId="0A6FF6D7" w14:textId="380D5B76" w:rsidTr="0007415D">
        <w:tc>
          <w:tcPr>
            <w:tcW w:w="7865" w:type="dxa"/>
          </w:tcPr>
          <w:p w14:paraId="5160D248" w14:textId="3A98FEE7" w:rsidR="00632EF9" w:rsidRPr="00C124C5" w:rsidRDefault="008D1121" w:rsidP="008D1121">
            <w:pPr>
              <w:widowControl w:val="0"/>
              <w:spacing w:line="276" w:lineRule="auto"/>
              <w:jc w:val="center"/>
              <w:rPr>
                <w:rFonts w:ascii="Bookman Old Style" w:eastAsia="Bookman Old Style" w:hAnsi="Bookman Old Style" w:cs="Bookman Old Style"/>
                <w:sz w:val="22"/>
                <w:szCs w:val="22"/>
              </w:rPr>
            </w:pPr>
            <w:r w:rsidRPr="008D1121">
              <w:rPr>
                <w:rFonts w:ascii="Bookman Old Style" w:eastAsia="Bookman Old Style" w:hAnsi="Bookman Old Style" w:cs="Bookman Old Style"/>
                <w:sz w:val="22"/>
                <w:szCs w:val="22"/>
              </w:rPr>
              <w:t>MEMUTUSKAN:</w:t>
            </w:r>
          </w:p>
        </w:tc>
        <w:tc>
          <w:tcPr>
            <w:tcW w:w="3759" w:type="dxa"/>
          </w:tcPr>
          <w:p w14:paraId="47776B48" w14:textId="16267230" w:rsidR="00632EF9" w:rsidRPr="00C124C5" w:rsidRDefault="00632EF9" w:rsidP="00C124C5">
            <w:pPr>
              <w:widowControl w:val="0"/>
              <w:spacing w:line="276" w:lineRule="auto"/>
              <w:ind w:left="360"/>
              <w:jc w:val="both"/>
              <w:rPr>
                <w:rFonts w:ascii="Bookman Old Style" w:eastAsia="Bookman Old Style" w:hAnsi="Bookman Old Style" w:cs="Bookman Old Style"/>
                <w:sz w:val="22"/>
                <w:szCs w:val="22"/>
              </w:rPr>
            </w:pPr>
          </w:p>
        </w:tc>
        <w:tc>
          <w:tcPr>
            <w:tcW w:w="2977" w:type="dxa"/>
          </w:tcPr>
          <w:p w14:paraId="628F71FD" w14:textId="77777777" w:rsidR="00632EF9" w:rsidRPr="00D628A0" w:rsidRDefault="00632EF9" w:rsidP="00D628A0">
            <w:pPr>
              <w:widowControl w:val="0"/>
              <w:spacing w:line="276" w:lineRule="auto"/>
              <w:jc w:val="both"/>
              <w:rPr>
                <w:rFonts w:ascii="Bookman Old Style" w:eastAsia="Bookman Old Style" w:hAnsi="Bookman Old Style" w:cs="Bookman Old Style"/>
                <w:sz w:val="22"/>
                <w:szCs w:val="22"/>
              </w:rPr>
            </w:pPr>
          </w:p>
        </w:tc>
        <w:tc>
          <w:tcPr>
            <w:tcW w:w="3543" w:type="dxa"/>
          </w:tcPr>
          <w:p w14:paraId="737A9E99" w14:textId="77777777" w:rsidR="00632EF9" w:rsidRPr="00D628A0" w:rsidRDefault="00632EF9" w:rsidP="00D628A0">
            <w:pPr>
              <w:widowControl w:val="0"/>
              <w:spacing w:line="276" w:lineRule="auto"/>
              <w:jc w:val="both"/>
              <w:rPr>
                <w:rFonts w:ascii="Bookman Old Style" w:eastAsia="Bookman Old Style" w:hAnsi="Bookman Old Style" w:cs="Bookman Old Style"/>
                <w:sz w:val="22"/>
                <w:szCs w:val="22"/>
              </w:rPr>
            </w:pPr>
          </w:p>
        </w:tc>
      </w:tr>
      <w:tr w:rsidR="008D1121" w:rsidRPr="00D628A0" w14:paraId="742D7326" w14:textId="77777777" w:rsidTr="0007415D">
        <w:tc>
          <w:tcPr>
            <w:tcW w:w="7865" w:type="dxa"/>
          </w:tcPr>
          <w:p w14:paraId="34D7F349" w14:textId="77777777" w:rsidR="008D1121" w:rsidRPr="008D1121" w:rsidRDefault="008D1121" w:rsidP="008D1121">
            <w:pPr>
              <w:widowControl w:val="0"/>
              <w:spacing w:line="276" w:lineRule="auto"/>
              <w:jc w:val="both"/>
              <w:rPr>
                <w:rFonts w:ascii="Bookman Old Style" w:eastAsia="Bookman Old Style" w:hAnsi="Bookman Old Style" w:cs="Bookman Old Style"/>
                <w:sz w:val="22"/>
                <w:szCs w:val="22"/>
              </w:rPr>
            </w:pPr>
          </w:p>
        </w:tc>
        <w:tc>
          <w:tcPr>
            <w:tcW w:w="3759" w:type="dxa"/>
          </w:tcPr>
          <w:p w14:paraId="5B9CFFE6" w14:textId="77777777" w:rsidR="008D1121" w:rsidRPr="00C124C5" w:rsidRDefault="008D1121" w:rsidP="00C124C5">
            <w:pPr>
              <w:widowControl w:val="0"/>
              <w:spacing w:line="276" w:lineRule="auto"/>
              <w:ind w:left="2520"/>
              <w:jc w:val="both"/>
              <w:rPr>
                <w:rFonts w:ascii="Bookman Old Style" w:eastAsia="Bookman Old Style" w:hAnsi="Bookman Old Style" w:cs="Bookman Old Style"/>
                <w:sz w:val="22"/>
                <w:szCs w:val="22"/>
              </w:rPr>
            </w:pPr>
          </w:p>
        </w:tc>
        <w:tc>
          <w:tcPr>
            <w:tcW w:w="2977" w:type="dxa"/>
          </w:tcPr>
          <w:p w14:paraId="3112063A" w14:textId="77777777" w:rsidR="008D1121" w:rsidRPr="00D628A0" w:rsidRDefault="008D1121" w:rsidP="00D628A0">
            <w:pPr>
              <w:widowControl w:val="0"/>
              <w:spacing w:line="276" w:lineRule="auto"/>
              <w:ind w:left="1985"/>
              <w:jc w:val="both"/>
              <w:rPr>
                <w:rFonts w:ascii="Bookman Old Style" w:eastAsia="Bookman Old Style" w:hAnsi="Bookman Old Style" w:cs="Bookman Old Style"/>
                <w:sz w:val="22"/>
                <w:szCs w:val="22"/>
              </w:rPr>
            </w:pPr>
          </w:p>
        </w:tc>
        <w:tc>
          <w:tcPr>
            <w:tcW w:w="3543" w:type="dxa"/>
          </w:tcPr>
          <w:p w14:paraId="1B85B996" w14:textId="77777777" w:rsidR="008D1121" w:rsidRPr="00D628A0" w:rsidRDefault="008D1121" w:rsidP="00D628A0">
            <w:pPr>
              <w:widowControl w:val="0"/>
              <w:spacing w:line="276" w:lineRule="auto"/>
              <w:ind w:left="1985"/>
              <w:jc w:val="both"/>
              <w:rPr>
                <w:rFonts w:ascii="Bookman Old Style" w:eastAsia="Bookman Old Style" w:hAnsi="Bookman Old Style" w:cs="Bookman Old Style"/>
                <w:sz w:val="22"/>
                <w:szCs w:val="22"/>
              </w:rPr>
            </w:pPr>
          </w:p>
        </w:tc>
      </w:tr>
      <w:tr w:rsidR="00632EF9" w:rsidRPr="00D628A0" w14:paraId="0B217C31" w14:textId="13B92C89" w:rsidTr="0007415D">
        <w:tc>
          <w:tcPr>
            <w:tcW w:w="7865" w:type="dxa"/>
          </w:tcPr>
          <w:p w14:paraId="045D520D" w14:textId="67F09E84" w:rsidR="00632EF9" w:rsidRPr="00C124C5" w:rsidRDefault="008D1121" w:rsidP="008D1121">
            <w:pPr>
              <w:widowControl w:val="0"/>
              <w:spacing w:line="276" w:lineRule="auto"/>
              <w:jc w:val="both"/>
              <w:rPr>
                <w:rFonts w:ascii="Bookman Old Style" w:eastAsia="Bookman Old Style" w:hAnsi="Bookman Old Style" w:cs="Bookman Old Style"/>
                <w:sz w:val="22"/>
                <w:szCs w:val="22"/>
              </w:rPr>
            </w:pPr>
            <w:r w:rsidRPr="008D1121">
              <w:rPr>
                <w:rFonts w:ascii="Bookman Old Style" w:eastAsia="Bookman Old Style" w:hAnsi="Bookman Old Style" w:cs="Bookman Old Style"/>
                <w:sz w:val="22"/>
                <w:szCs w:val="22"/>
              </w:rPr>
              <w:t>Menetapkan</w:t>
            </w:r>
            <w:r>
              <w:rPr>
                <w:rFonts w:ascii="Bookman Old Style" w:eastAsia="Bookman Old Style" w:hAnsi="Bookman Old Style" w:cs="Bookman Old Style"/>
                <w:sz w:val="22"/>
                <w:szCs w:val="22"/>
              </w:rPr>
              <w:t>:</w:t>
            </w:r>
          </w:p>
        </w:tc>
        <w:tc>
          <w:tcPr>
            <w:tcW w:w="3759" w:type="dxa"/>
          </w:tcPr>
          <w:p w14:paraId="04B5FF57" w14:textId="77777777" w:rsidR="00632EF9" w:rsidRPr="00C124C5" w:rsidRDefault="00632EF9" w:rsidP="00C124C5">
            <w:pPr>
              <w:widowControl w:val="0"/>
              <w:spacing w:line="276" w:lineRule="auto"/>
              <w:ind w:left="2520"/>
              <w:jc w:val="both"/>
              <w:rPr>
                <w:rFonts w:ascii="Bookman Old Style" w:eastAsia="Bookman Old Style" w:hAnsi="Bookman Old Style" w:cs="Bookman Old Style"/>
                <w:sz w:val="22"/>
                <w:szCs w:val="22"/>
              </w:rPr>
            </w:pPr>
          </w:p>
        </w:tc>
        <w:tc>
          <w:tcPr>
            <w:tcW w:w="2977" w:type="dxa"/>
          </w:tcPr>
          <w:p w14:paraId="0B90653C"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sz w:val="22"/>
                <w:szCs w:val="22"/>
              </w:rPr>
            </w:pPr>
          </w:p>
        </w:tc>
        <w:tc>
          <w:tcPr>
            <w:tcW w:w="3543" w:type="dxa"/>
          </w:tcPr>
          <w:p w14:paraId="41EE3632"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sz w:val="22"/>
                <w:szCs w:val="22"/>
              </w:rPr>
            </w:pPr>
          </w:p>
        </w:tc>
      </w:tr>
      <w:tr w:rsidR="00632EF9" w:rsidRPr="00D628A0" w14:paraId="63FA7A6C" w14:textId="09BE24FF" w:rsidTr="0007415D">
        <w:tc>
          <w:tcPr>
            <w:tcW w:w="7865" w:type="dxa"/>
          </w:tcPr>
          <w:p w14:paraId="1EA61182" w14:textId="06443B2D" w:rsidR="00632EF9" w:rsidRPr="00C124C5" w:rsidRDefault="008D1121" w:rsidP="008D1121">
            <w:pPr>
              <w:widowControl w:val="0"/>
              <w:spacing w:line="276" w:lineRule="auto"/>
              <w:jc w:val="both"/>
              <w:rPr>
                <w:rFonts w:ascii="Bookman Old Style" w:eastAsia="Bookman Old Style" w:hAnsi="Bookman Old Style" w:cs="Bookman Old Style"/>
                <w:sz w:val="22"/>
                <w:szCs w:val="22"/>
              </w:rPr>
            </w:pPr>
            <w:r w:rsidRPr="008D1121">
              <w:rPr>
                <w:rFonts w:ascii="Bookman Old Style" w:eastAsia="Bookman Old Style" w:hAnsi="Bookman Old Style" w:cs="Bookman Old Style"/>
                <w:sz w:val="22"/>
                <w:szCs w:val="22"/>
              </w:rPr>
              <w:t>PERATURAN OTORITAS JASA KEUANGAN TENTANG PENYUSUNAN LAPORAN KEUANGAN EMITEN ATAU PERUSAHAAN PUBLIK.</w:t>
            </w:r>
          </w:p>
        </w:tc>
        <w:tc>
          <w:tcPr>
            <w:tcW w:w="3759" w:type="dxa"/>
          </w:tcPr>
          <w:p w14:paraId="6B63CE8D" w14:textId="77777777" w:rsidR="00632EF9" w:rsidRPr="00C124C5" w:rsidRDefault="00632EF9" w:rsidP="00C124C5">
            <w:pPr>
              <w:widowControl w:val="0"/>
              <w:spacing w:line="276" w:lineRule="auto"/>
              <w:ind w:left="3240"/>
              <w:jc w:val="both"/>
              <w:rPr>
                <w:rFonts w:ascii="Bookman Old Style" w:eastAsia="Bookman Old Style" w:hAnsi="Bookman Old Style" w:cs="Bookman Old Style"/>
                <w:sz w:val="22"/>
                <w:szCs w:val="22"/>
              </w:rPr>
            </w:pPr>
          </w:p>
        </w:tc>
        <w:tc>
          <w:tcPr>
            <w:tcW w:w="2977" w:type="dxa"/>
          </w:tcPr>
          <w:p w14:paraId="2CD723ED"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c>
          <w:tcPr>
            <w:tcW w:w="3543" w:type="dxa"/>
          </w:tcPr>
          <w:p w14:paraId="5E9DFAF7"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r>
      <w:tr w:rsidR="00632EF9" w:rsidRPr="00D628A0" w14:paraId="372C0860" w14:textId="612BB1B9" w:rsidTr="0007415D">
        <w:tc>
          <w:tcPr>
            <w:tcW w:w="7865" w:type="dxa"/>
          </w:tcPr>
          <w:p w14:paraId="1B37650B" w14:textId="112C4124" w:rsidR="00632EF9" w:rsidRPr="00C124C5" w:rsidRDefault="00632EF9" w:rsidP="008D1121">
            <w:pPr>
              <w:widowControl w:val="0"/>
              <w:spacing w:line="276" w:lineRule="auto"/>
              <w:jc w:val="both"/>
              <w:rPr>
                <w:rFonts w:ascii="Bookman Old Style" w:eastAsia="Bookman Old Style" w:hAnsi="Bookman Old Style" w:cs="Bookman Old Style"/>
                <w:sz w:val="22"/>
                <w:szCs w:val="22"/>
              </w:rPr>
            </w:pPr>
          </w:p>
        </w:tc>
        <w:tc>
          <w:tcPr>
            <w:tcW w:w="3759" w:type="dxa"/>
          </w:tcPr>
          <w:p w14:paraId="45FBF3E4" w14:textId="77777777" w:rsidR="00632EF9" w:rsidRPr="00C124C5" w:rsidRDefault="00632EF9" w:rsidP="00C124C5">
            <w:pPr>
              <w:widowControl w:val="0"/>
              <w:spacing w:line="276" w:lineRule="auto"/>
              <w:ind w:left="3240"/>
              <w:jc w:val="both"/>
              <w:rPr>
                <w:rFonts w:ascii="Bookman Old Style" w:eastAsia="Bookman Old Style" w:hAnsi="Bookman Old Style" w:cs="Bookman Old Style"/>
                <w:sz w:val="22"/>
                <w:szCs w:val="22"/>
              </w:rPr>
            </w:pPr>
          </w:p>
        </w:tc>
        <w:tc>
          <w:tcPr>
            <w:tcW w:w="2977" w:type="dxa"/>
          </w:tcPr>
          <w:p w14:paraId="6F88B54D"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c>
          <w:tcPr>
            <w:tcW w:w="3543" w:type="dxa"/>
          </w:tcPr>
          <w:p w14:paraId="644DF9BF"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r>
      <w:tr w:rsidR="00632EF9" w:rsidRPr="00D628A0" w14:paraId="48B785F0" w14:textId="47DF7162" w:rsidTr="0007415D">
        <w:tc>
          <w:tcPr>
            <w:tcW w:w="7865" w:type="dxa"/>
          </w:tcPr>
          <w:p w14:paraId="2F4A1940" w14:textId="197FC8CC" w:rsidR="00632EF9" w:rsidRPr="00C124C5" w:rsidRDefault="008D1121" w:rsidP="008D1121">
            <w:pPr>
              <w:widowControl w:val="0"/>
              <w:spacing w:line="276"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BAB I</w:t>
            </w:r>
          </w:p>
        </w:tc>
        <w:tc>
          <w:tcPr>
            <w:tcW w:w="3759" w:type="dxa"/>
          </w:tcPr>
          <w:p w14:paraId="4C347CF2" w14:textId="0BC47E03" w:rsidR="00632EF9" w:rsidRPr="00C124C5" w:rsidRDefault="00646B92" w:rsidP="00646B92">
            <w:pPr>
              <w:pStyle w:val="ListParagraph"/>
              <w:widowControl w:val="0"/>
              <w:numPr>
                <w:ilvl w:val="0"/>
                <w:numId w:val="14"/>
              </w:numPr>
              <w:tabs>
                <w:tab w:val="left" w:pos="1701"/>
                <w:tab w:val="left" w:pos="1985"/>
                <w:tab w:val="left" w:pos="2268"/>
                <w:tab w:val="left" w:pos="2127"/>
                <w:tab w:val="left" w:pos="2552"/>
                <w:tab w:val="center" w:pos="4320"/>
                <w:tab w:val="right" w:pos="8640"/>
                <w:tab w:val="left" w:pos="1701"/>
                <w:tab w:val="left" w:pos="1985"/>
                <w:tab w:val="left" w:pos="2268"/>
                <w:tab w:val="left" w:pos="2552"/>
                <w:tab w:val="left" w:pos="3119"/>
                <w:tab w:val="left" w:pos="3686"/>
              </w:tabs>
              <w:spacing w:line="276"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PASAL DEMI PASAL</w:t>
            </w:r>
          </w:p>
        </w:tc>
        <w:tc>
          <w:tcPr>
            <w:tcW w:w="2977" w:type="dxa"/>
          </w:tcPr>
          <w:p w14:paraId="450855B5"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c>
          <w:tcPr>
            <w:tcW w:w="3543" w:type="dxa"/>
          </w:tcPr>
          <w:p w14:paraId="620D9C0F"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r>
      <w:tr w:rsidR="00632EF9" w:rsidRPr="00D628A0" w14:paraId="0D87FC28" w14:textId="2077F304" w:rsidTr="0007415D">
        <w:tc>
          <w:tcPr>
            <w:tcW w:w="7865" w:type="dxa"/>
          </w:tcPr>
          <w:p w14:paraId="439A3249" w14:textId="048AF87A" w:rsidR="00632EF9" w:rsidRPr="00C124C5" w:rsidRDefault="008D1121" w:rsidP="008D1121">
            <w:pPr>
              <w:widowControl w:val="0"/>
              <w:spacing w:line="276"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KETENTUAN UMUM</w:t>
            </w:r>
          </w:p>
        </w:tc>
        <w:tc>
          <w:tcPr>
            <w:tcW w:w="3759" w:type="dxa"/>
          </w:tcPr>
          <w:p w14:paraId="15C023BF" w14:textId="77777777" w:rsidR="00632EF9" w:rsidRPr="00C124C5" w:rsidRDefault="00632EF9" w:rsidP="00C124C5">
            <w:pPr>
              <w:widowControl w:val="0"/>
              <w:spacing w:line="276" w:lineRule="auto"/>
              <w:ind w:left="3240"/>
              <w:jc w:val="both"/>
              <w:rPr>
                <w:rFonts w:ascii="Bookman Old Style" w:eastAsia="Bookman Old Style" w:hAnsi="Bookman Old Style" w:cs="Bookman Old Style"/>
                <w:sz w:val="22"/>
                <w:szCs w:val="22"/>
              </w:rPr>
            </w:pPr>
          </w:p>
        </w:tc>
        <w:tc>
          <w:tcPr>
            <w:tcW w:w="2977" w:type="dxa"/>
          </w:tcPr>
          <w:p w14:paraId="54E5607F"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c>
          <w:tcPr>
            <w:tcW w:w="3543" w:type="dxa"/>
          </w:tcPr>
          <w:p w14:paraId="34B2B0A1"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r>
      <w:tr w:rsidR="00632EF9" w:rsidRPr="00D628A0" w14:paraId="3E3A59BD" w14:textId="65920CE8" w:rsidTr="0007415D">
        <w:tc>
          <w:tcPr>
            <w:tcW w:w="7865" w:type="dxa"/>
          </w:tcPr>
          <w:p w14:paraId="34E131A5" w14:textId="0071B1A5" w:rsidR="00632EF9" w:rsidRPr="00C124C5" w:rsidRDefault="00632EF9" w:rsidP="008D1121">
            <w:pPr>
              <w:widowControl w:val="0"/>
              <w:spacing w:line="276" w:lineRule="auto"/>
              <w:jc w:val="both"/>
              <w:rPr>
                <w:rFonts w:ascii="Bookman Old Style" w:eastAsia="Bookman Old Style" w:hAnsi="Bookman Old Style" w:cs="Bookman Old Style"/>
                <w:sz w:val="22"/>
                <w:szCs w:val="22"/>
              </w:rPr>
            </w:pPr>
          </w:p>
        </w:tc>
        <w:tc>
          <w:tcPr>
            <w:tcW w:w="3759" w:type="dxa"/>
          </w:tcPr>
          <w:p w14:paraId="4D42C58B" w14:textId="77777777" w:rsidR="00632EF9" w:rsidRPr="00C124C5" w:rsidRDefault="00632EF9" w:rsidP="00C124C5">
            <w:pPr>
              <w:widowControl w:val="0"/>
              <w:spacing w:line="276" w:lineRule="auto"/>
              <w:ind w:left="2520"/>
              <w:jc w:val="both"/>
              <w:rPr>
                <w:rFonts w:ascii="Bookman Old Style" w:eastAsia="Bookman Old Style" w:hAnsi="Bookman Old Style" w:cs="Bookman Old Style"/>
                <w:sz w:val="22"/>
                <w:szCs w:val="22"/>
              </w:rPr>
            </w:pPr>
          </w:p>
        </w:tc>
        <w:tc>
          <w:tcPr>
            <w:tcW w:w="2977" w:type="dxa"/>
          </w:tcPr>
          <w:p w14:paraId="531C5D8E"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sz w:val="22"/>
                <w:szCs w:val="22"/>
              </w:rPr>
            </w:pPr>
          </w:p>
        </w:tc>
        <w:tc>
          <w:tcPr>
            <w:tcW w:w="3543" w:type="dxa"/>
          </w:tcPr>
          <w:p w14:paraId="2F060C54"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sz w:val="22"/>
                <w:szCs w:val="22"/>
              </w:rPr>
            </w:pPr>
          </w:p>
        </w:tc>
      </w:tr>
      <w:tr w:rsidR="00632EF9" w:rsidRPr="00D628A0" w14:paraId="6A7B502E" w14:textId="29B0777B" w:rsidTr="0007415D">
        <w:tc>
          <w:tcPr>
            <w:tcW w:w="7865" w:type="dxa"/>
          </w:tcPr>
          <w:p w14:paraId="5F91767C" w14:textId="47D7ACE2" w:rsidR="00632EF9" w:rsidRPr="008D1121" w:rsidRDefault="008D1121" w:rsidP="008D1121">
            <w:pPr>
              <w:widowControl w:val="0"/>
              <w:spacing w:line="276" w:lineRule="auto"/>
              <w:jc w:val="center"/>
              <w:rPr>
                <w:rFonts w:ascii="Bookman Old Style" w:eastAsia="Bookman Old Style" w:hAnsi="Bookman Old Style" w:cs="Bookman Old Style"/>
                <w:sz w:val="22"/>
                <w:szCs w:val="22"/>
              </w:rPr>
            </w:pPr>
            <w:r w:rsidRPr="008D1121">
              <w:rPr>
                <w:rFonts w:ascii="Bookman Old Style" w:eastAsia="Bookman Old Style" w:hAnsi="Bookman Old Style" w:cs="Bookman Old Style"/>
                <w:sz w:val="22"/>
                <w:szCs w:val="22"/>
              </w:rPr>
              <w:t>Pasal 1</w:t>
            </w:r>
          </w:p>
        </w:tc>
        <w:tc>
          <w:tcPr>
            <w:tcW w:w="3759" w:type="dxa"/>
          </w:tcPr>
          <w:p w14:paraId="683A8FA9" w14:textId="47E3911A" w:rsidR="00632EF9" w:rsidRPr="00C124C5" w:rsidRDefault="00646B92" w:rsidP="00646B92">
            <w:pPr>
              <w:widowControl w:val="0"/>
              <w:spacing w:line="276"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Pasal 1</w:t>
            </w:r>
          </w:p>
        </w:tc>
        <w:tc>
          <w:tcPr>
            <w:tcW w:w="2977" w:type="dxa"/>
          </w:tcPr>
          <w:p w14:paraId="25519EFE"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sz w:val="22"/>
                <w:szCs w:val="22"/>
              </w:rPr>
            </w:pPr>
          </w:p>
        </w:tc>
        <w:tc>
          <w:tcPr>
            <w:tcW w:w="3543" w:type="dxa"/>
          </w:tcPr>
          <w:p w14:paraId="71E469AB"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sz w:val="22"/>
                <w:szCs w:val="22"/>
              </w:rPr>
            </w:pPr>
          </w:p>
        </w:tc>
      </w:tr>
      <w:tr w:rsidR="00632EF9" w:rsidRPr="00D628A0" w14:paraId="38DEB54B" w14:textId="54014722" w:rsidTr="0007415D">
        <w:tc>
          <w:tcPr>
            <w:tcW w:w="7865" w:type="dxa"/>
          </w:tcPr>
          <w:p w14:paraId="17BFEC73" w14:textId="434DB02A" w:rsidR="00632EF9" w:rsidRPr="008D1121" w:rsidRDefault="008D1121" w:rsidP="008D1121">
            <w:pPr>
              <w:widowControl w:val="0"/>
              <w:spacing w:line="276" w:lineRule="auto"/>
              <w:jc w:val="both"/>
              <w:rPr>
                <w:rFonts w:ascii="Bookman Old Style" w:eastAsia="Bookman Old Style" w:hAnsi="Bookman Old Style"/>
                <w:sz w:val="22"/>
                <w:szCs w:val="22"/>
              </w:rPr>
            </w:pPr>
            <w:bookmarkStart w:id="0" w:name="_Hlk178252857"/>
            <w:bookmarkStart w:id="1" w:name="_Hlk178252866"/>
            <w:r w:rsidRPr="008D1121">
              <w:rPr>
                <w:rFonts w:ascii="Bookman Old Style" w:eastAsia="Bookman Old Style" w:hAnsi="Bookman Old Style"/>
                <w:sz w:val="22"/>
                <w:szCs w:val="22"/>
              </w:rPr>
              <w:t>Dalam Peraturan Otoritas Jasa Keuangan ini yang dimaksud dengan:</w:t>
            </w:r>
          </w:p>
        </w:tc>
        <w:tc>
          <w:tcPr>
            <w:tcW w:w="3759" w:type="dxa"/>
          </w:tcPr>
          <w:p w14:paraId="42E6D2BA" w14:textId="433B3085" w:rsidR="00632EF9" w:rsidRPr="00C124C5" w:rsidRDefault="00646B92" w:rsidP="00646B92">
            <w:pPr>
              <w:widowControl w:val="0"/>
              <w:spacing w:line="276"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Cukup jelas.</w:t>
            </w:r>
          </w:p>
        </w:tc>
        <w:tc>
          <w:tcPr>
            <w:tcW w:w="2977" w:type="dxa"/>
          </w:tcPr>
          <w:p w14:paraId="0B51157B"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sz w:val="22"/>
                <w:szCs w:val="22"/>
              </w:rPr>
            </w:pPr>
          </w:p>
        </w:tc>
        <w:tc>
          <w:tcPr>
            <w:tcW w:w="3543" w:type="dxa"/>
          </w:tcPr>
          <w:p w14:paraId="5012C4AF"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sz w:val="22"/>
                <w:szCs w:val="22"/>
              </w:rPr>
            </w:pPr>
          </w:p>
        </w:tc>
      </w:tr>
      <w:bookmarkEnd w:id="0"/>
      <w:bookmarkEnd w:id="1"/>
      <w:tr w:rsidR="00632EF9" w:rsidRPr="00D628A0" w14:paraId="24726D43" w14:textId="0F8B89E9" w:rsidTr="0007415D">
        <w:tc>
          <w:tcPr>
            <w:tcW w:w="7865" w:type="dxa"/>
          </w:tcPr>
          <w:p w14:paraId="6F4700CC" w14:textId="6C086266" w:rsidR="008D1121" w:rsidRPr="008D1121" w:rsidRDefault="00DB02E6" w:rsidP="006D063E">
            <w:pPr>
              <w:pStyle w:val="ListParagraph"/>
              <w:widowControl w:val="0"/>
              <w:numPr>
                <w:ilvl w:val="0"/>
                <w:numId w:val="4"/>
              </w:numPr>
              <w:spacing w:line="276" w:lineRule="auto"/>
              <w:jc w:val="both"/>
              <w:rPr>
                <w:rFonts w:ascii="Bookman Old Style" w:hAnsi="Bookman Old Style"/>
                <w:sz w:val="22"/>
                <w:szCs w:val="22"/>
              </w:rPr>
            </w:pPr>
            <w:r w:rsidRPr="00DB02E6">
              <w:rPr>
                <w:rFonts w:ascii="Bookman Old Style" w:hAnsi="Bookman Old Style"/>
                <w:sz w:val="22"/>
                <w:szCs w:val="22"/>
              </w:rPr>
              <w:t>Emiten atau Perusahaan Publik adalah:</w:t>
            </w:r>
          </w:p>
          <w:p w14:paraId="39035824" w14:textId="77777777" w:rsidR="008D1121" w:rsidRDefault="008D1121" w:rsidP="006D063E">
            <w:pPr>
              <w:pStyle w:val="ListParagraph"/>
              <w:widowControl w:val="0"/>
              <w:numPr>
                <w:ilvl w:val="0"/>
                <w:numId w:val="5"/>
              </w:numPr>
              <w:spacing w:line="276" w:lineRule="auto"/>
              <w:jc w:val="both"/>
              <w:rPr>
                <w:rFonts w:ascii="Bookman Old Style" w:hAnsi="Bookman Old Style"/>
                <w:sz w:val="22"/>
                <w:szCs w:val="22"/>
              </w:rPr>
            </w:pPr>
            <w:r w:rsidRPr="008D1121">
              <w:rPr>
                <w:rFonts w:ascii="Bookman Old Style" w:hAnsi="Bookman Old Style"/>
                <w:sz w:val="22"/>
                <w:szCs w:val="22"/>
              </w:rPr>
              <w:t>pihak yang melakukan penawaran umum; atau</w:t>
            </w:r>
          </w:p>
          <w:p w14:paraId="381BFE0E" w14:textId="680593C8" w:rsidR="008D1121" w:rsidRPr="008D1121" w:rsidRDefault="008D1121" w:rsidP="006D063E">
            <w:pPr>
              <w:pStyle w:val="ListParagraph"/>
              <w:widowControl w:val="0"/>
              <w:numPr>
                <w:ilvl w:val="0"/>
                <w:numId w:val="5"/>
              </w:numPr>
              <w:spacing w:line="276" w:lineRule="auto"/>
              <w:jc w:val="both"/>
              <w:rPr>
                <w:rFonts w:ascii="Bookman Old Style" w:hAnsi="Bookman Old Style"/>
                <w:sz w:val="22"/>
                <w:szCs w:val="22"/>
              </w:rPr>
            </w:pPr>
            <w:r w:rsidRPr="008D1121">
              <w:rPr>
                <w:rFonts w:ascii="Bookman Old Style" w:hAnsi="Bookman Old Style"/>
                <w:sz w:val="22"/>
                <w:szCs w:val="22"/>
              </w:rPr>
              <w:t>perseroan dengan jumlah pemegang saham dan modal disetor yang ditetapkan dengan Peraturan Otoritas Jasa Keuangan,</w:t>
            </w:r>
          </w:p>
          <w:p w14:paraId="52DDDCF4" w14:textId="0A0FA1E0" w:rsidR="00632EF9" w:rsidRPr="008D1121" w:rsidRDefault="008D1121" w:rsidP="008D1121">
            <w:pPr>
              <w:pStyle w:val="ListParagraph"/>
              <w:widowControl w:val="0"/>
              <w:spacing w:line="276" w:lineRule="auto"/>
              <w:ind w:left="360"/>
              <w:jc w:val="both"/>
              <w:rPr>
                <w:rFonts w:ascii="Bookman Old Style" w:hAnsi="Bookman Old Style"/>
                <w:sz w:val="22"/>
                <w:szCs w:val="22"/>
              </w:rPr>
            </w:pPr>
            <w:r w:rsidRPr="008D1121">
              <w:rPr>
                <w:rFonts w:ascii="Bookman Old Style" w:hAnsi="Bookman Old Style"/>
                <w:sz w:val="22"/>
                <w:szCs w:val="22"/>
              </w:rPr>
              <w:t>yang menyajikan laporan keuangan, baik laporan keuangan satu entitas maupun laporan keuangan konsolidasian.</w:t>
            </w:r>
          </w:p>
        </w:tc>
        <w:tc>
          <w:tcPr>
            <w:tcW w:w="3759" w:type="dxa"/>
          </w:tcPr>
          <w:p w14:paraId="6AA360CC" w14:textId="77777777" w:rsidR="00632EF9" w:rsidRPr="00C124C5" w:rsidRDefault="00632EF9" w:rsidP="00C124C5">
            <w:pPr>
              <w:widowControl w:val="0"/>
              <w:spacing w:line="276" w:lineRule="auto"/>
              <w:ind w:left="2520"/>
              <w:jc w:val="both"/>
              <w:rPr>
                <w:rFonts w:ascii="Bookman Old Style" w:eastAsia="Bookman Old Style" w:hAnsi="Bookman Old Style" w:cs="Bookman Old Style"/>
                <w:sz w:val="22"/>
                <w:szCs w:val="22"/>
              </w:rPr>
            </w:pPr>
          </w:p>
        </w:tc>
        <w:tc>
          <w:tcPr>
            <w:tcW w:w="2977" w:type="dxa"/>
          </w:tcPr>
          <w:p w14:paraId="149D584A"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sz w:val="22"/>
                <w:szCs w:val="22"/>
              </w:rPr>
            </w:pPr>
          </w:p>
        </w:tc>
        <w:tc>
          <w:tcPr>
            <w:tcW w:w="3543" w:type="dxa"/>
          </w:tcPr>
          <w:p w14:paraId="77367B78"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sz w:val="22"/>
                <w:szCs w:val="22"/>
              </w:rPr>
            </w:pPr>
          </w:p>
        </w:tc>
      </w:tr>
      <w:tr w:rsidR="00632EF9" w:rsidRPr="00D628A0" w14:paraId="3DD60136" w14:textId="7E1F14F9" w:rsidTr="0007415D">
        <w:tc>
          <w:tcPr>
            <w:tcW w:w="7865" w:type="dxa"/>
          </w:tcPr>
          <w:p w14:paraId="54D6570A" w14:textId="058000F1" w:rsidR="00632EF9" w:rsidRPr="00C124C5" w:rsidRDefault="008D1121" w:rsidP="006D063E">
            <w:pPr>
              <w:pStyle w:val="ListParagraph"/>
              <w:widowControl w:val="0"/>
              <w:numPr>
                <w:ilvl w:val="0"/>
                <w:numId w:val="4"/>
              </w:numPr>
              <w:spacing w:line="276" w:lineRule="auto"/>
              <w:jc w:val="both"/>
              <w:rPr>
                <w:rFonts w:ascii="Bookman Old Style" w:eastAsia="Bookman Old Style" w:hAnsi="Bookman Old Style" w:cs="Bookman Old Style"/>
                <w:sz w:val="22"/>
                <w:szCs w:val="22"/>
              </w:rPr>
            </w:pPr>
            <w:r w:rsidRPr="008D1121">
              <w:rPr>
                <w:rFonts w:ascii="Bookman Old Style" w:eastAsia="Bookman Old Style" w:hAnsi="Bookman Old Style" w:cs="Bookman Old Style"/>
                <w:sz w:val="22"/>
                <w:szCs w:val="22"/>
              </w:rPr>
              <w:t>Laporan Keuangan Konsolidasian adalah laporan keuangan kelompok usaha yang didalamnya terdiri atas aset, liabilitas, ekuitas, penghasilan, beban, dan arus kas entitas induk dan entitas anak disajikan sebagai suatu entitas ekonomi tunggal.</w:t>
            </w:r>
          </w:p>
        </w:tc>
        <w:tc>
          <w:tcPr>
            <w:tcW w:w="3759" w:type="dxa"/>
          </w:tcPr>
          <w:p w14:paraId="6F2F067A" w14:textId="77777777" w:rsidR="00632EF9" w:rsidRPr="00C124C5" w:rsidRDefault="00632EF9" w:rsidP="00C124C5">
            <w:pPr>
              <w:widowControl w:val="0"/>
              <w:spacing w:line="276" w:lineRule="auto"/>
              <w:ind w:left="2520"/>
              <w:jc w:val="both"/>
              <w:rPr>
                <w:rFonts w:ascii="Bookman Old Style" w:eastAsia="Bookman Old Style" w:hAnsi="Bookman Old Style" w:cs="Bookman Old Style"/>
                <w:sz w:val="22"/>
                <w:szCs w:val="22"/>
              </w:rPr>
            </w:pPr>
          </w:p>
        </w:tc>
        <w:tc>
          <w:tcPr>
            <w:tcW w:w="2977" w:type="dxa"/>
          </w:tcPr>
          <w:p w14:paraId="5C9049CB"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sz w:val="22"/>
                <w:szCs w:val="22"/>
              </w:rPr>
            </w:pPr>
          </w:p>
        </w:tc>
        <w:tc>
          <w:tcPr>
            <w:tcW w:w="3543" w:type="dxa"/>
          </w:tcPr>
          <w:p w14:paraId="09749736"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sz w:val="22"/>
                <w:szCs w:val="22"/>
              </w:rPr>
            </w:pPr>
          </w:p>
        </w:tc>
      </w:tr>
      <w:tr w:rsidR="00632EF9" w:rsidRPr="00D628A0" w14:paraId="5658264A" w14:textId="6B4C3BAF" w:rsidTr="0007415D">
        <w:tc>
          <w:tcPr>
            <w:tcW w:w="7865" w:type="dxa"/>
          </w:tcPr>
          <w:p w14:paraId="55F941A4" w14:textId="29F97E37" w:rsidR="00632EF9" w:rsidRPr="00C124C5" w:rsidRDefault="008D1121" w:rsidP="006D063E">
            <w:pPr>
              <w:pStyle w:val="ListParagraph"/>
              <w:widowControl w:val="0"/>
              <w:numPr>
                <w:ilvl w:val="0"/>
                <w:numId w:val="4"/>
              </w:numPr>
              <w:spacing w:line="276" w:lineRule="auto"/>
              <w:jc w:val="both"/>
              <w:rPr>
                <w:rFonts w:ascii="Bookman Old Style" w:eastAsia="Bookman Old Style" w:hAnsi="Bookman Old Style" w:cs="Bookman Old Style"/>
                <w:sz w:val="22"/>
                <w:szCs w:val="22"/>
              </w:rPr>
            </w:pPr>
            <w:r w:rsidRPr="008D1121">
              <w:rPr>
                <w:rFonts w:ascii="Bookman Old Style" w:eastAsia="Bookman Old Style" w:hAnsi="Bookman Old Style" w:cs="Bookman Old Style"/>
                <w:sz w:val="22"/>
                <w:szCs w:val="22"/>
              </w:rPr>
              <w:t>Pengendalian adalah suatu kondisi ketika investor terekspos atau memiliki hak atas imbal hasil variabel dari keterlibatannya dengan pihak penerima investasi dan memiliki kemampuan untuk mempengaruhi imbal hasil tersebut melalui kekuasaannya atas pihak penerima investasi.</w:t>
            </w:r>
          </w:p>
        </w:tc>
        <w:tc>
          <w:tcPr>
            <w:tcW w:w="3759" w:type="dxa"/>
          </w:tcPr>
          <w:p w14:paraId="31765D77" w14:textId="77777777" w:rsidR="00632EF9" w:rsidRPr="00C124C5" w:rsidRDefault="00632EF9" w:rsidP="00C124C5">
            <w:pPr>
              <w:widowControl w:val="0"/>
              <w:spacing w:line="276" w:lineRule="auto"/>
              <w:ind w:left="360"/>
              <w:jc w:val="both"/>
              <w:rPr>
                <w:rFonts w:ascii="Bookman Old Style" w:eastAsia="Bookman Old Style" w:hAnsi="Bookman Old Style" w:cs="Bookman Old Style"/>
                <w:sz w:val="22"/>
                <w:szCs w:val="22"/>
              </w:rPr>
            </w:pPr>
          </w:p>
        </w:tc>
        <w:tc>
          <w:tcPr>
            <w:tcW w:w="2977" w:type="dxa"/>
          </w:tcPr>
          <w:p w14:paraId="0B395E81" w14:textId="77777777" w:rsidR="00632EF9" w:rsidRPr="00D628A0" w:rsidRDefault="00632EF9" w:rsidP="00D628A0">
            <w:pPr>
              <w:pStyle w:val="ListParagraph"/>
              <w:widowControl w:val="0"/>
              <w:spacing w:line="276" w:lineRule="auto"/>
              <w:ind w:left="0"/>
              <w:jc w:val="both"/>
              <w:rPr>
                <w:rFonts w:ascii="Bookman Old Style" w:eastAsia="Bookman Old Style" w:hAnsi="Bookman Old Style" w:cs="Bookman Old Style"/>
                <w:sz w:val="22"/>
                <w:szCs w:val="22"/>
              </w:rPr>
            </w:pPr>
          </w:p>
        </w:tc>
        <w:tc>
          <w:tcPr>
            <w:tcW w:w="3543" w:type="dxa"/>
          </w:tcPr>
          <w:p w14:paraId="669A966B" w14:textId="77777777" w:rsidR="00632EF9" w:rsidRPr="00D628A0" w:rsidRDefault="00632EF9" w:rsidP="00D628A0">
            <w:pPr>
              <w:pStyle w:val="ListParagraph"/>
              <w:widowControl w:val="0"/>
              <w:spacing w:line="276" w:lineRule="auto"/>
              <w:ind w:left="0"/>
              <w:jc w:val="both"/>
              <w:rPr>
                <w:rFonts w:ascii="Bookman Old Style" w:eastAsia="Bookman Old Style" w:hAnsi="Bookman Old Style" w:cs="Bookman Old Style"/>
                <w:sz w:val="22"/>
                <w:szCs w:val="22"/>
              </w:rPr>
            </w:pPr>
          </w:p>
        </w:tc>
      </w:tr>
      <w:tr w:rsidR="00632EF9" w:rsidRPr="00D628A0" w14:paraId="3BCC9936" w14:textId="4F971197" w:rsidTr="0007415D">
        <w:tc>
          <w:tcPr>
            <w:tcW w:w="7865" w:type="dxa"/>
          </w:tcPr>
          <w:p w14:paraId="0EC1CC70" w14:textId="025765B7" w:rsidR="00632EF9" w:rsidRPr="00C124C5" w:rsidRDefault="008D1121" w:rsidP="006D063E">
            <w:pPr>
              <w:pStyle w:val="ListParagraph"/>
              <w:widowControl w:val="0"/>
              <w:numPr>
                <w:ilvl w:val="0"/>
                <w:numId w:val="4"/>
              </w:numPr>
              <w:spacing w:line="276" w:lineRule="auto"/>
              <w:jc w:val="both"/>
              <w:rPr>
                <w:rFonts w:ascii="Bookman Old Style" w:eastAsia="Bookman Old Style" w:hAnsi="Bookman Old Style" w:cs="Bookman Old Style"/>
                <w:sz w:val="22"/>
                <w:szCs w:val="22"/>
              </w:rPr>
            </w:pPr>
            <w:r w:rsidRPr="008D1121">
              <w:rPr>
                <w:rFonts w:ascii="Bookman Old Style" w:eastAsia="Bookman Old Style" w:hAnsi="Bookman Old Style" w:cs="Bookman Old Style"/>
                <w:sz w:val="22"/>
                <w:szCs w:val="22"/>
              </w:rPr>
              <w:t>Ketentuan Akuntansi di Bidang Pasar Modal, Keuangan Derivatif, dan Bursa Karbon yang selanjutnya disebut Ketentuan Akuntansi adalah ketentuan mengenai perlakuan akuntansi di pasar modal, keuangan derivati</w:t>
            </w:r>
            <w:r w:rsidR="007C7B9A">
              <w:rPr>
                <w:rFonts w:ascii="Bookman Old Style" w:eastAsia="Bookman Old Style" w:hAnsi="Bookman Old Style" w:cs="Bookman Old Style"/>
                <w:sz w:val="22"/>
                <w:szCs w:val="22"/>
              </w:rPr>
              <w:t>f</w:t>
            </w:r>
            <w:r w:rsidRPr="008D1121">
              <w:rPr>
                <w:rFonts w:ascii="Bookman Old Style" w:eastAsia="Bookman Old Style" w:hAnsi="Bookman Old Style" w:cs="Bookman Old Style"/>
                <w:sz w:val="22"/>
                <w:szCs w:val="22"/>
              </w:rPr>
              <w:t>, dan bursa karbon yang pengaturannya sejalan dengan standar akuntansi keuangan atau standar laporan keuangan dan bertujuan untuk keterbukaan dan pelindungan investor publik.</w:t>
            </w:r>
          </w:p>
        </w:tc>
        <w:tc>
          <w:tcPr>
            <w:tcW w:w="3759" w:type="dxa"/>
          </w:tcPr>
          <w:p w14:paraId="166DE4B1" w14:textId="0063E96C" w:rsidR="00632EF9" w:rsidRPr="00C124C5" w:rsidRDefault="00632EF9" w:rsidP="00C124C5">
            <w:pPr>
              <w:widowControl w:val="0"/>
              <w:tabs>
                <w:tab w:val="left" w:pos="1985"/>
              </w:tabs>
              <w:spacing w:line="276" w:lineRule="auto"/>
              <w:ind w:left="360"/>
              <w:rPr>
                <w:rFonts w:ascii="Bookman Old Style" w:eastAsia="Bookman Old Style" w:hAnsi="Bookman Old Style" w:cs="Bookman Old Style"/>
                <w:sz w:val="22"/>
                <w:szCs w:val="22"/>
              </w:rPr>
            </w:pPr>
          </w:p>
        </w:tc>
        <w:tc>
          <w:tcPr>
            <w:tcW w:w="2977" w:type="dxa"/>
          </w:tcPr>
          <w:p w14:paraId="36C8306D" w14:textId="77777777" w:rsidR="00632EF9" w:rsidRPr="00D628A0" w:rsidRDefault="00632EF9" w:rsidP="00D628A0">
            <w:pPr>
              <w:widowControl w:val="0"/>
              <w:tabs>
                <w:tab w:val="left" w:pos="1985"/>
              </w:tabs>
              <w:spacing w:line="276" w:lineRule="auto"/>
              <w:jc w:val="center"/>
              <w:rPr>
                <w:rFonts w:ascii="Bookman Old Style" w:eastAsia="Bookman Old Style" w:hAnsi="Bookman Old Style" w:cs="Bookman Old Style"/>
                <w:sz w:val="22"/>
                <w:szCs w:val="22"/>
              </w:rPr>
            </w:pPr>
          </w:p>
        </w:tc>
        <w:tc>
          <w:tcPr>
            <w:tcW w:w="3543" w:type="dxa"/>
          </w:tcPr>
          <w:p w14:paraId="718AAD29" w14:textId="77777777" w:rsidR="00632EF9" w:rsidRPr="00D628A0" w:rsidRDefault="00632EF9" w:rsidP="00D628A0">
            <w:pPr>
              <w:widowControl w:val="0"/>
              <w:tabs>
                <w:tab w:val="left" w:pos="1985"/>
              </w:tabs>
              <w:spacing w:line="276" w:lineRule="auto"/>
              <w:jc w:val="center"/>
              <w:rPr>
                <w:rFonts w:ascii="Bookman Old Style" w:eastAsia="Bookman Old Style" w:hAnsi="Bookman Old Style" w:cs="Bookman Old Style"/>
                <w:sz w:val="22"/>
                <w:szCs w:val="22"/>
              </w:rPr>
            </w:pPr>
          </w:p>
        </w:tc>
      </w:tr>
      <w:tr w:rsidR="00632EF9" w:rsidRPr="00D628A0" w14:paraId="36FED252" w14:textId="616150D3" w:rsidTr="0007415D">
        <w:tc>
          <w:tcPr>
            <w:tcW w:w="7865" w:type="dxa"/>
          </w:tcPr>
          <w:p w14:paraId="331E931F" w14:textId="5F9541D2" w:rsidR="00632EF9" w:rsidRPr="00C124C5" w:rsidRDefault="008D1121" w:rsidP="006D063E">
            <w:pPr>
              <w:pStyle w:val="ListParagraph"/>
              <w:widowControl w:val="0"/>
              <w:numPr>
                <w:ilvl w:val="0"/>
                <w:numId w:val="4"/>
              </w:numPr>
              <w:spacing w:line="276" w:lineRule="auto"/>
              <w:jc w:val="both"/>
              <w:rPr>
                <w:rFonts w:ascii="Bookman Old Style" w:eastAsia="Bookman Old Style" w:hAnsi="Bookman Old Style" w:cs="Bookman Old Style"/>
                <w:sz w:val="22"/>
                <w:szCs w:val="22"/>
              </w:rPr>
            </w:pPr>
            <w:r w:rsidRPr="008D1121">
              <w:rPr>
                <w:rFonts w:ascii="Bookman Old Style" w:eastAsia="Bookman Old Style" w:hAnsi="Bookman Old Style" w:cs="Bookman Old Style"/>
                <w:sz w:val="22"/>
                <w:szCs w:val="22"/>
              </w:rPr>
              <w:t xml:space="preserve">Standar Akuntansi Keuangan yang selanjutnya disebut SAK adalah pernyataan standar akuntansi keuangan dan interpretasi standar </w:t>
            </w:r>
            <w:r w:rsidRPr="008D1121">
              <w:rPr>
                <w:rFonts w:ascii="Bookman Old Style" w:eastAsia="Bookman Old Style" w:hAnsi="Bookman Old Style" w:cs="Bookman Old Style"/>
                <w:sz w:val="22"/>
                <w:szCs w:val="22"/>
              </w:rPr>
              <w:lastRenderedPageBreak/>
              <w:t xml:space="preserve">akuntansi keuangan yang diterbitkan oleh Dewan Standar Akuntansi Keuangan Ikatan Akuntan </w:t>
            </w:r>
            <w:bookmarkStart w:id="2" w:name="_GoBack"/>
            <w:r w:rsidRPr="0099768D">
              <w:rPr>
                <w:rFonts w:ascii="Bookman Old Style" w:eastAsia="Bookman Old Style" w:hAnsi="Bookman Old Style" w:cs="Bookman Old Style"/>
                <w:color w:val="000000" w:themeColor="text1"/>
                <w:sz w:val="22"/>
                <w:szCs w:val="22"/>
              </w:rPr>
              <w:t>Indonesia</w:t>
            </w:r>
            <w:r w:rsidR="00D046DB" w:rsidRPr="0099768D">
              <w:rPr>
                <w:rFonts w:ascii="Bookman Old Style" w:eastAsia="SimSun" w:hAnsi="Bookman Old Style" w:cs="Calibri"/>
                <w:color w:val="000000" w:themeColor="text1"/>
                <w:sz w:val="24"/>
                <w:szCs w:val="24"/>
                <w:lang w:val="ms-BN"/>
              </w:rPr>
              <w:t xml:space="preserve"> </w:t>
            </w:r>
            <w:r w:rsidR="00D046DB" w:rsidRPr="0099768D">
              <w:rPr>
                <w:rFonts w:ascii="Bookman Old Style" w:eastAsia="SimSun" w:hAnsi="Bookman Old Style" w:cs="Calibri"/>
                <w:color w:val="000000" w:themeColor="text1"/>
                <w:sz w:val="22"/>
                <w:szCs w:val="22"/>
                <w:lang w:val="ms-BN"/>
              </w:rPr>
              <w:t>dan Dewan Standar Akuntansi Syariah Ikatan Akuntan Indonesia</w:t>
            </w:r>
            <w:r w:rsidRPr="0099768D">
              <w:rPr>
                <w:rFonts w:ascii="Bookman Old Style" w:eastAsia="Bookman Old Style" w:hAnsi="Bookman Old Style" w:cs="Bookman Old Style"/>
                <w:color w:val="000000" w:themeColor="text1"/>
                <w:sz w:val="24"/>
                <w:szCs w:val="24"/>
              </w:rPr>
              <w:t>.</w:t>
            </w:r>
            <w:bookmarkEnd w:id="2"/>
          </w:p>
        </w:tc>
        <w:tc>
          <w:tcPr>
            <w:tcW w:w="3759" w:type="dxa"/>
          </w:tcPr>
          <w:p w14:paraId="4A48D4E0" w14:textId="26BD41E3" w:rsidR="00632EF9" w:rsidRPr="00C124C5" w:rsidRDefault="00632EF9" w:rsidP="00C124C5">
            <w:pPr>
              <w:widowControl w:val="0"/>
              <w:spacing w:line="276" w:lineRule="auto"/>
              <w:ind w:left="360"/>
              <w:jc w:val="both"/>
              <w:rPr>
                <w:rFonts w:ascii="Bookman Old Style" w:eastAsia="Bookman Old Style" w:hAnsi="Bookman Old Style" w:cs="Bookman Old Style"/>
                <w:sz w:val="22"/>
                <w:szCs w:val="22"/>
              </w:rPr>
            </w:pPr>
          </w:p>
        </w:tc>
        <w:tc>
          <w:tcPr>
            <w:tcW w:w="2977" w:type="dxa"/>
          </w:tcPr>
          <w:p w14:paraId="0712CD66"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sz w:val="22"/>
                <w:szCs w:val="22"/>
              </w:rPr>
            </w:pPr>
          </w:p>
        </w:tc>
        <w:tc>
          <w:tcPr>
            <w:tcW w:w="3543" w:type="dxa"/>
          </w:tcPr>
          <w:p w14:paraId="6D6688B7"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sz w:val="22"/>
                <w:szCs w:val="22"/>
              </w:rPr>
            </w:pPr>
          </w:p>
        </w:tc>
      </w:tr>
      <w:tr w:rsidR="00632EF9" w:rsidRPr="00D628A0" w14:paraId="2AA13628" w14:textId="0592268B" w:rsidTr="0007415D">
        <w:tc>
          <w:tcPr>
            <w:tcW w:w="7865" w:type="dxa"/>
          </w:tcPr>
          <w:p w14:paraId="68D76742" w14:textId="5B240868" w:rsidR="00632EF9" w:rsidRPr="00D628A0" w:rsidRDefault="008D1121" w:rsidP="006D063E">
            <w:pPr>
              <w:pStyle w:val="ListParagraph"/>
              <w:widowControl w:val="0"/>
              <w:numPr>
                <w:ilvl w:val="0"/>
                <w:numId w:val="4"/>
              </w:numPr>
              <w:spacing w:line="276" w:lineRule="auto"/>
              <w:jc w:val="both"/>
              <w:rPr>
                <w:rFonts w:ascii="Bookman Old Style" w:eastAsia="Bookman Old Style" w:hAnsi="Bookman Old Style" w:cs="Bookman Old Style"/>
                <w:sz w:val="22"/>
                <w:szCs w:val="22"/>
              </w:rPr>
            </w:pPr>
            <w:r w:rsidRPr="008D1121">
              <w:rPr>
                <w:rFonts w:ascii="Bookman Old Style" w:eastAsia="Bookman Old Style" w:hAnsi="Bookman Old Style" w:cs="Bookman Old Style"/>
                <w:sz w:val="22"/>
                <w:szCs w:val="22"/>
              </w:rPr>
              <w:t>Standar Laporan Keuangan yang selanjutnya disebut SLK adalah kerangka prosedur yang mengatur penyusunan laporan keuangan agar tersusun secara konsisten, akurat, dan transparan.</w:t>
            </w:r>
          </w:p>
        </w:tc>
        <w:tc>
          <w:tcPr>
            <w:tcW w:w="3759" w:type="dxa"/>
          </w:tcPr>
          <w:p w14:paraId="158B48F8" w14:textId="106B72CC" w:rsidR="00632EF9" w:rsidRPr="00C124C5" w:rsidRDefault="00632EF9" w:rsidP="00C124C5">
            <w:pPr>
              <w:widowControl w:val="0"/>
              <w:spacing w:line="276" w:lineRule="auto"/>
              <w:ind w:left="1980"/>
              <w:jc w:val="both"/>
              <w:rPr>
                <w:rFonts w:ascii="Bookman Old Style" w:eastAsia="Bookman Old Style" w:hAnsi="Bookman Old Style" w:cs="Bookman Old Style"/>
                <w:sz w:val="22"/>
                <w:szCs w:val="22"/>
              </w:rPr>
            </w:pPr>
          </w:p>
        </w:tc>
        <w:tc>
          <w:tcPr>
            <w:tcW w:w="2977" w:type="dxa"/>
          </w:tcPr>
          <w:p w14:paraId="0A444421"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c>
          <w:tcPr>
            <w:tcW w:w="3543" w:type="dxa"/>
          </w:tcPr>
          <w:p w14:paraId="52DD5F90"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r>
      <w:tr w:rsidR="00632EF9" w:rsidRPr="00D628A0" w14:paraId="7F648682" w14:textId="0E0D8B6C" w:rsidTr="0007415D">
        <w:tc>
          <w:tcPr>
            <w:tcW w:w="7865" w:type="dxa"/>
          </w:tcPr>
          <w:p w14:paraId="05A75495" w14:textId="2CDDCF28" w:rsidR="00632EF9" w:rsidRPr="00D628A0" w:rsidRDefault="00632EF9" w:rsidP="00C124C5">
            <w:pPr>
              <w:widowControl w:val="0"/>
              <w:spacing w:line="276" w:lineRule="auto"/>
              <w:ind w:left="360"/>
              <w:jc w:val="both"/>
              <w:rPr>
                <w:rFonts w:ascii="Bookman Old Style" w:eastAsia="Bookman Old Style" w:hAnsi="Bookman Old Style" w:cs="Bookman Old Style"/>
                <w:sz w:val="22"/>
                <w:szCs w:val="22"/>
              </w:rPr>
            </w:pPr>
          </w:p>
        </w:tc>
        <w:tc>
          <w:tcPr>
            <w:tcW w:w="3759" w:type="dxa"/>
          </w:tcPr>
          <w:p w14:paraId="5A269E87" w14:textId="2E23C232" w:rsidR="00632EF9" w:rsidRPr="00C124C5" w:rsidRDefault="00632EF9" w:rsidP="00C124C5">
            <w:pPr>
              <w:widowControl w:val="0"/>
              <w:spacing w:line="276" w:lineRule="auto"/>
              <w:ind w:left="1980"/>
              <w:jc w:val="both"/>
              <w:rPr>
                <w:rFonts w:ascii="Bookman Old Style" w:eastAsia="Bookman Old Style" w:hAnsi="Bookman Old Style" w:cs="Bookman Old Style"/>
                <w:sz w:val="22"/>
                <w:szCs w:val="22"/>
              </w:rPr>
            </w:pPr>
          </w:p>
        </w:tc>
        <w:tc>
          <w:tcPr>
            <w:tcW w:w="2977" w:type="dxa"/>
          </w:tcPr>
          <w:p w14:paraId="004A6BE3"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c>
          <w:tcPr>
            <w:tcW w:w="3543" w:type="dxa"/>
          </w:tcPr>
          <w:p w14:paraId="38AA5D37"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r>
      <w:tr w:rsidR="00632EF9" w:rsidRPr="00D628A0" w14:paraId="7BC87828" w14:textId="58F68810" w:rsidTr="0007415D">
        <w:tc>
          <w:tcPr>
            <w:tcW w:w="7865" w:type="dxa"/>
          </w:tcPr>
          <w:p w14:paraId="4E8913C6" w14:textId="4CCA8FAF" w:rsidR="00632EF9" w:rsidRPr="00D628A0" w:rsidRDefault="008D1121" w:rsidP="008D1121">
            <w:pPr>
              <w:widowControl w:val="0"/>
              <w:spacing w:line="276"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BAB II</w:t>
            </w:r>
          </w:p>
        </w:tc>
        <w:tc>
          <w:tcPr>
            <w:tcW w:w="3759" w:type="dxa"/>
          </w:tcPr>
          <w:p w14:paraId="560DF7C4" w14:textId="546106F3" w:rsidR="00632EF9" w:rsidRPr="00C124C5" w:rsidRDefault="00632EF9" w:rsidP="00C124C5">
            <w:pPr>
              <w:widowControl w:val="0"/>
              <w:spacing w:line="276" w:lineRule="auto"/>
              <w:ind w:left="1980"/>
              <w:jc w:val="both"/>
              <w:rPr>
                <w:rFonts w:ascii="Bookman Old Style" w:eastAsia="Bookman Old Style" w:hAnsi="Bookman Old Style" w:cs="Bookman Old Style"/>
                <w:sz w:val="22"/>
                <w:szCs w:val="22"/>
              </w:rPr>
            </w:pPr>
          </w:p>
        </w:tc>
        <w:tc>
          <w:tcPr>
            <w:tcW w:w="2977" w:type="dxa"/>
          </w:tcPr>
          <w:p w14:paraId="29E412EF"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c>
          <w:tcPr>
            <w:tcW w:w="3543" w:type="dxa"/>
          </w:tcPr>
          <w:p w14:paraId="04CEB405"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r>
      <w:tr w:rsidR="00632EF9" w:rsidRPr="00D628A0" w14:paraId="78494414" w14:textId="0405AB53" w:rsidTr="0007415D">
        <w:tc>
          <w:tcPr>
            <w:tcW w:w="7865" w:type="dxa"/>
          </w:tcPr>
          <w:p w14:paraId="54B67F94" w14:textId="2E2AEF9F" w:rsidR="00632EF9" w:rsidRPr="00D628A0" w:rsidRDefault="008D1121" w:rsidP="008D1121">
            <w:pPr>
              <w:widowControl w:val="0"/>
              <w:spacing w:line="276" w:lineRule="auto"/>
              <w:jc w:val="center"/>
              <w:rPr>
                <w:rFonts w:ascii="Bookman Old Style" w:eastAsia="Bookman Old Style" w:hAnsi="Bookman Old Style" w:cs="Bookman Old Style"/>
                <w:sz w:val="22"/>
                <w:szCs w:val="22"/>
              </w:rPr>
            </w:pPr>
            <w:r w:rsidRPr="008D1121">
              <w:rPr>
                <w:rFonts w:ascii="Bookman Old Style" w:eastAsia="Bookman Old Style" w:hAnsi="Bookman Old Style" w:cs="Bookman Old Style"/>
                <w:sz w:val="22"/>
                <w:szCs w:val="22"/>
              </w:rPr>
              <w:t>PENYUSUNAN LAPORAN KEUANGAN</w:t>
            </w:r>
          </w:p>
        </w:tc>
        <w:tc>
          <w:tcPr>
            <w:tcW w:w="3759" w:type="dxa"/>
          </w:tcPr>
          <w:p w14:paraId="7EC81D3B" w14:textId="281235EB" w:rsidR="00632EF9" w:rsidRPr="00C124C5" w:rsidRDefault="00632EF9" w:rsidP="00C124C5">
            <w:pPr>
              <w:widowControl w:val="0"/>
              <w:spacing w:line="276" w:lineRule="auto"/>
              <w:ind w:left="1980"/>
              <w:jc w:val="both"/>
              <w:rPr>
                <w:rFonts w:ascii="Bookman Old Style" w:eastAsia="Bookman Old Style" w:hAnsi="Bookman Old Style" w:cs="Bookman Old Style"/>
                <w:sz w:val="22"/>
                <w:szCs w:val="22"/>
              </w:rPr>
            </w:pPr>
          </w:p>
        </w:tc>
        <w:tc>
          <w:tcPr>
            <w:tcW w:w="2977" w:type="dxa"/>
          </w:tcPr>
          <w:p w14:paraId="4AA0FC36"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c>
          <w:tcPr>
            <w:tcW w:w="3543" w:type="dxa"/>
          </w:tcPr>
          <w:p w14:paraId="688A2EEB"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r>
      <w:tr w:rsidR="00632EF9" w:rsidRPr="00D628A0" w14:paraId="11E5128D" w14:textId="783AEB6A" w:rsidTr="0007415D">
        <w:tc>
          <w:tcPr>
            <w:tcW w:w="7865" w:type="dxa"/>
          </w:tcPr>
          <w:p w14:paraId="2DC5A203" w14:textId="698DD479" w:rsidR="00632EF9" w:rsidRPr="00D628A0" w:rsidRDefault="00632EF9" w:rsidP="00C124C5">
            <w:pPr>
              <w:widowControl w:val="0"/>
              <w:spacing w:line="276" w:lineRule="auto"/>
              <w:ind w:left="360"/>
              <w:jc w:val="both"/>
              <w:rPr>
                <w:rFonts w:ascii="Bookman Old Style" w:eastAsia="Bookman Old Style" w:hAnsi="Bookman Old Style" w:cs="Bookman Old Style"/>
                <w:sz w:val="22"/>
                <w:szCs w:val="22"/>
              </w:rPr>
            </w:pPr>
          </w:p>
        </w:tc>
        <w:tc>
          <w:tcPr>
            <w:tcW w:w="3759" w:type="dxa"/>
          </w:tcPr>
          <w:p w14:paraId="5F7B70DB" w14:textId="0B702D7D" w:rsidR="00632EF9" w:rsidRPr="00C124C5" w:rsidRDefault="00632EF9" w:rsidP="00C124C5">
            <w:pPr>
              <w:widowControl w:val="0"/>
              <w:spacing w:line="276" w:lineRule="auto"/>
              <w:ind w:left="1980"/>
              <w:jc w:val="both"/>
              <w:rPr>
                <w:rFonts w:ascii="Bookman Old Style" w:eastAsia="Bookman Old Style" w:hAnsi="Bookman Old Style" w:cs="Bookman Old Style"/>
                <w:sz w:val="22"/>
                <w:szCs w:val="22"/>
              </w:rPr>
            </w:pPr>
          </w:p>
        </w:tc>
        <w:tc>
          <w:tcPr>
            <w:tcW w:w="2977" w:type="dxa"/>
          </w:tcPr>
          <w:p w14:paraId="5B5C4DF6"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c>
          <w:tcPr>
            <w:tcW w:w="3543" w:type="dxa"/>
          </w:tcPr>
          <w:p w14:paraId="07663919"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r>
      <w:tr w:rsidR="00632EF9" w:rsidRPr="00D628A0" w14:paraId="173F517C" w14:textId="143CACFD" w:rsidTr="0007415D">
        <w:tc>
          <w:tcPr>
            <w:tcW w:w="7865" w:type="dxa"/>
          </w:tcPr>
          <w:p w14:paraId="1C056D50" w14:textId="5C4745FD" w:rsidR="00632EF9" w:rsidRPr="00D628A0" w:rsidRDefault="008D1121" w:rsidP="008D1121">
            <w:pPr>
              <w:widowControl w:val="0"/>
              <w:spacing w:line="276"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Pasal 2</w:t>
            </w:r>
          </w:p>
        </w:tc>
        <w:tc>
          <w:tcPr>
            <w:tcW w:w="3759" w:type="dxa"/>
          </w:tcPr>
          <w:p w14:paraId="026677EF" w14:textId="71A4815E" w:rsidR="00632EF9" w:rsidRPr="00C124C5" w:rsidRDefault="00646B92" w:rsidP="00646B92">
            <w:pPr>
              <w:widowControl w:val="0"/>
              <w:spacing w:line="276"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Pasal 2</w:t>
            </w:r>
          </w:p>
        </w:tc>
        <w:tc>
          <w:tcPr>
            <w:tcW w:w="2977" w:type="dxa"/>
          </w:tcPr>
          <w:p w14:paraId="79DD9A20"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c>
          <w:tcPr>
            <w:tcW w:w="3543" w:type="dxa"/>
          </w:tcPr>
          <w:p w14:paraId="76C52E96"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r>
      <w:tr w:rsidR="00632EF9" w:rsidRPr="00D628A0" w14:paraId="08EE04A4" w14:textId="59D49BC9" w:rsidTr="0007415D">
        <w:tc>
          <w:tcPr>
            <w:tcW w:w="7865" w:type="dxa"/>
          </w:tcPr>
          <w:p w14:paraId="7325B718" w14:textId="0B0FFDFC" w:rsidR="00632EF9" w:rsidRPr="00D628A0" w:rsidRDefault="008D1121" w:rsidP="008D1121">
            <w:pPr>
              <w:widowControl w:val="0"/>
              <w:spacing w:line="276" w:lineRule="auto"/>
              <w:jc w:val="both"/>
              <w:rPr>
                <w:rFonts w:ascii="Bookman Old Style" w:eastAsia="Bookman Old Style" w:hAnsi="Bookman Old Style" w:cs="Bookman Old Style"/>
                <w:sz w:val="22"/>
                <w:szCs w:val="22"/>
              </w:rPr>
            </w:pPr>
            <w:r w:rsidRPr="008D1121">
              <w:rPr>
                <w:rFonts w:ascii="Bookman Old Style" w:eastAsia="Bookman Old Style" w:hAnsi="Bookman Old Style" w:cs="Bookman Old Style"/>
                <w:sz w:val="22"/>
                <w:szCs w:val="22"/>
              </w:rPr>
              <w:t>Laporan keuangan Emiten atau Perusahaan Publik, baik laporan keuangan satu entitas maupun Laporan Keuangan Konsolidasian, untuk keperluan penyampaian kepada masyarakat maupun kepada Otoritas Jasa Keuangan, wajib disusun berdasarkan Ketentuan Akuntansi.</w:t>
            </w:r>
          </w:p>
        </w:tc>
        <w:tc>
          <w:tcPr>
            <w:tcW w:w="3759" w:type="dxa"/>
          </w:tcPr>
          <w:p w14:paraId="619E8EAB" w14:textId="3068825C" w:rsidR="00632EF9" w:rsidRPr="00C124C5" w:rsidRDefault="00646B92" w:rsidP="00646B92">
            <w:pPr>
              <w:widowControl w:val="0"/>
              <w:spacing w:line="276"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Cukup jelas.</w:t>
            </w:r>
          </w:p>
        </w:tc>
        <w:tc>
          <w:tcPr>
            <w:tcW w:w="2977" w:type="dxa"/>
          </w:tcPr>
          <w:p w14:paraId="7B354A00"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c>
          <w:tcPr>
            <w:tcW w:w="3543" w:type="dxa"/>
          </w:tcPr>
          <w:p w14:paraId="4C695CD7"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r>
      <w:tr w:rsidR="00632EF9" w:rsidRPr="00D628A0" w14:paraId="3671EB59" w14:textId="3A2B3BAC" w:rsidTr="0007415D">
        <w:tc>
          <w:tcPr>
            <w:tcW w:w="7865" w:type="dxa"/>
          </w:tcPr>
          <w:p w14:paraId="2E34B0DD" w14:textId="17B660A3" w:rsidR="00632EF9" w:rsidRPr="00D628A0" w:rsidRDefault="00632EF9" w:rsidP="00C124C5">
            <w:pPr>
              <w:widowControl w:val="0"/>
              <w:spacing w:line="276" w:lineRule="auto"/>
              <w:ind w:left="360"/>
              <w:jc w:val="both"/>
              <w:rPr>
                <w:rFonts w:ascii="Bookman Old Style" w:eastAsia="Bookman Old Style" w:hAnsi="Bookman Old Style" w:cs="Bookman Old Style"/>
                <w:sz w:val="22"/>
                <w:szCs w:val="22"/>
              </w:rPr>
            </w:pPr>
          </w:p>
        </w:tc>
        <w:tc>
          <w:tcPr>
            <w:tcW w:w="3759" w:type="dxa"/>
          </w:tcPr>
          <w:p w14:paraId="770A7697" w14:textId="38866AA7" w:rsidR="00632EF9" w:rsidRPr="00C124C5" w:rsidRDefault="00632EF9" w:rsidP="00C124C5">
            <w:pPr>
              <w:widowControl w:val="0"/>
              <w:spacing w:line="276" w:lineRule="auto"/>
              <w:ind w:left="1980"/>
              <w:jc w:val="both"/>
              <w:rPr>
                <w:rFonts w:ascii="Bookman Old Style" w:eastAsia="Bookman Old Style" w:hAnsi="Bookman Old Style" w:cs="Bookman Old Style"/>
                <w:sz w:val="22"/>
                <w:szCs w:val="22"/>
              </w:rPr>
            </w:pPr>
          </w:p>
        </w:tc>
        <w:tc>
          <w:tcPr>
            <w:tcW w:w="2977" w:type="dxa"/>
          </w:tcPr>
          <w:p w14:paraId="63365C09"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c>
          <w:tcPr>
            <w:tcW w:w="3543" w:type="dxa"/>
          </w:tcPr>
          <w:p w14:paraId="279D1821"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r>
      <w:tr w:rsidR="00632EF9" w:rsidRPr="00D628A0" w14:paraId="0357374D" w14:textId="504A64FE" w:rsidTr="0007415D">
        <w:tc>
          <w:tcPr>
            <w:tcW w:w="7865" w:type="dxa"/>
          </w:tcPr>
          <w:p w14:paraId="4B5E7FBC" w14:textId="1C680175" w:rsidR="00632EF9" w:rsidRPr="00D628A0" w:rsidRDefault="008D1121" w:rsidP="008D1121">
            <w:pPr>
              <w:widowControl w:val="0"/>
              <w:spacing w:line="276"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Pasal 3</w:t>
            </w:r>
          </w:p>
        </w:tc>
        <w:tc>
          <w:tcPr>
            <w:tcW w:w="3759" w:type="dxa"/>
          </w:tcPr>
          <w:p w14:paraId="44E0014D" w14:textId="12792FA0" w:rsidR="00632EF9" w:rsidRPr="00C124C5" w:rsidRDefault="00646B92" w:rsidP="00646B92">
            <w:pPr>
              <w:widowControl w:val="0"/>
              <w:spacing w:line="276"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Pasal 3</w:t>
            </w:r>
          </w:p>
        </w:tc>
        <w:tc>
          <w:tcPr>
            <w:tcW w:w="2977" w:type="dxa"/>
          </w:tcPr>
          <w:p w14:paraId="28820C4B"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c>
          <w:tcPr>
            <w:tcW w:w="3543" w:type="dxa"/>
          </w:tcPr>
          <w:p w14:paraId="5111386B"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r>
      <w:tr w:rsidR="00632EF9" w:rsidRPr="00D628A0" w14:paraId="18BBDDB1" w14:textId="77494AC1" w:rsidTr="0007415D">
        <w:tc>
          <w:tcPr>
            <w:tcW w:w="7865" w:type="dxa"/>
          </w:tcPr>
          <w:p w14:paraId="43F13CF2" w14:textId="7275CC0E" w:rsidR="00632EF9" w:rsidRPr="008D1121" w:rsidRDefault="008D1121" w:rsidP="006D063E">
            <w:pPr>
              <w:pStyle w:val="ListParagraph"/>
              <w:widowControl w:val="0"/>
              <w:numPr>
                <w:ilvl w:val="0"/>
                <w:numId w:val="6"/>
              </w:numPr>
              <w:spacing w:line="276" w:lineRule="auto"/>
              <w:ind w:left="463" w:hanging="463"/>
              <w:jc w:val="both"/>
              <w:rPr>
                <w:rFonts w:ascii="Bookman Old Style" w:eastAsia="Bookman Old Style" w:hAnsi="Bookman Old Style" w:cs="Bookman Old Style"/>
                <w:sz w:val="22"/>
                <w:szCs w:val="22"/>
              </w:rPr>
            </w:pPr>
            <w:r w:rsidRPr="008D1121">
              <w:rPr>
                <w:rFonts w:ascii="Bookman Old Style" w:eastAsia="Bookman Old Style" w:hAnsi="Bookman Old Style" w:cs="Bookman Old Style"/>
                <w:sz w:val="22"/>
                <w:szCs w:val="22"/>
              </w:rPr>
              <w:t>Dalam hal Emiten atau Perusahaan Publik memiliki Pengendalian atas entitas lain, Emiten atau Perusahaan Publik wajib mengonsolidasikan laporan keuangan entitas lain tersebut dalam Laporan Keuangan Konsolidasian.</w:t>
            </w:r>
          </w:p>
        </w:tc>
        <w:tc>
          <w:tcPr>
            <w:tcW w:w="3759" w:type="dxa"/>
          </w:tcPr>
          <w:p w14:paraId="03DB5991" w14:textId="30C31E18" w:rsidR="00632EF9" w:rsidRPr="00C124C5" w:rsidRDefault="00646B92" w:rsidP="00646B92">
            <w:pPr>
              <w:widowControl w:val="0"/>
              <w:spacing w:line="276"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Cukup jelas. </w:t>
            </w:r>
          </w:p>
        </w:tc>
        <w:tc>
          <w:tcPr>
            <w:tcW w:w="2977" w:type="dxa"/>
          </w:tcPr>
          <w:p w14:paraId="3891357B"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c>
          <w:tcPr>
            <w:tcW w:w="3543" w:type="dxa"/>
          </w:tcPr>
          <w:p w14:paraId="51C5BF54"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r>
      <w:tr w:rsidR="00632EF9" w:rsidRPr="00D628A0" w14:paraId="4EA8FA03" w14:textId="2BA44C85" w:rsidTr="0007415D">
        <w:tc>
          <w:tcPr>
            <w:tcW w:w="7865" w:type="dxa"/>
          </w:tcPr>
          <w:p w14:paraId="7A34979A" w14:textId="0101B0A9" w:rsidR="00632EF9" w:rsidRPr="00D628A0" w:rsidRDefault="008D1121" w:rsidP="006D063E">
            <w:pPr>
              <w:pStyle w:val="ListParagraph"/>
              <w:widowControl w:val="0"/>
              <w:numPr>
                <w:ilvl w:val="0"/>
                <w:numId w:val="6"/>
              </w:numPr>
              <w:spacing w:line="276" w:lineRule="auto"/>
              <w:ind w:left="463" w:hanging="463"/>
              <w:jc w:val="both"/>
              <w:rPr>
                <w:rFonts w:ascii="Bookman Old Style" w:eastAsia="Bookman Old Style" w:hAnsi="Bookman Old Style" w:cs="Bookman Old Style"/>
                <w:sz w:val="22"/>
                <w:szCs w:val="22"/>
              </w:rPr>
            </w:pPr>
            <w:r w:rsidRPr="008D1121">
              <w:rPr>
                <w:rFonts w:ascii="Bookman Old Style" w:eastAsia="Bookman Old Style" w:hAnsi="Bookman Old Style" w:cs="Bookman Old Style"/>
                <w:sz w:val="22"/>
                <w:szCs w:val="22"/>
              </w:rPr>
              <w:t>Emiten atau Perusahaan Publik dianggap memiliki Pengendalian atas entitas lain jika Emiten atau Perusahaan Publik memiliki:</w:t>
            </w:r>
          </w:p>
        </w:tc>
        <w:tc>
          <w:tcPr>
            <w:tcW w:w="3759" w:type="dxa"/>
          </w:tcPr>
          <w:p w14:paraId="06C98DDB" w14:textId="25EC16B2" w:rsidR="00632EF9" w:rsidRPr="00C124C5" w:rsidRDefault="00632EF9" w:rsidP="00C124C5">
            <w:pPr>
              <w:widowControl w:val="0"/>
              <w:spacing w:line="276" w:lineRule="auto"/>
              <w:ind w:left="1980"/>
              <w:jc w:val="both"/>
              <w:rPr>
                <w:rFonts w:ascii="Bookman Old Style" w:eastAsia="Bookman Old Style" w:hAnsi="Bookman Old Style" w:cs="Bookman Old Style"/>
                <w:sz w:val="22"/>
                <w:szCs w:val="22"/>
              </w:rPr>
            </w:pPr>
          </w:p>
        </w:tc>
        <w:tc>
          <w:tcPr>
            <w:tcW w:w="2977" w:type="dxa"/>
          </w:tcPr>
          <w:p w14:paraId="60F2B796"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c>
          <w:tcPr>
            <w:tcW w:w="3543" w:type="dxa"/>
          </w:tcPr>
          <w:p w14:paraId="5918644E"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r>
      <w:tr w:rsidR="00632EF9" w:rsidRPr="00D628A0" w14:paraId="724359DA" w14:textId="157710CA" w:rsidTr="0007415D">
        <w:tc>
          <w:tcPr>
            <w:tcW w:w="7865" w:type="dxa"/>
          </w:tcPr>
          <w:p w14:paraId="438C23B9" w14:textId="5B6F8BD9" w:rsidR="00632EF9" w:rsidRPr="00646B92" w:rsidRDefault="008D1121" w:rsidP="00646B92">
            <w:pPr>
              <w:pStyle w:val="ListParagraph"/>
              <w:widowControl w:val="0"/>
              <w:numPr>
                <w:ilvl w:val="0"/>
                <w:numId w:val="7"/>
              </w:numPr>
              <w:spacing w:line="276" w:lineRule="auto"/>
              <w:ind w:left="888" w:hanging="425"/>
              <w:jc w:val="both"/>
              <w:rPr>
                <w:rFonts w:ascii="Bookman Old Style" w:eastAsia="Bookman Old Style" w:hAnsi="Bookman Old Style" w:cs="Bookman Old Style"/>
                <w:sz w:val="22"/>
                <w:szCs w:val="22"/>
              </w:rPr>
            </w:pPr>
            <w:r w:rsidRPr="008D1121">
              <w:rPr>
                <w:rFonts w:ascii="Bookman Old Style" w:eastAsia="Bookman Old Style" w:hAnsi="Bookman Old Style" w:cs="Bookman Old Style"/>
                <w:sz w:val="22"/>
                <w:szCs w:val="22"/>
              </w:rPr>
              <w:t>kekuasaan atas pihak penerima investasi;</w:t>
            </w:r>
          </w:p>
        </w:tc>
        <w:tc>
          <w:tcPr>
            <w:tcW w:w="3759" w:type="dxa"/>
          </w:tcPr>
          <w:p w14:paraId="38FB21B4" w14:textId="40CB5677" w:rsidR="00632EF9" w:rsidRPr="00C124C5" w:rsidRDefault="00646B92" w:rsidP="00646B92">
            <w:pPr>
              <w:widowControl w:val="0"/>
              <w:spacing w:line="276" w:lineRule="auto"/>
              <w:jc w:val="both"/>
              <w:rPr>
                <w:rFonts w:ascii="Bookman Old Style" w:eastAsia="Bookman Old Style" w:hAnsi="Bookman Old Style" w:cs="Bookman Old Style"/>
                <w:sz w:val="22"/>
                <w:szCs w:val="22"/>
              </w:rPr>
            </w:pPr>
            <w:r w:rsidRPr="00646B92">
              <w:rPr>
                <w:rFonts w:ascii="Bookman Old Style" w:eastAsia="Bookman Old Style" w:hAnsi="Bookman Old Style" w:cs="Bookman Old Style"/>
                <w:sz w:val="22"/>
                <w:szCs w:val="22"/>
              </w:rPr>
              <w:t xml:space="preserve">Yang dimaksud dengan “kekuasaan” adalah hak yang ada saat ini yang memberikan </w:t>
            </w:r>
            <w:r w:rsidRPr="00646B92">
              <w:rPr>
                <w:rFonts w:ascii="Bookman Old Style" w:eastAsia="Bookman Old Style" w:hAnsi="Bookman Old Style" w:cs="Bookman Old Style"/>
                <w:sz w:val="22"/>
                <w:szCs w:val="22"/>
              </w:rPr>
              <w:lastRenderedPageBreak/>
              <w:t>kemampuan kini untuk mengarahkan aktivitas relevan.</w:t>
            </w:r>
          </w:p>
        </w:tc>
        <w:tc>
          <w:tcPr>
            <w:tcW w:w="2977" w:type="dxa"/>
          </w:tcPr>
          <w:p w14:paraId="5EF553E9"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c>
          <w:tcPr>
            <w:tcW w:w="3543" w:type="dxa"/>
          </w:tcPr>
          <w:p w14:paraId="13CBDA18"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r>
      <w:tr w:rsidR="00646B92" w:rsidRPr="00D628A0" w14:paraId="69B88C51" w14:textId="77777777" w:rsidTr="0007415D">
        <w:tc>
          <w:tcPr>
            <w:tcW w:w="7865" w:type="dxa"/>
          </w:tcPr>
          <w:p w14:paraId="068D6CB0" w14:textId="774579A2" w:rsidR="00646B92" w:rsidRPr="008D1121" w:rsidRDefault="00646B92" w:rsidP="006D063E">
            <w:pPr>
              <w:pStyle w:val="ListParagraph"/>
              <w:widowControl w:val="0"/>
              <w:numPr>
                <w:ilvl w:val="0"/>
                <w:numId w:val="7"/>
              </w:numPr>
              <w:spacing w:line="276" w:lineRule="auto"/>
              <w:ind w:left="888" w:hanging="425"/>
              <w:jc w:val="both"/>
              <w:rPr>
                <w:rFonts w:ascii="Bookman Old Style" w:eastAsia="Bookman Old Style" w:hAnsi="Bookman Old Style" w:cs="Bookman Old Style"/>
                <w:sz w:val="22"/>
                <w:szCs w:val="22"/>
              </w:rPr>
            </w:pPr>
            <w:r w:rsidRPr="008D1121">
              <w:rPr>
                <w:rFonts w:ascii="Bookman Old Style" w:eastAsia="Bookman Old Style" w:hAnsi="Bookman Old Style" w:cs="Bookman Old Style"/>
                <w:sz w:val="22"/>
                <w:szCs w:val="22"/>
              </w:rPr>
              <w:t>eksposur atau hak atas imbal hasil variabel dari keterlibatannya dengan pihak penerima investasi; dan</w:t>
            </w:r>
          </w:p>
        </w:tc>
        <w:tc>
          <w:tcPr>
            <w:tcW w:w="3759" w:type="dxa"/>
          </w:tcPr>
          <w:p w14:paraId="7A8F6297" w14:textId="31CEA26B" w:rsidR="00646B92" w:rsidRPr="00C124C5" w:rsidRDefault="00646B92" w:rsidP="00646B92">
            <w:pPr>
              <w:widowControl w:val="0"/>
              <w:spacing w:line="276"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Cukup jelas.</w:t>
            </w:r>
          </w:p>
        </w:tc>
        <w:tc>
          <w:tcPr>
            <w:tcW w:w="2977" w:type="dxa"/>
          </w:tcPr>
          <w:p w14:paraId="69C64612" w14:textId="77777777" w:rsidR="00646B92" w:rsidRPr="00D628A0" w:rsidRDefault="00646B92" w:rsidP="00D628A0">
            <w:pPr>
              <w:widowControl w:val="0"/>
              <w:spacing w:line="276" w:lineRule="auto"/>
              <w:ind w:left="2552"/>
              <w:jc w:val="both"/>
              <w:rPr>
                <w:rFonts w:ascii="Bookman Old Style" w:eastAsia="Bookman Old Style" w:hAnsi="Bookman Old Style" w:cs="Bookman Old Style"/>
                <w:sz w:val="22"/>
                <w:szCs w:val="22"/>
              </w:rPr>
            </w:pPr>
          </w:p>
        </w:tc>
        <w:tc>
          <w:tcPr>
            <w:tcW w:w="3543" w:type="dxa"/>
          </w:tcPr>
          <w:p w14:paraId="767B0D42" w14:textId="77777777" w:rsidR="00646B92" w:rsidRPr="00D628A0" w:rsidRDefault="00646B92" w:rsidP="00D628A0">
            <w:pPr>
              <w:widowControl w:val="0"/>
              <w:spacing w:line="276" w:lineRule="auto"/>
              <w:ind w:left="2552"/>
              <w:jc w:val="both"/>
              <w:rPr>
                <w:rFonts w:ascii="Bookman Old Style" w:eastAsia="Bookman Old Style" w:hAnsi="Bookman Old Style" w:cs="Bookman Old Style"/>
                <w:sz w:val="22"/>
                <w:szCs w:val="22"/>
              </w:rPr>
            </w:pPr>
          </w:p>
        </w:tc>
      </w:tr>
      <w:tr w:rsidR="00632EF9" w:rsidRPr="00D628A0" w14:paraId="1951D34E" w14:textId="41F81689" w:rsidTr="0007415D">
        <w:tc>
          <w:tcPr>
            <w:tcW w:w="7865" w:type="dxa"/>
          </w:tcPr>
          <w:p w14:paraId="1CDB04BF" w14:textId="3EF3B596" w:rsidR="00632EF9" w:rsidRPr="00D628A0" w:rsidRDefault="008D1121" w:rsidP="006D063E">
            <w:pPr>
              <w:pStyle w:val="ListParagraph"/>
              <w:widowControl w:val="0"/>
              <w:numPr>
                <w:ilvl w:val="0"/>
                <w:numId w:val="7"/>
              </w:numPr>
              <w:spacing w:line="276" w:lineRule="auto"/>
              <w:ind w:left="888" w:hanging="425"/>
              <w:jc w:val="both"/>
              <w:rPr>
                <w:rFonts w:ascii="Bookman Old Style" w:eastAsia="Bookman Old Style" w:hAnsi="Bookman Old Style" w:cs="Bookman Old Style"/>
                <w:sz w:val="22"/>
                <w:szCs w:val="22"/>
              </w:rPr>
            </w:pPr>
            <w:r w:rsidRPr="008D1121">
              <w:rPr>
                <w:rFonts w:ascii="Bookman Old Style" w:eastAsia="Bookman Old Style" w:hAnsi="Bookman Old Style" w:cs="Bookman Old Style"/>
                <w:sz w:val="22"/>
                <w:szCs w:val="22"/>
              </w:rPr>
              <w:t>kemampuan untuk menggunakan kekuasaannya atas pihak penerima investasi untuk mempengaruhi jumlah imbal hasil investor.</w:t>
            </w:r>
          </w:p>
        </w:tc>
        <w:tc>
          <w:tcPr>
            <w:tcW w:w="3759" w:type="dxa"/>
          </w:tcPr>
          <w:p w14:paraId="7449BC32" w14:textId="5A9A359F" w:rsidR="00632EF9" w:rsidRPr="00C124C5" w:rsidRDefault="00646B92" w:rsidP="00646B92">
            <w:pPr>
              <w:widowControl w:val="0"/>
              <w:spacing w:line="276"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Cukup jelas.</w:t>
            </w:r>
          </w:p>
        </w:tc>
        <w:tc>
          <w:tcPr>
            <w:tcW w:w="2977" w:type="dxa"/>
          </w:tcPr>
          <w:p w14:paraId="6B8392FE"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c>
          <w:tcPr>
            <w:tcW w:w="3543" w:type="dxa"/>
          </w:tcPr>
          <w:p w14:paraId="65854D2D"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r>
      <w:tr w:rsidR="00632EF9" w:rsidRPr="00D628A0" w14:paraId="4866833E" w14:textId="76B8E7C3" w:rsidTr="0007415D">
        <w:tc>
          <w:tcPr>
            <w:tcW w:w="7865" w:type="dxa"/>
          </w:tcPr>
          <w:p w14:paraId="7324087C" w14:textId="5A1C8EC1" w:rsidR="00632EF9" w:rsidRPr="008D1121" w:rsidRDefault="007C7B9A" w:rsidP="006D063E">
            <w:pPr>
              <w:pStyle w:val="ListParagraph"/>
              <w:widowControl w:val="0"/>
              <w:numPr>
                <w:ilvl w:val="0"/>
                <w:numId w:val="6"/>
              </w:numPr>
              <w:spacing w:line="276" w:lineRule="auto"/>
              <w:ind w:left="463" w:hanging="463"/>
              <w:jc w:val="both"/>
              <w:rPr>
                <w:rFonts w:ascii="Bookman Old Style" w:eastAsia="Bookman Old Style" w:hAnsi="Bookman Old Style" w:cs="Bookman Old Style"/>
                <w:sz w:val="22"/>
                <w:szCs w:val="22"/>
              </w:rPr>
            </w:pPr>
            <w:r w:rsidRPr="007C7B9A">
              <w:rPr>
                <w:rFonts w:ascii="Bookman Old Style" w:eastAsia="Bookman Old Style" w:hAnsi="Bookman Old Style" w:cs="Bookman Old Style"/>
                <w:sz w:val="22"/>
                <w:szCs w:val="22"/>
              </w:rPr>
              <w:t>Dalam hal Emiten atau Perusahaan Publik merupakan entitas investasi, Emiten atau Perusahaan Publik dikecualikan dari kewajiban mengonsolidasikan laporan keuangan entitas anak sebagaimana dimaksud pada ayat (1), kecuali entitas anak tersebut bukan merupakan entitas investasi serta tujuan utama dan aktivitasnya memberikan jasa terkait dengan aktivitas investasi dari entitas investasi</w:t>
            </w:r>
            <w:r>
              <w:rPr>
                <w:rFonts w:ascii="Bookman Old Style" w:eastAsia="Bookman Old Style" w:hAnsi="Bookman Old Style" w:cs="Bookman Old Style"/>
                <w:sz w:val="22"/>
                <w:szCs w:val="22"/>
              </w:rPr>
              <w:t>.</w:t>
            </w:r>
          </w:p>
        </w:tc>
        <w:tc>
          <w:tcPr>
            <w:tcW w:w="3759" w:type="dxa"/>
          </w:tcPr>
          <w:p w14:paraId="7BA48D3E" w14:textId="77777777" w:rsidR="00646B92" w:rsidRPr="00646B92" w:rsidRDefault="00646B92" w:rsidP="00646B92">
            <w:pPr>
              <w:widowControl w:val="0"/>
              <w:spacing w:line="276" w:lineRule="auto"/>
              <w:jc w:val="both"/>
              <w:rPr>
                <w:rFonts w:ascii="Bookman Old Style" w:eastAsia="Bookman Old Style" w:hAnsi="Bookman Old Style" w:cs="Bookman Old Style"/>
                <w:color w:val="000000" w:themeColor="text1"/>
                <w:sz w:val="22"/>
                <w:szCs w:val="22"/>
              </w:rPr>
            </w:pPr>
            <w:r w:rsidRPr="00646B92">
              <w:rPr>
                <w:rFonts w:ascii="Bookman Old Style" w:eastAsia="Bookman Old Style" w:hAnsi="Bookman Old Style" w:cs="Bookman Old Style"/>
                <w:color w:val="000000" w:themeColor="text1"/>
                <w:sz w:val="22"/>
                <w:szCs w:val="22"/>
              </w:rPr>
              <w:t xml:space="preserve">Yang dimaksud dengan “entitas investasi” adalah entitas yang: </w:t>
            </w:r>
          </w:p>
          <w:p w14:paraId="50ED402C" w14:textId="77777777" w:rsidR="00646B92" w:rsidRDefault="00646B92" w:rsidP="00646B92">
            <w:pPr>
              <w:pStyle w:val="ListParagraph"/>
              <w:widowControl w:val="0"/>
              <w:numPr>
                <w:ilvl w:val="0"/>
                <w:numId w:val="15"/>
              </w:numPr>
              <w:spacing w:line="276" w:lineRule="auto"/>
              <w:jc w:val="both"/>
              <w:rPr>
                <w:rFonts w:ascii="Bookman Old Style" w:eastAsia="Bookman Old Style" w:hAnsi="Bookman Old Style" w:cs="Bookman Old Style"/>
                <w:color w:val="000000" w:themeColor="text1"/>
                <w:sz w:val="22"/>
                <w:szCs w:val="22"/>
              </w:rPr>
            </w:pPr>
            <w:r w:rsidRPr="00646B92">
              <w:rPr>
                <w:rFonts w:ascii="Bookman Old Style" w:eastAsia="Bookman Old Style" w:hAnsi="Bookman Old Style" w:cs="Bookman Old Style"/>
                <w:color w:val="000000" w:themeColor="text1"/>
                <w:sz w:val="22"/>
                <w:szCs w:val="22"/>
              </w:rPr>
              <w:t xml:space="preserve">memperoleh dana dari satu atau lebih investor dengan tujuan memberikan investor tersebut jasa manajemen investasi; </w:t>
            </w:r>
          </w:p>
          <w:p w14:paraId="4DC1FF28" w14:textId="77777777" w:rsidR="00646B92" w:rsidRDefault="00646B92" w:rsidP="00646B92">
            <w:pPr>
              <w:pStyle w:val="ListParagraph"/>
              <w:widowControl w:val="0"/>
              <w:numPr>
                <w:ilvl w:val="0"/>
                <w:numId w:val="15"/>
              </w:numPr>
              <w:spacing w:line="276" w:lineRule="auto"/>
              <w:jc w:val="both"/>
              <w:rPr>
                <w:rFonts w:ascii="Bookman Old Style" w:eastAsia="Bookman Old Style" w:hAnsi="Bookman Old Style" w:cs="Bookman Old Style"/>
                <w:color w:val="000000" w:themeColor="text1"/>
                <w:sz w:val="22"/>
                <w:szCs w:val="22"/>
              </w:rPr>
            </w:pPr>
            <w:r w:rsidRPr="00646B92">
              <w:rPr>
                <w:rFonts w:ascii="Bookman Old Style" w:eastAsia="Bookman Old Style" w:hAnsi="Bookman Old Style" w:cs="Bookman Old Style"/>
                <w:color w:val="000000" w:themeColor="text1"/>
                <w:sz w:val="22"/>
                <w:szCs w:val="22"/>
              </w:rPr>
              <w:t xml:space="preserve">menyatakan komitmen kepada investor bahwa tujuan bisnisnya adalah untuk menginvestasikan dana yang semata-mata untuk memperoleh imbal hasil dari kenaikan nilai modal, penghasilan investasi, atau keduanya; dan </w:t>
            </w:r>
          </w:p>
          <w:p w14:paraId="6BB2C8AA" w14:textId="09A9AF98" w:rsidR="00632EF9" w:rsidRPr="00646B92" w:rsidRDefault="00646B92" w:rsidP="00646B92">
            <w:pPr>
              <w:pStyle w:val="ListParagraph"/>
              <w:widowControl w:val="0"/>
              <w:numPr>
                <w:ilvl w:val="0"/>
                <w:numId w:val="15"/>
              </w:numPr>
              <w:spacing w:line="276" w:lineRule="auto"/>
              <w:jc w:val="both"/>
              <w:rPr>
                <w:rFonts w:ascii="Bookman Old Style" w:eastAsia="Bookman Old Style" w:hAnsi="Bookman Old Style" w:cs="Bookman Old Style"/>
                <w:color w:val="000000" w:themeColor="text1"/>
                <w:sz w:val="22"/>
                <w:szCs w:val="22"/>
              </w:rPr>
            </w:pPr>
            <w:r w:rsidRPr="00646B92">
              <w:rPr>
                <w:rFonts w:ascii="Bookman Old Style" w:eastAsia="Bookman Old Style" w:hAnsi="Bookman Old Style" w:cs="Bookman Old Style"/>
                <w:color w:val="000000" w:themeColor="text1"/>
                <w:sz w:val="22"/>
                <w:szCs w:val="22"/>
              </w:rPr>
              <w:t>mengukur dan mengevaluasi kinerja dari seluruh investasinya berdasarkan nilai wajar.</w:t>
            </w:r>
          </w:p>
        </w:tc>
        <w:tc>
          <w:tcPr>
            <w:tcW w:w="2977" w:type="dxa"/>
          </w:tcPr>
          <w:p w14:paraId="7D786B3C"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color w:val="000000" w:themeColor="text1"/>
                <w:sz w:val="22"/>
                <w:szCs w:val="22"/>
              </w:rPr>
            </w:pPr>
          </w:p>
        </w:tc>
        <w:tc>
          <w:tcPr>
            <w:tcW w:w="3543" w:type="dxa"/>
          </w:tcPr>
          <w:p w14:paraId="2EA02C6F"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color w:val="000000" w:themeColor="text1"/>
                <w:sz w:val="22"/>
                <w:szCs w:val="22"/>
              </w:rPr>
            </w:pPr>
          </w:p>
        </w:tc>
      </w:tr>
      <w:tr w:rsidR="00632EF9" w:rsidRPr="00D628A0" w14:paraId="01891B40" w14:textId="7431086A" w:rsidTr="0007415D">
        <w:tc>
          <w:tcPr>
            <w:tcW w:w="7865" w:type="dxa"/>
          </w:tcPr>
          <w:p w14:paraId="1FC5C7A7" w14:textId="2A0AC958" w:rsidR="00632EF9" w:rsidRPr="00D628A0" w:rsidRDefault="00632EF9" w:rsidP="00C124C5">
            <w:pPr>
              <w:widowControl w:val="0"/>
              <w:spacing w:line="276" w:lineRule="auto"/>
              <w:ind w:left="360"/>
              <w:jc w:val="both"/>
              <w:rPr>
                <w:rFonts w:ascii="Bookman Old Style" w:eastAsia="Bookman Old Style" w:hAnsi="Bookman Old Style" w:cs="Bookman Old Style"/>
                <w:color w:val="0000FF"/>
                <w:sz w:val="22"/>
                <w:szCs w:val="22"/>
              </w:rPr>
            </w:pPr>
          </w:p>
        </w:tc>
        <w:tc>
          <w:tcPr>
            <w:tcW w:w="3759" w:type="dxa"/>
          </w:tcPr>
          <w:p w14:paraId="25473E90" w14:textId="1B1FB260" w:rsidR="00632EF9" w:rsidRPr="00C124C5" w:rsidRDefault="00632EF9" w:rsidP="00C124C5">
            <w:pPr>
              <w:widowControl w:val="0"/>
              <w:spacing w:line="276" w:lineRule="auto"/>
              <w:ind w:left="1980"/>
              <w:jc w:val="both"/>
              <w:rPr>
                <w:rFonts w:ascii="Bookman Old Style" w:eastAsia="Bookman Old Style" w:hAnsi="Bookman Old Style" w:cs="Bookman Old Style"/>
                <w:sz w:val="22"/>
                <w:szCs w:val="22"/>
              </w:rPr>
            </w:pPr>
          </w:p>
        </w:tc>
        <w:tc>
          <w:tcPr>
            <w:tcW w:w="2977" w:type="dxa"/>
          </w:tcPr>
          <w:p w14:paraId="68B1372F"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color w:val="000000" w:themeColor="text1"/>
                <w:sz w:val="22"/>
                <w:szCs w:val="22"/>
              </w:rPr>
            </w:pPr>
          </w:p>
        </w:tc>
        <w:tc>
          <w:tcPr>
            <w:tcW w:w="3543" w:type="dxa"/>
          </w:tcPr>
          <w:p w14:paraId="181CB236"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color w:val="000000" w:themeColor="text1"/>
                <w:sz w:val="22"/>
                <w:szCs w:val="22"/>
              </w:rPr>
            </w:pPr>
          </w:p>
        </w:tc>
      </w:tr>
      <w:tr w:rsidR="00632EF9" w:rsidRPr="00D628A0" w14:paraId="55F4EDAC" w14:textId="32A2EEDA" w:rsidTr="0007415D">
        <w:tc>
          <w:tcPr>
            <w:tcW w:w="7865" w:type="dxa"/>
          </w:tcPr>
          <w:p w14:paraId="03E727F7" w14:textId="75B13D19" w:rsidR="00632EF9" w:rsidRPr="00D628A0" w:rsidRDefault="007C7B9A" w:rsidP="007C7B9A">
            <w:pPr>
              <w:widowControl w:val="0"/>
              <w:spacing w:line="276" w:lineRule="auto"/>
              <w:jc w:val="center"/>
              <w:rPr>
                <w:rFonts w:ascii="Bookman Old Style" w:eastAsia="Bookman Old Style" w:hAnsi="Bookman Old Style" w:cs="Bookman Old Style"/>
                <w:color w:val="000000" w:themeColor="text1"/>
                <w:sz w:val="22"/>
                <w:szCs w:val="22"/>
              </w:rPr>
            </w:pPr>
            <w:r>
              <w:rPr>
                <w:rFonts w:ascii="Bookman Old Style" w:eastAsia="Bookman Old Style" w:hAnsi="Bookman Old Style" w:cs="Bookman Old Style"/>
                <w:color w:val="000000" w:themeColor="text1"/>
                <w:sz w:val="22"/>
                <w:szCs w:val="22"/>
              </w:rPr>
              <w:t>Pasal 4</w:t>
            </w:r>
          </w:p>
        </w:tc>
        <w:tc>
          <w:tcPr>
            <w:tcW w:w="3759" w:type="dxa"/>
          </w:tcPr>
          <w:p w14:paraId="25A92816" w14:textId="16343001" w:rsidR="00632EF9" w:rsidRPr="00C124C5" w:rsidRDefault="00646B92" w:rsidP="00646B92">
            <w:pPr>
              <w:widowControl w:val="0"/>
              <w:spacing w:line="276" w:lineRule="auto"/>
              <w:jc w:val="both"/>
              <w:rPr>
                <w:rFonts w:ascii="Bookman Old Style" w:eastAsia="Bookman Old Style" w:hAnsi="Bookman Old Style" w:cs="Bookman Old Style"/>
                <w:color w:val="000000" w:themeColor="text1"/>
                <w:sz w:val="22"/>
                <w:szCs w:val="22"/>
              </w:rPr>
            </w:pPr>
            <w:r>
              <w:rPr>
                <w:rFonts w:ascii="Bookman Old Style" w:eastAsia="Bookman Old Style" w:hAnsi="Bookman Old Style" w:cs="Bookman Old Style"/>
                <w:color w:val="000000" w:themeColor="text1"/>
                <w:sz w:val="22"/>
                <w:szCs w:val="22"/>
              </w:rPr>
              <w:t>Pasal 4</w:t>
            </w:r>
          </w:p>
        </w:tc>
        <w:tc>
          <w:tcPr>
            <w:tcW w:w="2977" w:type="dxa"/>
          </w:tcPr>
          <w:p w14:paraId="6EE9EE02"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color w:val="000000" w:themeColor="text1"/>
                <w:sz w:val="22"/>
                <w:szCs w:val="22"/>
              </w:rPr>
            </w:pPr>
          </w:p>
        </w:tc>
        <w:tc>
          <w:tcPr>
            <w:tcW w:w="3543" w:type="dxa"/>
          </w:tcPr>
          <w:p w14:paraId="2FB1EDB3"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color w:val="000000" w:themeColor="text1"/>
                <w:sz w:val="22"/>
                <w:szCs w:val="22"/>
              </w:rPr>
            </w:pPr>
          </w:p>
        </w:tc>
      </w:tr>
      <w:tr w:rsidR="00632EF9" w:rsidRPr="00D628A0" w14:paraId="5674A0F0" w14:textId="5A2166AF" w:rsidTr="0007415D">
        <w:tc>
          <w:tcPr>
            <w:tcW w:w="7865" w:type="dxa"/>
          </w:tcPr>
          <w:p w14:paraId="304EB4A3" w14:textId="55362B94" w:rsidR="00632EF9" w:rsidRPr="007C7B9A" w:rsidRDefault="007C7B9A" w:rsidP="007C7B9A">
            <w:pPr>
              <w:pStyle w:val="ListParagraph"/>
              <w:widowControl w:val="0"/>
              <w:numPr>
                <w:ilvl w:val="0"/>
                <w:numId w:val="8"/>
              </w:numPr>
              <w:spacing w:line="276" w:lineRule="auto"/>
              <w:ind w:left="463" w:hanging="463"/>
              <w:jc w:val="both"/>
              <w:rPr>
                <w:rFonts w:ascii="Bookman Old Style" w:eastAsia="Bookman Old Style" w:hAnsi="Bookman Old Style"/>
                <w:sz w:val="22"/>
                <w:szCs w:val="22"/>
              </w:rPr>
            </w:pPr>
            <w:r w:rsidRPr="007C7B9A">
              <w:rPr>
                <w:rFonts w:ascii="Bookman Old Style" w:eastAsia="Bookman Old Style" w:hAnsi="Bookman Old Style"/>
                <w:sz w:val="22"/>
                <w:szCs w:val="22"/>
              </w:rPr>
              <w:t>Manajemen Emiten atau Perusahaan Publik wajib bertanggung jawab atas penyusunan laporan keuangan Emiten atau Perusahaan Publik</w:t>
            </w:r>
            <w:r>
              <w:rPr>
                <w:rFonts w:ascii="Bookman Old Style" w:eastAsia="Bookman Old Style" w:hAnsi="Bookman Old Style"/>
                <w:sz w:val="22"/>
                <w:szCs w:val="22"/>
              </w:rPr>
              <w:t>.</w:t>
            </w:r>
          </w:p>
        </w:tc>
        <w:tc>
          <w:tcPr>
            <w:tcW w:w="3759" w:type="dxa"/>
          </w:tcPr>
          <w:p w14:paraId="33426D2F" w14:textId="4A5F987D" w:rsidR="00632EF9" w:rsidRPr="00C124C5" w:rsidRDefault="00646B92" w:rsidP="00646B92">
            <w:pPr>
              <w:widowControl w:val="0"/>
              <w:spacing w:line="276" w:lineRule="auto"/>
              <w:jc w:val="both"/>
              <w:rPr>
                <w:rFonts w:ascii="Bookman Old Style" w:eastAsia="Bookman Old Style" w:hAnsi="Bookman Old Style" w:cs="Bookman Old Style"/>
                <w:sz w:val="22"/>
                <w:szCs w:val="22"/>
              </w:rPr>
            </w:pPr>
            <w:r w:rsidRPr="00646B92">
              <w:rPr>
                <w:rFonts w:ascii="Bookman Old Style" w:eastAsia="Bookman Old Style" w:hAnsi="Bookman Old Style" w:cs="Bookman Old Style"/>
                <w:sz w:val="22"/>
                <w:szCs w:val="22"/>
              </w:rPr>
              <w:t>Yang dimaksud dengan “manajemen Emiten atau Perusahaan Publik” adalah direktur utama dan seorang direktur yang membawahi bidang akuntansi atau keuangan sebagaimana diatur dalam peraturan mengenai tanggung jawab direksi atas laporan keuangan.</w:t>
            </w:r>
          </w:p>
        </w:tc>
        <w:tc>
          <w:tcPr>
            <w:tcW w:w="2977" w:type="dxa"/>
          </w:tcPr>
          <w:p w14:paraId="09776794"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sz w:val="22"/>
                <w:szCs w:val="22"/>
              </w:rPr>
            </w:pPr>
          </w:p>
        </w:tc>
        <w:tc>
          <w:tcPr>
            <w:tcW w:w="3543" w:type="dxa"/>
          </w:tcPr>
          <w:p w14:paraId="4E6D2083"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sz w:val="22"/>
                <w:szCs w:val="22"/>
              </w:rPr>
            </w:pPr>
          </w:p>
        </w:tc>
      </w:tr>
      <w:tr w:rsidR="00632EF9" w:rsidRPr="00D628A0" w14:paraId="180859A1" w14:textId="7B33F03C" w:rsidTr="0007415D">
        <w:tc>
          <w:tcPr>
            <w:tcW w:w="7865" w:type="dxa"/>
          </w:tcPr>
          <w:p w14:paraId="534EFB37" w14:textId="649BF319" w:rsidR="00632EF9" w:rsidRPr="007C7B9A" w:rsidRDefault="007C7B9A" w:rsidP="007C7B9A">
            <w:pPr>
              <w:pStyle w:val="ListParagraph"/>
              <w:widowControl w:val="0"/>
              <w:numPr>
                <w:ilvl w:val="0"/>
                <w:numId w:val="8"/>
              </w:numPr>
              <w:spacing w:line="276" w:lineRule="auto"/>
              <w:ind w:left="463" w:hanging="463"/>
              <w:jc w:val="both"/>
              <w:rPr>
                <w:rFonts w:ascii="Bookman Old Style" w:eastAsia="Bookman Old Style" w:hAnsi="Bookman Old Style"/>
                <w:sz w:val="22"/>
                <w:szCs w:val="22"/>
              </w:rPr>
            </w:pPr>
            <w:r w:rsidRPr="007C7B9A">
              <w:rPr>
                <w:rFonts w:ascii="Bookman Old Style" w:eastAsia="Bookman Old Style" w:hAnsi="Bookman Old Style"/>
                <w:sz w:val="22"/>
                <w:szCs w:val="22"/>
              </w:rPr>
              <w:t>Penyusun laporan keuangan Emiten atau Perusahaan Publik wajib memiliki sertifikasi kompetensi terkait SAK atau SLK</w:t>
            </w:r>
            <w:r>
              <w:rPr>
                <w:rFonts w:ascii="Bookman Old Style" w:eastAsia="Bookman Old Style" w:hAnsi="Bookman Old Style"/>
                <w:sz w:val="22"/>
                <w:szCs w:val="22"/>
              </w:rPr>
              <w:t>.</w:t>
            </w:r>
          </w:p>
        </w:tc>
        <w:tc>
          <w:tcPr>
            <w:tcW w:w="3759" w:type="dxa"/>
          </w:tcPr>
          <w:p w14:paraId="1801907C" w14:textId="77777777" w:rsidR="00646B92" w:rsidRPr="00646B92" w:rsidRDefault="00646B92" w:rsidP="00646B92">
            <w:pPr>
              <w:widowControl w:val="0"/>
              <w:spacing w:line="276" w:lineRule="auto"/>
              <w:jc w:val="both"/>
              <w:rPr>
                <w:rFonts w:ascii="Bookman Old Style" w:eastAsia="Bookman Old Style" w:hAnsi="Bookman Old Style" w:cs="Bookman Old Style"/>
                <w:sz w:val="22"/>
                <w:szCs w:val="22"/>
              </w:rPr>
            </w:pPr>
            <w:r w:rsidRPr="00646B92">
              <w:rPr>
                <w:rFonts w:ascii="Bookman Old Style" w:eastAsia="Bookman Old Style" w:hAnsi="Bookman Old Style" w:cs="Bookman Old Style"/>
                <w:sz w:val="22"/>
                <w:szCs w:val="22"/>
              </w:rPr>
              <w:t>Yang dimaksud “Penyusun laporan keuangan Emiten atau Perusahaan Publik” yaitu:</w:t>
            </w:r>
          </w:p>
          <w:p w14:paraId="31E014B3" w14:textId="77777777" w:rsidR="00646B92" w:rsidRDefault="00646B92" w:rsidP="00646B92">
            <w:pPr>
              <w:pStyle w:val="ListParagraph"/>
              <w:widowControl w:val="0"/>
              <w:numPr>
                <w:ilvl w:val="0"/>
                <w:numId w:val="16"/>
              </w:numPr>
              <w:spacing w:line="276" w:lineRule="auto"/>
              <w:jc w:val="both"/>
              <w:rPr>
                <w:rFonts w:ascii="Bookman Old Style" w:eastAsia="Bookman Old Style" w:hAnsi="Bookman Old Style" w:cs="Bookman Old Style"/>
                <w:sz w:val="22"/>
                <w:szCs w:val="22"/>
              </w:rPr>
            </w:pPr>
            <w:r w:rsidRPr="00646B92">
              <w:rPr>
                <w:rFonts w:ascii="Bookman Old Style" w:eastAsia="Bookman Old Style" w:hAnsi="Bookman Old Style" w:cs="Bookman Old Style"/>
                <w:sz w:val="22"/>
                <w:szCs w:val="22"/>
              </w:rPr>
              <w:t>direktur yang membawahi bidang akuntansi atau keuangan sebagaimana diatur dalam peraturan mengenai tanggung jawab direksi atas laporan keuangan; atau</w:t>
            </w:r>
          </w:p>
          <w:p w14:paraId="098A4BEF" w14:textId="01DDB7C8" w:rsidR="00646B92" w:rsidRPr="00646B92" w:rsidRDefault="00646B92" w:rsidP="00646B92">
            <w:pPr>
              <w:pStyle w:val="ListParagraph"/>
              <w:widowControl w:val="0"/>
              <w:numPr>
                <w:ilvl w:val="0"/>
                <w:numId w:val="16"/>
              </w:numPr>
              <w:spacing w:line="276" w:lineRule="auto"/>
              <w:jc w:val="both"/>
              <w:rPr>
                <w:rFonts w:ascii="Bookman Old Style" w:eastAsia="Bookman Old Style" w:hAnsi="Bookman Old Style" w:cs="Bookman Old Style"/>
                <w:sz w:val="22"/>
                <w:szCs w:val="22"/>
              </w:rPr>
            </w:pPr>
            <w:r w:rsidRPr="00646B92">
              <w:rPr>
                <w:rFonts w:ascii="Bookman Old Style" w:eastAsia="Bookman Old Style" w:hAnsi="Bookman Old Style" w:cs="Bookman Old Style"/>
                <w:sz w:val="22"/>
                <w:szCs w:val="22"/>
              </w:rPr>
              <w:t>pegawai Emiten atau Perusahaan Publik pada divisi dengan fungsi akuntansi atau keuangan.</w:t>
            </w:r>
          </w:p>
          <w:p w14:paraId="198FCD91" w14:textId="77777777" w:rsidR="00646B92" w:rsidRPr="00646B92" w:rsidRDefault="00646B92" w:rsidP="00646B92">
            <w:pPr>
              <w:widowControl w:val="0"/>
              <w:spacing w:line="276" w:lineRule="auto"/>
              <w:jc w:val="both"/>
              <w:rPr>
                <w:rFonts w:ascii="Bookman Old Style" w:eastAsia="Bookman Old Style" w:hAnsi="Bookman Old Style" w:cs="Bookman Old Style"/>
                <w:sz w:val="22"/>
                <w:szCs w:val="22"/>
              </w:rPr>
            </w:pPr>
            <w:r w:rsidRPr="00646B92">
              <w:rPr>
                <w:rFonts w:ascii="Bookman Old Style" w:eastAsia="Bookman Old Style" w:hAnsi="Bookman Old Style" w:cs="Bookman Old Style"/>
                <w:sz w:val="22"/>
                <w:szCs w:val="22"/>
              </w:rPr>
              <w:t xml:space="preserve">Kewajiban memiliki sertifikat kompetensi termasuk memenuhi </w:t>
            </w:r>
            <w:r w:rsidRPr="00646B92">
              <w:rPr>
                <w:rFonts w:ascii="Bookman Old Style" w:eastAsia="Bookman Old Style" w:hAnsi="Bookman Old Style" w:cs="Bookman Old Style"/>
                <w:sz w:val="22"/>
                <w:szCs w:val="22"/>
              </w:rPr>
              <w:lastRenderedPageBreak/>
              <w:t>kewajiban memelihara dan meningkatkan kompetensi terkait SAK atau SLK sesuai dengan persyaratan.</w:t>
            </w:r>
          </w:p>
          <w:p w14:paraId="063E4D58" w14:textId="3CCE00ED" w:rsidR="00632EF9" w:rsidRPr="00C124C5" w:rsidRDefault="00646B92" w:rsidP="00646B92">
            <w:pPr>
              <w:widowControl w:val="0"/>
              <w:spacing w:line="276" w:lineRule="auto"/>
              <w:jc w:val="both"/>
              <w:rPr>
                <w:rFonts w:ascii="Bookman Old Style" w:eastAsia="Bookman Old Style" w:hAnsi="Bookman Old Style" w:cs="Bookman Old Style"/>
                <w:sz w:val="22"/>
                <w:szCs w:val="22"/>
              </w:rPr>
            </w:pPr>
            <w:r w:rsidRPr="00646B92">
              <w:rPr>
                <w:rFonts w:ascii="Bookman Old Style" w:eastAsia="Bookman Old Style" w:hAnsi="Bookman Old Style" w:cs="Bookman Old Style"/>
                <w:sz w:val="22"/>
                <w:szCs w:val="22"/>
              </w:rPr>
              <w:t xml:space="preserve">Contoh sertifikasi kompetensi terkait SAK antara lain sertifikasi </w:t>
            </w:r>
            <w:r w:rsidRPr="00646B92">
              <w:rPr>
                <w:rFonts w:ascii="Bookman Old Style" w:eastAsia="Bookman Old Style" w:hAnsi="Bookman Old Style" w:cs="Bookman Old Style"/>
                <w:i/>
                <w:sz w:val="22"/>
                <w:szCs w:val="22"/>
              </w:rPr>
              <w:t>chartered accountant</w:t>
            </w:r>
            <w:r w:rsidRPr="00646B92">
              <w:rPr>
                <w:rFonts w:ascii="Bookman Old Style" w:eastAsia="Bookman Old Style" w:hAnsi="Bookman Old Style" w:cs="Bookman Old Style"/>
                <w:sz w:val="22"/>
                <w:szCs w:val="22"/>
              </w:rPr>
              <w:t>.</w:t>
            </w:r>
          </w:p>
        </w:tc>
        <w:tc>
          <w:tcPr>
            <w:tcW w:w="2977" w:type="dxa"/>
          </w:tcPr>
          <w:p w14:paraId="7E3B1B13" w14:textId="77777777" w:rsidR="00632EF9" w:rsidRPr="00D628A0" w:rsidRDefault="00632EF9" w:rsidP="00D628A0">
            <w:pPr>
              <w:pStyle w:val="ListParagraph"/>
              <w:widowControl w:val="0"/>
              <w:spacing w:line="276" w:lineRule="auto"/>
              <w:ind w:left="0"/>
              <w:jc w:val="both"/>
              <w:rPr>
                <w:rFonts w:ascii="Bookman Old Style" w:eastAsia="Bookman Old Style" w:hAnsi="Bookman Old Style" w:cs="Bookman Old Style"/>
                <w:sz w:val="22"/>
                <w:szCs w:val="22"/>
              </w:rPr>
            </w:pPr>
          </w:p>
        </w:tc>
        <w:tc>
          <w:tcPr>
            <w:tcW w:w="3543" w:type="dxa"/>
          </w:tcPr>
          <w:p w14:paraId="129423D0" w14:textId="77777777" w:rsidR="00632EF9" w:rsidRPr="00D628A0" w:rsidRDefault="00632EF9" w:rsidP="00D628A0">
            <w:pPr>
              <w:pStyle w:val="ListParagraph"/>
              <w:widowControl w:val="0"/>
              <w:spacing w:line="276" w:lineRule="auto"/>
              <w:ind w:left="0"/>
              <w:jc w:val="both"/>
              <w:rPr>
                <w:rFonts w:ascii="Bookman Old Style" w:eastAsia="Bookman Old Style" w:hAnsi="Bookman Old Style" w:cs="Bookman Old Style"/>
                <w:sz w:val="22"/>
                <w:szCs w:val="22"/>
              </w:rPr>
            </w:pPr>
          </w:p>
        </w:tc>
      </w:tr>
      <w:tr w:rsidR="00632EF9" w:rsidRPr="00D628A0" w14:paraId="60550450" w14:textId="0EBDEFEB" w:rsidTr="0007415D">
        <w:tc>
          <w:tcPr>
            <w:tcW w:w="7865" w:type="dxa"/>
          </w:tcPr>
          <w:p w14:paraId="13633781" w14:textId="23F3E6FE" w:rsidR="00632EF9" w:rsidRPr="00C124C5" w:rsidRDefault="00632EF9" w:rsidP="00C124C5">
            <w:pPr>
              <w:widowControl w:val="0"/>
              <w:tabs>
                <w:tab w:val="left" w:pos="2268"/>
              </w:tabs>
              <w:spacing w:line="276" w:lineRule="auto"/>
              <w:ind w:left="360"/>
              <w:jc w:val="center"/>
              <w:rPr>
                <w:rFonts w:ascii="Bookman Old Style" w:eastAsia="Bookman Old Style" w:hAnsi="Bookman Old Style" w:cs="Bookman Old Style"/>
                <w:sz w:val="22"/>
                <w:szCs w:val="22"/>
              </w:rPr>
            </w:pPr>
          </w:p>
        </w:tc>
        <w:tc>
          <w:tcPr>
            <w:tcW w:w="3759" w:type="dxa"/>
          </w:tcPr>
          <w:p w14:paraId="5F256D3C" w14:textId="77777777" w:rsidR="00632EF9" w:rsidRPr="00C124C5" w:rsidRDefault="00632EF9" w:rsidP="00C124C5">
            <w:pPr>
              <w:widowControl w:val="0"/>
              <w:tabs>
                <w:tab w:val="left" w:pos="2268"/>
              </w:tabs>
              <w:spacing w:line="276" w:lineRule="auto"/>
              <w:ind w:left="360"/>
              <w:jc w:val="center"/>
              <w:rPr>
                <w:rFonts w:ascii="Bookman Old Style" w:eastAsia="Bookman Old Style" w:hAnsi="Bookman Old Style" w:cs="Bookman Old Style"/>
                <w:sz w:val="22"/>
                <w:szCs w:val="22"/>
              </w:rPr>
            </w:pPr>
          </w:p>
        </w:tc>
        <w:tc>
          <w:tcPr>
            <w:tcW w:w="2977" w:type="dxa"/>
          </w:tcPr>
          <w:p w14:paraId="73A7B87E" w14:textId="77777777" w:rsidR="00632EF9" w:rsidRPr="00D628A0" w:rsidRDefault="00632EF9"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3543" w:type="dxa"/>
          </w:tcPr>
          <w:p w14:paraId="27A9C2B8" w14:textId="77777777" w:rsidR="00632EF9" w:rsidRPr="00D628A0" w:rsidRDefault="00632EF9" w:rsidP="00D628A0">
            <w:pPr>
              <w:widowControl w:val="0"/>
              <w:tabs>
                <w:tab w:val="left" w:pos="2268"/>
              </w:tabs>
              <w:spacing w:line="276" w:lineRule="auto"/>
              <w:jc w:val="center"/>
              <w:rPr>
                <w:rFonts w:ascii="Bookman Old Style" w:eastAsia="Bookman Old Style" w:hAnsi="Bookman Old Style" w:cs="Bookman Old Style"/>
                <w:sz w:val="22"/>
                <w:szCs w:val="22"/>
              </w:rPr>
            </w:pPr>
          </w:p>
        </w:tc>
      </w:tr>
      <w:tr w:rsidR="00632EF9" w:rsidRPr="00D628A0" w14:paraId="0687C7C4" w14:textId="350AD605" w:rsidTr="0007415D">
        <w:tc>
          <w:tcPr>
            <w:tcW w:w="7865" w:type="dxa"/>
          </w:tcPr>
          <w:p w14:paraId="38935099" w14:textId="03EBEBB4" w:rsidR="00632EF9" w:rsidRPr="00C124C5" w:rsidRDefault="007C7B9A" w:rsidP="007C7B9A">
            <w:pPr>
              <w:widowControl w:val="0"/>
              <w:tabs>
                <w:tab w:val="left" w:pos="2268"/>
              </w:tabs>
              <w:spacing w:line="276"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Pasal 5</w:t>
            </w:r>
          </w:p>
        </w:tc>
        <w:tc>
          <w:tcPr>
            <w:tcW w:w="3759" w:type="dxa"/>
          </w:tcPr>
          <w:p w14:paraId="76C43299" w14:textId="3E830307" w:rsidR="00632EF9" w:rsidRPr="00C124C5" w:rsidRDefault="00646B92" w:rsidP="00646B92">
            <w:pPr>
              <w:widowControl w:val="0"/>
              <w:tabs>
                <w:tab w:val="left" w:pos="2268"/>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Pasal 5</w:t>
            </w:r>
          </w:p>
        </w:tc>
        <w:tc>
          <w:tcPr>
            <w:tcW w:w="2977" w:type="dxa"/>
          </w:tcPr>
          <w:p w14:paraId="4FFF3B06" w14:textId="77777777" w:rsidR="00632EF9" w:rsidRPr="00D628A0" w:rsidRDefault="00632EF9"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3543" w:type="dxa"/>
          </w:tcPr>
          <w:p w14:paraId="7BC14AD7" w14:textId="77777777" w:rsidR="00632EF9" w:rsidRPr="00D628A0" w:rsidRDefault="00632EF9" w:rsidP="00D628A0">
            <w:pPr>
              <w:widowControl w:val="0"/>
              <w:tabs>
                <w:tab w:val="left" w:pos="2268"/>
              </w:tabs>
              <w:spacing w:line="276" w:lineRule="auto"/>
              <w:jc w:val="center"/>
              <w:rPr>
                <w:rFonts w:ascii="Bookman Old Style" w:eastAsia="Bookman Old Style" w:hAnsi="Bookman Old Style" w:cs="Bookman Old Style"/>
                <w:sz w:val="22"/>
                <w:szCs w:val="22"/>
              </w:rPr>
            </w:pPr>
          </w:p>
        </w:tc>
      </w:tr>
      <w:tr w:rsidR="00646B92" w:rsidRPr="00D628A0" w14:paraId="0E9EF987" w14:textId="38F07F14" w:rsidTr="0007415D">
        <w:tc>
          <w:tcPr>
            <w:tcW w:w="7865" w:type="dxa"/>
          </w:tcPr>
          <w:p w14:paraId="220756F0" w14:textId="611660FB" w:rsidR="00646B92" w:rsidRPr="007C7B9A" w:rsidRDefault="00646B92" w:rsidP="007C7B9A">
            <w:pPr>
              <w:pStyle w:val="ListParagraph"/>
              <w:widowControl w:val="0"/>
              <w:numPr>
                <w:ilvl w:val="0"/>
                <w:numId w:val="9"/>
              </w:numPr>
              <w:tabs>
                <w:tab w:val="left" w:pos="2268"/>
              </w:tabs>
              <w:spacing w:line="276" w:lineRule="auto"/>
              <w:ind w:left="463" w:hanging="463"/>
              <w:jc w:val="both"/>
              <w:rPr>
                <w:rFonts w:ascii="Bookman Old Style" w:eastAsia="Bookman Old Style" w:hAnsi="Bookman Old Style" w:cs="Bookman Old Style"/>
                <w:sz w:val="22"/>
                <w:szCs w:val="22"/>
              </w:rPr>
            </w:pPr>
            <w:r w:rsidRPr="007C7B9A">
              <w:rPr>
                <w:rFonts w:ascii="Bookman Old Style" w:eastAsia="Bookman Old Style" w:hAnsi="Bookman Old Style" w:cs="Bookman Old Style"/>
                <w:sz w:val="22"/>
                <w:szCs w:val="22"/>
              </w:rPr>
              <w:t>Dalam penyusunan laporan keuangan sebagaimana dimaksud dalam Pasal 2, Emiten atau Perusahaan Publik wajib melakukan penyusunan laporan keuangan berdasarkan pedoman perlakuan akuntansi Emiten atau Perusahaan Publik</w:t>
            </w:r>
            <w:r>
              <w:rPr>
                <w:rFonts w:ascii="Bookman Old Style" w:eastAsia="Bookman Old Style" w:hAnsi="Bookman Old Style" w:cs="Bookman Old Style"/>
                <w:sz w:val="22"/>
                <w:szCs w:val="22"/>
              </w:rPr>
              <w:t>.</w:t>
            </w:r>
          </w:p>
        </w:tc>
        <w:tc>
          <w:tcPr>
            <w:tcW w:w="3759" w:type="dxa"/>
            <w:vMerge w:val="restart"/>
          </w:tcPr>
          <w:p w14:paraId="67E4CFDF" w14:textId="56063EFB" w:rsidR="00646B92" w:rsidRPr="00C124C5" w:rsidRDefault="00646B92" w:rsidP="00646B92">
            <w:pPr>
              <w:widowControl w:val="0"/>
              <w:tabs>
                <w:tab w:val="left" w:pos="2268"/>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Cukup jelas.</w:t>
            </w:r>
          </w:p>
        </w:tc>
        <w:tc>
          <w:tcPr>
            <w:tcW w:w="2977" w:type="dxa"/>
          </w:tcPr>
          <w:p w14:paraId="6B337DAF" w14:textId="77777777" w:rsidR="00646B92" w:rsidRPr="00D628A0" w:rsidRDefault="00646B92"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3543" w:type="dxa"/>
          </w:tcPr>
          <w:p w14:paraId="7D4804A5" w14:textId="77777777" w:rsidR="00646B92" w:rsidRPr="00D628A0" w:rsidRDefault="00646B92" w:rsidP="00D628A0">
            <w:pPr>
              <w:widowControl w:val="0"/>
              <w:tabs>
                <w:tab w:val="left" w:pos="2268"/>
              </w:tabs>
              <w:spacing w:line="276" w:lineRule="auto"/>
              <w:jc w:val="center"/>
              <w:rPr>
                <w:rFonts w:ascii="Bookman Old Style" w:eastAsia="Bookman Old Style" w:hAnsi="Bookman Old Style" w:cs="Bookman Old Style"/>
                <w:sz w:val="22"/>
                <w:szCs w:val="22"/>
              </w:rPr>
            </w:pPr>
          </w:p>
        </w:tc>
      </w:tr>
      <w:tr w:rsidR="00646B92" w:rsidRPr="00D628A0" w14:paraId="7717CDBF" w14:textId="0BC6F73F" w:rsidTr="0007415D">
        <w:tc>
          <w:tcPr>
            <w:tcW w:w="7865" w:type="dxa"/>
          </w:tcPr>
          <w:p w14:paraId="03D75656" w14:textId="41F1A6AE" w:rsidR="00646B92" w:rsidRPr="00C124C5" w:rsidRDefault="00646B92" w:rsidP="007C7B9A">
            <w:pPr>
              <w:pStyle w:val="ListParagraph"/>
              <w:widowControl w:val="0"/>
              <w:numPr>
                <w:ilvl w:val="0"/>
                <w:numId w:val="9"/>
              </w:numPr>
              <w:tabs>
                <w:tab w:val="left" w:pos="2268"/>
              </w:tabs>
              <w:spacing w:line="276" w:lineRule="auto"/>
              <w:ind w:left="463" w:hanging="463"/>
              <w:jc w:val="both"/>
              <w:rPr>
                <w:rFonts w:ascii="Bookman Old Style" w:eastAsia="Bookman Old Style" w:hAnsi="Bookman Old Style" w:cs="Bookman Old Style"/>
                <w:sz w:val="22"/>
                <w:szCs w:val="22"/>
              </w:rPr>
            </w:pPr>
            <w:r w:rsidRPr="007C7B9A">
              <w:rPr>
                <w:rFonts w:ascii="Bookman Old Style" w:eastAsia="Bookman Old Style" w:hAnsi="Bookman Old Style" w:cs="Bookman Old Style"/>
                <w:sz w:val="22"/>
                <w:szCs w:val="22"/>
              </w:rPr>
              <w:t>Pedoman perlakuan akuntansi Emiten atau Perusahaan Publik sebagaimana dimaksud pada ayat (1) merupakan salah satu Ketentuan Akuntansi.</w:t>
            </w:r>
          </w:p>
        </w:tc>
        <w:tc>
          <w:tcPr>
            <w:tcW w:w="3759" w:type="dxa"/>
            <w:vMerge/>
          </w:tcPr>
          <w:p w14:paraId="2E7AF8D0" w14:textId="6B27A0ED" w:rsidR="00646B92" w:rsidRPr="00C124C5" w:rsidRDefault="00646B92" w:rsidP="00C124C5">
            <w:pPr>
              <w:widowControl w:val="0"/>
              <w:tabs>
                <w:tab w:val="left" w:pos="1985"/>
              </w:tabs>
              <w:spacing w:line="276" w:lineRule="auto"/>
              <w:ind w:left="360"/>
              <w:rPr>
                <w:rFonts w:ascii="Bookman Old Style" w:eastAsia="Bookman Old Style" w:hAnsi="Bookman Old Style" w:cs="Bookman Old Style"/>
                <w:sz w:val="22"/>
                <w:szCs w:val="22"/>
              </w:rPr>
            </w:pPr>
          </w:p>
        </w:tc>
        <w:tc>
          <w:tcPr>
            <w:tcW w:w="2977" w:type="dxa"/>
          </w:tcPr>
          <w:p w14:paraId="315D06FC" w14:textId="77777777" w:rsidR="00646B92" w:rsidRPr="00D628A0" w:rsidRDefault="00646B92" w:rsidP="00D628A0">
            <w:pPr>
              <w:widowControl w:val="0"/>
              <w:tabs>
                <w:tab w:val="left" w:pos="1985"/>
              </w:tabs>
              <w:spacing w:line="276" w:lineRule="auto"/>
              <w:jc w:val="center"/>
              <w:rPr>
                <w:rFonts w:ascii="Bookman Old Style" w:eastAsia="Bookman Old Style" w:hAnsi="Bookman Old Style" w:cs="Bookman Old Style"/>
                <w:sz w:val="22"/>
                <w:szCs w:val="22"/>
              </w:rPr>
            </w:pPr>
          </w:p>
        </w:tc>
        <w:tc>
          <w:tcPr>
            <w:tcW w:w="3543" w:type="dxa"/>
          </w:tcPr>
          <w:p w14:paraId="6B07E5CE" w14:textId="77777777" w:rsidR="00646B92" w:rsidRPr="00D628A0" w:rsidRDefault="00646B92" w:rsidP="00D628A0">
            <w:pPr>
              <w:widowControl w:val="0"/>
              <w:tabs>
                <w:tab w:val="left" w:pos="1985"/>
              </w:tabs>
              <w:spacing w:line="276" w:lineRule="auto"/>
              <w:jc w:val="center"/>
              <w:rPr>
                <w:rFonts w:ascii="Bookman Old Style" w:eastAsia="Bookman Old Style" w:hAnsi="Bookman Old Style" w:cs="Bookman Old Style"/>
                <w:sz w:val="22"/>
                <w:szCs w:val="22"/>
              </w:rPr>
            </w:pPr>
          </w:p>
        </w:tc>
      </w:tr>
      <w:tr w:rsidR="00646B92" w:rsidRPr="00D628A0" w14:paraId="2D49F196" w14:textId="251F31DB" w:rsidTr="0007415D">
        <w:tc>
          <w:tcPr>
            <w:tcW w:w="7865" w:type="dxa"/>
          </w:tcPr>
          <w:p w14:paraId="673D148A" w14:textId="5DF0CD17" w:rsidR="00646B92" w:rsidRPr="00C124C5" w:rsidRDefault="00646B92" w:rsidP="007C7B9A">
            <w:pPr>
              <w:pStyle w:val="ListParagraph"/>
              <w:widowControl w:val="0"/>
              <w:numPr>
                <w:ilvl w:val="0"/>
                <w:numId w:val="9"/>
              </w:numPr>
              <w:tabs>
                <w:tab w:val="left" w:pos="2268"/>
              </w:tabs>
              <w:spacing w:line="276" w:lineRule="auto"/>
              <w:ind w:left="463" w:hanging="463"/>
              <w:jc w:val="both"/>
              <w:rPr>
                <w:rFonts w:ascii="Bookman Old Style" w:eastAsia="Bookman Old Style" w:hAnsi="Bookman Old Style"/>
                <w:sz w:val="22"/>
                <w:szCs w:val="22"/>
              </w:rPr>
            </w:pPr>
            <w:r w:rsidRPr="007C7B9A">
              <w:rPr>
                <w:rFonts w:ascii="Bookman Old Style" w:eastAsia="Bookman Old Style" w:hAnsi="Bookman Old Style"/>
                <w:sz w:val="22"/>
                <w:szCs w:val="22"/>
              </w:rPr>
              <w:t>Pedoman perlakuan akuntansi Emiten atau Perusahaan Publik sebagaimana dimaksud pada ayat (1) ditetapkan oleh Otoritas Jasa Keuangan.</w:t>
            </w:r>
          </w:p>
        </w:tc>
        <w:tc>
          <w:tcPr>
            <w:tcW w:w="3759" w:type="dxa"/>
            <w:vMerge/>
          </w:tcPr>
          <w:p w14:paraId="3AF5A2F6" w14:textId="730E49D2" w:rsidR="00646B92" w:rsidRPr="00C124C5" w:rsidRDefault="00646B92" w:rsidP="00C124C5">
            <w:pPr>
              <w:widowControl w:val="0"/>
              <w:spacing w:line="276" w:lineRule="auto"/>
              <w:ind w:left="360"/>
              <w:jc w:val="both"/>
              <w:rPr>
                <w:rFonts w:ascii="Bookman Old Style" w:eastAsia="Bookman Old Style" w:hAnsi="Bookman Old Style" w:cs="Bookman Old Style"/>
                <w:sz w:val="22"/>
                <w:szCs w:val="22"/>
              </w:rPr>
            </w:pPr>
          </w:p>
        </w:tc>
        <w:tc>
          <w:tcPr>
            <w:tcW w:w="2977" w:type="dxa"/>
          </w:tcPr>
          <w:p w14:paraId="620657CB" w14:textId="77777777" w:rsidR="00646B92" w:rsidRPr="00D628A0" w:rsidRDefault="00646B92" w:rsidP="00D628A0">
            <w:pPr>
              <w:widowControl w:val="0"/>
              <w:spacing w:line="276" w:lineRule="auto"/>
              <w:ind w:left="1985"/>
              <w:jc w:val="both"/>
              <w:rPr>
                <w:rFonts w:ascii="Bookman Old Style" w:eastAsia="Bookman Old Style" w:hAnsi="Bookman Old Style" w:cs="Bookman Old Style"/>
                <w:sz w:val="22"/>
                <w:szCs w:val="22"/>
              </w:rPr>
            </w:pPr>
          </w:p>
        </w:tc>
        <w:tc>
          <w:tcPr>
            <w:tcW w:w="3543" w:type="dxa"/>
          </w:tcPr>
          <w:p w14:paraId="38C86E5C" w14:textId="77777777" w:rsidR="00646B92" w:rsidRPr="00D628A0" w:rsidRDefault="00646B92" w:rsidP="00D628A0">
            <w:pPr>
              <w:widowControl w:val="0"/>
              <w:spacing w:line="276" w:lineRule="auto"/>
              <w:ind w:left="1985"/>
              <w:jc w:val="both"/>
              <w:rPr>
                <w:rFonts w:ascii="Bookman Old Style" w:eastAsia="Bookman Old Style" w:hAnsi="Bookman Old Style" w:cs="Bookman Old Style"/>
                <w:sz w:val="22"/>
                <w:szCs w:val="22"/>
              </w:rPr>
            </w:pPr>
          </w:p>
        </w:tc>
      </w:tr>
      <w:tr w:rsidR="00632EF9" w:rsidRPr="00D628A0" w14:paraId="2A372D7E" w14:textId="5A474A7F" w:rsidTr="0007415D">
        <w:tc>
          <w:tcPr>
            <w:tcW w:w="7865" w:type="dxa"/>
          </w:tcPr>
          <w:p w14:paraId="08C5E036" w14:textId="77C607E7" w:rsidR="00632EF9" w:rsidRPr="00C124C5" w:rsidRDefault="00632EF9" w:rsidP="00C124C5">
            <w:pPr>
              <w:widowControl w:val="0"/>
              <w:spacing w:line="276" w:lineRule="auto"/>
              <w:ind w:left="360"/>
              <w:jc w:val="both"/>
              <w:rPr>
                <w:rFonts w:ascii="Bookman Old Style" w:eastAsia="Bookman Old Style" w:hAnsi="Bookman Old Style"/>
                <w:color w:val="000000" w:themeColor="text1"/>
                <w:sz w:val="22"/>
                <w:szCs w:val="22"/>
              </w:rPr>
            </w:pPr>
            <w:bookmarkStart w:id="3" w:name="_Hlk161211859"/>
          </w:p>
        </w:tc>
        <w:tc>
          <w:tcPr>
            <w:tcW w:w="3759" w:type="dxa"/>
          </w:tcPr>
          <w:p w14:paraId="16CFB104" w14:textId="6E16B260" w:rsidR="00632EF9" w:rsidRPr="00C124C5" w:rsidRDefault="00632EF9" w:rsidP="00C124C5">
            <w:pPr>
              <w:widowControl w:val="0"/>
              <w:spacing w:line="276" w:lineRule="auto"/>
              <w:ind w:left="360"/>
              <w:jc w:val="both"/>
              <w:rPr>
                <w:rFonts w:ascii="Bookman Old Style" w:eastAsia="Bookman Old Style" w:hAnsi="Bookman Old Style" w:cs="Bookman Old Style"/>
                <w:sz w:val="22"/>
                <w:szCs w:val="22"/>
              </w:rPr>
            </w:pPr>
          </w:p>
        </w:tc>
        <w:tc>
          <w:tcPr>
            <w:tcW w:w="2977" w:type="dxa"/>
          </w:tcPr>
          <w:p w14:paraId="7C43BCDF"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color w:val="000000" w:themeColor="text1"/>
                <w:sz w:val="22"/>
                <w:szCs w:val="22"/>
              </w:rPr>
            </w:pPr>
          </w:p>
        </w:tc>
        <w:tc>
          <w:tcPr>
            <w:tcW w:w="3543" w:type="dxa"/>
          </w:tcPr>
          <w:p w14:paraId="7C01C865"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color w:val="000000" w:themeColor="text1"/>
                <w:sz w:val="22"/>
                <w:szCs w:val="22"/>
              </w:rPr>
            </w:pPr>
          </w:p>
        </w:tc>
      </w:tr>
      <w:tr w:rsidR="00632EF9" w:rsidRPr="00D628A0" w14:paraId="1DAB5739" w14:textId="24F8BB65" w:rsidTr="0007415D">
        <w:tc>
          <w:tcPr>
            <w:tcW w:w="7865" w:type="dxa"/>
          </w:tcPr>
          <w:p w14:paraId="21D90541" w14:textId="4C0DE0D7" w:rsidR="00632EF9" w:rsidRPr="00C124C5" w:rsidRDefault="007C7B9A" w:rsidP="007C7B9A">
            <w:pPr>
              <w:widowControl w:val="0"/>
              <w:tabs>
                <w:tab w:val="left" w:pos="1985"/>
              </w:tabs>
              <w:spacing w:line="276"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Pasal 6</w:t>
            </w:r>
          </w:p>
        </w:tc>
        <w:tc>
          <w:tcPr>
            <w:tcW w:w="3759" w:type="dxa"/>
          </w:tcPr>
          <w:p w14:paraId="1005F301" w14:textId="541C5414" w:rsidR="00632EF9" w:rsidRPr="00C124C5" w:rsidRDefault="00646B92" w:rsidP="00646B92">
            <w:pPr>
              <w:widowControl w:val="0"/>
              <w:tabs>
                <w:tab w:val="left" w:pos="1985"/>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Pasal 6</w:t>
            </w:r>
          </w:p>
        </w:tc>
        <w:tc>
          <w:tcPr>
            <w:tcW w:w="2977" w:type="dxa"/>
          </w:tcPr>
          <w:p w14:paraId="0F2B4B2F" w14:textId="77777777" w:rsidR="00632EF9" w:rsidRPr="00D628A0" w:rsidRDefault="00632EF9" w:rsidP="00D628A0">
            <w:pPr>
              <w:widowControl w:val="0"/>
              <w:tabs>
                <w:tab w:val="left" w:pos="1985"/>
              </w:tabs>
              <w:spacing w:line="276" w:lineRule="auto"/>
              <w:jc w:val="center"/>
              <w:rPr>
                <w:rFonts w:ascii="Bookman Old Style" w:eastAsia="Bookman Old Style" w:hAnsi="Bookman Old Style" w:cs="Bookman Old Style"/>
                <w:sz w:val="22"/>
                <w:szCs w:val="22"/>
              </w:rPr>
            </w:pPr>
          </w:p>
        </w:tc>
        <w:tc>
          <w:tcPr>
            <w:tcW w:w="3543" w:type="dxa"/>
          </w:tcPr>
          <w:p w14:paraId="7539D054" w14:textId="77777777" w:rsidR="00632EF9" w:rsidRPr="00D628A0" w:rsidRDefault="00632EF9" w:rsidP="00D628A0">
            <w:pPr>
              <w:widowControl w:val="0"/>
              <w:tabs>
                <w:tab w:val="left" w:pos="1985"/>
              </w:tabs>
              <w:spacing w:line="276" w:lineRule="auto"/>
              <w:jc w:val="center"/>
              <w:rPr>
                <w:rFonts w:ascii="Bookman Old Style" w:eastAsia="Bookman Old Style" w:hAnsi="Bookman Old Style" w:cs="Bookman Old Style"/>
                <w:sz w:val="22"/>
                <w:szCs w:val="22"/>
              </w:rPr>
            </w:pPr>
          </w:p>
        </w:tc>
      </w:tr>
      <w:tr w:rsidR="00632EF9" w:rsidRPr="00D628A0" w14:paraId="4CD01119" w14:textId="34363B86" w:rsidTr="0007415D">
        <w:tc>
          <w:tcPr>
            <w:tcW w:w="7865" w:type="dxa"/>
          </w:tcPr>
          <w:p w14:paraId="513DD98F" w14:textId="7538BFF2" w:rsidR="00632EF9" w:rsidRPr="00C124C5" w:rsidRDefault="007C7B9A" w:rsidP="007C7B9A">
            <w:pPr>
              <w:widowControl w:val="0"/>
              <w:tabs>
                <w:tab w:val="left" w:pos="1985"/>
              </w:tabs>
              <w:spacing w:line="276" w:lineRule="auto"/>
              <w:jc w:val="both"/>
              <w:rPr>
                <w:rFonts w:ascii="Bookman Old Style" w:eastAsia="Bookman Old Style" w:hAnsi="Bookman Old Style" w:cs="Bookman Old Style"/>
                <w:sz w:val="22"/>
                <w:szCs w:val="22"/>
              </w:rPr>
            </w:pPr>
            <w:r w:rsidRPr="007C7B9A">
              <w:rPr>
                <w:rFonts w:ascii="Bookman Old Style" w:eastAsia="Bookman Old Style" w:hAnsi="Bookman Old Style" w:cs="Bookman Old Style"/>
                <w:sz w:val="22"/>
                <w:szCs w:val="22"/>
              </w:rPr>
              <w:t>Dalam hal terdapat perlakuan akuntansi yang tidak diatur dalam pedoman perlakuan akuntansi Emiten atau Perusahaan Publik sebagaimana dimaksud dalam Pasal 5, perlakuan akuntansi yang tidak diatur tersebut wajib mengikuti SAK atau SLK.</w:t>
            </w:r>
          </w:p>
        </w:tc>
        <w:tc>
          <w:tcPr>
            <w:tcW w:w="3759" w:type="dxa"/>
          </w:tcPr>
          <w:p w14:paraId="3DCB9D7A" w14:textId="4503EC81" w:rsidR="00632EF9" w:rsidRPr="00C124C5" w:rsidRDefault="00646B92" w:rsidP="00646B92">
            <w:pPr>
              <w:widowControl w:val="0"/>
              <w:tabs>
                <w:tab w:val="left" w:pos="1985"/>
              </w:tabs>
              <w:spacing w:line="276" w:lineRule="auto"/>
              <w:jc w:val="both"/>
              <w:rPr>
                <w:rFonts w:ascii="Bookman Old Style" w:eastAsia="Bookman Old Style" w:hAnsi="Bookman Old Style" w:cs="Bookman Old Style"/>
                <w:sz w:val="22"/>
                <w:szCs w:val="22"/>
              </w:rPr>
            </w:pPr>
            <w:r w:rsidRPr="00646B92">
              <w:rPr>
                <w:rFonts w:ascii="Bookman Old Style" w:eastAsia="Bookman Old Style" w:hAnsi="Bookman Old Style" w:cs="Bookman Old Style"/>
                <w:sz w:val="22"/>
                <w:szCs w:val="22"/>
              </w:rPr>
              <w:t>SLK yang dimaksud dalam ketentuan ini merupakan standar penyusunan laporan keuangan yang diterbitkan oleh Komite Standar Laporan Keuangan.</w:t>
            </w:r>
          </w:p>
        </w:tc>
        <w:tc>
          <w:tcPr>
            <w:tcW w:w="2977" w:type="dxa"/>
          </w:tcPr>
          <w:p w14:paraId="7F4E8D99" w14:textId="77777777" w:rsidR="00632EF9" w:rsidRPr="00D628A0" w:rsidRDefault="00632EF9" w:rsidP="00D628A0">
            <w:pPr>
              <w:widowControl w:val="0"/>
              <w:tabs>
                <w:tab w:val="left" w:pos="1985"/>
              </w:tabs>
              <w:spacing w:line="276" w:lineRule="auto"/>
              <w:jc w:val="center"/>
              <w:rPr>
                <w:rFonts w:ascii="Bookman Old Style" w:eastAsia="Bookman Old Style" w:hAnsi="Bookman Old Style" w:cs="Bookman Old Style"/>
                <w:sz w:val="22"/>
                <w:szCs w:val="22"/>
              </w:rPr>
            </w:pPr>
          </w:p>
        </w:tc>
        <w:tc>
          <w:tcPr>
            <w:tcW w:w="3543" w:type="dxa"/>
          </w:tcPr>
          <w:p w14:paraId="1F9657AD" w14:textId="77777777" w:rsidR="00632EF9" w:rsidRPr="00D628A0" w:rsidRDefault="00632EF9" w:rsidP="00D628A0">
            <w:pPr>
              <w:widowControl w:val="0"/>
              <w:tabs>
                <w:tab w:val="left" w:pos="1985"/>
              </w:tabs>
              <w:spacing w:line="276" w:lineRule="auto"/>
              <w:jc w:val="center"/>
              <w:rPr>
                <w:rFonts w:ascii="Bookman Old Style" w:eastAsia="Bookman Old Style" w:hAnsi="Bookman Old Style" w:cs="Bookman Old Style"/>
                <w:sz w:val="22"/>
                <w:szCs w:val="22"/>
              </w:rPr>
            </w:pPr>
          </w:p>
        </w:tc>
      </w:tr>
      <w:bookmarkEnd w:id="3"/>
      <w:tr w:rsidR="00632EF9" w:rsidRPr="00D628A0" w14:paraId="0449C289" w14:textId="3C8B8762" w:rsidTr="0007415D">
        <w:tc>
          <w:tcPr>
            <w:tcW w:w="7865" w:type="dxa"/>
          </w:tcPr>
          <w:p w14:paraId="652CD73A" w14:textId="1FACACDE" w:rsidR="00632EF9" w:rsidRPr="00C124C5" w:rsidRDefault="00632EF9" w:rsidP="00C124C5">
            <w:pPr>
              <w:widowControl w:val="0"/>
              <w:spacing w:line="276" w:lineRule="auto"/>
              <w:ind w:left="360"/>
              <w:jc w:val="both"/>
              <w:rPr>
                <w:rFonts w:ascii="Bookman Old Style" w:eastAsia="Bookman Old Style" w:hAnsi="Bookman Old Style"/>
                <w:sz w:val="22"/>
                <w:szCs w:val="22"/>
              </w:rPr>
            </w:pPr>
          </w:p>
        </w:tc>
        <w:tc>
          <w:tcPr>
            <w:tcW w:w="3759" w:type="dxa"/>
          </w:tcPr>
          <w:p w14:paraId="2D3421E4" w14:textId="3958D33D" w:rsidR="00632EF9" w:rsidRPr="00C124C5" w:rsidRDefault="00632EF9" w:rsidP="00C124C5">
            <w:pPr>
              <w:widowControl w:val="0"/>
              <w:spacing w:line="276" w:lineRule="auto"/>
              <w:ind w:left="360"/>
              <w:jc w:val="both"/>
              <w:rPr>
                <w:rFonts w:ascii="Bookman Old Style" w:eastAsia="Bookman Old Style" w:hAnsi="Bookman Old Style" w:cs="Bookman Old Style"/>
                <w:sz w:val="22"/>
                <w:szCs w:val="22"/>
              </w:rPr>
            </w:pPr>
          </w:p>
        </w:tc>
        <w:tc>
          <w:tcPr>
            <w:tcW w:w="2977" w:type="dxa"/>
          </w:tcPr>
          <w:p w14:paraId="6D97B3E3"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sz w:val="22"/>
                <w:szCs w:val="22"/>
              </w:rPr>
            </w:pPr>
          </w:p>
        </w:tc>
        <w:tc>
          <w:tcPr>
            <w:tcW w:w="3543" w:type="dxa"/>
          </w:tcPr>
          <w:p w14:paraId="4FD58CA6"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sz w:val="22"/>
                <w:szCs w:val="22"/>
              </w:rPr>
            </w:pPr>
          </w:p>
        </w:tc>
      </w:tr>
      <w:tr w:rsidR="00632EF9" w:rsidRPr="00D628A0" w14:paraId="760DD80C" w14:textId="0F73D4B9" w:rsidTr="0007415D">
        <w:tc>
          <w:tcPr>
            <w:tcW w:w="7865" w:type="dxa"/>
          </w:tcPr>
          <w:p w14:paraId="1CB8BBEB" w14:textId="49314719" w:rsidR="00632EF9" w:rsidRPr="00C124C5" w:rsidRDefault="007C7B9A" w:rsidP="007C7B9A">
            <w:pPr>
              <w:widowControl w:val="0"/>
              <w:spacing w:line="276" w:lineRule="auto"/>
              <w:jc w:val="center"/>
              <w:rPr>
                <w:rFonts w:ascii="Bookman Old Style" w:eastAsia="Bookman Old Style" w:hAnsi="Bookman Old Style"/>
                <w:sz w:val="22"/>
                <w:szCs w:val="22"/>
              </w:rPr>
            </w:pPr>
            <w:bookmarkStart w:id="4" w:name="_Hlk190111278"/>
            <w:r>
              <w:rPr>
                <w:rFonts w:ascii="Bookman Old Style" w:eastAsia="Bookman Old Style" w:hAnsi="Bookman Old Style"/>
                <w:sz w:val="22"/>
                <w:szCs w:val="22"/>
              </w:rPr>
              <w:t>Pasal 7</w:t>
            </w:r>
          </w:p>
        </w:tc>
        <w:tc>
          <w:tcPr>
            <w:tcW w:w="3759" w:type="dxa"/>
          </w:tcPr>
          <w:p w14:paraId="7503FC4E" w14:textId="457FADF4" w:rsidR="00632EF9" w:rsidRPr="00C124C5" w:rsidRDefault="00646B92" w:rsidP="00646B92">
            <w:pPr>
              <w:widowControl w:val="0"/>
              <w:spacing w:line="276" w:lineRule="auto"/>
              <w:jc w:val="both"/>
              <w:rPr>
                <w:rFonts w:ascii="Bookman Old Style" w:eastAsia="Bookman Old Style" w:hAnsi="Bookman Old Style" w:cs="Bookman Old Style"/>
                <w:color w:val="000000" w:themeColor="text1"/>
                <w:sz w:val="22"/>
                <w:szCs w:val="22"/>
              </w:rPr>
            </w:pPr>
            <w:r>
              <w:rPr>
                <w:rFonts w:ascii="Bookman Old Style" w:eastAsia="Bookman Old Style" w:hAnsi="Bookman Old Style" w:cs="Bookman Old Style"/>
                <w:color w:val="000000" w:themeColor="text1"/>
                <w:sz w:val="22"/>
                <w:szCs w:val="22"/>
              </w:rPr>
              <w:t>Pasal 7</w:t>
            </w:r>
          </w:p>
        </w:tc>
        <w:tc>
          <w:tcPr>
            <w:tcW w:w="2977" w:type="dxa"/>
          </w:tcPr>
          <w:p w14:paraId="36136AD4"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color w:val="000000" w:themeColor="text1"/>
                <w:sz w:val="22"/>
                <w:szCs w:val="22"/>
              </w:rPr>
            </w:pPr>
          </w:p>
        </w:tc>
        <w:tc>
          <w:tcPr>
            <w:tcW w:w="3543" w:type="dxa"/>
          </w:tcPr>
          <w:p w14:paraId="69B47793"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color w:val="000000" w:themeColor="text1"/>
                <w:sz w:val="22"/>
                <w:szCs w:val="22"/>
              </w:rPr>
            </w:pPr>
          </w:p>
        </w:tc>
      </w:tr>
      <w:bookmarkEnd w:id="4"/>
      <w:tr w:rsidR="00646B92" w:rsidRPr="00D628A0" w14:paraId="2FD6E007" w14:textId="2265F9AD" w:rsidTr="0007415D">
        <w:tc>
          <w:tcPr>
            <w:tcW w:w="7865" w:type="dxa"/>
          </w:tcPr>
          <w:p w14:paraId="0C262E9C" w14:textId="643173B6" w:rsidR="00646B92" w:rsidRPr="007C7B9A" w:rsidRDefault="00646B92" w:rsidP="007C7B9A">
            <w:pPr>
              <w:pStyle w:val="ListParagraph"/>
              <w:widowControl w:val="0"/>
              <w:numPr>
                <w:ilvl w:val="0"/>
                <w:numId w:val="10"/>
              </w:numPr>
              <w:spacing w:line="276" w:lineRule="auto"/>
              <w:ind w:left="463" w:hanging="463"/>
              <w:jc w:val="both"/>
              <w:rPr>
                <w:rFonts w:ascii="Bookman Old Style" w:eastAsia="Bookman Old Style" w:hAnsi="Bookman Old Style" w:cs="Bookman Old Style"/>
                <w:sz w:val="22"/>
                <w:szCs w:val="22"/>
              </w:rPr>
            </w:pPr>
            <w:r w:rsidRPr="007C7B9A">
              <w:rPr>
                <w:rFonts w:ascii="Bookman Old Style" w:eastAsia="Bookman Old Style" w:hAnsi="Bookman Old Style" w:cs="Bookman Old Style"/>
                <w:sz w:val="22"/>
                <w:szCs w:val="22"/>
              </w:rPr>
              <w:t>Dalam hal terdapat perubahan pada SAK atau SLK dan/atau terdapat SAK atau SLK baru setelah berlakunya ketentuan mengenai pedoman perlakuan akuntansi Emiten atau Perusahaan Publik yang ditetapkan oleh Otoritas Jasa Keuangan sebagaimana dimaksud dalam Pasal 5 ayat (3), perlakuan akuntansi Emiten atau Perusahaan Publik wajib mengikuti ketentuan SAK atau SLK terkini, sepanjang tidak dinyatakan lain oleh Otoritas Jasa Keuangan.</w:t>
            </w:r>
          </w:p>
        </w:tc>
        <w:tc>
          <w:tcPr>
            <w:tcW w:w="3759" w:type="dxa"/>
            <w:vMerge w:val="restart"/>
          </w:tcPr>
          <w:p w14:paraId="63161F78" w14:textId="0441C282" w:rsidR="00646B92" w:rsidRPr="00C124C5" w:rsidRDefault="00646B92" w:rsidP="00646B92">
            <w:pPr>
              <w:widowControl w:val="0"/>
              <w:spacing w:line="276"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Cukup jelas.</w:t>
            </w:r>
          </w:p>
        </w:tc>
        <w:tc>
          <w:tcPr>
            <w:tcW w:w="2977" w:type="dxa"/>
          </w:tcPr>
          <w:p w14:paraId="605CEC8F" w14:textId="77777777" w:rsidR="00646B92" w:rsidRPr="00D628A0" w:rsidRDefault="00646B92" w:rsidP="00D628A0">
            <w:pPr>
              <w:widowControl w:val="0"/>
              <w:spacing w:line="276" w:lineRule="auto"/>
              <w:ind w:left="1985"/>
              <w:jc w:val="both"/>
              <w:rPr>
                <w:rFonts w:ascii="Bookman Old Style" w:eastAsia="Bookman Old Style" w:hAnsi="Bookman Old Style" w:cs="Bookman Old Style"/>
                <w:sz w:val="22"/>
                <w:szCs w:val="22"/>
              </w:rPr>
            </w:pPr>
          </w:p>
        </w:tc>
        <w:tc>
          <w:tcPr>
            <w:tcW w:w="3543" w:type="dxa"/>
          </w:tcPr>
          <w:p w14:paraId="3D281C84" w14:textId="77777777" w:rsidR="00646B92" w:rsidRPr="00D628A0" w:rsidRDefault="00646B92" w:rsidP="00D628A0">
            <w:pPr>
              <w:widowControl w:val="0"/>
              <w:spacing w:line="276" w:lineRule="auto"/>
              <w:ind w:left="1985"/>
              <w:jc w:val="both"/>
              <w:rPr>
                <w:rFonts w:ascii="Bookman Old Style" w:eastAsia="Bookman Old Style" w:hAnsi="Bookman Old Style" w:cs="Bookman Old Style"/>
                <w:sz w:val="22"/>
                <w:szCs w:val="22"/>
              </w:rPr>
            </w:pPr>
          </w:p>
        </w:tc>
      </w:tr>
      <w:tr w:rsidR="00646B92" w:rsidRPr="00D628A0" w14:paraId="51621AC8" w14:textId="0CA591B1" w:rsidTr="0007415D">
        <w:tc>
          <w:tcPr>
            <w:tcW w:w="7865" w:type="dxa"/>
          </w:tcPr>
          <w:p w14:paraId="615D3FB6" w14:textId="46587ED0" w:rsidR="00646B92" w:rsidRPr="00C124C5" w:rsidRDefault="00646B92" w:rsidP="007C7B9A">
            <w:pPr>
              <w:pStyle w:val="ListParagraph"/>
              <w:widowControl w:val="0"/>
              <w:numPr>
                <w:ilvl w:val="0"/>
                <w:numId w:val="10"/>
              </w:numPr>
              <w:spacing w:line="276" w:lineRule="auto"/>
              <w:ind w:left="463" w:hanging="463"/>
              <w:jc w:val="both"/>
              <w:rPr>
                <w:rFonts w:ascii="Bookman Old Style" w:eastAsia="Bookman Old Style" w:hAnsi="Bookman Old Style" w:cs="Bookman Old Style"/>
                <w:sz w:val="22"/>
                <w:szCs w:val="22"/>
              </w:rPr>
            </w:pPr>
            <w:r w:rsidRPr="007C7B9A">
              <w:rPr>
                <w:rFonts w:ascii="Bookman Old Style" w:eastAsia="Bookman Old Style" w:hAnsi="Bookman Old Style" w:cs="Bookman Old Style"/>
                <w:sz w:val="22"/>
                <w:szCs w:val="22"/>
              </w:rPr>
              <w:t>Pernyataan lain oleh Otoritas Jasa Keuangan sebagaimana dimaksud pada ayat (1) untuk memenuhi asas keterbukaan dan melindungi kepentingan publik diatur dengan Peraturan Otoritas Jasa Keuangan</w:t>
            </w:r>
            <w:r>
              <w:rPr>
                <w:rFonts w:ascii="Bookman Old Style" w:eastAsia="Bookman Old Style" w:hAnsi="Bookman Old Style" w:cs="Bookman Old Style"/>
                <w:sz w:val="22"/>
                <w:szCs w:val="22"/>
              </w:rPr>
              <w:t>.</w:t>
            </w:r>
          </w:p>
        </w:tc>
        <w:tc>
          <w:tcPr>
            <w:tcW w:w="3759" w:type="dxa"/>
            <w:vMerge/>
          </w:tcPr>
          <w:p w14:paraId="5DE1EFE5" w14:textId="77777777" w:rsidR="00646B92" w:rsidRPr="00C124C5" w:rsidRDefault="00646B92" w:rsidP="00C124C5">
            <w:pPr>
              <w:widowControl w:val="0"/>
              <w:spacing w:line="276" w:lineRule="auto"/>
              <w:ind w:left="360"/>
              <w:jc w:val="both"/>
              <w:rPr>
                <w:rFonts w:ascii="Bookman Old Style" w:eastAsia="Bookman Old Style" w:hAnsi="Bookman Old Style" w:cs="Bookman Old Style"/>
                <w:sz w:val="22"/>
                <w:szCs w:val="22"/>
              </w:rPr>
            </w:pPr>
          </w:p>
        </w:tc>
        <w:tc>
          <w:tcPr>
            <w:tcW w:w="2977" w:type="dxa"/>
          </w:tcPr>
          <w:p w14:paraId="5F4ABE32" w14:textId="77777777" w:rsidR="00646B92" w:rsidRPr="00D628A0" w:rsidRDefault="00646B92" w:rsidP="00D628A0">
            <w:pPr>
              <w:widowControl w:val="0"/>
              <w:spacing w:line="276" w:lineRule="auto"/>
              <w:jc w:val="both"/>
              <w:rPr>
                <w:rFonts w:ascii="Bookman Old Style" w:eastAsia="Bookman Old Style" w:hAnsi="Bookman Old Style" w:cs="Bookman Old Style"/>
                <w:sz w:val="22"/>
                <w:szCs w:val="22"/>
              </w:rPr>
            </w:pPr>
          </w:p>
        </w:tc>
        <w:tc>
          <w:tcPr>
            <w:tcW w:w="3543" w:type="dxa"/>
          </w:tcPr>
          <w:p w14:paraId="46D2DFE2" w14:textId="77777777" w:rsidR="00646B92" w:rsidRPr="00D628A0" w:rsidRDefault="00646B92" w:rsidP="00D628A0">
            <w:pPr>
              <w:widowControl w:val="0"/>
              <w:spacing w:line="276" w:lineRule="auto"/>
              <w:jc w:val="both"/>
              <w:rPr>
                <w:rFonts w:ascii="Bookman Old Style" w:eastAsia="Bookman Old Style" w:hAnsi="Bookman Old Style" w:cs="Bookman Old Style"/>
                <w:sz w:val="22"/>
                <w:szCs w:val="22"/>
              </w:rPr>
            </w:pPr>
          </w:p>
        </w:tc>
      </w:tr>
      <w:tr w:rsidR="00632EF9" w:rsidRPr="00D628A0" w14:paraId="113A4979" w14:textId="572F62D5" w:rsidTr="0007415D">
        <w:tc>
          <w:tcPr>
            <w:tcW w:w="7865" w:type="dxa"/>
          </w:tcPr>
          <w:p w14:paraId="3BAA598D" w14:textId="3831CF1A" w:rsidR="00632EF9" w:rsidRPr="00C124C5" w:rsidRDefault="00632EF9" w:rsidP="00C124C5">
            <w:pPr>
              <w:widowControl w:val="0"/>
              <w:tabs>
                <w:tab w:val="left" w:pos="2268"/>
              </w:tabs>
              <w:spacing w:line="276" w:lineRule="auto"/>
              <w:ind w:left="360"/>
              <w:jc w:val="center"/>
              <w:rPr>
                <w:rFonts w:ascii="Bookman Old Style" w:eastAsia="Bookman Old Style" w:hAnsi="Bookman Old Style" w:cs="Bookman Old Style"/>
                <w:sz w:val="22"/>
                <w:szCs w:val="22"/>
              </w:rPr>
            </w:pPr>
          </w:p>
        </w:tc>
        <w:tc>
          <w:tcPr>
            <w:tcW w:w="3759" w:type="dxa"/>
          </w:tcPr>
          <w:p w14:paraId="515625B3" w14:textId="6981EB6E" w:rsidR="00632EF9" w:rsidRPr="00C124C5" w:rsidRDefault="00632EF9" w:rsidP="00C124C5">
            <w:pPr>
              <w:widowControl w:val="0"/>
              <w:tabs>
                <w:tab w:val="left" w:pos="2268"/>
              </w:tabs>
              <w:spacing w:line="276" w:lineRule="auto"/>
              <w:ind w:left="360"/>
              <w:rPr>
                <w:rFonts w:ascii="Bookman Old Style" w:eastAsia="Bookman Old Style" w:hAnsi="Bookman Old Style" w:cs="Bookman Old Style"/>
                <w:sz w:val="22"/>
                <w:szCs w:val="22"/>
              </w:rPr>
            </w:pPr>
          </w:p>
        </w:tc>
        <w:tc>
          <w:tcPr>
            <w:tcW w:w="2977" w:type="dxa"/>
          </w:tcPr>
          <w:p w14:paraId="5BDB8FE7" w14:textId="77777777" w:rsidR="00632EF9" w:rsidRPr="00D628A0" w:rsidRDefault="00632EF9"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3543" w:type="dxa"/>
          </w:tcPr>
          <w:p w14:paraId="4FEF6237" w14:textId="77777777" w:rsidR="00632EF9" w:rsidRPr="00D628A0" w:rsidRDefault="00632EF9" w:rsidP="00D628A0">
            <w:pPr>
              <w:widowControl w:val="0"/>
              <w:tabs>
                <w:tab w:val="left" w:pos="2268"/>
              </w:tabs>
              <w:spacing w:line="276" w:lineRule="auto"/>
              <w:jc w:val="center"/>
              <w:rPr>
                <w:rFonts w:ascii="Bookman Old Style" w:eastAsia="Bookman Old Style" w:hAnsi="Bookman Old Style" w:cs="Bookman Old Style"/>
                <w:sz w:val="22"/>
                <w:szCs w:val="22"/>
              </w:rPr>
            </w:pPr>
          </w:p>
        </w:tc>
      </w:tr>
      <w:tr w:rsidR="00632EF9" w:rsidRPr="00D628A0" w14:paraId="0D74D310" w14:textId="07525FCF" w:rsidTr="0007415D">
        <w:tc>
          <w:tcPr>
            <w:tcW w:w="7865" w:type="dxa"/>
          </w:tcPr>
          <w:p w14:paraId="042152DE" w14:textId="660A9D79" w:rsidR="00632EF9" w:rsidRPr="00C124C5" w:rsidRDefault="007C7B9A" w:rsidP="007C7B9A">
            <w:pPr>
              <w:widowControl w:val="0"/>
              <w:spacing w:line="276" w:lineRule="auto"/>
              <w:jc w:val="center"/>
              <w:rPr>
                <w:rFonts w:ascii="Bookman Old Style" w:eastAsia="Bookman Old Style" w:hAnsi="Bookman Old Style" w:cs="Bookman Old Style"/>
                <w:color w:val="000000" w:themeColor="text1"/>
                <w:sz w:val="22"/>
                <w:szCs w:val="22"/>
              </w:rPr>
            </w:pPr>
            <w:bookmarkStart w:id="5" w:name="_Hlk178586804"/>
            <w:r>
              <w:rPr>
                <w:rFonts w:ascii="Bookman Old Style" w:eastAsia="Bookman Old Style" w:hAnsi="Bookman Old Style" w:cs="Bookman Old Style"/>
                <w:color w:val="000000" w:themeColor="text1"/>
                <w:sz w:val="22"/>
                <w:szCs w:val="22"/>
              </w:rPr>
              <w:t>Pasal 8</w:t>
            </w:r>
          </w:p>
        </w:tc>
        <w:tc>
          <w:tcPr>
            <w:tcW w:w="3759" w:type="dxa"/>
          </w:tcPr>
          <w:p w14:paraId="1CCD8273" w14:textId="4AD78EAA" w:rsidR="00632EF9" w:rsidRPr="00C124C5" w:rsidRDefault="00646B92" w:rsidP="00646B92">
            <w:pPr>
              <w:widowControl w:val="0"/>
              <w:spacing w:line="276" w:lineRule="auto"/>
              <w:jc w:val="both"/>
              <w:rPr>
                <w:rFonts w:ascii="Bookman Old Style" w:eastAsia="Bookman Old Style" w:hAnsi="Bookman Old Style" w:cs="Bookman Old Style"/>
                <w:color w:val="000000" w:themeColor="text1"/>
                <w:sz w:val="22"/>
                <w:szCs w:val="22"/>
              </w:rPr>
            </w:pPr>
            <w:r>
              <w:rPr>
                <w:rFonts w:ascii="Bookman Old Style" w:eastAsia="Bookman Old Style" w:hAnsi="Bookman Old Style" w:cs="Bookman Old Style"/>
                <w:color w:val="000000" w:themeColor="text1"/>
                <w:sz w:val="22"/>
                <w:szCs w:val="22"/>
              </w:rPr>
              <w:t>Pasal 8</w:t>
            </w:r>
          </w:p>
        </w:tc>
        <w:tc>
          <w:tcPr>
            <w:tcW w:w="2977" w:type="dxa"/>
          </w:tcPr>
          <w:p w14:paraId="0E906C74" w14:textId="77777777" w:rsidR="00632EF9" w:rsidRPr="00D628A0" w:rsidRDefault="00632EF9" w:rsidP="00D628A0">
            <w:pPr>
              <w:widowControl w:val="0"/>
              <w:spacing w:line="276" w:lineRule="auto"/>
              <w:jc w:val="both"/>
              <w:rPr>
                <w:rFonts w:ascii="Bookman Old Style" w:eastAsia="Bookman Old Style" w:hAnsi="Bookman Old Style" w:cs="Bookman Old Style"/>
                <w:color w:val="000000" w:themeColor="text1"/>
                <w:sz w:val="22"/>
                <w:szCs w:val="22"/>
              </w:rPr>
            </w:pPr>
          </w:p>
        </w:tc>
        <w:tc>
          <w:tcPr>
            <w:tcW w:w="3543" w:type="dxa"/>
          </w:tcPr>
          <w:p w14:paraId="7E323A2C" w14:textId="77777777" w:rsidR="00632EF9" w:rsidRPr="00D628A0" w:rsidRDefault="00632EF9" w:rsidP="00D628A0">
            <w:pPr>
              <w:widowControl w:val="0"/>
              <w:spacing w:line="276" w:lineRule="auto"/>
              <w:jc w:val="both"/>
              <w:rPr>
                <w:rFonts w:ascii="Bookman Old Style" w:eastAsia="Bookman Old Style" w:hAnsi="Bookman Old Style" w:cs="Bookman Old Style"/>
                <w:color w:val="000000" w:themeColor="text1"/>
                <w:sz w:val="22"/>
                <w:szCs w:val="22"/>
              </w:rPr>
            </w:pPr>
          </w:p>
        </w:tc>
      </w:tr>
      <w:bookmarkEnd w:id="5"/>
      <w:tr w:rsidR="00632EF9" w:rsidRPr="00D628A0" w14:paraId="69DC1349" w14:textId="156E09AB" w:rsidTr="0007415D">
        <w:tc>
          <w:tcPr>
            <w:tcW w:w="7865" w:type="dxa"/>
          </w:tcPr>
          <w:p w14:paraId="55D1BA11" w14:textId="549C5272" w:rsidR="00632EF9" w:rsidRPr="00C124C5" w:rsidRDefault="007C7B9A" w:rsidP="007C7B9A">
            <w:pPr>
              <w:widowControl w:val="0"/>
              <w:tabs>
                <w:tab w:val="left" w:pos="2268"/>
              </w:tabs>
              <w:spacing w:line="276" w:lineRule="auto"/>
              <w:jc w:val="both"/>
              <w:rPr>
                <w:rFonts w:ascii="Bookman Old Style" w:eastAsia="Bookman Old Style" w:hAnsi="Bookman Old Style" w:cs="Bookman Old Style"/>
                <w:sz w:val="22"/>
                <w:szCs w:val="22"/>
              </w:rPr>
            </w:pPr>
            <w:r w:rsidRPr="007C7B9A">
              <w:rPr>
                <w:rFonts w:ascii="Bookman Old Style" w:eastAsia="Bookman Old Style" w:hAnsi="Bookman Old Style" w:cs="Bookman Old Style"/>
                <w:sz w:val="22"/>
                <w:szCs w:val="22"/>
              </w:rPr>
              <w:t>Penyusunan laporan keuangan Emiten atau Perusahaan Publik sebagaimana dimaksud dalam Pasal 2 sampai dengan Pasal 7 berlaku untuk periode tahun buku yang dimulai pada atau setelah tanggal 1 Januari 2027.</w:t>
            </w:r>
          </w:p>
        </w:tc>
        <w:tc>
          <w:tcPr>
            <w:tcW w:w="3759" w:type="dxa"/>
          </w:tcPr>
          <w:p w14:paraId="1A335AE3" w14:textId="66E6ABE2" w:rsidR="00632EF9" w:rsidRPr="00C124C5" w:rsidRDefault="00646B92" w:rsidP="00646B92">
            <w:pPr>
              <w:widowControl w:val="0"/>
              <w:tabs>
                <w:tab w:val="left" w:pos="2268"/>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Cukup jelas.</w:t>
            </w:r>
          </w:p>
        </w:tc>
        <w:tc>
          <w:tcPr>
            <w:tcW w:w="2977" w:type="dxa"/>
          </w:tcPr>
          <w:p w14:paraId="2A3BB455" w14:textId="77777777" w:rsidR="00632EF9" w:rsidRPr="00D628A0" w:rsidRDefault="00632EF9" w:rsidP="00D628A0">
            <w:pPr>
              <w:widowControl w:val="0"/>
              <w:tabs>
                <w:tab w:val="left" w:pos="2268"/>
              </w:tabs>
              <w:spacing w:line="276" w:lineRule="auto"/>
              <w:rPr>
                <w:rFonts w:ascii="Bookman Old Style" w:eastAsia="Bookman Old Style" w:hAnsi="Bookman Old Style" w:cs="Bookman Old Style"/>
                <w:sz w:val="22"/>
                <w:szCs w:val="22"/>
              </w:rPr>
            </w:pPr>
          </w:p>
        </w:tc>
        <w:tc>
          <w:tcPr>
            <w:tcW w:w="3543" w:type="dxa"/>
          </w:tcPr>
          <w:p w14:paraId="3975A257" w14:textId="77777777" w:rsidR="00632EF9" w:rsidRPr="00D628A0" w:rsidRDefault="00632EF9" w:rsidP="00D628A0">
            <w:pPr>
              <w:widowControl w:val="0"/>
              <w:tabs>
                <w:tab w:val="left" w:pos="2268"/>
              </w:tabs>
              <w:spacing w:line="276" w:lineRule="auto"/>
              <w:rPr>
                <w:rFonts w:ascii="Bookman Old Style" w:eastAsia="Bookman Old Style" w:hAnsi="Bookman Old Style" w:cs="Bookman Old Style"/>
                <w:sz w:val="22"/>
                <w:szCs w:val="22"/>
              </w:rPr>
            </w:pPr>
          </w:p>
        </w:tc>
      </w:tr>
      <w:tr w:rsidR="00632EF9" w:rsidRPr="00D628A0" w14:paraId="44BFCC37" w14:textId="738C7905" w:rsidTr="0007415D">
        <w:tc>
          <w:tcPr>
            <w:tcW w:w="7865" w:type="dxa"/>
          </w:tcPr>
          <w:p w14:paraId="3ADCD40D" w14:textId="178E7639" w:rsidR="00632EF9" w:rsidRPr="00C124C5" w:rsidRDefault="00632EF9" w:rsidP="00C124C5">
            <w:pPr>
              <w:widowControl w:val="0"/>
              <w:tabs>
                <w:tab w:val="left" w:pos="2268"/>
              </w:tabs>
              <w:spacing w:line="276" w:lineRule="auto"/>
              <w:ind w:left="360"/>
              <w:jc w:val="center"/>
              <w:rPr>
                <w:rFonts w:ascii="Bookman Old Style" w:eastAsia="Bookman Old Style" w:hAnsi="Bookman Old Style" w:cs="Bookman Old Style"/>
                <w:sz w:val="22"/>
                <w:szCs w:val="22"/>
              </w:rPr>
            </w:pPr>
          </w:p>
        </w:tc>
        <w:tc>
          <w:tcPr>
            <w:tcW w:w="3759" w:type="dxa"/>
          </w:tcPr>
          <w:p w14:paraId="468A27FB" w14:textId="18B29F1A" w:rsidR="00632EF9" w:rsidRPr="00C124C5" w:rsidRDefault="00632EF9" w:rsidP="00C124C5">
            <w:pPr>
              <w:widowControl w:val="0"/>
              <w:tabs>
                <w:tab w:val="left" w:pos="2268"/>
              </w:tabs>
              <w:spacing w:line="276" w:lineRule="auto"/>
              <w:ind w:left="360"/>
              <w:rPr>
                <w:rFonts w:ascii="Bookman Old Style" w:eastAsia="Bookman Old Style" w:hAnsi="Bookman Old Style" w:cs="Bookman Old Style"/>
                <w:sz w:val="22"/>
                <w:szCs w:val="22"/>
              </w:rPr>
            </w:pPr>
          </w:p>
        </w:tc>
        <w:tc>
          <w:tcPr>
            <w:tcW w:w="2977" w:type="dxa"/>
          </w:tcPr>
          <w:p w14:paraId="3DE361FD" w14:textId="77777777" w:rsidR="00632EF9" w:rsidRPr="00D628A0" w:rsidRDefault="00632EF9"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3543" w:type="dxa"/>
          </w:tcPr>
          <w:p w14:paraId="6F0BB072" w14:textId="77777777" w:rsidR="00632EF9" w:rsidRPr="00D628A0" w:rsidRDefault="00632EF9" w:rsidP="00D628A0">
            <w:pPr>
              <w:widowControl w:val="0"/>
              <w:tabs>
                <w:tab w:val="left" w:pos="2268"/>
              </w:tabs>
              <w:spacing w:line="276" w:lineRule="auto"/>
              <w:jc w:val="center"/>
              <w:rPr>
                <w:rFonts w:ascii="Bookman Old Style" w:eastAsia="Bookman Old Style" w:hAnsi="Bookman Old Style" w:cs="Bookman Old Style"/>
                <w:sz w:val="22"/>
                <w:szCs w:val="22"/>
              </w:rPr>
            </w:pPr>
          </w:p>
        </w:tc>
      </w:tr>
      <w:tr w:rsidR="00632EF9" w:rsidRPr="00D628A0" w14:paraId="5CE5A047" w14:textId="295343FC" w:rsidTr="0007415D">
        <w:tc>
          <w:tcPr>
            <w:tcW w:w="7865" w:type="dxa"/>
          </w:tcPr>
          <w:p w14:paraId="0D0A3D7D" w14:textId="3D52339F" w:rsidR="00632EF9" w:rsidRPr="00D628A0" w:rsidRDefault="007C7B9A" w:rsidP="007C7B9A">
            <w:pPr>
              <w:autoSpaceDE/>
              <w:autoSpaceDN/>
              <w:spacing w:line="276"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Pasal 9</w:t>
            </w:r>
          </w:p>
        </w:tc>
        <w:tc>
          <w:tcPr>
            <w:tcW w:w="3759" w:type="dxa"/>
          </w:tcPr>
          <w:p w14:paraId="4CBCBF07" w14:textId="7BC27637" w:rsidR="00632EF9" w:rsidRPr="00C124C5" w:rsidRDefault="00646B92" w:rsidP="00646B92">
            <w:pPr>
              <w:autoSpaceDE/>
              <w:autoSpaceDN/>
              <w:spacing w:line="276"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Pasal 9</w:t>
            </w:r>
          </w:p>
        </w:tc>
        <w:tc>
          <w:tcPr>
            <w:tcW w:w="2977" w:type="dxa"/>
          </w:tcPr>
          <w:p w14:paraId="5260DD44" w14:textId="77777777" w:rsidR="00632EF9" w:rsidRPr="00D628A0" w:rsidRDefault="00632EF9" w:rsidP="00D628A0">
            <w:pPr>
              <w:autoSpaceDE/>
              <w:autoSpaceDN/>
              <w:spacing w:line="276" w:lineRule="auto"/>
              <w:ind w:left="1985"/>
              <w:jc w:val="both"/>
              <w:rPr>
                <w:rFonts w:ascii="Bookman Old Style" w:eastAsia="Bookman Old Style" w:hAnsi="Bookman Old Style" w:cs="Bookman Old Style"/>
                <w:sz w:val="22"/>
                <w:szCs w:val="22"/>
              </w:rPr>
            </w:pPr>
          </w:p>
        </w:tc>
        <w:tc>
          <w:tcPr>
            <w:tcW w:w="3543" w:type="dxa"/>
          </w:tcPr>
          <w:p w14:paraId="7A63D390" w14:textId="77777777" w:rsidR="00632EF9" w:rsidRPr="00D628A0" w:rsidRDefault="00632EF9" w:rsidP="00D628A0">
            <w:pPr>
              <w:autoSpaceDE/>
              <w:autoSpaceDN/>
              <w:spacing w:line="276" w:lineRule="auto"/>
              <w:ind w:left="1985"/>
              <w:jc w:val="both"/>
              <w:rPr>
                <w:rFonts w:ascii="Bookman Old Style" w:eastAsia="Bookman Old Style" w:hAnsi="Bookman Old Style" w:cs="Bookman Old Style"/>
                <w:sz w:val="22"/>
                <w:szCs w:val="22"/>
              </w:rPr>
            </w:pPr>
          </w:p>
        </w:tc>
      </w:tr>
      <w:tr w:rsidR="00646B92" w:rsidRPr="00D628A0" w14:paraId="4766B8DC" w14:textId="3E1620B9" w:rsidTr="0007415D">
        <w:tc>
          <w:tcPr>
            <w:tcW w:w="7865" w:type="dxa"/>
          </w:tcPr>
          <w:p w14:paraId="7042A2A6" w14:textId="6CEF3AFD" w:rsidR="00646B92" w:rsidRPr="007C7B9A" w:rsidRDefault="00646B92" w:rsidP="007C7B9A">
            <w:pPr>
              <w:pStyle w:val="ListParagraph"/>
              <w:numPr>
                <w:ilvl w:val="0"/>
                <w:numId w:val="11"/>
              </w:numPr>
              <w:autoSpaceDE/>
              <w:autoSpaceDN/>
              <w:spacing w:line="276" w:lineRule="auto"/>
              <w:ind w:left="463" w:hanging="463"/>
              <w:jc w:val="both"/>
              <w:rPr>
                <w:rFonts w:ascii="Bookman Old Style" w:eastAsia="Bookman Old Style" w:hAnsi="Bookman Old Style" w:cs="Bookman Old Style"/>
                <w:sz w:val="22"/>
                <w:szCs w:val="22"/>
              </w:rPr>
            </w:pPr>
            <w:r w:rsidRPr="007C7B9A">
              <w:rPr>
                <w:rFonts w:ascii="Bookman Old Style" w:eastAsia="Bookman Old Style" w:hAnsi="Bookman Old Style" w:cs="Bookman Old Style"/>
                <w:sz w:val="22"/>
                <w:szCs w:val="22"/>
              </w:rPr>
              <w:t xml:space="preserve">Setiap Pihak yang melanggar ketentuan sebagaimana dimaksud dalam Pasal 2, Pasal 3 ayat (1), Pasal 4, Pasal 5 ayat (1), Pasal 6, dan/atau Pasal 7 ayat (1), dikenai sanksi </w:t>
            </w:r>
            <w:r>
              <w:rPr>
                <w:rFonts w:ascii="Bookman Old Style" w:eastAsia="Bookman Old Style" w:hAnsi="Bookman Old Style" w:cs="Bookman Old Style"/>
                <w:sz w:val="22"/>
                <w:szCs w:val="22"/>
              </w:rPr>
              <w:t>administratif.</w:t>
            </w:r>
          </w:p>
        </w:tc>
        <w:tc>
          <w:tcPr>
            <w:tcW w:w="3759" w:type="dxa"/>
            <w:vMerge w:val="restart"/>
          </w:tcPr>
          <w:p w14:paraId="7096E74E" w14:textId="12AA84D4" w:rsidR="00646B92" w:rsidRPr="00C124C5" w:rsidRDefault="00646B92" w:rsidP="00646B92">
            <w:pPr>
              <w:autoSpaceDE/>
              <w:autoSpaceDN/>
              <w:spacing w:line="276"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Cukup jelas.</w:t>
            </w:r>
          </w:p>
        </w:tc>
        <w:tc>
          <w:tcPr>
            <w:tcW w:w="2977" w:type="dxa"/>
          </w:tcPr>
          <w:p w14:paraId="723AA54C" w14:textId="77777777" w:rsidR="00646B92" w:rsidRPr="00D628A0" w:rsidRDefault="00646B92" w:rsidP="00D628A0">
            <w:pPr>
              <w:autoSpaceDE/>
              <w:autoSpaceDN/>
              <w:spacing w:line="276" w:lineRule="auto"/>
              <w:ind w:left="1985"/>
              <w:jc w:val="both"/>
              <w:rPr>
                <w:rFonts w:ascii="Bookman Old Style" w:eastAsia="Bookman Old Style" w:hAnsi="Bookman Old Style" w:cs="Bookman Old Style"/>
                <w:sz w:val="22"/>
                <w:szCs w:val="22"/>
              </w:rPr>
            </w:pPr>
          </w:p>
        </w:tc>
        <w:tc>
          <w:tcPr>
            <w:tcW w:w="3543" w:type="dxa"/>
          </w:tcPr>
          <w:p w14:paraId="71F22CE6" w14:textId="77777777" w:rsidR="00646B92" w:rsidRPr="00D628A0" w:rsidRDefault="00646B92" w:rsidP="00D628A0">
            <w:pPr>
              <w:autoSpaceDE/>
              <w:autoSpaceDN/>
              <w:spacing w:line="276" w:lineRule="auto"/>
              <w:ind w:left="1985"/>
              <w:jc w:val="both"/>
              <w:rPr>
                <w:rFonts w:ascii="Bookman Old Style" w:eastAsia="Bookman Old Style" w:hAnsi="Bookman Old Style" w:cs="Bookman Old Style"/>
                <w:sz w:val="22"/>
                <w:szCs w:val="22"/>
              </w:rPr>
            </w:pPr>
          </w:p>
        </w:tc>
      </w:tr>
      <w:tr w:rsidR="00646B92" w:rsidRPr="00D628A0" w14:paraId="7422BD38" w14:textId="5C3BEA48" w:rsidTr="0007415D">
        <w:tc>
          <w:tcPr>
            <w:tcW w:w="7865" w:type="dxa"/>
          </w:tcPr>
          <w:p w14:paraId="4ACEA1D1" w14:textId="3F4954FF" w:rsidR="00646B92" w:rsidRPr="00C124C5" w:rsidRDefault="00646B92" w:rsidP="007C7B9A">
            <w:pPr>
              <w:pStyle w:val="ListParagraph"/>
              <w:numPr>
                <w:ilvl w:val="0"/>
                <w:numId w:val="11"/>
              </w:numPr>
              <w:autoSpaceDE/>
              <w:autoSpaceDN/>
              <w:spacing w:line="276" w:lineRule="auto"/>
              <w:ind w:left="463" w:hanging="463"/>
              <w:jc w:val="both"/>
              <w:rPr>
                <w:rFonts w:ascii="Bookman Old Style" w:eastAsia="Bookman Old Style" w:hAnsi="Bookman Old Style" w:cs="Bookman Old Style"/>
                <w:sz w:val="22"/>
                <w:szCs w:val="22"/>
              </w:rPr>
            </w:pPr>
            <w:r w:rsidRPr="007C7B9A">
              <w:rPr>
                <w:rFonts w:ascii="Bookman Old Style" w:eastAsia="Bookman Old Style" w:hAnsi="Bookman Old Style" w:cs="Bookman Old Style"/>
                <w:sz w:val="22"/>
                <w:szCs w:val="22"/>
              </w:rPr>
              <w:lastRenderedPageBreak/>
              <w:t>Sanksi sebagaimana dimaksud pada ayat (1) dikenakan juga kepada Pihak yang menyebabkan terjadinya pelanggaran sebagaimana dimaksud pada ayat (1)</w:t>
            </w:r>
            <w:r>
              <w:rPr>
                <w:rFonts w:ascii="Bookman Old Style" w:eastAsia="Bookman Old Style" w:hAnsi="Bookman Old Style" w:cs="Bookman Old Style"/>
                <w:sz w:val="22"/>
                <w:szCs w:val="22"/>
              </w:rPr>
              <w:t>.</w:t>
            </w:r>
          </w:p>
        </w:tc>
        <w:tc>
          <w:tcPr>
            <w:tcW w:w="3759" w:type="dxa"/>
            <w:vMerge/>
          </w:tcPr>
          <w:p w14:paraId="5BECAC8D" w14:textId="77777777" w:rsidR="00646B92" w:rsidRPr="00C124C5" w:rsidRDefault="00646B92" w:rsidP="00C124C5">
            <w:pPr>
              <w:autoSpaceDE/>
              <w:autoSpaceDN/>
              <w:spacing w:line="276" w:lineRule="auto"/>
              <w:ind w:left="360"/>
              <w:jc w:val="both"/>
              <w:rPr>
                <w:rFonts w:ascii="Bookman Old Style" w:eastAsia="Bookman Old Style" w:hAnsi="Bookman Old Style" w:cs="Bookman Old Style"/>
                <w:sz w:val="22"/>
                <w:szCs w:val="22"/>
              </w:rPr>
            </w:pPr>
          </w:p>
        </w:tc>
        <w:tc>
          <w:tcPr>
            <w:tcW w:w="2977" w:type="dxa"/>
          </w:tcPr>
          <w:p w14:paraId="08637C42" w14:textId="77777777" w:rsidR="00646B92" w:rsidRPr="00D628A0" w:rsidRDefault="00646B92" w:rsidP="00D628A0">
            <w:pPr>
              <w:autoSpaceDE/>
              <w:autoSpaceDN/>
              <w:spacing w:line="276" w:lineRule="auto"/>
              <w:jc w:val="both"/>
              <w:rPr>
                <w:rFonts w:ascii="Bookman Old Style" w:eastAsia="Bookman Old Style" w:hAnsi="Bookman Old Style" w:cs="Bookman Old Style"/>
                <w:sz w:val="22"/>
                <w:szCs w:val="22"/>
              </w:rPr>
            </w:pPr>
          </w:p>
        </w:tc>
        <w:tc>
          <w:tcPr>
            <w:tcW w:w="3543" w:type="dxa"/>
          </w:tcPr>
          <w:p w14:paraId="0197B31D" w14:textId="77777777" w:rsidR="00646B92" w:rsidRPr="00D628A0" w:rsidRDefault="00646B92" w:rsidP="00D628A0">
            <w:pPr>
              <w:autoSpaceDE/>
              <w:autoSpaceDN/>
              <w:spacing w:line="276" w:lineRule="auto"/>
              <w:jc w:val="both"/>
              <w:rPr>
                <w:rFonts w:ascii="Bookman Old Style" w:eastAsia="Bookman Old Style" w:hAnsi="Bookman Old Style" w:cs="Bookman Old Style"/>
                <w:sz w:val="22"/>
                <w:szCs w:val="22"/>
              </w:rPr>
            </w:pPr>
          </w:p>
        </w:tc>
      </w:tr>
      <w:tr w:rsidR="00646B92" w:rsidRPr="00D628A0" w14:paraId="72F6AEFD" w14:textId="5E2A9091" w:rsidTr="0007415D">
        <w:tc>
          <w:tcPr>
            <w:tcW w:w="7865" w:type="dxa"/>
          </w:tcPr>
          <w:p w14:paraId="73C1F591" w14:textId="5A821D8F" w:rsidR="00646B92" w:rsidRPr="007C7B9A" w:rsidRDefault="00646B92" w:rsidP="007C7B9A">
            <w:pPr>
              <w:pStyle w:val="ListParagraph"/>
              <w:numPr>
                <w:ilvl w:val="0"/>
                <w:numId w:val="11"/>
              </w:numPr>
              <w:autoSpaceDE/>
              <w:autoSpaceDN/>
              <w:spacing w:line="276" w:lineRule="auto"/>
              <w:ind w:left="463" w:hanging="463"/>
              <w:jc w:val="both"/>
              <w:rPr>
                <w:rFonts w:ascii="Bookman Old Style" w:eastAsia="Bookman Old Style" w:hAnsi="Bookman Old Style" w:cs="Bookman Old Style"/>
                <w:sz w:val="22"/>
                <w:szCs w:val="22"/>
              </w:rPr>
            </w:pPr>
            <w:r w:rsidRPr="007C7B9A">
              <w:rPr>
                <w:rFonts w:ascii="Bookman Old Style" w:eastAsia="Bookman Old Style" w:hAnsi="Bookman Old Style" w:cs="Bookman Old Style"/>
                <w:sz w:val="22"/>
                <w:szCs w:val="22"/>
              </w:rPr>
              <w:t>Sanksi sebagaimana dimaksud pada ayat (1) dan ayat (2) dijatuhkan oleh Otoritas Jasa Keuangan.</w:t>
            </w:r>
          </w:p>
        </w:tc>
        <w:tc>
          <w:tcPr>
            <w:tcW w:w="3759" w:type="dxa"/>
            <w:vMerge/>
          </w:tcPr>
          <w:p w14:paraId="29480AEA" w14:textId="4C9098E3" w:rsidR="00646B92" w:rsidRPr="00C124C5" w:rsidRDefault="00646B92" w:rsidP="00C124C5">
            <w:pPr>
              <w:widowControl w:val="0"/>
              <w:tabs>
                <w:tab w:val="left" w:pos="2268"/>
              </w:tabs>
              <w:spacing w:line="276" w:lineRule="auto"/>
              <w:ind w:left="360"/>
              <w:rPr>
                <w:rFonts w:ascii="Bookman Old Style" w:eastAsia="Bookman Old Style" w:hAnsi="Bookman Old Style" w:cs="Bookman Old Style"/>
                <w:color w:val="000000" w:themeColor="text1"/>
                <w:sz w:val="22"/>
                <w:szCs w:val="22"/>
              </w:rPr>
            </w:pPr>
          </w:p>
        </w:tc>
        <w:tc>
          <w:tcPr>
            <w:tcW w:w="2977" w:type="dxa"/>
          </w:tcPr>
          <w:p w14:paraId="0642425D" w14:textId="77777777" w:rsidR="00646B92" w:rsidRPr="00D628A0" w:rsidRDefault="00646B92" w:rsidP="00D628A0">
            <w:pPr>
              <w:widowControl w:val="0"/>
              <w:tabs>
                <w:tab w:val="left" w:pos="2268"/>
              </w:tabs>
              <w:spacing w:line="276" w:lineRule="auto"/>
              <w:jc w:val="center"/>
              <w:rPr>
                <w:rFonts w:ascii="Bookman Old Style" w:eastAsia="Bookman Old Style" w:hAnsi="Bookman Old Style" w:cs="Bookman Old Style"/>
                <w:color w:val="000000" w:themeColor="text1"/>
                <w:sz w:val="22"/>
                <w:szCs w:val="22"/>
              </w:rPr>
            </w:pPr>
          </w:p>
        </w:tc>
        <w:tc>
          <w:tcPr>
            <w:tcW w:w="3543" w:type="dxa"/>
          </w:tcPr>
          <w:p w14:paraId="21F8E2A5" w14:textId="77777777" w:rsidR="00646B92" w:rsidRPr="00D628A0" w:rsidRDefault="00646B92" w:rsidP="00D628A0">
            <w:pPr>
              <w:widowControl w:val="0"/>
              <w:tabs>
                <w:tab w:val="left" w:pos="2268"/>
              </w:tabs>
              <w:spacing w:line="276" w:lineRule="auto"/>
              <w:jc w:val="center"/>
              <w:rPr>
                <w:rFonts w:ascii="Bookman Old Style" w:eastAsia="Bookman Old Style" w:hAnsi="Bookman Old Style" w:cs="Bookman Old Style"/>
                <w:color w:val="000000" w:themeColor="text1"/>
                <w:sz w:val="22"/>
                <w:szCs w:val="22"/>
              </w:rPr>
            </w:pPr>
          </w:p>
        </w:tc>
      </w:tr>
      <w:tr w:rsidR="00646B92" w:rsidRPr="00D628A0" w14:paraId="3CD5E849" w14:textId="28E8FD1C" w:rsidTr="0007415D">
        <w:tc>
          <w:tcPr>
            <w:tcW w:w="7865" w:type="dxa"/>
          </w:tcPr>
          <w:p w14:paraId="7CA40EBA" w14:textId="0091792E" w:rsidR="00646B92" w:rsidRPr="00D628A0" w:rsidRDefault="00646B92" w:rsidP="007C7B9A">
            <w:pPr>
              <w:pStyle w:val="ListParagraph"/>
              <w:numPr>
                <w:ilvl w:val="0"/>
                <w:numId w:val="11"/>
              </w:numPr>
              <w:autoSpaceDE/>
              <w:autoSpaceDN/>
              <w:spacing w:line="276" w:lineRule="auto"/>
              <w:ind w:left="463" w:hanging="463"/>
              <w:jc w:val="both"/>
              <w:rPr>
                <w:rFonts w:ascii="Bookman Old Style" w:eastAsia="Bookman Old Style" w:hAnsi="Bookman Old Style" w:cs="Bookman Old Style"/>
                <w:sz w:val="22"/>
                <w:szCs w:val="22"/>
              </w:rPr>
            </w:pPr>
            <w:r w:rsidRPr="007C7B9A">
              <w:rPr>
                <w:rFonts w:ascii="Bookman Old Style" w:eastAsia="Bookman Old Style" w:hAnsi="Bookman Old Style" w:cs="Bookman Old Style"/>
                <w:sz w:val="22"/>
                <w:szCs w:val="22"/>
              </w:rPr>
              <w:t>Sanksi sebagaimana dimaksud pada ayat (1) berupa:</w:t>
            </w:r>
          </w:p>
        </w:tc>
        <w:tc>
          <w:tcPr>
            <w:tcW w:w="3759" w:type="dxa"/>
            <w:vMerge/>
          </w:tcPr>
          <w:p w14:paraId="15757609" w14:textId="36793882" w:rsidR="00646B92" w:rsidRPr="00C124C5" w:rsidRDefault="00646B92" w:rsidP="00C124C5">
            <w:pPr>
              <w:autoSpaceDE/>
              <w:autoSpaceDN/>
              <w:spacing w:line="276" w:lineRule="auto"/>
              <w:ind w:left="360"/>
              <w:jc w:val="both"/>
              <w:rPr>
                <w:rFonts w:ascii="Bookman Old Style" w:eastAsia="Bookman Old Style" w:hAnsi="Bookman Old Style" w:cs="Bookman Old Style"/>
                <w:sz w:val="22"/>
                <w:szCs w:val="22"/>
              </w:rPr>
            </w:pPr>
          </w:p>
        </w:tc>
        <w:tc>
          <w:tcPr>
            <w:tcW w:w="2977" w:type="dxa"/>
          </w:tcPr>
          <w:p w14:paraId="4135FBD8" w14:textId="77777777" w:rsidR="00646B92" w:rsidRPr="00D628A0" w:rsidRDefault="00646B92" w:rsidP="00D628A0">
            <w:pPr>
              <w:autoSpaceDE/>
              <w:autoSpaceDN/>
              <w:spacing w:line="276" w:lineRule="auto"/>
              <w:ind w:left="1985"/>
              <w:jc w:val="both"/>
              <w:rPr>
                <w:rFonts w:ascii="Bookman Old Style" w:eastAsia="Bookman Old Style" w:hAnsi="Bookman Old Style" w:cs="Bookman Old Style"/>
                <w:sz w:val="22"/>
                <w:szCs w:val="22"/>
              </w:rPr>
            </w:pPr>
          </w:p>
        </w:tc>
        <w:tc>
          <w:tcPr>
            <w:tcW w:w="3543" w:type="dxa"/>
          </w:tcPr>
          <w:p w14:paraId="0D42F23E" w14:textId="77777777" w:rsidR="00646B92" w:rsidRPr="00D628A0" w:rsidRDefault="00646B92" w:rsidP="00D628A0">
            <w:pPr>
              <w:autoSpaceDE/>
              <w:autoSpaceDN/>
              <w:spacing w:line="276" w:lineRule="auto"/>
              <w:ind w:left="1985"/>
              <w:jc w:val="both"/>
              <w:rPr>
                <w:rFonts w:ascii="Bookman Old Style" w:eastAsia="Bookman Old Style" w:hAnsi="Bookman Old Style" w:cs="Bookman Old Style"/>
                <w:sz w:val="22"/>
                <w:szCs w:val="22"/>
              </w:rPr>
            </w:pPr>
          </w:p>
        </w:tc>
      </w:tr>
      <w:tr w:rsidR="00646B92" w:rsidRPr="00D628A0" w14:paraId="43801EE3" w14:textId="0357C529" w:rsidTr="0007415D">
        <w:tc>
          <w:tcPr>
            <w:tcW w:w="7865" w:type="dxa"/>
          </w:tcPr>
          <w:p w14:paraId="753D15F4" w14:textId="25470B58" w:rsidR="00646B92" w:rsidRPr="007C7B9A" w:rsidRDefault="00646B92" w:rsidP="007C7B9A">
            <w:pPr>
              <w:pStyle w:val="ListParagraph"/>
              <w:numPr>
                <w:ilvl w:val="0"/>
                <w:numId w:val="12"/>
              </w:numPr>
              <w:autoSpaceDE/>
              <w:autoSpaceDN/>
              <w:spacing w:line="276" w:lineRule="auto"/>
              <w:ind w:left="888" w:hanging="425"/>
              <w:jc w:val="both"/>
              <w:rPr>
                <w:rFonts w:ascii="Bookman Old Style" w:eastAsia="Bookman Old Style" w:hAnsi="Bookman Old Style" w:cs="Bookman Old Style"/>
                <w:sz w:val="22"/>
                <w:szCs w:val="22"/>
              </w:rPr>
            </w:pPr>
            <w:r w:rsidRPr="007C7B9A">
              <w:rPr>
                <w:rFonts w:ascii="Bookman Old Style" w:eastAsia="Bookman Old Style" w:hAnsi="Bookman Old Style" w:cs="Bookman Old Style"/>
                <w:sz w:val="22"/>
                <w:szCs w:val="22"/>
              </w:rPr>
              <w:t>peringatan tertulis;</w:t>
            </w:r>
          </w:p>
        </w:tc>
        <w:tc>
          <w:tcPr>
            <w:tcW w:w="3759" w:type="dxa"/>
            <w:vMerge/>
          </w:tcPr>
          <w:p w14:paraId="2A956683" w14:textId="77777777" w:rsidR="00646B92" w:rsidRPr="00C124C5" w:rsidRDefault="00646B92" w:rsidP="00C124C5">
            <w:pPr>
              <w:autoSpaceDE/>
              <w:autoSpaceDN/>
              <w:spacing w:line="276" w:lineRule="auto"/>
              <w:ind w:left="2520"/>
              <w:jc w:val="both"/>
              <w:rPr>
                <w:rFonts w:ascii="Bookman Old Style" w:eastAsia="Bookman Old Style" w:hAnsi="Bookman Old Style" w:cs="Bookman Old Style"/>
                <w:sz w:val="22"/>
                <w:szCs w:val="22"/>
              </w:rPr>
            </w:pPr>
          </w:p>
        </w:tc>
        <w:tc>
          <w:tcPr>
            <w:tcW w:w="2977" w:type="dxa"/>
          </w:tcPr>
          <w:p w14:paraId="4EEDD21D" w14:textId="77777777" w:rsidR="00646B92" w:rsidRPr="00D628A0" w:rsidRDefault="00646B92" w:rsidP="00D628A0">
            <w:pPr>
              <w:autoSpaceDE/>
              <w:autoSpaceDN/>
              <w:spacing w:line="276" w:lineRule="auto"/>
              <w:ind w:left="1985"/>
              <w:jc w:val="both"/>
              <w:rPr>
                <w:rFonts w:ascii="Bookman Old Style" w:eastAsia="Bookman Old Style" w:hAnsi="Bookman Old Style" w:cs="Bookman Old Style"/>
                <w:sz w:val="22"/>
                <w:szCs w:val="22"/>
              </w:rPr>
            </w:pPr>
          </w:p>
        </w:tc>
        <w:tc>
          <w:tcPr>
            <w:tcW w:w="3543" w:type="dxa"/>
          </w:tcPr>
          <w:p w14:paraId="59336A7E" w14:textId="77777777" w:rsidR="00646B92" w:rsidRPr="00D628A0" w:rsidRDefault="00646B92" w:rsidP="00D628A0">
            <w:pPr>
              <w:autoSpaceDE/>
              <w:autoSpaceDN/>
              <w:spacing w:line="276" w:lineRule="auto"/>
              <w:ind w:left="1985"/>
              <w:jc w:val="both"/>
              <w:rPr>
                <w:rFonts w:ascii="Bookman Old Style" w:eastAsia="Bookman Old Style" w:hAnsi="Bookman Old Style" w:cs="Bookman Old Style"/>
                <w:sz w:val="22"/>
                <w:szCs w:val="22"/>
              </w:rPr>
            </w:pPr>
          </w:p>
        </w:tc>
      </w:tr>
      <w:tr w:rsidR="00646B92" w:rsidRPr="00D628A0" w14:paraId="66DF40DE" w14:textId="3D46357F" w:rsidTr="0007415D">
        <w:tc>
          <w:tcPr>
            <w:tcW w:w="7865" w:type="dxa"/>
          </w:tcPr>
          <w:p w14:paraId="252DBE03" w14:textId="04EA1810" w:rsidR="00646B92" w:rsidRPr="00D628A0" w:rsidRDefault="00646B92" w:rsidP="007C7B9A">
            <w:pPr>
              <w:pStyle w:val="ListParagraph"/>
              <w:numPr>
                <w:ilvl w:val="0"/>
                <w:numId w:val="12"/>
              </w:numPr>
              <w:autoSpaceDE/>
              <w:autoSpaceDN/>
              <w:spacing w:line="276" w:lineRule="auto"/>
              <w:ind w:left="888" w:hanging="425"/>
              <w:jc w:val="both"/>
              <w:rPr>
                <w:rFonts w:ascii="Bookman Old Style" w:eastAsia="Bookman Old Style" w:hAnsi="Bookman Old Style" w:cs="Bookman Old Style"/>
                <w:sz w:val="22"/>
                <w:szCs w:val="22"/>
              </w:rPr>
            </w:pPr>
            <w:r w:rsidRPr="007C7B9A">
              <w:rPr>
                <w:rFonts w:ascii="Bookman Old Style" w:eastAsia="Bookman Old Style" w:hAnsi="Bookman Old Style" w:cs="Bookman Old Style"/>
                <w:sz w:val="22"/>
                <w:szCs w:val="22"/>
              </w:rPr>
              <w:t>denda yaitu kewajiban untuk membayar sejumlah uang tertentu</w:t>
            </w:r>
            <w:r>
              <w:rPr>
                <w:rFonts w:ascii="Bookman Old Style" w:eastAsia="Bookman Old Style" w:hAnsi="Bookman Old Style" w:cs="Bookman Old Style"/>
                <w:sz w:val="22"/>
                <w:szCs w:val="22"/>
              </w:rPr>
              <w:t>;</w:t>
            </w:r>
          </w:p>
        </w:tc>
        <w:tc>
          <w:tcPr>
            <w:tcW w:w="3759" w:type="dxa"/>
            <w:vMerge/>
          </w:tcPr>
          <w:p w14:paraId="0DF04814" w14:textId="77777777" w:rsidR="00646B92" w:rsidRPr="00C124C5" w:rsidRDefault="00646B92" w:rsidP="00C124C5">
            <w:pPr>
              <w:autoSpaceDE/>
              <w:autoSpaceDN/>
              <w:spacing w:line="276" w:lineRule="auto"/>
              <w:ind w:left="2520"/>
              <w:jc w:val="both"/>
              <w:rPr>
                <w:rFonts w:ascii="Bookman Old Style" w:eastAsia="Bookman Old Style" w:hAnsi="Bookman Old Style" w:cs="Bookman Old Style"/>
                <w:sz w:val="22"/>
                <w:szCs w:val="22"/>
              </w:rPr>
            </w:pPr>
          </w:p>
        </w:tc>
        <w:tc>
          <w:tcPr>
            <w:tcW w:w="2977" w:type="dxa"/>
          </w:tcPr>
          <w:p w14:paraId="5AEDDAF8" w14:textId="77777777" w:rsidR="00646B92" w:rsidRPr="00D628A0" w:rsidRDefault="00646B92" w:rsidP="00D628A0">
            <w:pPr>
              <w:autoSpaceDE/>
              <w:autoSpaceDN/>
              <w:spacing w:line="276" w:lineRule="auto"/>
              <w:ind w:left="1985"/>
              <w:jc w:val="both"/>
              <w:rPr>
                <w:rFonts w:ascii="Bookman Old Style" w:eastAsia="Bookman Old Style" w:hAnsi="Bookman Old Style" w:cs="Bookman Old Style"/>
                <w:sz w:val="22"/>
                <w:szCs w:val="22"/>
              </w:rPr>
            </w:pPr>
          </w:p>
        </w:tc>
        <w:tc>
          <w:tcPr>
            <w:tcW w:w="3543" w:type="dxa"/>
          </w:tcPr>
          <w:p w14:paraId="497F2CCB" w14:textId="77777777" w:rsidR="00646B92" w:rsidRPr="00D628A0" w:rsidRDefault="00646B92" w:rsidP="00D628A0">
            <w:pPr>
              <w:autoSpaceDE/>
              <w:autoSpaceDN/>
              <w:spacing w:line="276" w:lineRule="auto"/>
              <w:ind w:left="1985"/>
              <w:jc w:val="both"/>
              <w:rPr>
                <w:rFonts w:ascii="Bookman Old Style" w:eastAsia="Bookman Old Style" w:hAnsi="Bookman Old Style" w:cs="Bookman Old Style"/>
                <w:sz w:val="22"/>
                <w:szCs w:val="22"/>
              </w:rPr>
            </w:pPr>
          </w:p>
        </w:tc>
      </w:tr>
      <w:tr w:rsidR="00646B92" w:rsidRPr="00D628A0" w14:paraId="30AEB018" w14:textId="5517450B" w:rsidTr="0007415D">
        <w:tc>
          <w:tcPr>
            <w:tcW w:w="7865" w:type="dxa"/>
          </w:tcPr>
          <w:p w14:paraId="1DC8854D" w14:textId="26E8D234" w:rsidR="00646B92" w:rsidRPr="00D628A0" w:rsidRDefault="00646B92" w:rsidP="007C7B9A">
            <w:pPr>
              <w:pStyle w:val="ListParagraph"/>
              <w:numPr>
                <w:ilvl w:val="0"/>
                <w:numId w:val="12"/>
              </w:numPr>
              <w:autoSpaceDE/>
              <w:autoSpaceDN/>
              <w:spacing w:line="276" w:lineRule="auto"/>
              <w:ind w:left="888" w:hanging="425"/>
              <w:jc w:val="both"/>
              <w:rPr>
                <w:rFonts w:ascii="Bookman Old Style" w:eastAsia="Bookman Old Style" w:hAnsi="Bookman Old Style" w:cs="Bookman Old Style"/>
                <w:sz w:val="22"/>
                <w:szCs w:val="22"/>
              </w:rPr>
            </w:pPr>
            <w:r w:rsidRPr="007C7B9A">
              <w:rPr>
                <w:rFonts w:ascii="Bookman Old Style" w:eastAsia="Bookman Old Style" w:hAnsi="Bookman Old Style" w:cs="Bookman Old Style"/>
                <w:sz w:val="22"/>
                <w:szCs w:val="22"/>
              </w:rPr>
              <w:t>pembatasan kegiatan usaha</w:t>
            </w:r>
            <w:r>
              <w:rPr>
                <w:rFonts w:ascii="Bookman Old Style" w:eastAsia="Bookman Old Style" w:hAnsi="Bookman Old Style" w:cs="Bookman Old Style"/>
                <w:sz w:val="22"/>
                <w:szCs w:val="22"/>
              </w:rPr>
              <w:t>;</w:t>
            </w:r>
          </w:p>
        </w:tc>
        <w:tc>
          <w:tcPr>
            <w:tcW w:w="3759" w:type="dxa"/>
            <w:vMerge/>
          </w:tcPr>
          <w:p w14:paraId="173DE395" w14:textId="77777777" w:rsidR="00646B92" w:rsidRPr="00C124C5" w:rsidRDefault="00646B92" w:rsidP="00C124C5">
            <w:pPr>
              <w:autoSpaceDE/>
              <w:autoSpaceDN/>
              <w:spacing w:line="276" w:lineRule="auto"/>
              <w:ind w:left="2520"/>
              <w:jc w:val="both"/>
              <w:rPr>
                <w:rFonts w:ascii="Bookman Old Style" w:eastAsia="Bookman Old Style" w:hAnsi="Bookman Old Style" w:cs="Bookman Old Style"/>
                <w:sz w:val="22"/>
                <w:szCs w:val="22"/>
              </w:rPr>
            </w:pPr>
          </w:p>
        </w:tc>
        <w:tc>
          <w:tcPr>
            <w:tcW w:w="2977" w:type="dxa"/>
          </w:tcPr>
          <w:p w14:paraId="74700F50" w14:textId="77777777" w:rsidR="00646B92" w:rsidRPr="00D628A0" w:rsidRDefault="00646B92" w:rsidP="00D628A0">
            <w:pPr>
              <w:autoSpaceDE/>
              <w:autoSpaceDN/>
              <w:spacing w:line="276" w:lineRule="auto"/>
              <w:ind w:left="1985"/>
              <w:jc w:val="both"/>
              <w:rPr>
                <w:rFonts w:ascii="Bookman Old Style" w:eastAsia="Bookman Old Style" w:hAnsi="Bookman Old Style" w:cs="Bookman Old Style"/>
                <w:sz w:val="22"/>
                <w:szCs w:val="22"/>
              </w:rPr>
            </w:pPr>
          </w:p>
        </w:tc>
        <w:tc>
          <w:tcPr>
            <w:tcW w:w="3543" w:type="dxa"/>
          </w:tcPr>
          <w:p w14:paraId="78C0A822" w14:textId="77777777" w:rsidR="00646B92" w:rsidRPr="00D628A0" w:rsidRDefault="00646B92" w:rsidP="00D628A0">
            <w:pPr>
              <w:autoSpaceDE/>
              <w:autoSpaceDN/>
              <w:spacing w:line="276" w:lineRule="auto"/>
              <w:ind w:left="1985"/>
              <w:jc w:val="both"/>
              <w:rPr>
                <w:rFonts w:ascii="Bookman Old Style" w:eastAsia="Bookman Old Style" w:hAnsi="Bookman Old Style" w:cs="Bookman Old Style"/>
                <w:sz w:val="22"/>
                <w:szCs w:val="22"/>
              </w:rPr>
            </w:pPr>
          </w:p>
        </w:tc>
      </w:tr>
      <w:tr w:rsidR="00646B92" w:rsidRPr="00D628A0" w14:paraId="5E5A0513" w14:textId="0D318EB7" w:rsidTr="0007415D">
        <w:tc>
          <w:tcPr>
            <w:tcW w:w="7865" w:type="dxa"/>
          </w:tcPr>
          <w:p w14:paraId="38A64962" w14:textId="53E2F485" w:rsidR="00646B92" w:rsidRPr="00D628A0" w:rsidRDefault="00646B92" w:rsidP="007C7B9A">
            <w:pPr>
              <w:pStyle w:val="ListParagraph"/>
              <w:numPr>
                <w:ilvl w:val="0"/>
                <w:numId w:val="12"/>
              </w:numPr>
              <w:autoSpaceDE/>
              <w:autoSpaceDN/>
              <w:spacing w:line="276" w:lineRule="auto"/>
              <w:ind w:left="888" w:hanging="425"/>
              <w:jc w:val="both"/>
              <w:rPr>
                <w:rFonts w:ascii="Bookman Old Style" w:eastAsia="Bookman Old Style" w:hAnsi="Bookman Old Style" w:cs="Bookman Old Style"/>
                <w:sz w:val="22"/>
                <w:szCs w:val="22"/>
              </w:rPr>
            </w:pPr>
            <w:r w:rsidRPr="007C7B9A">
              <w:rPr>
                <w:rFonts w:ascii="Bookman Old Style" w:eastAsia="Bookman Old Style" w:hAnsi="Bookman Old Style" w:cs="Bookman Old Style"/>
                <w:sz w:val="22"/>
                <w:szCs w:val="22"/>
              </w:rPr>
              <w:t>pembekuan kegiatan usaha</w:t>
            </w:r>
            <w:r>
              <w:rPr>
                <w:rFonts w:ascii="Bookman Old Style" w:eastAsia="Bookman Old Style" w:hAnsi="Bookman Old Style" w:cs="Bookman Old Style"/>
                <w:sz w:val="22"/>
                <w:szCs w:val="22"/>
              </w:rPr>
              <w:t>;</w:t>
            </w:r>
          </w:p>
        </w:tc>
        <w:tc>
          <w:tcPr>
            <w:tcW w:w="3759" w:type="dxa"/>
            <w:vMerge/>
          </w:tcPr>
          <w:p w14:paraId="4D98E925" w14:textId="77777777" w:rsidR="00646B92" w:rsidRPr="00C124C5" w:rsidRDefault="00646B92" w:rsidP="00C124C5">
            <w:pPr>
              <w:autoSpaceDE/>
              <w:autoSpaceDN/>
              <w:spacing w:line="276" w:lineRule="auto"/>
              <w:ind w:left="3240"/>
              <w:jc w:val="both"/>
              <w:rPr>
                <w:rFonts w:ascii="Bookman Old Style" w:eastAsia="Bookman Old Style" w:hAnsi="Bookman Old Style" w:cs="Bookman Old Style"/>
                <w:sz w:val="22"/>
                <w:szCs w:val="22"/>
              </w:rPr>
            </w:pPr>
          </w:p>
        </w:tc>
        <w:tc>
          <w:tcPr>
            <w:tcW w:w="2977" w:type="dxa"/>
          </w:tcPr>
          <w:p w14:paraId="7F66F3A6" w14:textId="77777777" w:rsidR="00646B92" w:rsidRPr="00D628A0" w:rsidRDefault="00646B92" w:rsidP="00D628A0">
            <w:pPr>
              <w:autoSpaceDE/>
              <w:autoSpaceDN/>
              <w:spacing w:line="276" w:lineRule="auto"/>
              <w:ind w:left="2552"/>
              <w:jc w:val="both"/>
              <w:rPr>
                <w:rFonts w:ascii="Bookman Old Style" w:eastAsia="Bookman Old Style" w:hAnsi="Bookman Old Style" w:cs="Bookman Old Style"/>
                <w:sz w:val="22"/>
                <w:szCs w:val="22"/>
              </w:rPr>
            </w:pPr>
          </w:p>
        </w:tc>
        <w:tc>
          <w:tcPr>
            <w:tcW w:w="3543" w:type="dxa"/>
          </w:tcPr>
          <w:p w14:paraId="413CB50F" w14:textId="77777777" w:rsidR="00646B92" w:rsidRPr="00D628A0" w:rsidRDefault="00646B92" w:rsidP="00D628A0">
            <w:pPr>
              <w:autoSpaceDE/>
              <w:autoSpaceDN/>
              <w:spacing w:line="276" w:lineRule="auto"/>
              <w:ind w:left="2552"/>
              <w:jc w:val="both"/>
              <w:rPr>
                <w:rFonts w:ascii="Bookman Old Style" w:eastAsia="Bookman Old Style" w:hAnsi="Bookman Old Style" w:cs="Bookman Old Style"/>
                <w:sz w:val="22"/>
                <w:szCs w:val="22"/>
              </w:rPr>
            </w:pPr>
          </w:p>
        </w:tc>
      </w:tr>
      <w:tr w:rsidR="00646B92" w:rsidRPr="00D628A0" w14:paraId="0A209C44" w14:textId="57DF6EF3" w:rsidTr="0007415D">
        <w:tc>
          <w:tcPr>
            <w:tcW w:w="7865" w:type="dxa"/>
          </w:tcPr>
          <w:p w14:paraId="3E8186E4" w14:textId="7B051A4E" w:rsidR="00646B92" w:rsidRPr="00D628A0" w:rsidRDefault="00646B92" w:rsidP="007C7B9A">
            <w:pPr>
              <w:pStyle w:val="ListParagraph"/>
              <w:numPr>
                <w:ilvl w:val="0"/>
                <w:numId w:val="12"/>
              </w:numPr>
              <w:autoSpaceDE/>
              <w:autoSpaceDN/>
              <w:spacing w:line="276" w:lineRule="auto"/>
              <w:ind w:left="888" w:hanging="425"/>
              <w:jc w:val="both"/>
              <w:rPr>
                <w:rFonts w:ascii="Bookman Old Style" w:eastAsia="Bookman Old Style" w:hAnsi="Bookman Old Style" w:cs="Bookman Old Style"/>
                <w:sz w:val="22"/>
                <w:szCs w:val="22"/>
              </w:rPr>
            </w:pPr>
            <w:r w:rsidRPr="00465AA0">
              <w:rPr>
                <w:rFonts w:ascii="Bookman Old Style" w:eastAsia="Bookman Old Style" w:hAnsi="Bookman Old Style" w:cs="Bookman Old Style"/>
                <w:sz w:val="22"/>
                <w:szCs w:val="22"/>
              </w:rPr>
              <w:t>pencabutan izin usaha</w:t>
            </w:r>
            <w:r>
              <w:rPr>
                <w:rFonts w:ascii="Bookman Old Style" w:eastAsia="Bookman Old Style" w:hAnsi="Bookman Old Style" w:cs="Bookman Old Style"/>
                <w:sz w:val="22"/>
                <w:szCs w:val="22"/>
              </w:rPr>
              <w:t>;</w:t>
            </w:r>
          </w:p>
        </w:tc>
        <w:tc>
          <w:tcPr>
            <w:tcW w:w="3759" w:type="dxa"/>
            <w:vMerge/>
          </w:tcPr>
          <w:p w14:paraId="341D280A" w14:textId="77777777" w:rsidR="00646B92" w:rsidRPr="00C124C5" w:rsidRDefault="00646B92" w:rsidP="00C124C5">
            <w:pPr>
              <w:autoSpaceDE/>
              <w:autoSpaceDN/>
              <w:spacing w:line="276" w:lineRule="auto"/>
              <w:ind w:left="3240"/>
              <w:jc w:val="both"/>
              <w:rPr>
                <w:rFonts w:ascii="Bookman Old Style" w:eastAsia="Bookman Old Style" w:hAnsi="Bookman Old Style" w:cs="Bookman Old Style"/>
                <w:sz w:val="22"/>
                <w:szCs w:val="22"/>
              </w:rPr>
            </w:pPr>
          </w:p>
        </w:tc>
        <w:tc>
          <w:tcPr>
            <w:tcW w:w="2977" w:type="dxa"/>
          </w:tcPr>
          <w:p w14:paraId="55720376" w14:textId="77777777" w:rsidR="00646B92" w:rsidRPr="00D628A0" w:rsidRDefault="00646B92" w:rsidP="00D628A0">
            <w:pPr>
              <w:autoSpaceDE/>
              <w:autoSpaceDN/>
              <w:spacing w:line="276" w:lineRule="auto"/>
              <w:ind w:left="2552"/>
              <w:jc w:val="both"/>
              <w:rPr>
                <w:rFonts w:ascii="Bookman Old Style" w:eastAsia="Bookman Old Style" w:hAnsi="Bookman Old Style" w:cs="Bookman Old Style"/>
                <w:sz w:val="22"/>
                <w:szCs w:val="22"/>
              </w:rPr>
            </w:pPr>
          </w:p>
        </w:tc>
        <w:tc>
          <w:tcPr>
            <w:tcW w:w="3543" w:type="dxa"/>
          </w:tcPr>
          <w:p w14:paraId="31B0564A" w14:textId="77777777" w:rsidR="00646B92" w:rsidRPr="00D628A0" w:rsidRDefault="00646B92" w:rsidP="00D628A0">
            <w:pPr>
              <w:autoSpaceDE/>
              <w:autoSpaceDN/>
              <w:spacing w:line="276" w:lineRule="auto"/>
              <w:ind w:left="2552"/>
              <w:jc w:val="both"/>
              <w:rPr>
                <w:rFonts w:ascii="Bookman Old Style" w:eastAsia="Bookman Old Style" w:hAnsi="Bookman Old Style" w:cs="Bookman Old Style"/>
                <w:sz w:val="22"/>
                <w:szCs w:val="22"/>
              </w:rPr>
            </w:pPr>
          </w:p>
        </w:tc>
      </w:tr>
      <w:tr w:rsidR="00646B92" w:rsidRPr="00D628A0" w14:paraId="45C066D4" w14:textId="22D59A6E" w:rsidTr="0007415D">
        <w:tc>
          <w:tcPr>
            <w:tcW w:w="7865" w:type="dxa"/>
          </w:tcPr>
          <w:p w14:paraId="2017A277" w14:textId="535DC76C" w:rsidR="00646B92" w:rsidRPr="00D628A0" w:rsidRDefault="00646B92" w:rsidP="007C7B9A">
            <w:pPr>
              <w:pStyle w:val="ListParagraph"/>
              <w:numPr>
                <w:ilvl w:val="0"/>
                <w:numId w:val="12"/>
              </w:numPr>
              <w:autoSpaceDE/>
              <w:autoSpaceDN/>
              <w:spacing w:line="276" w:lineRule="auto"/>
              <w:ind w:left="888" w:hanging="425"/>
              <w:jc w:val="both"/>
              <w:rPr>
                <w:rFonts w:ascii="Bookman Old Style" w:eastAsia="Bookman Old Style" w:hAnsi="Bookman Old Style" w:cs="Bookman Old Style"/>
                <w:sz w:val="22"/>
                <w:szCs w:val="22"/>
              </w:rPr>
            </w:pPr>
            <w:r w:rsidRPr="00465AA0">
              <w:rPr>
                <w:rFonts w:ascii="Bookman Old Style" w:eastAsia="Bookman Old Style" w:hAnsi="Bookman Old Style" w:cs="Bookman Old Style"/>
                <w:sz w:val="22"/>
                <w:szCs w:val="22"/>
              </w:rPr>
              <w:t>pembatalan pendaftaran</w:t>
            </w:r>
            <w:r>
              <w:rPr>
                <w:rFonts w:ascii="Bookman Old Style" w:eastAsia="Bookman Old Style" w:hAnsi="Bookman Old Style" w:cs="Bookman Old Style"/>
                <w:sz w:val="22"/>
                <w:szCs w:val="22"/>
              </w:rPr>
              <w:t>;</w:t>
            </w:r>
          </w:p>
        </w:tc>
        <w:tc>
          <w:tcPr>
            <w:tcW w:w="3759" w:type="dxa"/>
            <w:vMerge/>
          </w:tcPr>
          <w:p w14:paraId="0C4A9F9D" w14:textId="77777777" w:rsidR="00646B92" w:rsidRPr="00C124C5" w:rsidRDefault="00646B92" w:rsidP="00C124C5">
            <w:pPr>
              <w:autoSpaceDE/>
              <w:autoSpaceDN/>
              <w:spacing w:line="276" w:lineRule="auto"/>
              <w:ind w:left="3240"/>
              <w:jc w:val="both"/>
              <w:rPr>
                <w:rFonts w:ascii="Bookman Old Style" w:eastAsia="Bookman Old Style" w:hAnsi="Bookman Old Style" w:cs="Bookman Old Style"/>
                <w:sz w:val="22"/>
                <w:szCs w:val="22"/>
              </w:rPr>
            </w:pPr>
          </w:p>
        </w:tc>
        <w:tc>
          <w:tcPr>
            <w:tcW w:w="2977" w:type="dxa"/>
          </w:tcPr>
          <w:p w14:paraId="380076FD" w14:textId="77777777" w:rsidR="00646B92" w:rsidRPr="00D628A0" w:rsidRDefault="00646B92" w:rsidP="00D628A0">
            <w:pPr>
              <w:autoSpaceDE/>
              <w:autoSpaceDN/>
              <w:spacing w:line="276" w:lineRule="auto"/>
              <w:ind w:left="2552"/>
              <w:jc w:val="both"/>
              <w:rPr>
                <w:rFonts w:ascii="Bookman Old Style" w:eastAsia="Bookman Old Style" w:hAnsi="Bookman Old Style" w:cs="Bookman Old Style"/>
                <w:sz w:val="22"/>
                <w:szCs w:val="22"/>
              </w:rPr>
            </w:pPr>
          </w:p>
        </w:tc>
        <w:tc>
          <w:tcPr>
            <w:tcW w:w="3543" w:type="dxa"/>
          </w:tcPr>
          <w:p w14:paraId="779225EE" w14:textId="77777777" w:rsidR="00646B92" w:rsidRPr="00D628A0" w:rsidRDefault="00646B92" w:rsidP="00D628A0">
            <w:pPr>
              <w:autoSpaceDE/>
              <w:autoSpaceDN/>
              <w:spacing w:line="276" w:lineRule="auto"/>
              <w:ind w:left="2552"/>
              <w:jc w:val="both"/>
              <w:rPr>
                <w:rFonts w:ascii="Bookman Old Style" w:eastAsia="Bookman Old Style" w:hAnsi="Bookman Old Style" w:cs="Bookman Old Style"/>
                <w:sz w:val="22"/>
                <w:szCs w:val="22"/>
              </w:rPr>
            </w:pPr>
          </w:p>
        </w:tc>
      </w:tr>
      <w:tr w:rsidR="00646B92" w:rsidRPr="00D628A0" w14:paraId="01ED6DFA" w14:textId="6B5FEEB1" w:rsidTr="0007415D">
        <w:tc>
          <w:tcPr>
            <w:tcW w:w="7865" w:type="dxa"/>
          </w:tcPr>
          <w:p w14:paraId="0135A451" w14:textId="0F97C02C" w:rsidR="00646B92" w:rsidRPr="00D628A0" w:rsidRDefault="00646B92" w:rsidP="007C7B9A">
            <w:pPr>
              <w:pStyle w:val="ListParagraph"/>
              <w:numPr>
                <w:ilvl w:val="0"/>
                <w:numId w:val="12"/>
              </w:numPr>
              <w:autoSpaceDE/>
              <w:autoSpaceDN/>
              <w:spacing w:line="276" w:lineRule="auto"/>
              <w:ind w:left="888" w:hanging="425"/>
              <w:jc w:val="both"/>
              <w:rPr>
                <w:rFonts w:ascii="Bookman Old Style" w:eastAsia="Bookman Old Style" w:hAnsi="Bookman Old Style" w:cs="Bookman Old Style"/>
                <w:sz w:val="22"/>
                <w:szCs w:val="22"/>
              </w:rPr>
            </w:pPr>
            <w:r w:rsidRPr="00465AA0">
              <w:rPr>
                <w:rFonts w:ascii="Bookman Old Style" w:eastAsia="Bookman Old Style" w:hAnsi="Bookman Old Style" w:cs="Bookman Old Style"/>
                <w:sz w:val="22"/>
                <w:szCs w:val="22"/>
              </w:rPr>
              <w:t>pencabutan efektifnya pernyataan pendaftaran; dan/atau</w:t>
            </w:r>
          </w:p>
        </w:tc>
        <w:tc>
          <w:tcPr>
            <w:tcW w:w="3759" w:type="dxa"/>
            <w:vMerge/>
          </w:tcPr>
          <w:p w14:paraId="79E22FA2" w14:textId="77777777" w:rsidR="00646B92" w:rsidRPr="00C124C5" w:rsidRDefault="00646B92" w:rsidP="00C124C5">
            <w:pPr>
              <w:autoSpaceDE/>
              <w:autoSpaceDN/>
              <w:spacing w:line="276" w:lineRule="auto"/>
              <w:ind w:left="3240"/>
              <w:jc w:val="both"/>
              <w:rPr>
                <w:rFonts w:ascii="Bookman Old Style" w:eastAsia="Bookman Old Style" w:hAnsi="Bookman Old Style" w:cs="Bookman Old Style"/>
                <w:sz w:val="22"/>
                <w:szCs w:val="22"/>
              </w:rPr>
            </w:pPr>
          </w:p>
        </w:tc>
        <w:tc>
          <w:tcPr>
            <w:tcW w:w="2977" w:type="dxa"/>
          </w:tcPr>
          <w:p w14:paraId="70B41412" w14:textId="77777777" w:rsidR="00646B92" w:rsidRPr="00D628A0" w:rsidRDefault="00646B92" w:rsidP="00D628A0">
            <w:pPr>
              <w:autoSpaceDE/>
              <w:autoSpaceDN/>
              <w:spacing w:line="276" w:lineRule="auto"/>
              <w:ind w:left="2552"/>
              <w:jc w:val="both"/>
              <w:rPr>
                <w:rFonts w:ascii="Bookman Old Style" w:eastAsia="Bookman Old Style" w:hAnsi="Bookman Old Style" w:cs="Bookman Old Style"/>
                <w:sz w:val="22"/>
                <w:szCs w:val="22"/>
              </w:rPr>
            </w:pPr>
          </w:p>
        </w:tc>
        <w:tc>
          <w:tcPr>
            <w:tcW w:w="3543" w:type="dxa"/>
          </w:tcPr>
          <w:p w14:paraId="5A54F90E" w14:textId="77777777" w:rsidR="00646B92" w:rsidRPr="00D628A0" w:rsidRDefault="00646B92" w:rsidP="00D628A0">
            <w:pPr>
              <w:autoSpaceDE/>
              <w:autoSpaceDN/>
              <w:spacing w:line="276" w:lineRule="auto"/>
              <w:ind w:left="2552"/>
              <w:jc w:val="both"/>
              <w:rPr>
                <w:rFonts w:ascii="Bookman Old Style" w:eastAsia="Bookman Old Style" w:hAnsi="Bookman Old Style" w:cs="Bookman Old Style"/>
                <w:sz w:val="22"/>
                <w:szCs w:val="22"/>
              </w:rPr>
            </w:pPr>
          </w:p>
        </w:tc>
      </w:tr>
      <w:tr w:rsidR="00646B92" w:rsidRPr="00D628A0" w14:paraId="0FCA0844" w14:textId="7FFDF2AE" w:rsidTr="0007415D">
        <w:tc>
          <w:tcPr>
            <w:tcW w:w="7865" w:type="dxa"/>
          </w:tcPr>
          <w:p w14:paraId="0CA0CC4B" w14:textId="531D8F13" w:rsidR="00646B92" w:rsidRPr="00D628A0" w:rsidRDefault="00646B92" w:rsidP="00465AA0">
            <w:pPr>
              <w:pStyle w:val="ListParagraph"/>
              <w:numPr>
                <w:ilvl w:val="0"/>
                <w:numId w:val="12"/>
              </w:numPr>
              <w:autoSpaceDE/>
              <w:autoSpaceDN/>
              <w:spacing w:line="276" w:lineRule="auto"/>
              <w:ind w:left="888" w:hanging="425"/>
              <w:jc w:val="both"/>
              <w:rPr>
                <w:rFonts w:ascii="Bookman Old Style" w:eastAsia="Bookman Old Style" w:hAnsi="Bookman Old Style" w:cs="Bookman Old Style"/>
                <w:sz w:val="22"/>
                <w:szCs w:val="22"/>
              </w:rPr>
            </w:pPr>
            <w:r w:rsidRPr="00465AA0">
              <w:rPr>
                <w:rFonts w:ascii="Bookman Old Style" w:eastAsia="Bookman Old Style" w:hAnsi="Bookman Old Style" w:cs="Bookman Old Style"/>
                <w:sz w:val="22"/>
                <w:szCs w:val="22"/>
              </w:rPr>
              <w:t>pencabutan izin orang perseorangan</w:t>
            </w:r>
            <w:r>
              <w:rPr>
                <w:rFonts w:ascii="Bookman Old Style" w:eastAsia="Bookman Old Style" w:hAnsi="Bookman Old Style" w:cs="Bookman Old Style"/>
                <w:sz w:val="22"/>
                <w:szCs w:val="22"/>
              </w:rPr>
              <w:t>.</w:t>
            </w:r>
          </w:p>
        </w:tc>
        <w:tc>
          <w:tcPr>
            <w:tcW w:w="3759" w:type="dxa"/>
            <w:vMerge/>
          </w:tcPr>
          <w:p w14:paraId="61BC54D5" w14:textId="77777777" w:rsidR="00646B92" w:rsidRPr="00C124C5" w:rsidRDefault="00646B92" w:rsidP="00C124C5">
            <w:pPr>
              <w:autoSpaceDE/>
              <w:autoSpaceDN/>
              <w:spacing w:line="276" w:lineRule="auto"/>
              <w:ind w:left="3240"/>
              <w:jc w:val="both"/>
              <w:rPr>
                <w:rFonts w:ascii="Bookman Old Style" w:eastAsia="Bookman Old Style" w:hAnsi="Bookman Old Style" w:cs="Bookman Old Style"/>
                <w:sz w:val="22"/>
                <w:szCs w:val="22"/>
              </w:rPr>
            </w:pPr>
          </w:p>
        </w:tc>
        <w:tc>
          <w:tcPr>
            <w:tcW w:w="2977" w:type="dxa"/>
          </w:tcPr>
          <w:p w14:paraId="6B806550" w14:textId="77777777" w:rsidR="00646B92" w:rsidRPr="00D628A0" w:rsidRDefault="00646B92" w:rsidP="00D628A0">
            <w:pPr>
              <w:autoSpaceDE/>
              <w:autoSpaceDN/>
              <w:spacing w:line="276" w:lineRule="auto"/>
              <w:ind w:left="2552"/>
              <w:jc w:val="both"/>
              <w:rPr>
                <w:rFonts w:ascii="Bookman Old Style" w:eastAsia="Bookman Old Style" w:hAnsi="Bookman Old Style" w:cs="Bookman Old Style"/>
                <w:sz w:val="22"/>
                <w:szCs w:val="22"/>
              </w:rPr>
            </w:pPr>
          </w:p>
        </w:tc>
        <w:tc>
          <w:tcPr>
            <w:tcW w:w="3543" w:type="dxa"/>
          </w:tcPr>
          <w:p w14:paraId="4C53F83E" w14:textId="77777777" w:rsidR="00646B92" w:rsidRPr="00D628A0" w:rsidRDefault="00646B92" w:rsidP="00D628A0">
            <w:pPr>
              <w:autoSpaceDE/>
              <w:autoSpaceDN/>
              <w:spacing w:line="276" w:lineRule="auto"/>
              <w:ind w:left="2552"/>
              <w:jc w:val="both"/>
              <w:rPr>
                <w:rFonts w:ascii="Bookman Old Style" w:eastAsia="Bookman Old Style" w:hAnsi="Bookman Old Style" w:cs="Bookman Old Style"/>
                <w:sz w:val="22"/>
                <w:szCs w:val="22"/>
              </w:rPr>
            </w:pPr>
          </w:p>
        </w:tc>
      </w:tr>
      <w:tr w:rsidR="00646B92" w:rsidRPr="00D628A0" w14:paraId="5D14664F" w14:textId="41253476" w:rsidTr="0007415D">
        <w:tc>
          <w:tcPr>
            <w:tcW w:w="7865" w:type="dxa"/>
          </w:tcPr>
          <w:p w14:paraId="54ABC794" w14:textId="48220BFB" w:rsidR="00646B92" w:rsidRPr="00D628A0" w:rsidRDefault="00646B92" w:rsidP="00465AA0">
            <w:pPr>
              <w:pStyle w:val="ListParagraph"/>
              <w:numPr>
                <w:ilvl w:val="0"/>
                <w:numId w:val="11"/>
              </w:numPr>
              <w:autoSpaceDE/>
              <w:autoSpaceDN/>
              <w:spacing w:line="276" w:lineRule="auto"/>
              <w:ind w:left="463" w:hanging="463"/>
              <w:jc w:val="both"/>
              <w:rPr>
                <w:rFonts w:ascii="Bookman Old Style" w:eastAsia="Bookman Old Style" w:hAnsi="Bookman Old Style" w:cs="Bookman Old Style"/>
                <w:sz w:val="22"/>
                <w:szCs w:val="22"/>
              </w:rPr>
            </w:pPr>
            <w:r w:rsidRPr="00465AA0">
              <w:rPr>
                <w:rFonts w:ascii="Bookman Old Style" w:eastAsia="Bookman Old Style" w:hAnsi="Bookman Old Style" w:cs="Bookman Old Style"/>
                <w:sz w:val="22"/>
                <w:szCs w:val="22"/>
              </w:rPr>
              <w:t>Sanksi administratif sebagaimana dimaksud pada ayat (4) huruf b, huruf c, huruf d, huruf e, atau huruf f, dapat dikenakan dengan atau tanpa didahului pengenaan sanksi administratif berupa peringatan tertulis sebagaimana dimaksud pada ayat (4) huruf a</w:t>
            </w:r>
            <w:r>
              <w:rPr>
                <w:rFonts w:ascii="Bookman Old Style" w:eastAsia="Bookman Old Style" w:hAnsi="Bookman Old Style" w:cs="Bookman Old Style"/>
                <w:sz w:val="22"/>
                <w:szCs w:val="22"/>
              </w:rPr>
              <w:t>.</w:t>
            </w:r>
          </w:p>
        </w:tc>
        <w:tc>
          <w:tcPr>
            <w:tcW w:w="3759" w:type="dxa"/>
            <w:vMerge/>
          </w:tcPr>
          <w:p w14:paraId="2C202A8B" w14:textId="77777777" w:rsidR="00646B92" w:rsidRPr="00C124C5" w:rsidRDefault="00646B92" w:rsidP="00C124C5">
            <w:pPr>
              <w:autoSpaceDE/>
              <w:autoSpaceDN/>
              <w:spacing w:line="276" w:lineRule="auto"/>
              <w:ind w:left="3240"/>
              <w:jc w:val="both"/>
              <w:rPr>
                <w:rFonts w:ascii="Bookman Old Style" w:eastAsia="Bookman Old Style" w:hAnsi="Bookman Old Style" w:cs="Bookman Old Style"/>
                <w:sz w:val="22"/>
                <w:szCs w:val="22"/>
              </w:rPr>
            </w:pPr>
          </w:p>
        </w:tc>
        <w:tc>
          <w:tcPr>
            <w:tcW w:w="2977" w:type="dxa"/>
          </w:tcPr>
          <w:p w14:paraId="484902D6" w14:textId="77777777" w:rsidR="00646B92" w:rsidRPr="00D628A0" w:rsidRDefault="00646B92" w:rsidP="00D628A0">
            <w:pPr>
              <w:autoSpaceDE/>
              <w:autoSpaceDN/>
              <w:spacing w:line="276" w:lineRule="auto"/>
              <w:ind w:left="2552"/>
              <w:jc w:val="both"/>
              <w:rPr>
                <w:rFonts w:ascii="Bookman Old Style" w:eastAsia="Bookman Old Style" w:hAnsi="Bookman Old Style" w:cs="Bookman Old Style"/>
                <w:sz w:val="22"/>
                <w:szCs w:val="22"/>
              </w:rPr>
            </w:pPr>
          </w:p>
        </w:tc>
        <w:tc>
          <w:tcPr>
            <w:tcW w:w="3543" w:type="dxa"/>
          </w:tcPr>
          <w:p w14:paraId="4B5A6C2E" w14:textId="77777777" w:rsidR="00646B92" w:rsidRPr="00D628A0" w:rsidRDefault="00646B92" w:rsidP="00D628A0">
            <w:pPr>
              <w:autoSpaceDE/>
              <w:autoSpaceDN/>
              <w:spacing w:line="276" w:lineRule="auto"/>
              <w:ind w:left="2552"/>
              <w:jc w:val="both"/>
              <w:rPr>
                <w:rFonts w:ascii="Bookman Old Style" w:eastAsia="Bookman Old Style" w:hAnsi="Bookman Old Style" w:cs="Bookman Old Style"/>
                <w:sz w:val="22"/>
                <w:szCs w:val="22"/>
              </w:rPr>
            </w:pPr>
          </w:p>
        </w:tc>
      </w:tr>
      <w:tr w:rsidR="00646B92" w:rsidRPr="00D628A0" w14:paraId="5EC1A0D1" w14:textId="71F791B7" w:rsidTr="0007415D">
        <w:tc>
          <w:tcPr>
            <w:tcW w:w="7865" w:type="dxa"/>
          </w:tcPr>
          <w:p w14:paraId="72A5D3F7" w14:textId="103349AF" w:rsidR="00646B92" w:rsidRPr="00D628A0" w:rsidRDefault="00646B92" w:rsidP="00465AA0">
            <w:pPr>
              <w:pStyle w:val="ListParagraph"/>
              <w:numPr>
                <w:ilvl w:val="0"/>
                <w:numId w:val="11"/>
              </w:numPr>
              <w:autoSpaceDE/>
              <w:autoSpaceDN/>
              <w:spacing w:line="276" w:lineRule="auto"/>
              <w:ind w:left="463" w:hanging="463"/>
              <w:jc w:val="both"/>
              <w:rPr>
                <w:rFonts w:ascii="Bookman Old Style" w:eastAsia="Bookman Old Style" w:hAnsi="Bookman Old Style" w:cs="Bookman Old Style"/>
                <w:sz w:val="22"/>
                <w:szCs w:val="22"/>
              </w:rPr>
            </w:pPr>
            <w:r w:rsidRPr="00465AA0">
              <w:rPr>
                <w:rFonts w:ascii="Bookman Old Style" w:eastAsia="Bookman Old Style" w:hAnsi="Bookman Old Style" w:cs="Bookman Old Style"/>
                <w:sz w:val="22"/>
                <w:szCs w:val="22"/>
              </w:rPr>
              <w:t>Sanksi administratif berupa denda sebagaimana dimaksud pada ayat (4) huruf b dapat dikenakan secara tersendiri atau secara bersama-sama dengan pengenaan sanksi administratif sebagaimana dimaksud pada ayat (4) huruf c, huruf d, huruf e, atau huruf f</w:t>
            </w:r>
            <w:r>
              <w:rPr>
                <w:rFonts w:ascii="Bookman Old Style" w:eastAsia="Bookman Old Style" w:hAnsi="Bookman Old Style" w:cs="Bookman Old Style"/>
                <w:sz w:val="22"/>
                <w:szCs w:val="22"/>
              </w:rPr>
              <w:t>.</w:t>
            </w:r>
          </w:p>
        </w:tc>
        <w:tc>
          <w:tcPr>
            <w:tcW w:w="3759" w:type="dxa"/>
            <w:vMerge/>
          </w:tcPr>
          <w:p w14:paraId="0BB4E48C" w14:textId="77777777" w:rsidR="00646B92" w:rsidRPr="00C124C5" w:rsidRDefault="00646B92" w:rsidP="00C124C5">
            <w:pPr>
              <w:autoSpaceDE/>
              <w:autoSpaceDN/>
              <w:spacing w:line="276" w:lineRule="auto"/>
              <w:ind w:left="3240"/>
              <w:jc w:val="both"/>
              <w:rPr>
                <w:rFonts w:ascii="Bookman Old Style" w:eastAsia="Bookman Old Style" w:hAnsi="Bookman Old Style" w:cs="Bookman Old Style"/>
                <w:sz w:val="22"/>
                <w:szCs w:val="22"/>
              </w:rPr>
            </w:pPr>
          </w:p>
        </w:tc>
        <w:tc>
          <w:tcPr>
            <w:tcW w:w="2977" w:type="dxa"/>
          </w:tcPr>
          <w:p w14:paraId="0BECA45D" w14:textId="77777777" w:rsidR="00646B92" w:rsidRPr="00D628A0" w:rsidRDefault="00646B92" w:rsidP="00D628A0">
            <w:pPr>
              <w:autoSpaceDE/>
              <w:autoSpaceDN/>
              <w:spacing w:line="276" w:lineRule="auto"/>
              <w:ind w:left="2552"/>
              <w:jc w:val="both"/>
              <w:rPr>
                <w:rFonts w:ascii="Bookman Old Style" w:eastAsia="Bookman Old Style" w:hAnsi="Bookman Old Style" w:cs="Bookman Old Style"/>
                <w:sz w:val="22"/>
                <w:szCs w:val="22"/>
              </w:rPr>
            </w:pPr>
          </w:p>
        </w:tc>
        <w:tc>
          <w:tcPr>
            <w:tcW w:w="3543" w:type="dxa"/>
          </w:tcPr>
          <w:p w14:paraId="419DFDE2" w14:textId="77777777" w:rsidR="00646B92" w:rsidRPr="00D628A0" w:rsidRDefault="00646B92" w:rsidP="00D628A0">
            <w:pPr>
              <w:autoSpaceDE/>
              <w:autoSpaceDN/>
              <w:spacing w:line="276" w:lineRule="auto"/>
              <w:ind w:left="2552"/>
              <w:jc w:val="both"/>
              <w:rPr>
                <w:rFonts w:ascii="Bookman Old Style" w:eastAsia="Bookman Old Style" w:hAnsi="Bookman Old Style" w:cs="Bookman Old Style"/>
                <w:sz w:val="22"/>
                <w:szCs w:val="22"/>
              </w:rPr>
            </w:pPr>
          </w:p>
        </w:tc>
      </w:tr>
      <w:tr w:rsidR="00646B92" w:rsidRPr="00D628A0" w14:paraId="43455E49" w14:textId="39F938CB" w:rsidTr="0007415D">
        <w:tc>
          <w:tcPr>
            <w:tcW w:w="7865" w:type="dxa"/>
          </w:tcPr>
          <w:p w14:paraId="454355F4" w14:textId="4B87C125" w:rsidR="00646B92" w:rsidRPr="00D628A0" w:rsidRDefault="00646B92" w:rsidP="00465AA0">
            <w:pPr>
              <w:pStyle w:val="ListParagraph"/>
              <w:numPr>
                <w:ilvl w:val="0"/>
                <w:numId w:val="11"/>
              </w:numPr>
              <w:autoSpaceDE/>
              <w:autoSpaceDN/>
              <w:spacing w:line="276" w:lineRule="auto"/>
              <w:ind w:left="463" w:hanging="463"/>
              <w:jc w:val="both"/>
              <w:rPr>
                <w:rFonts w:ascii="Bookman Old Style" w:eastAsia="Bookman Old Style" w:hAnsi="Bookman Old Style" w:cs="Bookman Old Style"/>
                <w:sz w:val="22"/>
                <w:szCs w:val="22"/>
              </w:rPr>
            </w:pPr>
            <w:r w:rsidRPr="00465AA0">
              <w:rPr>
                <w:rFonts w:ascii="Bookman Old Style" w:eastAsia="Bookman Old Style" w:hAnsi="Bookman Old Style" w:cs="Bookman Old Style"/>
                <w:sz w:val="22"/>
                <w:szCs w:val="22"/>
              </w:rPr>
              <w:t>Tata cara pengenaan sanksi sebagaimana dimaksud pada ayat (3) dilakukan sesuai dengan ketentuan peraturan perundang-</w:t>
            </w:r>
            <w:r w:rsidRPr="00465AA0">
              <w:rPr>
                <w:rFonts w:ascii="Bookman Old Style" w:eastAsia="Bookman Old Style" w:hAnsi="Bookman Old Style" w:cs="Bookman Old Style"/>
                <w:sz w:val="22"/>
                <w:szCs w:val="22"/>
              </w:rPr>
              <w:lastRenderedPageBreak/>
              <w:t>undangan di bidang pasar modal, keuangan derivatif, dan bursa karbon</w:t>
            </w:r>
            <w:r>
              <w:rPr>
                <w:rFonts w:ascii="Bookman Old Style" w:eastAsia="Bookman Old Style" w:hAnsi="Bookman Old Style" w:cs="Bookman Old Style"/>
                <w:sz w:val="22"/>
                <w:szCs w:val="22"/>
              </w:rPr>
              <w:t>.</w:t>
            </w:r>
          </w:p>
        </w:tc>
        <w:tc>
          <w:tcPr>
            <w:tcW w:w="3759" w:type="dxa"/>
            <w:vMerge/>
          </w:tcPr>
          <w:p w14:paraId="21B205D8" w14:textId="77777777" w:rsidR="00646B92" w:rsidRPr="00C124C5" w:rsidRDefault="00646B92" w:rsidP="00C124C5">
            <w:pPr>
              <w:autoSpaceDE/>
              <w:autoSpaceDN/>
              <w:spacing w:line="276" w:lineRule="auto"/>
              <w:ind w:left="2520"/>
              <w:jc w:val="both"/>
              <w:rPr>
                <w:rFonts w:ascii="Bookman Old Style" w:eastAsia="Bookman Old Style" w:hAnsi="Bookman Old Style" w:cs="Bookman Old Style"/>
                <w:sz w:val="22"/>
                <w:szCs w:val="22"/>
              </w:rPr>
            </w:pPr>
          </w:p>
        </w:tc>
        <w:tc>
          <w:tcPr>
            <w:tcW w:w="2977" w:type="dxa"/>
          </w:tcPr>
          <w:p w14:paraId="3D5AE710" w14:textId="77777777" w:rsidR="00646B92" w:rsidRPr="00D628A0" w:rsidRDefault="00646B92" w:rsidP="00D628A0">
            <w:pPr>
              <w:autoSpaceDE/>
              <w:autoSpaceDN/>
              <w:spacing w:line="276" w:lineRule="auto"/>
              <w:ind w:left="1985"/>
              <w:jc w:val="both"/>
              <w:rPr>
                <w:rFonts w:ascii="Bookman Old Style" w:eastAsia="Bookman Old Style" w:hAnsi="Bookman Old Style" w:cs="Bookman Old Style"/>
                <w:sz w:val="22"/>
                <w:szCs w:val="22"/>
              </w:rPr>
            </w:pPr>
          </w:p>
        </w:tc>
        <w:tc>
          <w:tcPr>
            <w:tcW w:w="3543" w:type="dxa"/>
          </w:tcPr>
          <w:p w14:paraId="290491AC" w14:textId="77777777" w:rsidR="00646B92" w:rsidRPr="00D628A0" w:rsidRDefault="00646B92" w:rsidP="00D628A0">
            <w:pPr>
              <w:autoSpaceDE/>
              <w:autoSpaceDN/>
              <w:spacing w:line="276" w:lineRule="auto"/>
              <w:ind w:left="1985"/>
              <w:jc w:val="both"/>
              <w:rPr>
                <w:rFonts w:ascii="Bookman Old Style" w:eastAsia="Bookman Old Style" w:hAnsi="Bookman Old Style" w:cs="Bookman Old Style"/>
                <w:sz w:val="22"/>
                <w:szCs w:val="22"/>
              </w:rPr>
            </w:pPr>
          </w:p>
        </w:tc>
      </w:tr>
      <w:tr w:rsidR="00632EF9" w:rsidRPr="00D628A0" w14:paraId="26C57202" w14:textId="1C9DAF4B" w:rsidTr="0007415D">
        <w:tc>
          <w:tcPr>
            <w:tcW w:w="7865" w:type="dxa"/>
          </w:tcPr>
          <w:p w14:paraId="573EFEE5" w14:textId="71265CDB" w:rsidR="00632EF9" w:rsidRPr="00D628A0" w:rsidRDefault="00632EF9" w:rsidP="00465AA0">
            <w:pPr>
              <w:autoSpaceDE/>
              <w:autoSpaceDN/>
              <w:spacing w:line="276" w:lineRule="auto"/>
              <w:jc w:val="both"/>
              <w:rPr>
                <w:rFonts w:ascii="Bookman Old Style" w:eastAsia="Bookman Old Style" w:hAnsi="Bookman Old Style" w:cs="Bookman Old Style"/>
                <w:sz w:val="22"/>
                <w:szCs w:val="22"/>
              </w:rPr>
            </w:pPr>
          </w:p>
        </w:tc>
        <w:tc>
          <w:tcPr>
            <w:tcW w:w="3759" w:type="dxa"/>
          </w:tcPr>
          <w:p w14:paraId="735F5112" w14:textId="77777777" w:rsidR="00632EF9" w:rsidRPr="00C124C5" w:rsidRDefault="00632EF9" w:rsidP="00C124C5">
            <w:pPr>
              <w:autoSpaceDE/>
              <w:autoSpaceDN/>
              <w:spacing w:line="276" w:lineRule="auto"/>
              <w:ind w:left="2520"/>
              <w:jc w:val="both"/>
              <w:rPr>
                <w:rFonts w:ascii="Bookman Old Style" w:eastAsia="Bookman Old Style" w:hAnsi="Bookman Old Style" w:cs="Bookman Old Style"/>
                <w:sz w:val="22"/>
                <w:szCs w:val="22"/>
              </w:rPr>
            </w:pPr>
          </w:p>
        </w:tc>
        <w:tc>
          <w:tcPr>
            <w:tcW w:w="2977" w:type="dxa"/>
          </w:tcPr>
          <w:p w14:paraId="5648F55C" w14:textId="77777777" w:rsidR="00632EF9" w:rsidRPr="00D628A0" w:rsidRDefault="00632EF9" w:rsidP="00D628A0">
            <w:pPr>
              <w:autoSpaceDE/>
              <w:autoSpaceDN/>
              <w:spacing w:line="276" w:lineRule="auto"/>
              <w:ind w:left="1985"/>
              <w:jc w:val="both"/>
              <w:rPr>
                <w:rFonts w:ascii="Bookman Old Style" w:eastAsia="Bookman Old Style" w:hAnsi="Bookman Old Style" w:cs="Bookman Old Style"/>
                <w:sz w:val="22"/>
                <w:szCs w:val="22"/>
              </w:rPr>
            </w:pPr>
          </w:p>
        </w:tc>
        <w:tc>
          <w:tcPr>
            <w:tcW w:w="3543" w:type="dxa"/>
          </w:tcPr>
          <w:p w14:paraId="685A8C90" w14:textId="77777777" w:rsidR="00632EF9" w:rsidRPr="00D628A0" w:rsidRDefault="00632EF9" w:rsidP="00D628A0">
            <w:pPr>
              <w:autoSpaceDE/>
              <w:autoSpaceDN/>
              <w:spacing w:line="276" w:lineRule="auto"/>
              <w:ind w:left="1985"/>
              <w:jc w:val="both"/>
              <w:rPr>
                <w:rFonts w:ascii="Bookman Old Style" w:eastAsia="Bookman Old Style" w:hAnsi="Bookman Old Style" w:cs="Bookman Old Style"/>
                <w:sz w:val="22"/>
                <w:szCs w:val="22"/>
              </w:rPr>
            </w:pPr>
          </w:p>
        </w:tc>
      </w:tr>
      <w:tr w:rsidR="00632EF9" w:rsidRPr="00D628A0" w14:paraId="21D894BC" w14:textId="59824E37" w:rsidTr="0007415D">
        <w:tc>
          <w:tcPr>
            <w:tcW w:w="7865" w:type="dxa"/>
          </w:tcPr>
          <w:p w14:paraId="7FB36FE5" w14:textId="7534344D" w:rsidR="00632EF9" w:rsidRPr="00D628A0" w:rsidRDefault="00465AA0" w:rsidP="00465AA0">
            <w:pPr>
              <w:autoSpaceDE/>
              <w:autoSpaceDN/>
              <w:spacing w:line="276"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BAB III</w:t>
            </w:r>
          </w:p>
        </w:tc>
        <w:tc>
          <w:tcPr>
            <w:tcW w:w="3759" w:type="dxa"/>
          </w:tcPr>
          <w:p w14:paraId="73284462" w14:textId="77777777" w:rsidR="00632EF9" w:rsidRPr="00C124C5" w:rsidRDefault="00632EF9" w:rsidP="00C124C5">
            <w:pPr>
              <w:autoSpaceDE/>
              <w:autoSpaceDN/>
              <w:spacing w:line="276" w:lineRule="auto"/>
              <w:ind w:left="2520"/>
              <w:jc w:val="both"/>
              <w:rPr>
                <w:rFonts w:ascii="Bookman Old Style" w:eastAsia="Bookman Old Style" w:hAnsi="Bookman Old Style" w:cs="Bookman Old Style"/>
                <w:sz w:val="22"/>
                <w:szCs w:val="22"/>
              </w:rPr>
            </w:pPr>
          </w:p>
        </w:tc>
        <w:tc>
          <w:tcPr>
            <w:tcW w:w="2977" w:type="dxa"/>
          </w:tcPr>
          <w:p w14:paraId="77DAA3A2" w14:textId="77777777" w:rsidR="00632EF9" w:rsidRPr="00D628A0" w:rsidRDefault="00632EF9" w:rsidP="00D628A0">
            <w:pPr>
              <w:autoSpaceDE/>
              <w:autoSpaceDN/>
              <w:spacing w:line="276" w:lineRule="auto"/>
              <w:ind w:left="1985"/>
              <w:jc w:val="both"/>
              <w:rPr>
                <w:rFonts w:ascii="Bookman Old Style" w:eastAsia="Bookman Old Style" w:hAnsi="Bookman Old Style" w:cs="Bookman Old Style"/>
                <w:sz w:val="22"/>
                <w:szCs w:val="22"/>
              </w:rPr>
            </w:pPr>
          </w:p>
        </w:tc>
        <w:tc>
          <w:tcPr>
            <w:tcW w:w="3543" w:type="dxa"/>
          </w:tcPr>
          <w:p w14:paraId="76FF6D24" w14:textId="77777777" w:rsidR="00632EF9" w:rsidRPr="00D628A0" w:rsidRDefault="00632EF9" w:rsidP="00D628A0">
            <w:pPr>
              <w:autoSpaceDE/>
              <w:autoSpaceDN/>
              <w:spacing w:line="276" w:lineRule="auto"/>
              <w:ind w:left="1985"/>
              <w:jc w:val="both"/>
              <w:rPr>
                <w:rFonts w:ascii="Bookman Old Style" w:eastAsia="Bookman Old Style" w:hAnsi="Bookman Old Style" w:cs="Bookman Old Style"/>
                <w:sz w:val="22"/>
                <w:szCs w:val="22"/>
              </w:rPr>
            </w:pPr>
          </w:p>
        </w:tc>
      </w:tr>
      <w:tr w:rsidR="00414667" w:rsidRPr="00D628A0" w14:paraId="62F8FC01" w14:textId="77777777" w:rsidTr="0007415D">
        <w:tc>
          <w:tcPr>
            <w:tcW w:w="7865" w:type="dxa"/>
          </w:tcPr>
          <w:p w14:paraId="68044CDE" w14:textId="74544995" w:rsidR="00414667" w:rsidRPr="00C124C5" w:rsidRDefault="00465AA0" w:rsidP="00465AA0">
            <w:pPr>
              <w:autoSpaceDE/>
              <w:autoSpaceDN/>
              <w:spacing w:line="276" w:lineRule="auto"/>
              <w:jc w:val="center"/>
              <w:rPr>
                <w:rFonts w:ascii="Bookman Old Style" w:eastAsia="Bookman Old Style" w:hAnsi="Bookman Old Style" w:cs="Bookman Old Style"/>
                <w:sz w:val="22"/>
                <w:szCs w:val="22"/>
              </w:rPr>
            </w:pPr>
            <w:r w:rsidRPr="00465AA0">
              <w:rPr>
                <w:rFonts w:ascii="Bookman Old Style" w:eastAsia="Bookman Old Style" w:hAnsi="Bookman Old Style" w:cs="Bookman Old Style"/>
                <w:sz w:val="22"/>
                <w:szCs w:val="22"/>
              </w:rPr>
              <w:t>KETENTUAN LAIN-LAIN</w:t>
            </w:r>
          </w:p>
        </w:tc>
        <w:tc>
          <w:tcPr>
            <w:tcW w:w="3759" w:type="dxa"/>
          </w:tcPr>
          <w:p w14:paraId="0805DF6E" w14:textId="77777777" w:rsidR="00414667" w:rsidRPr="00C124C5" w:rsidRDefault="00414667" w:rsidP="00C124C5">
            <w:pPr>
              <w:autoSpaceDE/>
              <w:autoSpaceDN/>
              <w:spacing w:line="276" w:lineRule="auto"/>
              <w:ind w:left="2520"/>
              <w:jc w:val="both"/>
              <w:rPr>
                <w:rFonts w:ascii="Bookman Old Style" w:eastAsia="Bookman Old Style" w:hAnsi="Bookman Old Style" w:cs="Bookman Old Style"/>
                <w:sz w:val="22"/>
                <w:szCs w:val="22"/>
              </w:rPr>
            </w:pPr>
          </w:p>
        </w:tc>
        <w:tc>
          <w:tcPr>
            <w:tcW w:w="2977" w:type="dxa"/>
          </w:tcPr>
          <w:p w14:paraId="64593F53" w14:textId="77777777" w:rsidR="00414667" w:rsidRPr="00D628A0" w:rsidRDefault="00414667" w:rsidP="00D628A0">
            <w:pPr>
              <w:autoSpaceDE/>
              <w:autoSpaceDN/>
              <w:spacing w:line="276" w:lineRule="auto"/>
              <w:ind w:left="1985"/>
              <w:jc w:val="both"/>
              <w:rPr>
                <w:rFonts w:ascii="Bookman Old Style" w:eastAsia="Bookman Old Style" w:hAnsi="Bookman Old Style" w:cs="Bookman Old Style"/>
                <w:sz w:val="22"/>
                <w:szCs w:val="22"/>
              </w:rPr>
            </w:pPr>
          </w:p>
        </w:tc>
        <w:tc>
          <w:tcPr>
            <w:tcW w:w="3543" w:type="dxa"/>
          </w:tcPr>
          <w:p w14:paraId="4EDF2E1D" w14:textId="77777777" w:rsidR="00414667" w:rsidRPr="00D628A0" w:rsidRDefault="00414667" w:rsidP="00D628A0">
            <w:pPr>
              <w:autoSpaceDE/>
              <w:autoSpaceDN/>
              <w:spacing w:line="276" w:lineRule="auto"/>
              <w:ind w:left="1985"/>
              <w:jc w:val="both"/>
              <w:rPr>
                <w:rFonts w:ascii="Bookman Old Style" w:eastAsia="Bookman Old Style" w:hAnsi="Bookman Old Style" w:cs="Bookman Old Style"/>
                <w:sz w:val="22"/>
                <w:szCs w:val="22"/>
              </w:rPr>
            </w:pPr>
          </w:p>
        </w:tc>
      </w:tr>
      <w:tr w:rsidR="00632EF9" w:rsidRPr="00D628A0" w14:paraId="73307DC4" w14:textId="75607EBF" w:rsidTr="0007415D">
        <w:tc>
          <w:tcPr>
            <w:tcW w:w="7865" w:type="dxa"/>
          </w:tcPr>
          <w:p w14:paraId="0CCEC38C" w14:textId="11DCD640" w:rsidR="00632EF9" w:rsidRPr="00C124C5" w:rsidRDefault="00632EF9" w:rsidP="00C124C5">
            <w:pPr>
              <w:widowControl w:val="0"/>
              <w:tabs>
                <w:tab w:val="left" w:pos="2268"/>
              </w:tabs>
              <w:spacing w:line="276" w:lineRule="auto"/>
              <w:ind w:left="360"/>
              <w:jc w:val="center"/>
              <w:rPr>
                <w:rFonts w:ascii="Bookman Old Style" w:eastAsia="Bookman Old Style" w:hAnsi="Bookman Old Style" w:cs="Bookman Old Style"/>
                <w:sz w:val="22"/>
                <w:szCs w:val="22"/>
              </w:rPr>
            </w:pPr>
          </w:p>
        </w:tc>
        <w:tc>
          <w:tcPr>
            <w:tcW w:w="3759" w:type="dxa"/>
          </w:tcPr>
          <w:p w14:paraId="548A2DDF" w14:textId="77777777" w:rsidR="00632EF9" w:rsidRPr="00C124C5" w:rsidRDefault="00632EF9" w:rsidP="00C124C5">
            <w:pPr>
              <w:widowControl w:val="0"/>
              <w:tabs>
                <w:tab w:val="left" w:pos="2268"/>
              </w:tabs>
              <w:spacing w:line="276" w:lineRule="auto"/>
              <w:ind w:left="360"/>
              <w:jc w:val="center"/>
              <w:rPr>
                <w:rFonts w:ascii="Bookman Old Style" w:eastAsia="Bookman Old Style" w:hAnsi="Bookman Old Style" w:cs="Bookman Old Style"/>
                <w:sz w:val="22"/>
                <w:szCs w:val="22"/>
              </w:rPr>
            </w:pPr>
          </w:p>
        </w:tc>
        <w:tc>
          <w:tcPr>
            <w:tcW w:w="2977" w:type="dxa"/>
          </w:tcPr>
          <w:p w14:paraId="764A2DCA" w14:textId="77777777" w:rsidR="00632EF9" w:rsidRPr="00D628A0" w:rsidRDefault="00632EF9"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3543" w:type="dxa"/>
          </w:tcPr>
          <w:p w14:paraId="11EB4CB8" w14:textId="77777777" w:rsidR="00632EF9" w:rsidRPr="00D628A0" w:rsidRDefault="00632EF9" w:rsidP="00D628A0">
            <w:pPr>
              <w:widowControl w:val="0"/>
              <w:tabs>
                <w:tab w:val="left" w:pos="2268"/>
              </w:tabs>
              <w:spacing w:line="276" w:lineRule="auto"/>
              <w:jc w:val="center"/>
              <w:rPr>
                <w:rFonts w:ascii="Bookman Old Style" w:eastAsia="Bookman Old Style" w:hAnsi="Bookman Old Style" w:cs="Bookman Old Style"/>
                <w:sz w:val="22"/>
                <w:szCs w:val="22"/>
              </w:rPr>
            </w:pPr>
          </w:p>
        </w:tc>
      </w:tr>
      <w:tr w:rsidR="00632EF9" w:rsidRPr="00D628A0" w14:paraId="40BFF484" w14:textId="64434948" w:rsidTr="0007415D">
        <w:tc>
          <w:tcPr>
            <w:tcW w:w="7865" w:type="dxa"/>
          </w:tcPr>
          <w:p w14:paraId="2655B2FA" w14:textId="37D68D4E" w:rsidR="00632EF9" w:rsidRPr="00C124C5" w:rsidRDefault="00465AA0" w:rsidP="00465AA0">
            <w:pPr>
              <w:widowControl w:val="0"/>
              <w:tabs>
                <w:tab w:val="left" w:pos="2268"/>
              </w:tabs>
              <w:spacing w:line="276"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Pasal 10</w:t>
            </w:r>
          </w:p>
        </w:tc>
        <w:tc>
          <w:tcPr>
            <w:tcW w:w="3759" w:type="dxa"/>
          </w:tcPr>
          <w:p w14:paraId="3876A0DC" w14:textId="5334B000" w:rsidR="00632EF9" w:rsidRPr="00C124C5" w:rsidRDefault="00646B92" w:rsidP="00646B92">
            <w:pPr>
              <w:widowControl w:val="0"/>
              <w:tabs>
                <w:tab w:val="left" w:pos="2268"/>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Pasal 10</w:t>
            </w:r>
          </w:p>
        </w:tc>
        <w:tc>
          <w:tcPr>
            <w:tcW w:w="2977" w:type="dxa"/>
          </w:tcPr>
          <w:p w14:paraId="25332BB9" w14:textId="77777777" w:rsidR="00632EF9" w:rsidRPr="00D628A0" w:rsidRDefault="00632EF9"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3543" w:type="dxa"/>
          </w:tcPr>
          <w:p w14:paraId="045F40FA" w14:textId="77777777" w:rsidR="00632EF9" w:rsidRPr="00D628A0" w:rsidRDefault="00632EF9" w:rsidP="00D628A0">
            <w:pPr>
              <w:widowControl w:val="0"/>
              <w:tabs>
                <w:tab w:val="left" w:pos="2268"/>
              </w:tabs>
              <w:spacing w:line="276" w:lineRule="auto"/>
              <w:jc w:val="center"/>
              <w:rPr>
                <w:rFonts w:ascii="Bookman Old Style" w:eastAsia="Bookman Old Style" w:hAnsi="Bookman Old Style" w:cs="Bookman Old Style"/>
                <w:sz w:val="22"/>
                <w:szCs w:val="22"/>
              </w:rPr>
            </w:pPr>
          </w:p>
        </w:tc>
      </w:tr>
      <w:tr w:rsidR="00632EF9" w:rsidRPr="00D628A0" w14:paraId="67283587" w14:textId="21A18178" w:rsidTr="0007415D">
        <w:tc>
          <w:tcPr>
            <w:tcW w:w="7865" w:type="dxa"/>
          </w:tcPr>
          <w:p w14:paraId="1F1441AC" w14:textId="102F3D98" w:rsidR="00632EF9" w:rsidRPr="00C124C5" w:rsidRDefault="00465AA0" w:rsidP="00465AA0">
            <w:pPr>
              <w:widowControl w:val="0"/>
              <w:tabs>
                <w:tab w:val="left" w:pos="2268"/>
              </w:tabs>
              <w:spacing w:line="276" w:lineRule="auto"/>
              <w:jc w:val="both"/>
              <w:rPr>
                <w:rFonts w:ascii="Bookman Old Style" w:eastAsia="Bookman Old Style" w:hAnsi="Bookman Old Style" w:cs="Bookman Old Style"/>
                <w:sz w:val="22"/>
                <w:szCs w:val="22"/>
              </w:rPr>
            </w:pPr>
            <w:r w:rsidRPr="00465AA0">
              <w:rPr>
                <w:rFonts w:ascii="Bookman Old Style" w:eastAsia="Bookman Old Style" w:hAnsi="Bookman Old Style" w:cs="Bookman Old Style"/>
                <w:sz w:val="22"/>
                <w:szCs w:val="22"/>
              </w:rPr>
              <w:t>Selain sanksi administratif sebagaimana dimaksud dalam Peraturan Otoritas Jasa Keuangan ini, Otoritas Jasa Keuangan dapat melakukan tindakan tertentu terhadap setiap Pihak yang melakukan pelanggaran ketentuan Peraturan Otoritas Jasa Keuangan ini.</w:t>
            </w:r>
          </w:p>
        </w:tc>
        <w:tc>
          <w:tcPr>
            <w:tcW w:w="3759" w:type="dxa"/>
          </w:tcPr>
          <w:p w14:paraId="18D9664B" w14:textId="61DC64A7" w:rsidR="00632EF9" w:rsidRPr="005E0818" w:rsidRDefault="00646B92" w:rsidP="00646B92">
            <w:pPr>
              <w:widowControl w:val="0"/>
              <w:tabs>
                <w:tab w:val="left" w:pos="2268"/>
              </w:tabs>
              <w:spacing w:line="276" w:lineRule="auto"/>
              <w:jc w:val="both"/>
              <w:rPr>
                <w:rFonts w:ascii="Bookman Old Style" w:eastAsia="Bookman Old Style" w:hAnsi="Bookman Old Style" w:cs="Bookman Old Style"/>
                <w:sz w:val="22"/>
                <w:szCs w:val="22"/>
              </w:rPr>
            </w:pPr>
            <w:r w:rsidRPr="005E0818">
              <w:rPr>
                <w:rFonts w:ascii="Bookman Old Style" w:eastAsia="Bookman Old Style" w:hAnsi="Bookman Old Style" w:cs="Bookman Old Style"/>
                <w:sz w:val="22"/>
                <w:szCs w:val="22"/>
              </w:rPr>
              <w:t xml:space="preserve">Yang dimaksud dengan “tindakan tertentu” antara lain </w:t>
            </w:r>
            <w:r w:rsidR="00D715AC">
              <w:rPr>
                <w:rFonts w:ascii="Bookman Old Style" w:eastAsia="Bookman Old Style" w:hAnsi="Bookman Old Style" w:cs="Bookman Old Style"/>
                <w:sz w:val="22"/>
                <w:szCs w:val="22"/>
              </w:rPr>
              <w:t>perintah</w:t>
            </w:r>
            <w:r w:rsidRPr="005E0818">
              <w:rPr>
                <w:rFonts w:ascii="Bookman Old Style" w:eastAsia="Bookman Old Style" w:hAnsi="Bookman Old Style" w:cs="Bookman Old Style"/>
                <w:sz w:val="22"/>
                <w:szCs w:val="22"/>
              </w:rPr>
              <w:t xml:space="preserve"> untuk melakukan penerbitan kembali laporan keuangan yang tidak sesuai dengan Ketentuan Akuntansi.</w:t>
            </w:r>
          </w:p>
        </w:tc>
        <w:tc>
          <w:tcPr>
            <w:tcW w:w="2977" w:type="dxa"/>
          </w:tcPr>
          <w:p w14:paraId="7E1BBBDC" w14:textId="77777777" w:rsidR="00632EF9" w:rsidRPr="00D628A0" w:rsidRDefault="00632EF9" w:rsidP="00D628A0">
            <w:pPr>
              <w:widowControl w:val="0"/>
              <w:tabs>
                <w:tab w:val="left" w:pos="2268"/>
              </w:tabs>
              <w:spacing w:line="276" w:lineRule="auto"/>
              <w:jc w:val="center"/>
              <w:rPr>
                <w:rFonts w:ascii="Bookman Old Style" w:eastAsia="Bookman Old Style" w:hAnsi="Bookman Old Style" w:cs="Bookman Old Style"/>
                <w:sz w:val="22"/>
                <w:szCs w:val="22"/>
              </w:rPr>
            </w:pPr>
          </w:p>
        </w:tc>
        <w:tc>
          <w:tcPr>
            <w:tcW w:w="3543" w:type="dxa"/>
          </w:tcPr>
          <w:p w14:paraId="4BF095F6" w14:textId="77777777" w:rsidR="00632EF9" w:rsidRPr="00D628A0" w:rsidRDefault="00632EF9" w:rsidP="00D628A0">
            <w:pPr>
              <w:widowControl w:val="0"/>
              <w:tabs>
                <w:tab w:val="left" w:pos="2268"/>
              </w:tabs>
              <w:spacing w:line="276" w:lineRule="auto"/>
              <w:jc w:val="center"/>
              <w:rPr>
                <w:rFonts w:ascii="Bookman Old Style" w:eastAsia="Bookman Old Style" w:hAnsi="Bookman Old Style" w:cs="Bookman Old Style"/>
                <w:sz w:val="22"/>
                <w:szCs w:val="22"/>
              </w:rPr>
            </w:pPr>
          </w:p>
        </w:tc>
      </w:tr>
      <w:tr w:rsidR="00632EF9" w:rsidRPr="00D628A0" w14:paraId="1D04F56A" w14:textId="3D7D62B8" w:rsidTr="0007415D">
        <w:tc>
          <w:tcPr>
            <w:tcW w:w="7865" w:type="dxa"/>
          </w:tcPr>
          <w:p w14:paraId="0C9A7847" w14:textId="29000936" w:rsidR="00632EF9" w:rsidRPr="00C124C5" w:rsidRDefault="00632EF9" w:rsidP="00C124C5">
            <w:pPr>
              <w:widowControl w:val="0"/>
              <w:tabs>
                <w:tab w:val="left" w:pos="1985"/>
              </w:tabs>
              <w:spacing w:line="276" w:lineRule="auto"/>
              <w:ind w:left="360"/>
              <w:jc w:val="center"/>
              <w:rPr>
                <w:rFonts w:ascii="Bookman Old Style" w:eastAsia="Bookman Old Style" w:hAnsi="Bookman Old Style" w:cs="Bookman Old Style"/>
                <w:color w:val="000000" w:themeColor="text1"/>
                <w:sz w:val="22"/>
                <w:szCs w:val="22"/>
              </w:rPr>
            </w:pPr>
          </w:p>
        </w:tc>
        <w:tc>
          <w:tcPr>
            <w:tcW w:w="3759" w:type="dxa"/>
          </w:tcPr>
          <w:p w14:paraId="6F0531DB" w14:textId="7B633BF4" w:rsidR="00632EF9" w:rsidRPr="00C124C5" w:rsidRDefault="00632EF9" w:rsidP="00C124C5">
            <w:pPr>
              <w:widowControl w:val="0"/>
              <w:tabs>
                <w:tab w:val="left" w:pos="1985"/>
              </w:tabs>
              <w:spacing w:line="276" w:lineRule="auto"/>
              <w:ind w:left="360"/>
              <w:rPr>
                <w:rFonts w:ascii="Bookman Old Style" w:eastAsia="Bookman Old Style" w:hAnsi="Bookman Old Style" w:cs="Bookman Old Style"/>
                <w:color w:val="000000" w:themeColor="text1"/>
                <w:sz w:val="22"/>
                <w:szCs w:val="22"/>
              </w:rPr>
            </w:pPr>
          </w:p>
        </w:tc>
        <w:tc>
          <w:tcPr>
            <w:tcW w:w="2977" w:type="dxa"/>
          </w:tcPr>
          <w:p w14:paraId="5E6E294E" w14:textId="77777777" w:rsidR="00632EF9" w:rsidRPr="00D628A0" w:rsidRDefault="00632EF9" w:rsidP="00D628A0">
            <w:pPr>
              <w:widowControl w:val="0"/>
              <w:tabs>
                <w:tab w:val="left" w:pos="1985"/>
              </w:tabs>
              <w:spacing w:line="276" w:lineRule="auto"/>
              <w:jc w:val="center"/>
              <w:rPr>
                <w:rFonts w:ascii="Bookman Old Style" w:eastAsia="Bookman Old Style" w:hAnsi="Bookman Old Style" w:cs="Bookman Old Style"/>
                <w:color w:val="000000" w:themeColor="text1"/>
                <w:sz w:val="22"/>
                <w:szCs w:val="22"/>
              </w:rPr>
            </w:pPr>
          </w:p>
        </w:tc>
        <w:tc>
          <w:tcPr>
            <w:tcW w:w="3543" w:type="dxa"/>
          </w:tcPr>
          <w:p w14:paraId="0E40F41B" w14:textId="77777777" w:rsidR="00632EF9" w:rsidRPr="00D628A0" w:rsidRDefault="00632EF9" w:rsidP="00D628A0">
            <w:pPr>
              <w:widowControl w:val="0"/>
              <w:tabs>
                <w:tab w:val="left" w:pos="1985"/>
              </w:tabs>
              <w:spacing w:line="276" w:lineRule="auto"/>
              <w:jc w:val="center"/>
              <w:rPr>
                <w:rFonts w:ascii="Bookman Old Style" w:eastAsia="Bookman Old Style" w:hAnsi="Bookman Old Style" w:cs="Bookman Old Style"/>
                <w:color w:val="000000" w:themeColor="text1"/>
                <w:sz w:val="22"/>
                <w:szCs w:val="22"/>
              </w:rPr>
            </w:pPr>
          </w:p>
        </w:tc>
      </w:tr>
      <w:tr w:rsidR="00632EF9" w:rsidRPr="00D628A0" w14:paraId="73634615" w14:textId="6EFA62CE" w:rsidTr="0007415D">
        <w:tc>
          <w:tcPr>
            <w:tcW w:w="7865" w:type="dxa"/>
          </w:tcPr>
          <w:p w14:paraId="6247B122" w14:textId="1D3FDEBC" w:rsidR="00632EF9" w:rsidRPr="00C124C5" w:rsidRDefault="00465AA0" w:rsidP="00465AA0">
            <w:pPr>
              <w:widowControl w:val="0"/>
              <w:spacing w:line="276"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Pasal 11</w:t>
            </w:r>
          </w:p>
        </w:tc>
        <w:tc>
          <w:tcPr>
            <w:tcW w:w="3759" w:type="dxa"/>
          </w:tcPr>
          <w:p w14:paraId="7B51BFC6" w14:textId="7214C99A" w:rsidR="00632EF9" w:rsidRPr="00C124C5" w:rsidRDefault="00646B92" w:rsidP="00646B92">
            <w:pPr>
              <w:widowControl w:val="0"/>
              <w:spacing w:line="276"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Pasal 11</w:t>
            </w:r>
          </w:p>
        </w:tc>
        <w:tc>
          <w:tcPr>
            <w:tcW w:w="2977" w:type="dxa"/>
          </w:tcPr>
          <w:p w14:paraId="580CB269"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sz w:val="22"/>
                <w:szCs w:val="22"/>
              </w:rPr>
            </w:pPr>
          </w:p>
        </w:tc>
        <w:tc>
          <w:tcPr>
            <w:tcW w:w="3543" w:type="dxa"/>
          </w:tcPr>
          <w:p w14:paraId="16AD68EE"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sz w:val="22"/>
                <w:szCs w:val="22"/>
              </w:rPr>
            </w:pPr>
          </w:p>
        </w:tc>
      </w:tr>
      <w:tr w:rsidR="00632EF9" w:rsidRPr="00D628A0" w14:paraId="7045656F" w14:textId="44470D33" w:rsidTr="0007415D">
        <w:tc>
          <w:tcPr>
            <w:tcW w:w="7865" w:type="dxa"/>
          </w:tcPr>
          <w:p w14:paraId="42848093" w14:textId="1A2C19BB" w:rsidR="00632EF9" w:rsidRPr="00C124C5" w:rsidRDefault="00465AA0" w:rsidP="00465AA0">
            <w:pPr>
              <w:widowControl w:val="0"/>
              <w:spacing w:line="276" w:lineRule="auto"/>
              <w:jc w:val="both"/>
              <w:rPr>
                <w:rFonts w:ascii="Bookman Old Style" w:eastAsia="Bookman Old Style" w:hAnsi="Bookman Old Style" w:cs="Bookman Old Style"/>
                <w:sz w:val="22"/>
                <w:szCs w:val="22"/>
              </w:rPr>
            </w:pPr>
            <w:r w:rsidRPr="00465AA0">
              <w:rPr>
                <w:rFonts w:ascii="Bookman Old Style" w:eastAsia="Bookman Old Style" w:hAnsi="Bookman Old Style" w:cs="Bookman Old Style"/>
                <w:sz w:val="22"/>
                <w:szCs w:val="22"/>
              </w:rPr>
              <w:t>Otoritas Jasa Keuangan dapat mengumumkan pengenaan sanksi administratif sebagaimana dimaksud dalam Peraturan Otoritas Jasa Keuangan ini dan tindakan tertentu sebagaimana dimaksud dalam Pasal 10 kepada masyarakat.</w:t>
            </w:r>
          </w:p>
        </w:tc>
        <w:tc>
          <w:tcPr>
            <w:tcW w:w="3759" w:type="dxa"/>
          </w:tcPr>
          <w:p w14:paraId="7B167F91" w14:textId="4292E762" w:rsidR="00632EF9" w:rsidRPr="00C124C5" w:rsidRDefault="00646B92" w:rsidP="00646B92">
            <w:pPr>
              <w:widowControl w:val="0"/>
              <w:spacing w:line="276" w:lineRule="auto"/>
              <w:jc w:val="both"/>
              <w:rPr>
                <w:rFonts w:ascii="Bookman Old Style" w:eastAsia="Bookman Old Style" w:hAnsi="Bookman Old Style" w:cs="Bookman Old Style"/>
                <w:color w:val="000000" w:themeColor="text1"/>
                <w:sz w:val="22"/>
                <w:szCs w:val="22"/>
              </w:rPr>
            </w:pPr>
            <w:r>
              <w:rPr>
                <w:rFonts w:ascii="Bookman Old Style" w:eastAsia="Bookman Old Style" w:hAnsi="Bookman Old Style" w:cs="Bookman Old Style"/>
                <w:color w:val="000000" w:themeColor="text1"/>
                <w:sz w:val="22"/>
                <w:szCs w:val="22"/>
              </w:rPr>
              <w:t>Cukup jelas.</w:t>
            </w:r>
          </w:p>
        </w:tc>
        <w:tc>
          <w:tcPr>
            <w:tcW w:w="2977" w:type="dxa"/>
          </w:tcPr>
          <w:p w14:paraId="74055484"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color w:val="000000" w:themeColor="text1"/>
                <w:sz w:val="22"/>
                <w:szCs w:val="22"/>
              </w:rPr>
            </w:pPr>
          </w:p>
        </w:tc>
        <w:tc>
          <w:tcPr>
            <w:tcW w:w="3543" w:type="dxa"/>
          </w:tcPr>
          <w:p w14:paraId="74D24586"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color w:val="000000" w:themeColor="text1"/>
                <w:sz w:val="22"/>
                <w:szCs w:val="22"/>
              </w:rPr>
            </w:pPr>
          </w:p>
        </w:tc>
      </w:tr>
      <w:tr w:rsidR="00632EF9" w:rsidRPr="00D628A0" w14:paraId="17C1D695" w14:textId="535DD6A1" w:rsidTr="0007415D">
        <w:tc>
          <w:tcPr>
            <w:tcW w:w="7865" w:type="dxa"/>
          </w:tcPr>
          <w:p w14:paraId="315151F4" w14:textId="15AE74DA" w:rsidR="00632EF9" w:rsidRPr="00C124C5" w:rsidRDefault="00632EF9" w:rsidP="00465AA0">
            <w:pPr>
              <w:widowControl w:val="0"/>
              <w:spacing w:line="276" w:lineRule="auto"/>
              <w:jc w:val="both"/>
              <w:rPr>
                <w:rFonts w:ascii="Bookman Old Style" w:eastAsia="Bookman Old Style" w:hAnsi="Bookman Old Style" w:cs="Bookman Old Style"/>
                <w:sz w:val="22"/>
                <w:szCs w:val="22"/>
              </w:rPr>
            </w:pPr>
          </w:p>
        </w:tc>
        <w:tc>
          <w:tcPr>
            <w:tcW w:w="3759" w:type="dxa"/>
          </w:tcPr>
          <w:p w14:paraId="03F0CF9A" w14:textId="6ABAA73B" w:rsidR="00632EF9" w:rsidRPr="00C124C5" w:rsidRDefault="00632EF9" w:rsidP="00C124C5">
            <w:pPr>
              <w:widowControl w:val="0"/>
              <w:spacing w:line="276" w:lineRule="auto"/>
              <w:ind w:left="360"/>
              <w:jc w:val="both"/>
              <w:rPr>
                <w:rFonts w:ascii="Bookman Old Style" w:eastAsia="Bookman Old Style" w:hAnsi="Bookman Old Style" w:cs="Bookman Old Style"/>
                <w:color w:val="000000" w:themeColor="text1"/>
                <w:sz w:val="22"/>
                <w:szCs w:val="22"/>
              </w:rPr>
            </w:pPr>
          </w:p>
        </w:tc>
        <w:tc>
          <w:tcPr>
            <w:tcW w:w="2977" w:type="dxa"/>
          </w:tcPr>
          <w:p w14:paraId="266907C6"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color w:val="000000" w:themeColor="text1"/>
                <w:sz w:val="22"/>
                <w:szCs w:val="22"/>
              </w:rPr>
            </w:pPr>
          </w:p>
        </w:tc>
        <w:tc>
          <w:tcPr>
            <w:tcW w:w="3543" w:type="dxa"/>
          </w:tcPr>
          <w:p w14:paraId="51FFBF12"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color w:val="000000" w:themeColor="text1"/>
                <w:sz w:val="22"/>
                <w:szCs w:val="22"/>
              </w:rPr>
            </w:pPr>
          </w:p>
        </w:tc>
      </w:tr>
      <w:tr w:rsidR="00632EF9" w:rsidRPr="00D628A0" w14:paraId="199494C3" w14:textId="3E3DA77D" w:rsidTr="0007415D">
        <w:tc>
          <w:tcPr>
            <w:tcW w:w="7865" w:type="dxa"/>
          </w:tcPr>
          <w:p w14:paraId="0251DCE9" w14:textId="449F93ED" w:rsidR="00632EF9" w:rsidRPr="00C124C5" w:rsidRDefault="00465AA0" w:rsidP="00465AA0">
            <w:pPr>
              <w:widowControl w:val="0"/>
              <w:spacing w:line="276" w:lineRule="auto"/>
              <w:jc w:val="center"/>
              <w:rPr>
                <w:rFonts w:ascii="Bookman Old Style" w:eastAsia="Bookman Old Style" w:hAnsi="Bookman Old Style" w:cs="Bookman Old Style"/>
                <w:color w:val="000000" w:themeColor="text1"/>
                <w:sz w:val="22"/>
                <w:szCs w:val="22"/>
              </w:rPr>
            </w:pPr>
            <w:r>
              <w:rPr>
                <w:rFonts w:ascii="Bookman Old Style" w:eastAsia="Bookman Old Style" w:hAnsi="Bookman Old Style" w:cs="Bookman Old Style"/>
                <w:color w:val="000000" w:themeColor="text1"/>
                <w:sz w:val="22"/>
                <w:szCs w:val="22"/>
              </w:rPr>
              <w:t>BAB IV</w:t>
            </w:r>
          </w:p>
        </w:tc>
        <w:tc>
          <w:tcPr>
            <w:tcW w:w="3759" w:type="dxa"/>
          </w:tcPr>
          <w:p w14:paraId="3771682C" w14:textId="60C590AE" w:rsidR="00632EF9" w:rsidRPr="00C124C5" w:rsidRDefault="00632EF9" w:rsidP="00C124C5">
            <w:pPr>
              <w:widowControl w:val="0"/>
              <w:spacing w:line="276" w:lineRule="auto"/>
              <w:ind w:left="360"/>
              <w:jc w:val="both"/>
              <w:rPr>
                <w:rFonts w:ascii="Bookman Old Style" w:eastAsia="Bookman Old Style" w:hAnsi="Bookman Old Style" w:cs="Bookman Old Style"/>
                <w:color w:val="000000" w:themeColor="text1"/>
                <w:sz w:val="22"/>
                <w:szCs w:val="22"/>
              </w:rPr>
            </w:pPr>
          </w:p>
        </w:tc>
        <w:tc>
          <w:tcPr>
            <w:tcW w:w="2977" w:type="dxa"/>
          </w:tcPr>
          <w:p w14:paraId="766FBDEA"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color w:val="000000" w:themeColor="text1"/>
                <w:sz w:val="22"/>
                <w:szCs w:val="22"/>
              </w:rPr>
            </w:pPr>
          </w:p>
        </w:tc>
        <w:tc>
          <w:tcPr>
            <w:tcW w:w="3543" w:type="dxa"/>
          </w:tcPr>
          <w:p w14:paraId="5E4F4EA2"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color w:val="000000" w:themeColor="text1"/>
                <w:sz w:val="22"/>
                <w:szCs w:val="22"/>
              </w:rPr>
            </w:pPr>
          </w:p>
        </w:tc>
      </w:tr>
      <w:tr w:rsidR="00632EF9" w:rsidRPr="00D628A0" w14:paraId="689DB5B0" w14:textId="05E7A3C9" w:rsidTr="0007415D">
        <w:tc>
          <w:tcPr>
            <w:tcW w:w="7865" w:type="dxa"/>
          </w:tcPr>
          <w:p w14:paraId="741BC692" w14:textId="1015D651" w:rsidR="00632EF9" w:rsidRPr="00C124C5" w:rsidRDefault="00465AA0" w:rsidP="00465AA0">
            <w:pPr>
              <w:widowControl w:val="0"/>
              <w:spacing w:line="276" w:lineRule="auto"/>
              <w:jc w:val="center"/>
              <w:rPr>
                <w:rFonts w:ascii="Bookman Old Style" w:eastAsia="Bookman Old Style" w:hAnsi="Bookman Old Style" w:cs="Bookman Old Style"/>
                <w:color w:val="000000" w:themeColor="text1"/>
                <w:sz w:val="22"/>
                <w:szCs w:val="22"/>
              </w:rPr>
            </w:pPr>
            <w:r w:rsidRPr="00465AA0">
              <w:rPr>
                <w:rFonts w:ascii="Bookman Old Style" w:eastAsia="Bookman Old Style" w:hAnsi="Bookman Old Style" w:cs="Bookman Old Style"/>
                <w:color w:val="000000" w:themeColor="text1"/>
                <w:sz w:val="22"/>
                <w:szCs w:val="22"/>
              </w:rPr>
              <w:t>KETENTUAN PENUTUP</w:t>
            </w:r>
          </w:p>
        </w:tc>
        <w:tc>
          <w:tcPr>
            <w:tcW w:w="3759" w:type="dxa"/>
          </w:tcPr>
          <w:p w14:paraId="13935443" w14:textId="0A247B7A" w:rsidR="00632EF9" w:rsidRPr="00C124C5" w:rsidRDefault="00632EF9" w:rsidP="00C124C5">
            <w:pPr>
              <w:widowControl w:val="0"/>
              <w:spacing w:line="276" w:lineRule="auto"/>
              <w:ind w:left="360"/>
              <w:jc w:val="both"/>
              <w:rPr>
                <w:rFonts w:ascii="Bookman Old Style" w:eastAsia="Bookman Old Style" w:hAnsi="Bookman Old Style" w:cs="Bookman Old Style"/>
                <w:color w:val="000000" w:themeColor="text1"/>
                <w:sz w:val="22"/>
                <w:szCs w:val="22"/>
              </w:rPr>
            </w:pPr>
          </w:p>
        </w:tc>
        <w:tc>
          <w:tcPr>
            <w:tcW w:w="2977" w:type="dxa"/>
          </w:tcPr>
          <w:p w14:paraId="1049992F"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color w:val="000000" w:themeColor="text1"/>
                <w:sz w:val="22"/>
                <w:szCs w:val="22"/>
              </w:rPr>
            </w:pPr>
          </w:p>
        </w:tc>
        <w:tc>
          <w:tcPr>
            <w:tcW w:w="3543" w:type="dxa"/>
          </w:tcPr>
          <w:p w14:paraId="228309CC"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color w:val="000000" w:themeColor="text1"/>
                <w:sz w:val="22"/>
                <w:szCs w:val="22"/>
              </w:rPr>
            </w:pPr>
          </w:p>
        </w:tc>
      </w:tr>
      <w:tr w:rsidR="00632EF9" w:rsidRPr="00D628A0" w14:paraId="6D39BD94" w14:textId="3705E3E4" w:rsidTr="0007415D">
        <w:tc>
          <w:tcPr>
            <w:tcW w:w="7865" w:type="dxa"/>
          </w:tcPr>
          <w:p w14:paraId="05501B73" w14:textId="3C24831F" w:rsidR="00632EF9" w:rsidRPr="00C124C5" w:rsidRDefault="00632EF9" w:rsidP="00465AA0">
            <w:pPr>
              <w:widowControl w:val="0"/>
              <w:spacing w:line="276" w:lineRule="auto"/>
              <w:jc w:val="both"/>
              <w:rPr>
                <w:rFonts w:ascii="Bookman Old Style" w:eastAsia="Bookman Old Style" w:hAnsi="Bookman Old Style" w:cs="Bookman Old Style"/>
                <w:color w:val="000000" w:themeColor="text1"/>
                <w:sz w:val="22"/>
                <w:szCs w:val="22"/>
              </w:rPr>
            </w:pPr>
          </w:p>
        </w:tc>
        <w:tc>
          <w:tcPr>
            <w:tcW w:w="3759" w:type="dxa"/>
          </w:tcPr>
          <w:p w14:paraId="6CE4E84B" w14:textId="77777777" w:rsidR="00632EF9" w:rsidRPr="00C124C5" w:rsidRDefault="00632EF9" w:rsidP="00C124C5">
            <w:pPr>
              <w:widowControl w:val="0"/>
              <w:spacing w:line="276" w:lineRule="auto"/>
              <w:ind w:left="3240"/>
              <w:jc w:val="both"/>
              <w:rPr>
                <w:rFonts w:ascii="Bookman Old Style" w:eastAsia="Bookman Old Style" w:hAnsi="Bookman Old Style" w:cs="Bookman Old Style"/>
                <w:color w:val="000000" w:themeColor="text1"/>
                <w:sz w:val="22"/>
                <w:szCs w:val="22"/>
              </w:rPr>
            </w:pPr>
          </w:p>
        </w:tc>
        <w:tc>
          <w:tcPr>
            <w:tcW w:w="2977" w:type="dxa"/>
          </w:tcPr>
          <w:p w14:paraId="394AC0C8"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color w:val="000000" w:themeColor="text1"/>
                <w:sz w:val="22"/>
                <w:szCs w:val="22"/>
              </w:rPr>
            </w:pPr>
          </w:p>
        </w:tc>
        <w:tc>
          <w:tcPr>
            <w:tcW w:w="3543" w:type="dxa"/>
          </w:tcPr>
          <w:p w14:paraId="780485DB"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color w:val="000000" w:themeColor="text1"/>
                <w:sz w:val="22"/>
                <w:szCs w:val="22"/>
              </w:rPr>
            </w:pPr>
          </w:p>
        </w:tc>
      </w:tr>
      <w:tr w:rsidR="00632EF9" w:rsidRPr="00D628A0" w14:paraId="10A631F9" w14:textId="61629941" w:rsidTr="0007415D">
        <w:tc>
          <w:tcPr>
            <w:tcW w:w="7865" w:type="dxa"/>
          </w:tcPr>
          <w:p w14:paraId="5B2AB673" w14:textId="151149AA" w:rsidR="00632EF9" w:rsidRPr="00C124C5" w:rsidRDefault="00465AA0" w:rsidP="00465AA0">
            <w:pPr>
              <w:widowControl w:val="0"/>
              <w:spacing w:line="276" w:lineRule="auto"/>
              <w:jc w:val="center"/>
              <w:rPr>
                <w:rFonts w:ascii="Bookman Old Style" w:eastAsia="Bookman Old Style" w:hAnsi="Bookman Old Style" w:cs="Bookman Old Style"/>
                <w:color w:val="000000" w:themeColor="text1"/>
                <w:sz w:val="22"/>
                <w:szCs w:val="22"/>
              </w:rPr>
            </w:pPr>
            <w:r>
              <w:rPr>
                <w:rFonts w:ascii="Bookman Old Style" w:eastAsia="Bookman Old Style" w:hAnsi="Bookman Old Style" w:cs="Bookman Old Style"/>
                <w:color w:val="000000" w:themeColor="text1"/>
                <w:sz w:val="22"/>
                <w:szCs w:val="22"/>
              </w:rPr>
              <w:t>Pasal 12</w:t>
            </w:r>
          </w:p>
        </w:tc>
        <w:tc>
          <w:tcPr>
            <w:tcW w:w="3759" w:type="dxa"/>
          </w:tcPr>
          <w:p w14:paraId="7448B43C" w14:textId="405E8265" w:rsidR="00632EF9" w:rsidRPr="00C124C5" w:rsidRDefault="00646B92" w:rsidP="00646B92">
            <w:pPr>
              <w:widowControl w:val="0"/>
              <w:spacing w:line="276" w:lineRule="auto"/>
              <w:jc w:val="both"/>
              <w:rPr>
                <w:rFonts w:ascii="Bookman Old Style" w:eastAsia="Bookman Old Style" w:hAnsi="Bookman Old Style" w:cs="Bookman Old Style"/>
                <w:color w:val="000000" w:themeColor="text1"/>
                <w:sz w:val="22"/>
                <w:szCs w:val="22"/>
              </w:rPr>
            </w:pPr>
            <w:r>
              <w:rPr>
                <w:rFonts w:ascii="Bookman Old Style" w:eastAsia="Bookman Old Style" w:hAnsi="Bookman Old Style" w:cs="Bookman Old Style"/>
                <w:color w:val="000000" w:themeColor="text1"/>
                <w:sz w:val="22"/>
                <w:szCs w:val="22"/>
              </w:rPr>
              <w:t>Pasal 12</w:t>
            </w:r>
          </w:p>
        </w:tc>
        <w:tc>
          <w:tcPr>
            <w:tcW w:w="2977" w:type="dxa"/>
          </w:tcPr>
          <w:p w14:paraId="0D214E80"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color w:val="000000" w:themeColor="text1"/>
                <w:sz w:val="22"/>
                <w:szCs w:val="22"/>
              </w:rPr>
            </w:pPr>
          </w:p>
        </w:tc>
        <w:tc>
          <w:tcPr>
            <w:tcW w:w="3543" w:type="dxa"/>
          </w:tcPr>
          <w:p w14:paraId="1E9E5045"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color w:val="000000" w:themeColor="text1"/>
                <w:sz w:val="22"/>
                <w:szCs w:val="22"/>
              </w:rPr>
            </w:pPr>
          </w:p>
        </w:tc>
      </w:tr>
      <w:tr w:rsidR="00632EF9" w:rsidRPr="00D628A0" w14:paraId="3B43A056" w14:textId="3C0F4FAB" w:rsidTr="0007415D">
        <w:tc>
          <w:tcPr>
            <w:tcW w:w="7865" w:type="dxa"/>
          </w:tcPr>
          <w:p w14:paraId="52D7C8EA" w14:textId="34B0CFEA" w:rsidR="00632EF9" w:rsidRPr="00C124C5" w:rsidRDefault="00465AA0" w:rsidP="00465AA0">
            <w:pPr>
              <w:widowControl w:val="0"/>
              <w:spacing w:line="276" w:lineRule="auto"/>
              <w:jc w:val="both"/>
              <w:rPr>
                <w:rFonts w:ascii="Bookman Old Style" w:eastAsia="Bookman Old Style" w:hAnsi="Bookman Old Style" w:cs="Bookman Old Style"/>
                <w:color w:val="000000" w:themeColor="text1"/>
                <w:sz w:val="22"/>
                <w:szCs w:val="22"/>
              </w:rPr>
            </w:pPr>
            <w:r w:rsidRPr="00465AA0">
              <w:rPr>
                <w:rFonts w:ascii="Bookman Old Style" w:eastAsia="Bookman Old Style" w:hAnsi="Bookman Old Style" w:cs="Bookman Old Style"/>
                <w:color w:val="000000" w:themeColor="text1"/>
                <w:sz w:val="22"/>
                <w:szCs w:val="22"/>
              </w:rPr>
              <w:t>Pada saat Peraturan Otoritas Jasa Keuangan ini mulai berlaku:</w:t>
            </w:r>
          </w:p>
        </w:tc>
        <w:tc>
          <w:tcPr>
            <w:tcW w:w="3759" w:type="dxa"/>
          </w:tcPr>
          <w:p w14:paraId="2E28C6FD" w14:textId="59D57A24" w:rsidR="00632EF9" w:rsidRPr="00C124C5" w:rsidRDefault="00646B92" w:rsidP="00646B92">
            <w:pPr>
              <w:widowControl w:val="0"/>
              <w:spacing w:line="276" w:lineRule="auto"/>
              <w:jc w:val="both"/>
              <w:rPr>
                <w:rFonts w:ascii="Bookman Old Style" w:eastAsia="Bookman Old Style" w:hAnsi="Bookman Old Style" w:cs="Bookman Old Style"/>
                <w:color w:val="000000" w:themeColor="text1"/>
                <w:sz w:val="22"/>
                <w:szCs w:val="22"/>
              </w:rPr>
            </w:pPr>
            <w:r>
              <w:rPr>
                <w:rFonts w:ascii="Bookman Old Style" w:eastAsia="Bookman Old Style" w:hAnsi="Bookman Old Style" w:cs="Bookman Old Style"/>
                <w:color w:val="000000" w:themeColor="text1"/>
                <w:sz w:val="22"/>
                <w:szCs w:val="22"/>
              </w:rPr>
              <w:t>Cukup jelas.</w:t>
            </w:r>
          </w:p>
        </w:tc>
        <w:tc>
          <w:tcPr>
            <w:tcW w:w="2977" w:type="dxa"/>
          </w:tcPr>
          <w:p w14:paraId="371AB54A" w14:textId="77777777" w:rsidR="00632EF9" w:rsidRPr="00D628A0" w:rsidRDefault="00632EF9" w:rsidP="00D628A0">
            <w:pPr>
              <w:widowControl w:val="0"/>
              <w:spacing w:line="276" w:lineRule="auto"/>
              <w:jc w:val="both"/>
              <w:rPr>
                <w:rFonts w:ascii="Bookman Old Style" w:eastAsia="Bookman Old Style" w:hAnsi="Bookman Old Style" w:cs="Bookman Old Style"/>
                <w:color w:val="000000" w:themeColor="text1"/>
                <w:sz w:val="22"/>
                <w:szCs w:val="22"/>
              </w:rPr>
            </w:pPr>
          </w:p>
        </w:tc>
        <w:tc>
          <w:tcPr>
            <w:tcW w:w="3543" w:type="dxa"/>
          </w:tcPr>
          <w:p w14:paraId="32702F8C" w14:textId="77777777" w:rsidR="00632EF9" w:rsidRPr="00D628A0" w:rsidRDefault="00632EF9" w:rsidP="00D628A0">
            <w:pPr>
              <w:widowControl w:val="0"/>
              <w:spacing w:line="276" w:lineRule="auto"/>
              <w:jc w:val="both"/>
              <w:rPr>
                <w:rFonts w:ascii="Bookman Old Style" w:eastAsia="Bookman Old Style" w:hAnsi="Bookman Old Style" w:cs="Bookman Old Style"/>
                <w:color w:val="000000" w:themeColor="text1"/>
                <w:sz w:val="22"/>
                <w:szCs w:val="22"/>
              </w:rPr>
            </w:pPr>
          </w:p>
        </w:tc>
      </w:tr>
      <w:tr w:rsidR="00632EF9" w:rsidRPr="00D628A0" w14:paraId="17B68293" w14:textId="06E5E675" w:rsidTr="0007415D">
        <w:tc>
          <w:tcPr>
            <w:tcW w:w="7865" w:type="dxa"/>
          </w:tcPr>
          <w:p w14:paraId="2C6AC93A" w14:textId="11794CA7" w:rsidR="00632EF9" w:rsidRPr="00465AA0" w:rsidRDefault="00465AA0" w:rsidP="00465AA0">
            <w:pPr>
              <w:pStyle w:val="ListParagraph"/>
              <w:widowControl w:val="0"/>
              <w:numPr>
                <w:ilvl w:val="0"/>
                <w:numId w:val="13"/>
              </w:numPr>
              <w:spacing w:line="276" w:lineRule="auto"/>
              <w:ind w:left="463" w:hanging="463"/>
              <w:jc w:val="both"/>
              <w:rPr>
                <w:rFonts w:ascii="Bookman Old Style" w:eastAsia="Bookman Old Style" w:hAnsi="Bookman Old Style" w:cs="Bookman Old Style"/>
                <w:color w:val="000000" w:themeColor="text1"/>
                <w:sz w:val="22"/>
                <w:szCs w:val="22"/>
              </w:rPr>
            </w:pPr>
            <w:bookmarkStart w:id="6" w:name="_Hlk178597860"/>
            <w:bookmarkStart w:id="7" w:name="_Hlk178597825"/>
            <w:r w:rsidRPr="00465AA0">
              <w:rPr>
                <w:rFonts w:ascii="Bookman Old Style" w:eastAsia="Bookman Old Style" w:hAnsi="Bookman Old Style" w:cs="Bookman Old Style"/>
                <w:color w:val="000000" w:themeColor="text1"/>
                <w:sz w:val="22"/>
                <w:szCs w:val="22"/>
              </w:rPr>
              <w:t xml:space="preserve">Keputusan Ketua Badan Pengawas Pasar Modal dan Lembaga Keuangan Nomor KEP-347/BL/2012 tanggal 25 Juni 2012 tentang </w:t>
            </w:r>
            <w:r w:rsidRPr="00465AA0">
              <w:rPr>
                <w:rFonts w:ascii="Bookman Old Style" w:eastAsia="Bookman Old Style" w:hAnsi="Bookman Old Style" w:cs="Bookman Old Style"/>
                <w:color w:val="000000" w:themeColor="text1"/>
                <w:sz w:val="22"/>
                <w:szCs w:val="22"/>
              </w:rPr>
              <w:lastRenderedPageBreak/>
              <w:t>Penyajian dan Pengungkapan Laporan Keuangan Emiten atau Perusahaan Publik beserta Peraturan Nomor VIII.G.7 yang merupakan lampirannya;</w:t>
            </w:r>
          </w:p>
        </w:tc>
        <w:tc>
          <w:tcPr>
            <w:tcW w:w="3759" w:type="dxa"/>
          </w:tcPr>
          <w:p w14:paraId="6332307A" w14:textId="73EA4A22" w:rsidR="00632EF9" w:rsidRPr="00C124C5" w:rsidRDefault="00632EF9" w:rsidP="00C124C5">
            <w:pPr>
              <w:widowControl w:val="0"/>
              <w:spacing w:line="276" w:lineRule="auto"/>
              <w:ind w:left="360"/>
              <w:jc w:val="both"/>
              <w:rPr>
                <w:rFonts w:ascii="Bookman Old Style" w:eastAsia="Bookman Old Style" w:hAnsi="Bookman Old Style" w:cs="Bookman Old Style"/>
                <w:color w:val="000000" w:themeColor="text1"/>
                <w:sz w:val="22"/>
                <w:szCs w:val="22"/>
              </w:rPr>
            </w:pPr>
          </w:p>
        </w:tc>
        <w:tc>
          <w:tcPr>
            <w:tcW w:w="2977" w:type="dxa"/>
          </w:tcPr>
          <w:p w14:paraId="64C2A24B"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color w:val="000000" w:themeColor="text1"/>
                <w:sz w:val="22"/>
                <w:szCs w:val="22"/>
              </w:rPr>
            </w:pPr>
          </w:p>
        </w:tc>
        <w:tc>
          <w:tcPr>
            <w:tcW w:w="3543" w:type="dxa"/>
          </w:tcPr>
          <w:p w14:paraId="3CC6DBAA"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color w:val="000000" w:themeColor="text1"/>
                <w:sz w:val="22"/>
                <w:szCs w:val="22"/>
              </w:rPr>
            </w:pPr>
          </w:p>
        </w:tc>
      </w:tr>
      <w:tr w:rsidR="00632EF9" w:rsidRPr="00D628A0" w14:paraId="7B4BEF46" w14:textId="1C16355C" w:rsidTr="0007415D">
        <w:tc>
          <w:tcPr>
            <w:tcW w:w="7865" w:type="dxa"/>
          </w:tcPr>
          <w:p w14:paraId="4FBC0656" w14:textId="0FF69A8C" w:rsidR="00632EF9" w:rsidRPr="00465AA0" w:rsidRDefault="00465AA0" w:rsidP="00465AA0">
            <w:pPr>
              <w:pStyle w:val="ListParagraph"/>
              <w:widowControl w:val="0"/>
              <w:numPr>
                <w:ilvl w:val="0"/>
                <w:numId w:val="13"/>
              </w:numPr>
              <w:spacing w:line="276" w:lineRule="auto"/>
              <w:ind w:left="463" w:hanging="463"/>
              <w:jc w:val="both"/>
              <w:rPr>
                <w:rFonts w:ascii="Bookman Old Style" w:eastAsia="Bookman Old Style" w:hAnsi="Bookman Old Style" w:cs="Bookman Old Style"/>
                <w:color w:val="000000" w:themeColor="text1"/>
                <w:sz w:val="22"/>
                <w:szCs w:val="22"/>
              </w:rPr>
            </w:pPr>
            <w:bookmarkStart w:id="8" w:name="_Hlk190113043"/>
            <w:bookmarkEnd w:id="6"/>
            <w:bookmarkEnd w:id="7"/>
            <w:r w:rsidRPr="00465AA0">
              <w:rPr>
                <w:rFonts w:ascii="Bookman Old Style" w:eastAsia="Bookman Old Style" w:hAnsi="Bookman Old Style" w:cs="Bookman Old Style"/>
                <w:color w:val="000000" w:themeColor="text1"/>
                <w:sz w:val="22"/>
                <w:szCs w:val="22"/>
              </w:rPr>
              <w:t>Keputusan Ketua Badan Pengawas Pasar Modal dan Lembaga Keuangan Nomor KEP-718/BL/2012 tanggal 28 Desember 2012 tentang Kuasi Reorganisasi beserta Peraturan Nomor IX.L.1 yang merupakan lampirannya; dan</w:t>
            </w:r>
          </w:p>
        </w:tc>
        <w:tc>
          <w:tcPr>
            <w:tcW w:w="3759" w:type="dxa"/>
          </w:tcPr>
          <w:p w14:paraId="54534BD2" w14:textId="501A7F82" w:rsidR="00632EF9" w:rsidRPr="00C124C5" w:rsidRDefault="00632EF9" w:rsidP="00C124C5">
            <w:pPr>
              <w:widowControl w:val="0"/>
              <w:spacing w:line="276" w:lineRule="auto"/>
              <w:ind w:left="360"/>
              <w:jc w:val="both"/>
              <w:rPr>
                <w:rFonts w:ascii="Bookman Old Style" w:eastAsia="Bookman Old Style" w:hAnsi="Bookman Old Style" w:cs="Bookman Old Style"/>
                <w:sz w:val="22"/>
                <w:szCs w:val="22"/>
              </w:rPr>
            </w:pPr>
          </w:p>
        </w:tc>
        <w:tc>
          <w:tcPr>
            <w:tcW w:w="2977" w:type="dxa"/>
          </w:tcPr>
          <w:p w14:paraId="5D0A1C46"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sz w:val="22"/>
                <w:szCs w:val="22"/>
              </w:rPr>
            </w:pPr>
          </w:p>
        </w:tc>
        <w:tc>
          <w:tcPr>
            <w:tcW w:w="3543" w:type="dxa"/>
          </w:tcPr>
          <w:p w14:paraId="1B09BCB4"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sz w:val="22"/>
                <w:szCs w:val="22"/>
              </w:rPr>
            </w:pPr>
          </w:p>
        </w:tc>
      </w:tr>
      <w:tr w:rsidR="00632EF9" w:rsidRPr="00D628A0" w14:paraId="1E10CB64" w14:textId="11869DDA" w:rsidTr="0007415D">
        <w:tc>
          <w:tcPr>
            <w:tcW w:w="7865" w:type="dxa"/>
          </w:tcPr>
          <w:p w14:paraId="2B274F0F" w14:textId="1E7810DE" w:rsidR="00632EF9" w:rsidRPr="00465AA0" w:rsidRDefault="00F75150" w:rsidP="00F75150">
            <w:pPr>
              <w:pStyle w:val="ListParagraph"/>
              <w:widowControl w:val="0"/>
              <w:numPr>
                <w:ilvl w:val="0"/>
                <w:numId w:val="13"/>
              </w:numPr>
              <w:spacing w:line="276" w:lineRule="auto"/>
              <w:ind w:left="463" w:hanging="463"/>
              <w:jc w:val="both"/>
              <w:rPr>
                <w:rFonts w:ascii="Bookman Old Style" w:eastAsia="Bookman Old Style" w:hAnsi="Bookman Old Style" w:cs="Bookman Old Style"/>
                <w:color w:val="000000" w:themeColor="text1"/>
                <w:sz w:val="22"/>
                <w:szCs w:val="22"/>
              </w:rPr>
            </w:pPr>
            <w:r w:rsidRPr="00F75150">
              <w:rPr>
                <w:rFonts w:ascii="Bookman Old Style" w:eastAsia="Bookman Old Style" w:hAnsi="Bookman Old Style" w:cs="Bookman Old Style"/>
                <w:color w:val="000000" w:themeColor="text1"/>
                <w:sz w:val="22"/>
                <w:szCs w:val="22"/>
              </w:rPr>
              <w:t>Surat Edaran Ketua Badan Pengawas Pasar Modal dan Lembaga Keuangan Nomor SE-17/BL/2012 tanggal 21 Desember 2012 tentang Penggunaan</w:t>
            </w:r>
            <w:r w:rsidRPr="00EE6A6F">
              <w:rPr>
                <w:rFonts w:ascii="Bookman Old Style" w:eastAsia="Bookman Old Style" w:hAnsi="Bookman Old Style" w:cs="Bookman Old Style"/>
                <w:i/>
                <w:iCs/>
                <w:color w:val="000000" w:themeColor="text1"/>
                <w:sz w:val="22"/>
                <w:szCs w:val="22"/>
              </w:rPr>
              <w:t xml:space="preserve"> Checklist</w:t>
            </w:r>
            <w:r w:rsidRPr="00F75150">
              <w:rPr>
                <w:rFonts w:ascii="Bookman Old Style" w:eastAsia="Bookman Old Style" w:hAnsi="Bookman Old Style" w:cs="Bookman Old Style"/>
                <w:color w:val="000000" w:themeColor="text1"/>
                <w:sz w:val="22"/>
                <w:szCs w:val="22"/>
              </w:rPr>
              <w:t xml:space="preserve"> Pengungkapan Laporan Keuangan untuk Semua Jenis Industri di Pasar Modal di Indonesia,</w:t>
            </w:r>
          </w:p>
        </w:tc>
        <w:tc>
          <w:tcPr>
            <w:tcW w:w="3759" w:type="dxa"/>
          </w:tcPr>
          <w:p w14:paraId="6D50208B" w14:textId="77777777" w:rsidR="00632EF9" w:rsidRPr="00C124C5" w:rsidRDefault="00632EF9" w:rsidP="00C124C5">
            <w:pPr>
              <w:widowControl w:val="0"/>
              <w:spacing w:line="276" w:lineRule="auto"/>
              <w:ind w:left="3240"/>
              <w:jc w:val="both"/>
              <w:rPr>
                <w:rFonts w:ascii="Bookman Old Style" w:eastAsia="Bookman Old Style" w:hAnsi="Bookman Old Style" w:cs="Bookman Old Style"/>
                <w:color w:val="000000" w:themeColor="text1"/>
                <w:sz w:val="22"/>
                <w:szCs w:val="22"/>
              </w:rPr>
            </w:pPr>
          </w:p>
        </w:tc>
        <w:tc>
          <w:tcPr>
            <w:tcW w:w="2977" w:type="dxa"/>
          </w:tcPr>
          <w:p w14:paraId="74485602"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color w:val="000000" w:themeColor="text1"/>
                <w:sz w:val="22"/>
                <w:szCs w:val="22"/>
              </w:rPr>
            </w:pPr>
          </w:p>
        </w:tc>
        <w:tc>
          <w:tcPr>
            <w:tcW w:w="3543" w:type="dxa"/>
          </w:tcPr>
          <w:p w14:paraId="74626B90"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color w:val="000000" w:themeColor="text1"/>
                <w:sz w:val="22"/>
                <w:szCs w:val="22"/>
              </w:rPr>
            </w:pPr>
          </w:p>
        </w:tc>
      </w:tr>
      <w:tr w:rsidR="00632EF9" w:rsidRPr="00D628A0" w14:paraId="09C09E4B" w14:textId="2B61AC52" w:rsidTr="0007415D">
        <w:tc>
          <w:tcPr>
            <w:tcW w:w="7865" w:type="dxa"/>
          </w:tcPr>
          <w:p w14:paraId="0557861C" w14:textId="0A44CC75" w:rsidR="00632EF9" w:rsidRPr="00465AA0" w:rsidRDefault="00F75150" w:rsidP="00F75150">
            <w:pPr>
              <w:widowControl w:val="0"/>
              <w:spacing w:line="276" w:lineRule="auto"/>
              <w:jc w:val="both"/>
              <w:rPr>
                <w:rFonts w:ascii="Bookman Old Style" w:eastAsia="Bookman Old Style" w:hAnsi="Bookman Old Style" w:cs="Bookman Old Style"/>
                <w:color w:val="000000" w:themeColor="text1"/>
                <w:sz w:val="22"/>
                <w:szCs w:val="22"/>
              </w:rPr>
            </w:pPr>
            <w:r w:rsidRPr="00F75150">
              <w:rPr>
                <w:rFonts w:ascii="Bookman Old Style" w:eastAsia="Bookman Old Style" w:hAnsi="Bookman Old Style" w:cs="Bookman Old Style"/>
                <w:color w:val="000000" w:themeColor="text1"/>
                <w:sz w:val="22"/>
                <w:szCs w:val="22"/>
              </w:rPr>
              <w:t>dicabut dan dinyatakan tidak berlaku.</w:t>
            </w:r>
          </w:p>
        </w:tc>
        <w:tc>
          <w:tcPr>
            <w:tcW w:w="3759" w:type="dxa"/>
          </w:tcPr>
          <w:p w14:paraId="7A8FFF3B" w14:textId="77777777" w:rsidR="00632EF9" w:rsidRPr="00C124C5" w:rsidRDefault="00632EF9" w:rsidP="00C124C5">
            <w:pPr>
              <w:widowControl w:val="0"/>
              <w:spacing w:line="276" w:lineRule="auto"/>
              <w:ind w:left="3240"/>
              <w:jc w:val="both"/>
              <w:rPr>
                <w:rFonts w:ascii="Bookman Old Style" w:eastAsia="Bookman Old Style" w:hAnsi="Bookman Old Style" w:cs="Bookman Old Style"/>
                <w:color w:val="000000" w:themeColor="text1"/>
                <w:sz w:val="22"/>
                <w:szCs w:val="22"/>
              </w:rPr>
            </w:pPr>
          </w:p>
        </w:tc>
        <w:tc>
          <w:tcPr>
            <w:tcW w:w="2977" w:type="dxa"/>
          </w:tcPr>
          <w:p w14:paraId="6DD42209"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color w:val="000000" w:themeColor="text1"/>
                <w:sz w:val="22"/>
                <w:szCs w:val="22"/>
              </w:rPr>
            </w:pPr>
          </w:p>
        </w:tc>
        <w:tc>
          <w:tcPr>
            <w:tcW w:w="3543" w:type="dxa"/>
          </w:tcPr>
          <w:p w14:paraId="5D1C9908"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color w:val="000000" w:themeColor="text1"/>
                <w:sz w:val="22"/>
                <w:szCs w:val="22"/>
              </w:rPr>
            </w:pPr>
          </w:p>
        </w:tc>
      </w:tr>
      <w:bookmarkEnd w:id="8"/>
      <w:tr w:rsidR="00632EF9" w:rsidRPr="00D628A0" w14:paraId="3CF2C4AF" w14:textId="7FE98FE6" w:rsidTr="0007415D">
        <w:tc>
          <w:tcPr>
            <w:tcW w:w="7865" w:type="dxa"/>
          </w:tcPr>
          <w:p w14:paraId="3D85469D" w14:textId="014694B6" w:rsidR="00632EF9" w:rsidRPr="00C124C5" w:rsidRDefault="00632EF9" w:rsidP="00C124C5">
            <w:pPr>
              <w:widowControl w:val="0"/>
              <w:spacing w:line="276" w:lineRule="auto"/>
              <w:ind w:left="360"/>
              <w:jc w:val="both"/>
              <w:rPr>
                <w:rFonts w:ascii="Bookman Old Style" w:eastAsia="Bookman Old Style" w:hAnsi="Bookman Old Style" w:cs="Bookman Old Style"/>
                <w:sz w:val="22"/>
                <w:szCs w:val="22"/>
              </w:rPr>
            </w:pPr>
          </w:p>
        </w:tc>
        <w:tc>
          <w:tcPr>
            <w:tcW w:w="3759" w:type="dxa"/>
          </w:tcPr>
          <w:p w14:paraId="21426B3D" w14:textId="77777777" w:rsidR="00632EF9" w:rsidRPr="00C124C5" w:rsidRDefault="00632EF9" w:rsidP="00C124C5">
            <w:pPr>
              <w:widowControl w:val="0"/>
              <w:spacing w:line="276" w:lineRule="auto"/>
              <w:ind w:left="360"/>
              <w:jc w:val="both"/>
              <w:rPr>
                <w:rFonts w:ascii="Bookman Old Style" w:eastAsia="Bookman Old Style" w:hAnsi="Bookman Old Style" w:cs="Bookman Old Style"/>
                <w:sz w:val="22"/>
                <w:szCs w:val="22"/>
              </w:rPr>
            </w:pPr>
          </w:p>
        </w:tc>
        <w:tc>
          <w:tcPr>
            <w:tcW w:w="2977" w:type="dxa"/>
          </w:tcPr>
          <w:p w14:paraId="778798A6" w14:textId="77777777" w:rsidR="00632EF9" w:rsidRPr="00D628A0" w:rsidRDefault="00632EF9" w:rsidP="00D628A0">
            <w:pPr>
              <w:pStyle w:val="ListParagraph"/>
              <w:widowControl w:val="0"/>
              <w:spacing w:line="276" w:lineRule="auto"/>
              <w:ind w:left="0"/>
              <w:jc w:val="both"/>
              <w:rPr>
                <w:rFonts w:ascii="Bookman Old Style" w:eastAsia="Bookman Old Style" w:hAnsi="Bookman Old Style" w:cs="Bookman Old Style"/>
                <w:sz w:val="22"/>
                <w:szCs w:val="22"/>
              </w:rPr>
            </w:pPr>
          </w:p>
        </w:tc>
        <w:tc>
          <w:tcPr>
            <w:tcW w:w="3543" w:type="dxa"/>
          </w:tcPr>
          <w:p w14:paraId="3E425FAB" w14:textId="77777777" w:rsidR="00632EF9" w:rsidRPr="00D628A0" w:rsidRDefault="00632EF9" w:rsidP="00D628A0">
            <w:pPr>
              <w:pStyle w:val="ListParagraph"/>
              <w:widowControl w:val="0"/>
              <w:spacing w:line="276" w:lineRule="auto"/>
              <w:ind w:left="0"/>
              <w:jc w:val="both"/>
              <w:rPr>
                <w:rFonts w:ascii="Bookman Old Style" w:eastAsia="Bookman Old Style" w:hAnsi="Bookman Old Style" w:cs="Bookman Old Style"/>
                <w:sz w:val="22"/>
                <w:szCs w:val="22"/>
              </w:rPr>
            </w:pPr>
          </w:p>
        </w:tc>
      </w:tr>
      <w:tr w:rsidR="00632EF9" w:rsidRPr="00D628A0" w14:paraId="16EC199F" w14:textId="0CEEED46" w:rsidTr="0007415D">
        <w:tc>
          <w:tcPr>
            <w:tcW w:w="7865" w:type="dxa"/>
          </w:tcPr>
          <w:p w14:paraId="48704AA3" w14:textId="415B9E67" w:rsidR="00632EF9" w:rsidRPr="00C124C5" w:rsidRDefault="00F75150" w:rsidP="00F75150">
            <w:pPr>
              <w:widowControl w:val="0"/>
              <w:tabs>
                <w:tab w:val="left" w:pos="1985"/>
              </w:tabs>
              <w:spacing w:line="276" w:lineRule="auto"/>
              <w:jc w:val="center"/>
              <w:rPr>
                <w:rFonts w:ascii="Bookman Old Style" w:eastAsia="Bookman Old Style" w:hAnsi="Bookman Old Style"/>
                <w:sz w:val="22"/>
                <w:szCs w:val="22"/>
              </w:rPr>
            </w:pPr>
            <w:r>
              <w:rPr>
                <w:rFonts w:ascii="Bookman Old Style" w:eastAsia="Bookman Old Style" w:hAnsi="Bookman Old Style"/>
                <w:sz w:val="22"/>
                <w:szCs w:val="22"/>
              </w:rPr>
              <w:t>Pasal 13</w:t>
            </w:r>
          </w:p>
        </w:tc>
        <w:tc>
          <w:tcPr>
            <w:tcW w:w="3759" w:type="dxa"/>
          </w:tcPr>
          <w:p w14:paraId="162A6CEA" w14:textId="7B62E2E2" w:rsidR="00632EF9" w:rsidRPr="00C124C5" w:rsidRDefault="00646B92" w:rsidP="00646B92">
            <w:pPr>
              <w:widowControl w:val="0"/>
              <w:tabs>
                <w:tab w:val="left" w:pos="1985"/>
              </w:tabs>
              <w:spacing w:line="276" w:lineRule="auto"/>
              <w:rPr>
                <w:rFonts w:ascii="Bookman Old Style" w:eastAsia="Bookman Old Style" w:hAnsi="Bookman Old Style"/>
                <w:sz w:val="22"/>
                <w:szCs w:val="22"/>
              </w:rPr>
            </w:pPr>
            <w:r>
              <w:rPr>
                <w:rFonts w:ascii="Bookman Old Style" w:eastAsia="Bookman Old Style" w:hAnsi="Bookman Old Style"/>
                <w:sz w:val="22"/>
                <w:szCs w:val="22"/>
              </w:rPr>
              <w:t>Pasal 13</w:t>
            </w:r>
          </w:p>
        </w:tc>
        <w:tc>
          <w:tcPr>
            <w:tcW w:w="2977" w:type="dxa"/>
          </w:tcPr>
          <w:p w14:paraId="737D05D1" w14:textId="77777777" w:rsidR="00632EF9" w:rsidRPr="00D628A0" w:rsidRDefault="00632EF9" w:rsidP="00D628A0">
            <w:pPr>
              <w:widowControl w:val="0"/>
              <w:tabs>
                <w:tab w:val="left" w:pos="1985"/>
              </w:tabs>
              <w:spacing w:line="276" w:lineRule="auto"/>
              <w:rPr>
                <w:rFonts w:ascii="Bookman Old Style" w:eastAsia="Bookman Old Style" w:hAnsi="Bookman Old Style"/>
                <w:sz w:val="22"/>
                <w:szCs w:val="22"/>
              </w:rPr>
            </w:pPr>
          </w:p>
        </w:tc>
        <w:tc>
          <w:tcPr>
            <w:tcW w:w="3543" w:type="dxa"/>
          </w:tcPr>
          <w:p w14:paraId="451152BF" w14:textId="77777777" w:rsidR="00632EF9" w:rsidRPr="00D628A0" w:rsidRDefault="00632EF9" w:rsidP="00D628A0">
            <w:pPr>
              <w:widowControl w:val="0"/>
              <w:tabs>
                <w:tab w:val="left" w:pos="1985"/>
              </w:tabs>
              <w:spacing w:line="276" w:lineRule="auto"/>
              <w:rPr>
                <w:rFonts w:ascii="Bookman Old Style" w:eastAsia="Bookman Old Style" w:hAnsi="Bookman Old Style"/>
                <w:sz w:val="22"/>
                <w:szCs w:val="22"/>
              </w:rPr>
            </w:pPr>
          </w:p>
        </w:tc>
      </w:tr>
      <w:tr w:rsidR="00632EF9" w:rsidRPr="00D628A0" w14:paraId="5A58E963" w14:textId="00A5E510" w:rsidTr="0007415D">
        <w:tc>
          <w:tcPr>
            <w:tcW w:w="7865" w:type="dxa"/>
          </w:tcPr>
          <w:p w14:paraId="7A9FAA65" w14:textId="61A1EF4F" w:rsidR="00632EF9" w:rsidRPr="00C124C5" w:rsidRDefault="00F75150" w:rsidP="00F75150">
            <w:pPr>
              <w:widowControl w:val="0"/>
              <w:tabs>
                <w:tab w:val="left" w:pos="1985"/>
              </w:tabs>
              <w:spacing w:line="276" w:lineRule="auto"/>
              <w:jc w:val="both"/>
              <w:rPr>
                <w:rFonts w:ascii="Bookman Old Style" w:eastAsia="Bookman Old Style" w:hAnsi="Bookman Old Style"/>
                <w:color w:val="000000" w:themeColor="text1"/>
                <w:sz w:val="22"/>
                <w:szCs w:val="22"/>
              </w:rPr>
            </w:pPr>
            <w:r w:rsidRPr="00F75150">
              <w:rPr>
                <w:rFonts w:ascii="Bookman Old Style" w:eastAsia="Bookman Old Style" w:hAnsi="Bookman Old Style"/>
                <w:color w:val="000000" w:themeColor="text1"/>
                <w:sz w:val="22"/>
                <w:szCs w:val="22"/>
              </w:rPr>
              <w:t>Peraturan Otoritas Jasa Keuangan ini mulai berlaku pada tanggal diundangkan.</w:t>
            </w:r>
          </w:p>
        </w:tc>
        <w:tc>
          <w:tcPr>
            <w:tcW w:w="3759" w:type="dxa"/>
          </w:tcPr>
          <w:p w14:paraId="491FB77F" w14:textId="6F314C1D" w:rsidR="00632EF9" w:rsidRPr="00C124C5" w:rsidRDefault="00646B92" w:rsidP="00646B92">
            <w:pPr>
              <w:widowControl w:val="0"/>
              <w:tabs>
                <w:tab w:val="left" w:pos="1985"/>
              </w:tabs>
              <w:spacing w:line="276" w:lineRule="auto"/>
              <w:rPr>
                <w:rFonts w:ascii="Bookman Old Style" w:eastAsia="Bookman Old Style" w:hAnsi="Bookman Old Style"/>
                <w:color w:val="000000" w:themeColor="text1"/>
                <w:sz w:val="22"/>
                <w:szCs w:val="22"/>
              </w:rPr>
            </w:pPr>
            <w:r>
              <w:rPr>
                <w:rFonts w:ascii="Bookman Old Style" w:eastAsia="Bookman Old Style" w:hAnsi="Bookman Old Style"/>
                <w:color w:val="000000" w:themeColor="text1"/>
                <w:sz w:val="22"/>
                <w:szCs w:val="22"/>
              </w:rPr>
              <w:t xml:space="preserve">Cukup jelas. </w:t>
            </w:r>
          </w:p>
        </w:tc>
        <w:tc>
          <w:tcPr>
            <w:tcW w:w="2977" w:type="dxa"/>
          </w:tcPr>
          <w:p w14:paraId="4B12A826" w14:textId="77777777" w:rsidR="00632EF9" w:rsidRPr="00D628A0" w:rsidRDefault="00632EF9" w:rsidP="00D628A0">
            <w:pPr>
              <w:pStyle w:val="ListParagraph"/>
              <w:widowControl w:val="0"/>
              <w:tabs>
                <w:tab w:val="left" w:pos="1985"/>
              </w:tabs>
              <w:spacing w:line="276" w:lineRule="auto"/>
              <w:ind w:left="0"/>
              <w:jc w:val="center"/>
              <w:rPr>
                <w:rFonts w:ascii="Bookman Old Style" w:eastAsia="Bookman Old Style" w:hAnsi="Bookman Old Style"/>
                <w:color w:val="000000" w:themeColor="text1"/>
                <w:sz w:val="22"/>
                <w:szCs w:val="22"/>
              </w:rPr>
            </w:pPr>
          </w:p>
        </w:tc>
        <w:tc>
          <w:tcPr>
            <w:tcW w:w="3543" w:type="dxa"/>
          </w:tcPr>
          <w:p w14:paraId="775142A4" w14:textId="77777777" w:rsidR="00632EF9" w:rsidRPr="00D628A0" w:rsidRDefault="00632EF9" w:rsidP="00D628A0">
            <w:pPr>
              <w:pStyle w:val="ListParagraph"/>
              <w:widowControl w:val="0"/>
              <w:tabs>
                <w:tab w:val="left" w:pos="1985"/>
              </w:tabs>
              <w:spacing w:line="276" w:lineRule="auto"/>
              <w:ind w:left="0"/>
              <w:jc w:val="center"/>
              <w:rPr>
                <w:rFonts w:ascii="Bookman Old Style" w:eastAsia="Bookman Old Style" w:hAnsi="Bookman Old Style"/>
                <w:color w:val="000000" w:themeColor="text1"/>
                <w:sz w:val="22"/>
                <w:szCs w:val="22"/>
              </w:rPr>
            </w:pPr>
          </w:p>
        </w:tc>
      </w:tr>
      <w:tr w:rsidR="00632EF9" w:rsidRPr="00D628A0" w14:paraId="7EFC06FB" w14:textId="111E3673" w:rsidTr="00F75150">
        <w:trPr>
          <w:trHeight w:val="587"/>
        </w:trPr>
        <w:tc>
          <w:tcPr>
            <w:tcW w:w="7865" w:type="dxa"/>
          </w:tcPr>
          <w:p w14:paraId="1FFE6F2E" w14:textId="0AFD20D5" w:rsidR="00632EF9" w:rsidRPr="00C124C5" w:rsidRDefault="00632EF9" w:rsidP="00F75150">
            <w:pPr>
              <w:widowControl w:val="0"/>
              <w:spacing w:line="276" w:lineRule="auto"/>
              <w:jc w:val="both"/>
              <w:rPr>
                <w:rFonts w:ascii="Bookman Old Style" w:eastAsia="Bookman Old Style" w:hAnsi="Bookman Old Style" w:cs="Bookman Old Style"/>
                <w:sz w:val="22"/>
                <w:szCs w:val="22"/>
              </w:rPr>
            </w:pPr>
          </w:p>
        </w:tc>
        <w:tc>
          <w:tcPr>
            <w:tcW w:w="3759" w:type="dxa"/>
          </w:tcPr>
          <w:p w14:paraId="6BEBF191" w14:textId="27E15817" w:rsidR="00632EF9" w:rsidRPr="00C124C5" w:rsidRDefault="00632EF9" w:rsidP="00C124C5">
            <w:pPr>
              <w:widowControl w:val="0"/>
              <w:spacing w:line="276" w:lineRule="auto"/>
              <w:ind w:left="360"/>
              <w:jc w:val="both"/>
              <w:rPr>
                <w:rFonts w:ascii="Bookman Old Style" w:eastAsia="Bookman Old Style" w:hAnsi="Bookman Old Style" w:cs="Bookman Old Style"/>
                <w:sz w:val="22"/>
                <w:szCs w:val="22"/>
              </w:rPr>
            </w:pPr>
          </w:p>
        </w:tc>
        <w:tc>
          <w:tcPr>
            <w:tcW w:w="2977" w:type="dxa"/>
          </w:tcPr>
          <w:p w14:paraId="5D9AFB55"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sz w:val="22"/>
                <w:szCs w:val="22"/>
              </w:rPr>
            </w:pPr>
          </w:p>
        </w:tc>
        <w:tc>
          <w:tcPr>
            <w:tcW w:w="3543" w:type="dxa"/>
          </w:tcPr>
          <w:p w14:paraId="4F1B9EA3" w14:textId="77777777" w:rsidR="00632EF9" w:rsidRPr="00D628A0" w:rsidRDefault="00632EF9" w:rsidP="00D628A0">
            <w:pPr>
              <w:widowControl w:val="0"/>
              <w:spacing w:line="276" w:lineRule="auto"/>
              <w:ind w:left="1985"/>
              <w:jc w:val="both"/>
              <w:rPr>
                <w:rFonts w:ascii="Bookman Old Style" w:eastAsia="Bookman Old Style" w:hAnsi="Bookman Old Style" w:cs="Bookman Old Style"/>
                <w:sz w:val="22"/>
                <w:szCs w:val="22"/>
              </w:rPr>
            </w:pPr>
          </w:p>
        </w:tc>
      </w:tr>
      <w:tr w:rsidR="00632EF9" w:rsidRPr="00D628A0" w14:paraId="3F1E1B13" w14:textId="5DCD74FC" w:rsidTr="0007415D">
        <w:tc>
          <w:tcPr>
            <w:tcW w:w="7865" w:type="dxa"/>
          </w:tcPr>
          <w:p w14:paraId="25A4D222" w14:textId="0FC6C604" w:rsidR="00632EF9" w:rsidRPr="00D628A0" w:rsidRDefault="00F75150" w:rsidP="00F75150">
            <w:pPr>
              <w:widowControl w:val="0"/>
              <w:spacing w:line="276" w:lineRule="auto"/>
              <w:jc w:val="both"/>
              <w:rPr>
                <w:rFonts w:ascii="Bookman Old Style" w:eastAsia="Bookman Old Style" w:hAnsi="Bookman Old Style" w:cs="Bookman Old Style"/>
                <w:sz w:val="22"/>
                <w:szCs w:val="22"/>
              </w:rPr>
            </w:pPr>
            <w:r w:rsidRPr="00F75150">
              <w:rPr>
                <w:rFonts w:ascii="Bookman Old Style" w:eastAsia="Bookman Old Style" w:hAnsi="Bookman Old Style" w:cs="Bookman Old Style"/>
                <w:sz w:val="22"/>
                <w:szCs w:val="22"/>
              </w:rPr>
              <w:t>Agar setiap orang mengetahuinya, memerintahkan pengundangan Peraturan Otoritas Jasa Keuangan ini dengan penempatannya dalam Lembaran Negara Republik Indonesia.</w:t>
            </w:r>
          </w:p>
        </w:tc>
        <w:tc>
          <w:tcPr>
            <w:tcW w:w="3759" w:type="dxa"/>
          </w:tcPr>
          <w:p w14:paraId="3C489DCF" w14:textId="77777777" w:rsidR="00632EF9" w:rsidRPr="00C124C5" w:rsidRDefault="00632EF9" w:rsidP="00C124C5">
            <w:pPr>
              <w:widowControl w:val="0"/>
              <w:spacing w:line="276" w:lineRule="auto"/>
              <w:ind w:left="3240"/>
              <w:jc w:val="both"/>
              <w:rPr>
                <w:rFonts w:ascii="Bookman Old Style" w:eastAsia="Bookman Old Style" w:hAnsi="Bookman Old Style" w:cs="Bookman Old Style"/>
                <w:sz w:val="22"/>
                <w:szCs w:val="22"/>
              </w:rPr>
            </w:pPr>
          </w:p>
        </w:tc>
        <w:tc>
          <w:tcPr>
            <w:tcW w:w="2977" w:type="dxa"/>
          </w:tcPr>
          <w:p w14:paraId="25DD2BDE"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c>
          <w:tcPr>
            <w:tcW w:w="3543" w:type="dxa"/>
          </w:tcPr>
          <w:p w14:paraId="2E0DD53E" w14:textId="77777777" w:rsidR="00632EF9" w:rsidRPr="00D628A0" w:rsidRDefault="00632EF9" w:rsidP="00D628A0">
            <w:pPr>
              <w:widowControl w:val="0"/>
              <w:spacing w:line="276" w:lineRule="auto"/>
              <w:ind w:left="2552"/>
              <w:jc w:val="both"/>
              <w:rPr>
                <w:rFonts w:ascii="Bookman Old Style" w:eastAsia="Bookman Old Style" w:hAnsi="Bookman Old Style" w:cs="Bookman Old Style"/>
                <w:sz w:val="22"/>
                <w:szCs w:val="22"/>
              </w:rPr>
            </w:pPr>
          </w:p>
        </w:tc>
      </w:tr>
    </w:tbl>
    <w:p w14:paraId="3E6DD79C" w14:textId="6D7B4B7F" w:rsidR="00D214BB" w:rsidRPr="002F4D81" w:rsidRDefault="00D214BB" w:rsidP="001E09ED">
      <w:pPr>
        <w:widowControl w:val="0"/>
        <w:rPr>
          <w:rFonts w:ascii="Bookman Old Style" w:hAnsi="Bookman Old Style"/>
          <w:sz w:val="24"/>
          <w:szCs w:val="24"/>
        </w:rPr>
      </w:pPr>
    </w:p>
    <w:sectPr w:rsidR="00D214BB" w:rsidRPr="002F4D81" w:rsidSect="004E12FE">
      <w:headerReference w:type="default" r:id="rId9"/>
      <w:headerReference w:type="first" r:id="rId10"/>
      <w:pgSz w:w="18711" w:h="11907" w:orient="landscape"/>
      <w:pgMar w:top="1418" w:right="1418" w:bottom="1418" w:left="1418" w:header="851" w:footer="461" w:gutter="0"/>
      <w:pgNumType w:fmt="numberInDash" w:start="1" w:chapStyle="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02F52" w14:textId="77777777" w:rsidR="00A05AD0" w:rsidRDefault="00A05AD0">
      <w:r>
        <w:separator/>
      </w:r>
    </w:p>
  </w:endnote>
  <w:endnote w:type="continuationSeparator" w:id="0">
    <w:p w14:paraId="0D9E794A" w14:textId="77777777" w:rsidR="00A05AD0" w:rsidRDefault="00A05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1F0D8" w14:textId="77777777" w:rsidR="00A05AD0" w:rsidRDefault="00A05AD0">
      <w:r>
        <w:separator/>
      </w:r>
    </w:p>
  </w:footnote>
  <w:footnote w:type="continuationSeparator" w:id="0">
    <w:p w14:paraId="1771CD9A" w14:textId="77777777" w:rsidR="00A05AD0" w:rsidRDefault="00A05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9655936"/>
      <w:docPartObj>
        <w:docPartGallery w:val="Page Numbers (Top of Page)"/>
        <w:docPartUnique/>
      </w:docPartObj>
    </w:sdtPr>
    <w:sdtEndPr>
      <w:rPr>
        <w:rFonts w:ascii="Bookman Old Style" w:hAnsi="Bookman Old Style"/>
        <w:noProof/>
        <w:sz w:val="24"/>
        <w:szCs w:val="24"/>
      </w:rPr>
    </w:sdtEndPr>
    <w:sdtContent>
      <w:p w14:paraId="030CEFC7" w14:textId="42ADA434" w:rsidR="00C124C5" w:rsidRPr="00AE58BE" w:rsidRDefault="00C124C5">
        <w:pPr>
          <w:pStyle w:val="Header"/>
          <w:jc w:val="center"/>
          <w:rPr>
            <w:rFonts w:ascii="Bookman Old Style" w:hAnsi="Bookman Old Style"/>
            <w:sz w:val="24"/>
            <w:szCs w:val="24"/>
          </w:rPr>
        </w:pPr>
        <w:r w:rsidRPr="00AE58BE">
          <w:rPr>
            <w:rFonts w:ascii="Bookman Old Style" w:hAnsi="Bookman Old Style"/>
            <w:sz w:val="24"/>
            <w:szCs w:val="24"/>
          </w:rPr>
          <w:fldChar w:fldCharType="begin"/>
        </w:r>
        <w:r w:rsidRPr="00AE58BE">
          <w:rPr>
            <w:rFonts w:ascii="Bookman Old Style" w:hAnsi="Bookman Old Style"/>
            <w:sz w:val="24"/>
            <w:szCs w:val="24"/>
          </w:rPr>
          <w:instrText xml:space="preserve"> PAGE   \* MERGEFORMAT </w:instrText>
        </w:r>
        <w:r w:rsidRPr="00AE58BE">
          <w:rPr>
            <w:rFonts w:ascii="Bookman Old Style" w:hAnsi="Bookman Old Style"/>
            <w:sz w:val="24"/>
            <w:szCs w:val="24"/>
          </w:rPr>
          <w:fldChar w:fldCharType="separate"/>
        </w:r>
        <w:r>
          <w:rPr>
            <w:rFonts w:ascii="Bookman Old Style" w:hAnsi="Bookman Old Style"/>
            <w:noProof/>
            <w:sz w:val="24"/>
            <w:szCs w:val="24"/>
          </w:rPr>
          <w:t>- 4 -</w:t>
        </w:r>
        <w:r w:rsidRPr="00AE58BE">
          <w:rPr>
            <w:rFonts w:ascii="Bookman Old Style" w:hAnsi="Bookman Old Style"/>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FDD21" w14:textId="77777777" w:rsidR="00C124C5" w:rsidRPr="00D628A0" w:rsidRDefault="00C124C5" w:rsidP="00B7302F">
    <w:pPr>
      <w:jc w:val="center"/>
      <w:rPr>
        <w:rFonts w:ascii="Bookman Old Style" w:eastAsia="Bookman Old Style" w:hAnsi="Bookman Old Style" w:cs="Bookman Old Style"/>
        <w:sz w:val="24"/>
        <w:szCs w:val="24"/>
      </w:rPr>
    </w:pPr>
    <w:r w:rsidRPr="00D628A0">
      <w:rPr>
        <w:rFonts w:ascii="Bookman Old Style" w:eastAsia="Bookman Old Style" w:hAnsi="Bookman Old Style" w:cs="Bookman Old Style"/>
        <w:sz w:val="24"/>
        <w:szCs w:val="24"/>
      </w:rPr>
      <w:t>MATRIKS TANGGAPAN</w:t>
    </w:r>
  </w:p>
  <w:p w14:paraId="49BC2676" w14:textId="77777777" w:rsidR="00C124C5" w:rsidRPr="00D628A0" w:rsidRDefault="00C124C5" w:rsidP="00B7302F">
    <w:pPr>
      <w:widowControl w:val="0"/>
      <w:jc w:val="center"/>
      <w:rPr>
        <w:rFonts w:ascii="Bookman Old Style" w:eastAsia="Bookman Old Style" w:hAnsi="Bookman Old Style" w:cs="Bookman Old Style"/>
        <w:sz w:val="24"/>
        <w:szCs w:val="24"/>
      </w:rPr>
    </w:pPr>
    <w:r w:rsidRPr="00D628A0">
      <w:rPr>
        <w:rFonts w:ascii="Bookman Old Style" w:eastAsia="Bookman Old Style" w:hAnsi="Bookman Old Style" w:cs="Bookman Old Style"/>
        <w:sz w:val="24"/>
        <w:szCs w:val="24"/>
      </w:rPr>
      <w:t>RANCANGAN PERATURAN OTORITAS JASA KEUANGAN REPUBLIK INDONESIA TENTANG</w:t>
    </w:r>
  </w:p>
  <w:p w14:paraId="3A34D1E9" w14:textId="04A1C0D8" w:rsidR="00C124C5" w:rsidRDefault="00C124C5" w:rsidP="00B7302F">
    <w:pPr>
      <w:widowControl w:val="0"/>
      <w:jc w:val="center"/>
      <w:rPr>
        <w:rFonts w:ascii="Bookman Old Style" w:eastAsia="Bookman Old Style" w:hAnsi="Bookman Old Style" w:cs="Bookman Old Style"/>
        <w:color w:val="000000" w:themeColor="text1"/>
        <w:sz w:val="24"/>
        <w:szCs w:val="24"/>
      </w:rPr>
    </w:pPr>
    <w:r w:rsidRPr="00C124C5">
      <w:rPr>
        <w:rFonts w:ascii="Bookman Old Style" w:eastAsia="Bookman Old Style" w:hAnsi="Bookman Old Style" w:cs="Bookman Old Style"/>
        <w:color w:val="000000" w:themeColor="text1"/>
        <w:sz w:val="24"/>
        <w:szCs w:val="24"/>
      </w:rPr>
      <w:t>PENYUSUNAN LAPORAN KEUANGAN EMITEN ATAU PERUSAHAAN PUBLIK</w:t>
    </w:r>
  </w:p>
  <w:p w14:paraId="2E26A011" w14:textId="77777777" w:rsidR="00C124C5" w:rsidRPr="00D628A0" w:rsidRDefault="00C124C5" w:rsidP="00B7302F">
    <w:pPr>
      <w:widowControl w:val="0"/>
      <w:jc w:val="center"/>
      <w:rPr>
        <w:rFonts w:ascii="Bookman Old Style" w:eastAsia="Bookman Old Style" w:hAnsi="Bookman Old Style" w:cs="Bookman Old Styl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501D7"/>
    <w:multiLevelType w:val="hybridMultilevel"/>
    <w:tmpl w:val="AD46C70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735712C"/>
    <w:multiLevelType w:val="hybridMultilevel"/>
    <w:tmpl w:val="0FE63E3E"/>
    <w:lvl w:ilvl="0" w:tplc="ECD8AC9A">
      <w:start w:val="1"/>
      <w:numFmt w:val="decimal"/>
      <w:lvlText w:val="(%1)"/>
      <w:lvlJc w:val="left"/>
      <w:pPr>
        <w:ind w:left="360" w:hanging="360"/>
      </w:pPr>
      <w:rPr>
        <w:rFonts w:ascii="Bookman Old Style" w:eastAsia="Calibri" w:hAnsi="Bookman Old Style" w:cs="Times New Roman"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77C29D5"/>
    <w:multiLevelType w:val="hybridMultilevel"/>
    <w:tmpl w:val="FE2C8E9E"/>
    <w:lvl w:ilvl="0" w:tplc="4A0E778E">
      <w:start w:val="1"/>
      <w:numFmt w:val="decimal"/>
      <w:lvlText w:val="%1."/>
      <w:lvlJc w:val="left"/>
      <w:pPr>
        <w:ind w:left="360" w:hanging="360"/>
      </w:pPr>
      <w:rPr>
        <w:rFonts w:ascii="Bookman Old Style" w:hAnsi="Bookman Old Style" w:hint="default"/>
        <w:color w:val="auto"/>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1BCE6E35"/>
    <w:multiLevelType w:val="hybridMultilevel"/>
    <w:tmpl w:val="5BB0FAEE"/>
    <w:lvl w:ilvl="0" w:tplc="45FE9A9E">
      <w:start w:val="1"/>
      <w:numFmt w:val="lowerLetter"/>
      <w:lvlText w:val="%1."/>
      <w:lvlJc w:val="left"/>
      <w:pPr>
        <w:ind w:left="720" w:hanging="360"/>
      </w:pPr>
      <w:rPr>
        <w:rFonts w:hint="default"/>
        <w:b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3CB645D"/>
    <w:multiLevelType w:val="hybridMultilevel"/>
    <w:tmpl w:val="1326FA1C"/>
    <w:lvl w:ilvl="0" w:tplc="ECD8AC9A">
      <w:start w:val="1"/>
      <w:numFmt w:val="decimal"/>
      <w:lvlText w:val="(%1)"/>
      <w:lvlJc w:val="left"/>
      <w:pPr>
        <w:ind w:left="720" w:hanging="360"/>
      </w:pPr>
      <w:rPr>
        <w:rFonts w:ascii="Bookman Old Style" w:eastAsia="Calibri" w:hAnsi="Bookman Old Style"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F653DA0"/>
    <w:multiLevelType w:val="hybridMultilevel"/>
    <w:tmpl w:val="E93424F0"/>
    <w:lvl w:ilvl="0" w:tplc="4A0E778E">
      <w:start w:val="1"/>
      <w:numFmt w:val="decimal"/>
      <w:lvlText w:val="%1."/>
      <w:lvlJc w:val="left"/>
      <w:pPr>
        <w:ind w:left="360" w:hanging="360"/>
      </w:pPr>
      <w:rPr>
        <w:rFonts w:ascii="Bookman Old Style" w:hAnsi="Bookman Old Style" w:hint="default"/>
        <w:color w:val="auto"/>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4DE04186"/>
    <w:multiLevelType w:val="hybridMultilevel"/>
    <w:tmpl w:val="02B8BF36"/>
    <w:lvl w:ilvl="0" w:tplc="45FE9A9E">
      <w:start w:val="1"/>
      <w:numFmt w:val="lowerLetter"/>
      <w:lvlText w:val="%1."/>
      <w:lvlJc w:val="left"/>
      <w:pPr>
        <w:ind w:left="720" w:hanging="360"/>
      </w:pPr>
      <w:rPr>
        <w:rFonts w:hint="default"/>
        <w:b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2D036A3"/>
    <w:multiLevelType w:val="hybridMultilevel"/>
    <w:tmpl w:val="B77C88C4"/>
    <w:lvl w:ilvl="0" w:tplc="45FE9A9E">
      <w:start w:val="1"/>
      <w:numFmt w:val="lowerLetter"/>
      <w:lvlText w:val="%1."/>
      <w:lvlJc w:val="left"/>
      <w:pPr>
        <w:ind w:left="360" w:hanging="360"/>
      </w:pPr>
      <w:rPr>
        <w:rFonts w:hint="default"/>
        <w:b w:val="0"/>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56036DD7"/>
    <w:multiLevelType w:val="hybridMultilevel"/>
    <w:tmpl w:val="1A3AA376"/>
    <w:lvl w:ilvl="0" w:tplc="45FE9A9E">
      <w:start w:val="1"/>
      <w:numFmt w:val="lowerLetter"/>
      <w:lvlText w:val="%1."/>
      <w:lvlJc w:val="left"/>
      <w:pPr>
        <w:ind w:left="360" w:hanging="360"/>
      </w:pPr>
      <w:rPr>
        <w:rFonts w:hint="default"/>
        <w:b w:val="0"/>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59F00ECF"/>
    <w:multiLevelType w:val="multilevel"/>
    <w:tmpl w:val="8ACC4EDC"/>
    <w:lvl w:ilvl="0">
      <w:start w:val="1"/>
      <w:numFmt w:val="lowerLetter"/>
      <w:pStyle w:val="ayatt"/>
      <w:lvlText w:val="%1."/>
      <w:lvlJc w:val="left"/>
      <w:pPr>
        <w:ind w:left="360" w:hanging="360"/>
      </w:pPr>
      <w:rPr>
        <w:strike w:val="0"/>
      </w:r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10" w15:restartNumberingAfterBreak="0">
    <w:nsid w:val="5DFC44EC"/>
    <w:multiLevelType w:val="hybridMultilevel"/>
    <w:tmpl w:val="CA00F13A"/>
    <w:lvl w:ilvl="0" w:tplc="ECD8AC9A">
      <w:start w:val="1"/>
      <w:numFmt w:val="decimal"/>
      <w:lvlText w:val="(%1)"/>
      <w:lvlJc w:val="left"/>
      <w:pPr>
        <w:ind w:left="720" w:hanging="360"/>
      </w:pPr>
      <w:rPr>
        <w:rFonts w:ascii="Bookman Old Style" w:eastAsia="Calibri" w:hAnsi="Bookman Old Style"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F517669"/>
    <w:multiLevelType w:val="hybridMultilevel"/>
    <w:tmpl w:val="0FE63E3E"/>
    <w:lvl w:ilvl="0" w:tplc="ECD8AC9A">
      <w:start w:val="1"/>
      <w:numFmt w:val="decimal"/>
      <w:lvlText w:val="(%1)"/>
      <w:lvlJc w:val="left"/>
      <w:pPr>
        <w:ind w:left="360" w:hanging="360"/>
      </w:pPr>
      <w:rPr>
        <w:rFonts w:ascii="Bookman Old Style" w:eastAsia="Calibri" w:hAnsi="Bookman Old Style" w:cs="Times New Roman"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6D7D1E51"/>
    <w:multiLevelType w:val="hybridMultilevel"/>
    <w:tmpl w:val="8CE47814"/>
    <w:lvl w:ilvl="0" w:tplc="E1669D02">
      <w:start w:val="1"/>
      <w:numFmt w:val="upperRoman"/>
      <w:lvlText w:val="%1."/>
      <w:lvlJc w:val="left"/>
      <w:pPr>
        <w:ind w:left="360" w:hanging="360"/>
      </w:pPr>
      <w:rPr>
        <w:rFonts w:ascii="Bookman Old Style" w:hAnsi="Bookman Old Style" w:hint="default"/>
        <w:color w:val="auto"/>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76AF7593"/>
    <w:multiLevelType w:val="hybridMultilevel"/>
    <w:tmpl w:val="CF72BE6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79A928C6"/>
    <w:multiLevelType w:val="hybridMultilevel"/>
    <w:tmpl w:val="E5347898"/>
    <w:lvl w:ilvl="0" w:tplc="45FE9A9E">
      <w:start w:val="1"/>
      <w:numFmt w:val="lowerLetter"/>
      <w:lvlText w:val="%1."/>
      <w:lvlJc w:val="left"/>
      <w:pPr>
        <w:ind w:left="360" w:hanging="360"/>
      </w:pPr>
      <w:rPr>
        <w:rFonts w:hint="default"/>
        <w:b w:val="0"/>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7DDE0406"/>
    <w:multiLevelType w:val="hybridMultilevel"/>
    <w:tmpl w:val="F126CCDA"/>
    <w:lvl w:ilvl="0" w:tplc="ECD8AC9A">
      <w:start w:val="1"/>
      <w:numFmt w:val="decimal"/>
      <w:lvlText w:val="(%1)"/>
      <w:lvlJc w:val="left"/>
      <w:pPr>
        <w:ind w:left="720" w:hanging="360"/>
      </w:pPr>
      <w:rPr>
        <w:rFonts w:ascii="Bookman Old Style" w:eastAsia="Calibri" w:hAnsi="Bookman Old Style"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9"/>
  </w:num>
  <w:num w:numId="2">
    <w:abstractNumId w:val="14"/>
  </w:num>
  <w:num w:numId="3">
    <w:abstractNumId w:val="13"/>
  </w:num>
  <w:num w:numId="4">
    <w:abstractNumId w:val="0"/>
  </w:num>
  <w:num w:numId="5">
    <w:abstractNumId w:val="3"/>
  </w:num>
  <w:num w:numId="6">
    <w:abstractNumId w:val="1"/>
  </w:num>
  <w:num w:numId="7">
    <w:abstractNumId w:val="8"/>
  </w:num>
  <w:num w:numId="8">
    <w:abstractNumId w:val="11"/>
  </w:num>
  <w:num w:numId="9">
    <w:abstractNumId w:val="4"/>
  </w:num>
  <w:num w:numId="10">
    <w:abstractNumId w:val="15"/>
  </w:num>
  <w:num w:numId="11">
    <w:abstractNumId w:val="10"/>
  </w:num>
  <w:num w:numId="12">
    <w:abstractNumId w:val="6"/>
  </w:num>
  <w:num w:numId="13">
    <w:abstractNumId w:val="7"/>
  </w:num>
  <w:num w:numId="14">
    <w:abstractNumId w:val="12"/>
  </w:num>
  <w:num w:numId="15">
    <w:abstractNumId w:val="5"/>
  </w:num>
  <w:num w:numId="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proofState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B2B"/>
    <w:rsid w:val="0000163C"/>
    <w:rsid w:val="00002A51"/>
    <w:rsid w:val="000041D5"/>
    <w:rsid w:val="0000473D"/>
    <w:rsid w:val="00004B70"/>
    <w:rsid w:val="000052F7"/>
    <w:rsid w:val="0000538A"/>
    <w:rsid w:val="000068D4"/>
    <w:rsid w:val="00006F1A"/>
    <w:rsid w:val="00007B6D"/>
    <w:rsid w:val="00007B8E"/>
    <w:rsid w:val="000106A7"/>
    <w:rsid w:val="00010A83"/>
    <w:rsid w:val="000119A8"/>
    <w:rsid w:val="00013627"/>
    <w:rsid w:val="00013DBD"/>
    <w:rsid w:val="00013ECE"/>
    <w:rsid w:val="0001482B"/>
    <w:rsid w:val="00015508"/>
    <w:rsid w:val="00016025"/>
    <w:rsid w:val="00016FF3"/>
    <w:rsid w:val="00020967"/>
    <w:rsid w:val="000209B0"/>
    <w:rsid w:val="00020BBB"/>
    <w:rsid w:val="000219AB"/>
    <w:rsid w:val="00021AC2"/>
    <w:rsid w:val="00021E5B"/>
    <w:rsid w:val="000227C5"/>
    <w:rsid w:val="00023BBB"/>
    <w:rsid w:val="00024198"/>
    <w:rsid w:val="00024851"/>
    <w:rsid w:val="00024A26"/>
    <w:rsid w:val="0002503E"/>
    <w:rsid w:val="00025740"/>
    <w:rsid w:val="0002795E"/>
    <w:rsid w:val="00030069"/>
    <w:rsid w:val="00032CB0"/>
    <w:rsid w:val="00033000"/>
    <w:rsid w:val="00033C80"/>
    <w:rsid w:val="0003638B"/>
    <w:rsid w:val="0003695F"/>
    <w:rsid w:val="000376C2"/>
    <w:rsid w:val="00040621"/>
    <w:rsid w:val="00040E28"/>
    <w:rsid w:val="00041F54"/>
    <w:rsid w:val="000424BF"/>
    <w:rsid w:val="00042597"/>
    <w:rsid w:val="00042B5E"/>
    <w:rsid w:val="00043C5F"/>
    <w:rsid w:val="0004496F"/>
    <w:rsid w:val="00045016"/>
    <w:rsid w:val="000454B9"/>
    <w:rsid w:val="0005047D"/>
    <w:rsid w:val="00051F6C"/>
    <w:rsid w:val="0005205D"/>
    <w:rsid w:val="00052185"/>
    <w:rsid w:val="0005333A"/>
    <w:rsid w:val="00055523"/>
    <w:rsid w:val="00055DA9"/>
    <w:rsid w:val="00056AC9"/>
    <w:rsid w:val="00060624"/>
    <w:rsid w:val="00060CAC"/>
    <w:rsid w:val="00060EB1"/>
    <w:rsid w:val="00061180"/>
    <w:rsid w:val="000626FA"/>
    <w:rsid w:val="00063659"/>
    <w:rsid w:val="0006447B"/>
    <w:rsid w:val="000657EF"/>
    <w:rsid w:val="000661BA"/>
    <w:rsid w:val="00066449"/>
    <w:rsid w:val="00066563"/>
    <w:rsid w:val="000701F4"/>
    <w:rsid w:val="00072D3C"/>
    <w:rsid w:val="00073887"/>
    <w:rsid w:val="0007415D"/>
    <w:rsid w:val="00075F11"/>
    <w:rsid w:val="000772B8"/>
    <w:rsid w:val="0008094F"/>
    <w:rsid w:val="00083DB8"/>
    <w:rsid w:val="000853D8"/>
    <w:rsid w:val="00086542"/>
    <w:rsid w:val="00086E49"/>
    <w:rsid w:val="00087D3F"/>
    <w:rsid w:val="00091414"/>
    <w:rsid w:val="00092C11"/>
    <w:rsid w:val="00092DF9"/>
    <w:rsid w:val="00093620"/>
    <w:rsid w:val="00094A42"/>
    <w:rsid w:val="000961A7"/>
    <w:rsid w:val="000972DD"/>
    <w:rsid w:val="00097D33"/>
    <w:rsid w:val="000A0D4C"/>
    <w:rsid w:val="000A1123"/>
    <w:rsid w:val="000A4485"/>
    <w:rsid w:val="000A4C3E"/>
    <w:rsid w:val="000A69C0"/>
    <w:rsid w:val="000A7CE4"/>
    <w:rsid w:val="000B0351"/>
    <w:rsid w:val="000B040B"/>
    <w:rsid w:val="000B09FA"/>
    <w:rsid w:val="000B3025"/>
    <w:rsid w:val="000B346C"/>
    <w:rsid w:val="000B3644"/>
    <w:rsid w:val="000B50C2"/>
    <w:rsid w:val="000B5E65"/>
    <w:rsid w:val="000B6959"/>
    <w:rsid w:val="000B7CE8"/>
    <w:rsid w:val="000C215A"/>
    <w:rsid w:val="000C24BD"/>
    <w:rsid w:val="000C2B70"/>
    <w:rsid w:val="000C3594"/>
    <w:rsid w:val="000C5B7B"/>
    <w:rsid w:val="000C6380"/>
    <w:rsid w:val="000C6AE4"/>
    <w:rsid w:val="000C7F2C"/>
    <w:rsid w:val="000D1616"/>
    <w:rsid w:val="000D1B66"/>
    <w:rsid w:val="000D2562"/>
    <w:rsid w:val="000D29F7"/>
    <w:rsid w:val="000D30A4"/>
    <w:rsid w:val="000D39B4"/>
    <w:rsid w:val="000D4E11"/>
    <w:rsid w:val="000D5863"/>
    <w:rsid w:val="000D6B2E"/>
    <w:rsid w:val="000D6C6B"/>
    <w:rsid w:val="000D76A6"/>
    <w:rsid w:val="000E2924"/>
    <w:rsid w:val="000E346B"/>
    <w:rsid w:val="000E3979"/>
    <w:rsid w:val="000E3ABB"/>
    <w:rsid w:val="000E3B01"/>
    <w:rsid w:val="000E3C12"/>
    <w:rsid w:val="000E432B"/>
    <w:rsid w:val="000E4F44"/>
    <w:rsid w:val="000E5D0B"/>
    <w:rsid w:val="000E613F"/>
    <w:rsid w:val="000E7A34"/>
    <w:rsid w:val="000F39FE"/>
    <w:rsid w:val="000F450E"/>
    <w:rsid w:val="000F631D"/>
    <w:rsid w:val="0010235B"/>
    <w:rsid w:val="00102886"/>
    <w:rsid w:val="00103169"/>
    <w:rsid w:val="0010346B"/>
    <w:rsid w:val="0010474A"/>
    <w:rsid w:val="00105C0B"/>
    <w:rsid w:val="00107C5A"/>
    <w:rsid w:val="00111C70"/>
    <w:rsid w:val="0011267A"/>
    <w:rsid w:val="0011396C"/>
    <w:rsid w:val="00114233"/>
    <w:rsid w:val="0011615A"/>
    <w:rsid w:val="00116B6F"/>
    <w:rsid w:val="00116F9E"/>
    <w:rsid w:val="00121D1A"/>
    <w:rsid w:val="0012221F"/>
    <w:rsid w:val="001230B3"/>
    <w:rsid w:val="00123A96"/>
    <w:rsid w:val="0012673C"/>
    <w:rsid w:val="001303C3"/>
    <w:rsid w:val="0013076D"/>
    <w:rsid w:val="00130F71"/>
    <w:rsid w:val="00131405"/>
    <w:rsid w:val="00131685"/>
    <w:rsid w:val="00132A3E"/>
    <w:rsid w:val="001350E7"/>
    <w:rsid w:val="001360F4"/>
    <w:rsid w:val="00141FA7"/>
    <w:rsid w:val="00142342"/>
    <w:rsid w:val="001434B2"/>
    <w:rsid w:val="00143AC4"/>
    <w:rsid w:val="00143B71"/>
    <w:rsid w:val="001479CF"/>
    <w:rsid w:val="00147DA3"/>
    <w:rsid w:val="00150557"/>
    <w:rsid w:val="00150873"/>
    <w:rsid w:val="001518C1"/>
    <w:rsid w:val="00152B31"/>
    <w:rsid w:val="00153210"/>
    <w:rsid w:val="00153950"/>
    <w:rsid w:val="001551C8"/>
    <w:rsid w:val="00155EFC"/>
    <w:rsid w:val="00157099"/>
    <w:rsid w:val="00161E44"/>
    <w:rsid w:val="001633E3"/>
    <w:rsid w:val="001641CB"/>
    <w:rsid w:val="00165FC0"/>
    <w:rsid w:val="00166E19"/>
    <w:rsid w:val="00167AA2"/>
    <w:rsid w:val="00167F79"/>
    <w:rsid w:val="0017027C"/>
    <w:rsid w:val="00170FB1"/>
    <w:rsid w:val="001712CB"/>
    <w:rsid w:val="0017231B"/>
    <w:rsid w:val="00172712"/>
    <w:rsid w:val="00173D9A"/>
    <w:rsid w:val="00174295"/>
    <w:rsid w:val="00175FAA"/>
    <w:rsid w:val="00175FF6"/>
    <w:rsid w:val="00177B38"/>
    <w:rsid w:val="0018025E"/>
    <w:rsid w:val="00180AD5"/>
    <w:rsid w:val="001812E8"/>
    <w:rsid w:val="00181812"/>
    <w:rsid w:val="0018235F"/>
    <w:rsid w:val="0018455E"/>
    <w:rsid w:val="00184B62"/>
    <w:rsid w:val="00184BA4"/>
    <w:rsid w:val="001852EB"/>
    <w:rsid w:val="0018670E"/>
    <w:rsid w:val="00193248"/>
    <w:rsid w:val="00193EB8"/>
    <w:rsid w:val="001958BE"/>
    <w:rsid w:val="00195B8A"/>
    <w:rsid w:val="00195DEE"/>
    <w:rsid w:val="001A0186"/>
    <w:rsid w:val="001A2214"/>
    <w:rsid w:val="001A22AB"/>
    <w:rsid w:val="001A3668"/>
    <w:rsid w:val="001A4151"/>
    <w:rsid w:val="001A45BD"/>
    <w:rsid w:val="001A4921"/>
    <w:rsid w:val="001A5B98"/>
    <w:rsid w:val="001A7DF8"/>
    <w:rsid w:val="001B0BAB"/>
    <w:rsid w:val="001B181E"/>
    <w:rsid w:val="001B20B8"/>
    <w:rsid w:val="001B26BB"/>
    <w:rsid w:val="001B2E99"/>
    <w:rsid w:val="001B43F9"/>
    <w:rsid w:val="001B48C9"/>
    <w:rsid w:val="001B49D2"/>
    <w:rsid w:val="001B4C59"/>
    <w:rsid w:val="001B4E73"/>
    <w:rsid w:val="001B532C"/>
    <w:rsid w:val="001B621B"/>
    <w:rsid w:val="001C07AA"/>
    <w:rsid w:val="001C1907"/>
    <w:rsid w:val="001C290F"/>
    <w:rsid w:val="001C2AFD"/>
    <w:rsid w:val="001C2C3E"/>
    <w:rsid w:val="001C3C71"/>
    <w:rsid w:val="001C5453"/>
    <w:rsid w:val="001C6667"/>
    <w:rsid w:val="001D06F1"/>
    <w:rsid w:val="001D1D18"/>
    <w:rsid w:val="001D21E5"/>
    <w:rsid w:val="001D3F3A"/>
    <w:rsid w:val="001D436C"/>
    <w:rsid w:val="001D5553"/>
    <w:rsid w:val="001D63EC"/>
    <w:rsid w:val="001E09ED"/>
    <w:rsid w:val="001E0B0E"/>
    <w:rsid w:val="001E1315"/>
    <w:rsid w:val="001E3A09"/>
    <w:rsid w:val="001E48E9"/>
    <w:rsid w:val="001E6736"/>
    <w:rsid w:val="001E7CEC"/>
    <w:rsid w:val="001F008F"/>
    <w:rsid w:val="001F1697"/>
    <w:rsid w:val="001F1854"/>
    <w:rsid w:val="001F1A4C"/>
    <w:rsid w:val="001F1B26"/>
    <w:rsid w:val="001F3AC4"/>
    <w:rsid w:val="001F5154"/>
    <w:rsid w:val="001F5FD4"/>
    <w:rsid w:val="001F6A46"/>
    <w:rsid w:val="001F72D5"/>
    <w:rsid w:val="0020130B"/>
    <w:rsid w:val="00201AB9"/>
    <w:rsid w:val="00201B1F"/>
    <w:rsid w:val="00201F4F"/>
    <w:rsid w:val="00202102"/>
    <w:rsid w:val="002026A2"/>
    <w:rsid w:val="002036B0"/>
    <w:rsid w:val="00203EFF"/>
    <w:rsid w:val="002046BE"/>
    <w:rsid w:val="002056BC"/>
    <w:rsid w:val="002062D8"/>
    <w:rsid w:val="002063FB"/>
    <w:rsid w:val="00206989"/>
    <w:rsid w:val="00207185"/>
    <w:rsid w:val="00207692"/>
    <w:rsid w:val="00211394"/>
    <w:rsid w:val="00211810"/>
    <w:rsid w:val="00212B1B"/>
    <w:rsid w:val="00212D53"/>
    <w:rsid w:val="00213885"/>
    <w:rsid w:val="00214D9C"/>
    <w:rsid w:val="0021550D"/>
    <w:rsid w:val="002172D9"/>
    <w:rsid w:val="00217D0A"/>
    <w:rsid w:val="00221800"/>
    <w:rsid w:val="00221AD7"/>
    <w:rsid w:val="00223195"/>
    <w:rsid w:val="00223C12"/>
    <w:rsid w:val="00225592"/>
    <w:rsid w:val="00225830"/>
    <w:rsid w:val="00225DEB"/>
    <w:rsid w:val="002272AA"/>
    <w:rsid w:val="00227B6D"/>
    <w:rsid w:val="00231293"/>
    <w:rsid w:val="00231907"/>
    <w:rsid w:val="00231F33"/>
    <w:rsid w:val="00233A1D"/>
    <w:rsid w:val="00234CA2"/>
    <w:rsid w:val="00234EE9"/>
    <w:rsid w:val="00235459"/>
    <w:rsid w:val="002355C4"/>
    <w:rsid w:val="0023789E"/>
    <w:rsid w:val="00237B0B"/>
    <w:rsid w:val="00237C11"/>
    <w:rsid w:val="00241D19"/>
    <w:rsid w:val="0024412C"/>
    <w:rsid w:val="0024704D"/>
    <w:rsid w:val="00247898"/>
    <w:rsid w:val="00247D0D"/>
    <w:rsid w:val="00250EDB"/>
    <w:rsid w:val="00253035"/>
    <w:rsid w:val="0025340B"/>
    <w:rsid w:val="00253EF0"/>
    <w:rsid w:val="002567CC"/>
    <w:rsid w:val="0025714D"/>
    <w:rsid w:val="0025750F"/>
    <w:rsid w:val="0026116B"/>
    <w:rsid w:val="002612B3"/>
    <w:rsid w:val="002618A1"/>
    <w:rsid w:val="00264B3B"/>
    <w:rsid w:val="00265AC3"/>
    <w:rsid w:val="00266425"/>
    <w:rsid w:val="002679B3"/>
    <w:rsid w:val="00271471"/>
    <w:rsid w:val="0027174C"/>
    <w:rsid w:val="00271A20"/>
    <w:rsid w:val="002722B5"/>
    <w:rsid w:val="00272E61"/>
    <w:rsid w:val="0027321C"/>
    <w:rsid w:val="0027403D"/>
    <w:rsid w:val="00276336"/>
    <w:rsid w:val="0027655D"/>
    <w:rsid w:val="00277136"/>
    <w:rsid w:val="002806FB"/>
    <w:rsid w:val="00280F0B"/>
    <w:rsid w:val="00281D3A"/>
    <w:rsid w:val="0028253F"/>
    <w:rsid w:val="002826CC"/>
    <w:rsid w:val="0028332C"/>
    <w:rsid w:val="00284D3E"/>
    <w:rsid w:val="0028552E"/>
    <w:rsid w:val="00285961"/>
    <w:rsid w:val="00285C80"/>
    <w:rsid w:val="00286B5C"/>
    <w:rsid w:val="00286B9D"/>
    <w:rsid w:val="002914AC"/>
    <w:rsid w:val="00292639"/>
    <w:rsid w:val="00292996"/>
    <w:rsid w:val="0029390C"/>
    <w:rsid w:val="00294469"/>
    <w:rsid w:val="00294865"/>
    <w:rsid w:val="00296BED"/>
    <w:rsid w:val="00297582"/>
    <w:rsid w:val="002A0AA5"/>
    <w:rsid w:val="002A133B"/>
    <w:rsid w:val="002A1A70"/>
    <w:rsid w:val="002A1B69"/>
    <w:rsid w:val="002A1ECA"/>
    <w:rsid w:val="002A22B2"/>
    <w:rsid w:val="002A39EC"/>
    <w:rsid w:val="002A3A47"/>
    <w:rsid w:val="002A53BA"/>
    <w:rsid w:val="002A5BA9"/>
    <w:rsid w:val="002A72F5"/>
    <w:rsid w:val="002B08B8"/>
    <w:rsid w:val="002B0B8E"/>
    <w:rsid w:val="002B1298"/>
    <w:rsid w:val="002B2682"/>
    <w:rsid w:val="002B37C4"/>
    <w:rsid w:val="002B472B"/>
    <w:rsid w:val="002B4F43"/>
    <w:rsid w:val="002B6539"/>
    <w:rsid w:val="002B6D0F"/>
    <w:rsid w:val="002C09FA"/>
    <w:rsid w:val="002C0A50"/>
    <w:rsid w:val="002C0C41"/>
    <w:rsid w:val="002C307E"/>
    <w:rsid w:val="002C5696"/>
    <w:rsid w:val="002C70A8"/>
    <w:rsid w:val="002C7D2D"/>
    <w:rsid w:val="002C7DD6"/>
    <w:rsid w:val="002D072D"/>
    <w:rsid w:val="002D0E4B"/>
    <w:rsid w:val="002D109E"/>
    <w:rsid w:val="002D195F"/>
    <w:rsid w:val="002D1BB0"/>
    <w:rsid w:val="002D228F"/>
    <w:rsid w:val="002D3C47"/>
    <w:rsid w:val="002D4FF2"/>
    <w:rsid w:val="002D747F"/>
    <w:rsid w:val="002D758C"/>
    <w:rsid w:val="002D75D2"/>
    <w:rsid w:val="002E08A1"/>
    <w:rsid w:val="002E1307"/>
    <w:rsid w:val="002E135F"/>
    <w:rsid w:val="002E1D34"/>
    <w:rsid w:val="002E1F7E"/>
    <w:rsid w:val="002E2ED3"/>
    <w:rsid w:val="002E315E"/>
    <w:rsid w:val="002E348E"/>
    <w:rsid w:val="002E3F95"/>
    <w:rsid w:val="002E4352"/>
    <w:rsid w:val="002E50B1"/>
    <w:rsid w:val="002E66A8"/>
    <w:rsid w:val="002F028E"/>
    <w:rsid w:val="002F059B"/>
    <w:rsid w:val="002F27F4"/>
    <w:rsid w:val="002F2FA2"/>
    <w:rsid w:val="002F4D81"/>
    <w:rsid w:val="002F6729"/>
    <w:rsid w:val="002F7D99"/>
    <w:rsid w:val="00301923"/>
    <w:rsid w:val="00301A43"/>
    <w:rsid w:val="00304365"/>
    <w:rsid w:val="00304500"/>
    <w:rsid w:val="00304EDF"/>
    <w:rsid w:val="00305BF7"/>
    <w:rsid w:val="003073A9"/>
    <w:rsid w:val="00310EDD"/>
    <w:rsid w:val="003140A6"/>
    <w:rsid w:val="00314898"/>
    <w:rsid w:val="00315931"/>
    <w:rsid w:val="003163B5"/>
    <w:rsid w:val="00316762"/>
    <w:rsid w:val="003174F1"/>
    <w:rsid w:val="0032081D"/>
    <w:rsid w:val="00322185"/>
    <w:rsid w:val="00323D6B"/>
    <w:rsid w:val="00323DBE"/>
    <w:rsid w:val="00325A88"/>
    <w:rsid w:val="003262EF"/>
    <w:rsid w:val="00326F96"/>
    <w:rsid w:val="003276E9"/>
    <w:rsid w:val="00327EB5"/>
    <w:rsid w:val="0033167C"/>
    <w:rsid w:val="00332F32"/>
    <w:rsid w:val="0033506E"/>
    <w:rsid w:val="00335BE8"/>
    <w:rsid w:val="00336022"/>
    <w:rsid w:val="0033616B"/>
    <w:rsid w:val="00336BDC"/>
    <w:rsid w:val="003371CD"/>
    <w:rsid w:val="00340D3B"/>
    <w:rsid w:val="00340FFD"/>
    <w:rsid w:val="00341529"/>
    <w:rsid w:val="0034213F"/>
    <w:rsid w:val="0034247A"/>
    <w:rsid w:val="003427A4"/>
    <w:rsid w:val="00342F3C"/>
    <w:rsid w:val="003464A6"/>
    <w:rsid w:val="00347F6B"/>
    <w:rsid w:val="003518AE"/>
    <w:rsid w:val="00351CE9"/>
    <w:rsid w:val="00351F0D"/>
    <w:rsid w:val="00352781"/>
    <w:rsid w:val="00352AC0"/>
    <w:rsid w:val="00352B51"/>
    <w:rsid w:val="00353905"/>
    <w:rsid w:val="00354E1B"/>
    <w:rsid w:val="00362779"/>
    <w:rsid w:val="003628DD"/>
    <w:rsid w:val="00362A45"/>
    <w:rsid w:val="00362B04"/>
    <w:rsid w:val="00362E84"/>
    <w:rsid w:val="003648E3"/>
    <w:rsid w:val="00364A61"/>
    <w:rsid w:val="003651E0"/>
    <w:rsid w:val="00366335"/>
    <w:rsid w:val="00366836"/>
    <w:rsid w:val="00367F9B"/>
    <w:rsid w:val="003722C5"/>
    <w:rsid w:val="0037311C"/>
    <w:rsid w:val="00374FA2"/>
    <w:rsid w:val="00376339"/>
    <w:rsid w:val="003767D5"/>
    <w:rsid w:val="00376E70"/>
    <w:rsid w:val="0037745F"/>
    <w:rsid w:val="0038022B"/>
    <w:rsid w:val="00382879"/>
    <w:rsid w:val="00383698"/>
    <w:rsid w:val="00384574"/>
    <w:rsid w:val="003855E0"/>
    <w:rsid w:val="00386827"/>
    <w:rsid w:val="00386E6B"/>
    <w:rsid w:val="00390DC4"/>
    <w:rsid w:val="00392609"/>
    <w:rsid w:val="00392DBD"/>
    <w:rsid w:val="00394910"/>
    <w:rsid w:val="003963DD"/>
    <w:rsid w:val="00396A41"/>
    <w:rsid w:val="00396B32"/>
    <w:rsid w:val="00397A5E"/>
    <w:rsid w:val="00397AAD"/>
    <w:rsid w:val="003A097E"/>
    <w:rsid w:val="003A1715"/>
    <w:rsid w:val="003A22A0"/>
    <w:rsid w:val="003A2656"/>
    <w:rsid w:val="003A2FB5"/>
    <w:rsid w:val="003A3505"/>
    <w:rsid w:val="003A612C"/>
    <w:rsid w:val="003A6327"/>
    <w:rsid w:val="003B068E"/>
    <w:rsid w:val="003B0970"/>
    <w:rsid w:val="003B2208"/>
    <w:rsid w:val="003B2617"/>
    <w:rsid w:val="003B285E"/>
    <w:rsid w:val="003B2923"/>
    <w:rsid w:val="003B2CAD"/>
    <w:rsid w:val="003B3E4D"/>
    <w:rsid w:val="003B482E"/>
    <w:rsid w:val="003B60CC"/>
    <w:rsid w:val="003B6820"/>
    <w:rsid w:val="003B76C0"/>
    <w:rsid w:val="003C118E"/>
    <w:rsid w:val="003C12CE"/>
    <w:rsid w:val="003C185C"/>
    <w:rsid w:val="003C3004"/>
    <w:rsid w:val="003C32AC"/>
    <w:rsid w:val="003C57AB"/>
    <w:rsid w:val="003C6935"/>
    <w:rsid w:val="003C7B13"/>
    <w:rsid w:val="003D026B"/>
    <w:rsid w:val="003D035E"/>
    <w:rsid w:val="003D039C"/>
    <w:rsid w:val="003D1AD3"/>
    <w:rsid w:val="003D2A67"/>
    <w:rsid w:val="003D3A57"/>
    <w:rsid w:val="003D5C7B"/>
    <w:rsid w:val="003D69EC"/>
    <w:rsid w:val="003E0E80"/>
    <w:rsid w:val="003E1670"/>
    <w:rsid w:val="003E1DB5"/>
    <w:rsid w:val="003E20D0"/>
    <w:rsid w:val="003E33C2"/>
    <w:rsid w:val="003E3994"/>
    <w:rsid w:val="003E4BB1"/>
    <w:rsid w:val="003E625E"/>
    <w:rsid w:val="003E65E1"/>
    <w:rsid w:val="003E6A41"/>
    <w:rsid w:val="003E6C3E"/>
    <w:rsid w:val="003E7F13"/>
    <w:rsid w:val="003F138A"/>
    <w:rsid w:val="003F1831"/>
    <w:rsid w:val="003F1E6C"/>
    <w:rsid w:val="003F4B04"/>
    <w:rsid w:val="003F5565"/>
    <w:rsid w:val="003F5E1D"/>
    <w:rsid w:val="003F64DC"/>
    <w:rsid w:val="003F6B8B"/>
    <w:rsid w:val="00400614"/>
    <w:rsid w:val="004022D7"/>
    <w:rsid w:val="004029AE"/>
    <w:rsid w:val="00405CE0"/>
    <w:rsid w:val="00406035"/>
    <w:rsid w:val="004060F0"/>
    <w:rsid w:val="004067CA"/>
    <w:rsid w:val="0040700E"/>
    <w:rsid w:val="00407E21"/>
    <w:rsid w:val="00407F6A"/>
    <w:rsid w:val="00410061"/>
    <w:rsid w:val="00411BE3"/>
    <w:rsid w:val="004120FD"/>
    <w:rsid w:val="00414272"/>
    <w:rsid w:val="00414667"/>
    <w:rsid w:val="00414AD3"/>
    <w:rsid w:val="0041766C"/>
    <w:rsid w:val="0042052D"/>
    <w:rsid w:val="00422268"/>
    <w:rsid w:val="00423070"/>
    <w:rsid w:val="004230E4"/>
    <w:rsid w:val="00423651"/>
    <w:rsid w:val="0042369D"/>
    <w:rsid w:val="00423C2B"/>
    <w:rsid w:val="004244F4"/>
    <w:rsid w:val="004245C6"/>
    <w:rsid w:val="00424F95"/>
    <w:rsid w:val="00425453"/>
    <w:rsid w:val="00426685"/>
    <w:rsid w:val="00426B91"/>
    <w:rsid w:val="004339BC"/>
    <w:rsid w:val="00433D1B"/>
    <w:rsid w:val="00435649"/>
    <w:rsid w:val="00435681"/>
    <w:rsid w:val="004376CA"/>
    <w:rsid w:val="00437E5F"/>
    <w:rsid w:val="0044103A"/>
    <w:rsid w:val="00441D16"/>
    <w:rsid w:val="004420C5"/>
    <w:rsid w:val="00442E63"/>
    <w:rsid w:val="00444732"/>
    <w:rsid w:val="00445C66"/>
    <w:rsid w:val="0044644C"/>
    <w:rsid w:val="00447D6D"/>
    <w:rsid w:val="00451635"/>
    <w:rsid w:val="00451E86"/>
    <w:rsid w:val="004529B0"/>
    <w:rsid w:val="00452C14"/>
    <w:rsid w:val="00452C4A"/>
    <w:rsid w:val="00452E61"/>
    <w:rsid w:val="0045311D"/>
    <w:rsid w:val="00453786"/>
    <w:rsid w:val="00454503"/>
    <w:rsid w:val="0045539B"/>
    <w:rsid w:val="004569C6"/>
    <w:rsid w:val="00457030"/>
    <w:rsid w:val="00457E2B"/>
    <w:rsid w:val="004622BF"/>
    <w:rsid w:val="00462777"/>
    <w:rsid w:val="00462E67"/>
    <w:rsid w:val="00463505"/>
    <w:rsid w:val="00464E46"/>
    <w:rsid w:val="00465078"/>
    <w:rsid w:val="00465AA0"/>
    <w:rsid w:val="00470029"/>
    <w:rsid w:val="00473141"/>
    <w:rsid w:val="004739A8"/>
    <w:rsid w:val="00475238"/>
    <w:rsid w:val="004767C8"/>
    <w:rsid w:val="00480319"/>
    <w:rsid w:val="00482460"/>
    <w:rsid w:val="004849D4"/>
    <w:rsid w:val="00484D84"/>
    <w:rsid w:val="00485117"/>
    <w:rsid w:val="004861F4"/>
    <w:rsid w:val="00486355"/>
    <w:rsid w:val="0048667B"/>
    <w:rsid w:val="00492F77"/>
    <w:rsid w:val="0049303E"/>
    <w:rsid w:val="00493534"/>
    <w:rsid w:val="00493F5B"/>
    <w:rsid w:val="00496117"/>
    <w:rsid w:val="004977FA"/>
    <w:rsid w:val="00497F50"/>
    <w:rsid w:val="004A2AC8"/>
    <w:rsid w:val="004A4277"/>
    <w:rsid w:val="004A6D37"/>
    <w:rsid w:val="004A76D4"/>
    <w:rsid w:val="004A77B5"/>
    <w:rsid w:val="004A780E"/>
    <w:rsid w:val="004B12E1"/>
    <w:rsid w:val="004B33D5"/>
    <w:rsid w:val="004B3A27"/>
    <w:rsid w:val="004B4399"/>
    <w:rsid w:val="004B5890"/>
    <w:rsid w:val="004B6082"/>
    <w:rsid w:val="004B705F"/>
    <w:rsid w:val="004C1512"/>
    <w:rsid w:val="004C1AC7"/>
    <w:rsid w:val="004C1E34"/>
    <w:rsid w:val="004C3693"/>
    <w:rsid w:val="004C3C2E"/>
    <w:rsid w:val="004C4078"/>
    <w:rsid w:val="004C4403"/>
    <w:rsid w:val="004C6894"/>
    <w:rsid w:val="004C6C88"/>
    <w:rsid w:val="004C7125"/>
    <w:rsid w:val="004C79DB"/>
    <w:rsid w:val="004C7E10"/>
    <w:rsid w:val="004D1826"/>
    <w:rsid w:val="004D3668"/>
    <w:rsid w:val="004D4C2E"/>
    <w:rsid w:val="004D5771"/>
    <w:rsid w:val="004D66CA"/>
    <w:rsid w:val="004D677A"/>
    <w:rsid w:val="004D6EFA"/>
    <w:rsid w:val="004E0565"/>
    <w:rsid w:val="004E0C8C"/>
    <w:rsid w:val="004E12DF"/>
    <w:rsid w:val="004E12FE"/>
    <w:rsid w:val="004E1E05"/>
    <w:rsid w:val="004E30D6"/>
    <w:rsid w:val="004E3DFC"/>
    <w:rsid w:val="004E461A"/>
    <w:rsid w:val="004E4FF4"/>
    <w:rsid w:val="004E575D"/>
    <w:rsid w:val="004E589C"/>
    <w:rsid w:val="004E5986"/>
    <w:rsid w:val="004E6830"/>
    <w:rsid w:val="004E6FF7"/>
    <w:rsid w:val="004E7118"/>
    <w:rsid w:val="004E75A9"/>
    <w:rsid w:val="004E75BD"/>
    <w:rsid w:val="004E7F72"/>
    <w:rsid w:val="004F0EDF"/>
    <w:rsid w:val="004F27ED"/>
    <w:rsid w:val="004F408E"/>
    <w:rsid w:val="004F4860"/>
    <w:rsid w:val="004F5601"/>
    <w:rsid w:val="004F569E"/>
    <w:rsid w:val="004F60B7"/>
    <w:rsid w:val="004F7005"/>
    <w:rsid w:val="00501FF5"/>
    <w:rsid w:val="00503115"/>
    <w:rsid w:val="0050502E"/>
    <w:rsid w:val="0050528C"/>
    <w:rsid w:val="00505C7B"/>
    <w:rsid w:val="00506D9E"/>
    <w:rsid w:val="00506F75"/>
    <w:rsid w:val="00510C06"/>
    <w:rsid w:val="00511328"/>
    <w:rsid w:val="00512D8F"/>
    <w:rsid w:val="00514317"/>
    <w:rsid w:val="005149AB"/>
    <w:rsid w:val="00515A57"/>
    <w:rsid w:val="00515BEB"/>
    <w:rsid w:val="00516163"/>
    <w:rsid w:val="00516B5E"/>
    <w:rsid w:val="00517F4A"/>
    <w:rsid w:val="005202BA"/>
    <w:rsid w:val="00520FC1"/>
    <w:rsid w:val="00521769"/>
    <w:rsid w:val="00521BEC"/>
    <w:rsid w:val="00521EC0"/>
    <w:rsid w:val="00521FD9"/>
    <w:rsid w:val="00523434"/>
    <w:rsid w:val="005239B0"/>
    <w:rsid w:val="005248F4"/>
    <w:rsid w:val="00524C57"/>
    <w:rsid w:val="00525627"/>
    <w:rsid w:val="005265B5"/>
    <w:rsid w:val="00526D6F"/>
    <w:rsid w:val="00526EA8"/>
    <w:rsid w:val="0053001F"/>
    <w:rsid w:val="005335A3"/>
    <w:rsid w:val="005335FD"/>
    <w:rsid w:val="00534FA4"/>
    <w:rsid w:val="005359D4"/>
    <w:rsid w:val="0053622B"/>
    <w:rsid w:val="005362DD"/>
    <w:rsid w:val="0053701A"/>
    <w:rsid w:val="00537660"/>
    <w:rsid w:val="00537741"/>
    <w:rsid w:val="00540688"/>
    <w:rsid w:val="00541AF7"/>
    <w:rsid w:val="00544B96"/>
    <w:rsid w:val="005451C7"/>
    <w:rsid w:val="005451FD"/>
    <w:rsid w:val="00545D2C"/>
    <w:rsid w:val="00546862"/>
    <w:rsid w:val="00547470"/>
    <w:rsid w:val="00547EC7"/>
    <w:rsid w:val="00551B90"/>
    <w:rsid w:val="00551C21"/>
    <w:rsid w:val="00552156"/>
    <w:rsid w:val="00552839"/>
    <w:rsid w:val="00552E16"/>
    <w:rsid w:val="005535E0"/>
    <w:rsid w:val="00553956"/>
    <w:rsid w:val="00554EBD"/>
    <w:rsid w:val="00555B7E"/>
    <w:rsid w:val="00560133"/>
    <w:rsid w:val="0056089F"/>
    <w:rsid w:val="00562117"/>
    <w:rsid w:val="00563C66"/>
    <w:rsid w:val="00565493"/>
    <w:rsid w:val="005655E9"/>
    <w:rsid w:val="00565CC9"/>
    <w:rsid w:val="00566AD0"/>
    <w:rsid w:val="0057136F"/>
    <w:rsid w:val="00573360"/>
    <w:rsid w:val="00573B2B"/>
    <w:rsid w:val="00574788"/>
    <w:rsid w:val="00575000"/>
    <w:rsid w:val="005754CC"/>
    <w:rsid w:val="00577B3E"/>
    <w:rsid w:val="005808C1"/>
    <w:rsid w:val="005822AA"/>
    <w:rsid w:val="0058250F"/>
    <w:rsid w:val="00583507"/>
    <w:rsid w:val="0058388B"/>
    <w:rsid w:val="00584059"/>
    <w:rsid w:val="00584687"/>
    <w:rsid w:val="00586D5B"/>
    <w:rsid w:val="00587D9C"/>
    <w:rsid w:val="00590A7F"/>
    <w:rsid w:val="00590A9F"/>
    <w:rsid w:val="00590AF2"/>
    <w:rsid w:val="00590F17"/>
    <w:rsid w:val="00591414"/>
    <w:rsid w:val="005917E7"/>
    <w:rsid w:val="005921D6"/>
    <w:rsid w:val="005955B4"/>
    <w:rsid w:val="00595CAD"/>
    <w:rsid w:val="00596116"/>
    <w:rsid w:val="005964E7"/>
    <w:rsid w:val="00596E00"/>
    <w:rsid w:val="00596E42"/>
    <w:rsid w:val="00596FF1"/>
    <w:rsid w:val="005A0D73"/>
    <w:rsid w:val="005A0D85"/>
    <w:rsid w:val="005A0DDC"/>
    <w:rsid w:val="005A108E"/>
    <w:rsid w:val="005A1521"/>
    <w:rsid w:val="005A1DE3"/>
    <w:rsid w:val="005A217C"/>
    <w:rsid w:val="005A29C1"/>
    <w:rsid w:val="005A2B3F"/>
    <w:rsid w:val="005A4882"/>
    <w:rsid w:val="005A513D"/>
    <w:rsid w:val="005A7BA2"/>
    <w:rsid w:val="005B0844"/>
    <w:rsid w:val="005B1C2A"/>
    <w:rsid w:val="005B4724"/>
    <w:rsid w:val="005B510E"/>
    <w:rsid w:val="005B5B1D"/>
    <w:rsid w:val="005B6808"/>
    <w:rsid w:val="005B6BC1"/>
    <w:rsid w:val="005B767A"/>
    <w:rsid w:val="005C0838"/>
    <w:rsid w:val="005C1157"/>
    <w:rsid w:val="005C1D25"/>
    <w:rsid w:val="005C22F4"/>
    <w:rsid w:val="005C38C8"/>
    <w:rsid w:val="005C3AA4"/>
    <w:rsid w:val="005C4203"/>
    <w:rsid w:val="005C4ABD"/>
    <w:rsid w:val="005C520D"/>
    <w:rsid w:val="005C52FC"/>
    <w:rsid w:val="005D0D7C"/>
    <w:rsid w:val="005D10C7"/>
    <w:rsid w:val="005D2281"/>
    <w:rsid w:val="005D3775"/>
    <w:rsid w:val="005D3EEB"/>
    <w:rsid w:val="005D4BFB"/>
    <w:rsid w:val="005D4FB7"/>
    <w:rsid w:val="005D5477"/>
    <w:rsid w:val="005D621B"/>
    <w:rsid w:val="005D6ACA"/>
    <w:rsid w:val="005D7F48"/>
    <w:rsid w:val="005E00AB"/>
    <w:rsid w:val="005E04FC"/>
    <w:rsid w:val="005E0753"/>
    <w:rsid w:val="005E0818"/>
    <w:rsid w:val="005E113D"/>
    <w:rsid w:val="005E181E"/>
    <w:rsid w:val="005E1D53"/>
    <w:rsid w:val="005E3124"/>
    <w:rsid w:val="005E398C"/>
    <w:rsid w:val="005E3D3A"/>
    <w:rsid w:val="005E4354"/>
    <w:rsid w:val="005E551D"/>
    <w:rsid w:val="005E5E89"/>
    <w:rsid w:val="005E63AE"/>
    <w:rsid w:val="005E6C71"/>
    <w:rsid w:val="005E6D81"/>
    <w:rsid w:val="005F0829"/>
    <w:rsid w:val="005F0E9C"/>
    <w:rsid w:val="005F403A"/>
    <w:rsid w:val="005F49F9"/>
    <w:rsid w:val="005F65D6"/>
    <w:rsid w:val="005F669F"/>
    <w:rsid w:val="005F6BB8"/>
    <w:rsid w:val="005F7455"/>
    <w:rsid w:val="00600681"/>
    <w:rsid w:val="00600B99"/>
    <w:rsid w:val="00600EC4"/>
    <w:rsid w:val="00601397"/>
    <w:rsid w:val="006037E7"/>
    <w:rsid w:val="006045C7"/>
    <w:rsid w:val="006053B4"/>
    <w:rsid w:val="00607F9B"/>
    <w:rsid w:val="00610D66"/>
    <w:rsid w:val="00612C29"/>
    <w:rsid w:val="00613251"/>
    <w:rsid w:val="00613F74"/>
    <w:rsid w:val="006141CD"/>
    <w:rsid w:val="00614596"/>
    <w:rsid w:val="00614EDE"/>
    <w:rsid w:val="006157EC"/>
    <w:rsid w:val="00616589"/>
    <w:rsid w:val="00616934"/>
    <w:rsid w:val="00617F09"/>
    <w:rsid w:val="00620171"/>
    <w:rsid w:val="00622831"/>
    <w:rsid w:val="00622B3A"/>
    <w:rsid w:val="006235F1"/>
    <w:rsid w:val="00623984"/>
    <w:rsid w:val="00623FD6"/>
    <w:rsid w:val="0062416A"/>
    <w:rsid w:val="006243A3"/>
    <w:rsid w:val="006243B3"/>
    <w:rsid w:val="006243E6"/>
    <w:rsid w:val="006244A0"/>
    <w:rsid w:val="00624CBB"/>
    <w:rsid w:val="006277EA"/>
    <w:rsid w:val="006319C4"/>
    <w:rsid w:val="00632EF9"/>
    <w:rsid w:val="00633082"/>
    <w:rsid w:val="006379CB"/>
    <w:rsid w:val="00637E13"/>
    <w:rsid w:val="00641554"/>
    <w:rsid w:val="00643209"/>
    <w:rsid w:val="00645EFE"/>
    <w:rsid w:val="00646B92"/>
    <w:rsid w:val="00646BAB"/>
    <w:rsid w:val="00646E7E"/>
    <w:rsid w:val="00647763"/>
    <w:rsid w:val="00647BD9"/>
    <w:rsid w:val="00651A6A"/>
    <w:rsid w:val="00652025"/>
    <w:rsid w:val="00652D4E"/>
    <w:rsid w:val="006541FA"/>
    <w:rsid w:val="00654634"/>
    <w:rsid w:val="006548E2"/>
    <w:rsid w:val="00656586"/>
    <w:rsid w:val="00657D08"/>
    <w:rsid w:val="00657E7C"/>
    <w:rsid w:val="0066187F"/>
    <w:rsid w:val="00662D19"/>
    <w:rsid w:val="00663F31"/>
    <w:rsid w:val="0066543C"/>
    <w:rsid w:val="00667094"/>
    <w:rsid w:val="00667482"/>
    <w:rsid w:val="006675EB"/>
    <w:rsid w:val="00667797"/>
    <w:rsid w:val="00667A11"/>
    <w:rsid w:val="00670E58"/>
    <w:rsid w:val="00671558"/>
    <w:rsid w:val="00671606"/>
    <w:rsid w:val="00671803"/>
    <w:rsid w:val="006743BD"/>
    <w:rsid w:val="00675485"/>
    <w:rsid w:val="00675CEA"/>
    <w:rsid w:val="00676868"/>
    <w:rsid w:val="00677C9F"/>
    <w:rsid w:val="00680915"/>
    <w:rsid w:val="0068125F"/>
    <w:rsid w:val="00681A5E"/>
    <w:rsid w:val="00682123"/>
    <w:rsid w:val="00682FE5"/>
    <w:rsid w:val="006830F5"/>
    <w:rsid w:val="00683798"/>
    <w:rsid w:val="0068419F"/>
    <w:rsid w:val="006846A5"/>
    <w:rsid w:val="00685313"/>
    <w:rsid w:val="00685A41"/>
    <w:rsid w:val="00686BE3"/>
    <w:rsid w:val="0069013B"/>
    <w:rsid w:val="0069255A"/>
    <w:rsid w:val="00694454"/>
    <w:rsid w:val="006945BD"/>
    <w:rsid w:val="00694AAE"/>
    <w:rsid w:val="00695D5B"/>
    <w:rsid w:val="006970E5"/>
    <w:rsid w:val="006A096B"/>
    <w:rsid w:val="006A106D"/>
    <w:rsid w:val="006A117F"/>
    <w:rsid w:val="006A29F3"/>
    <w:rsid w:val="006A2D3A"/>
    <w:rsid w:val="006A39E9"/>
    <w:rsid w:val="006A3B44"/>
    <w:rsid w:val="006A3E8A"/>
    <w:rsid w:val="006A6323"/>
    <w:rsid w:val="006A6EC2"/>
    <w:rsid w:val="006B0B3D"/>
    <w:rsid w:val="006B194C"/>
    <w:rsid w:val="006B1E88"/>
    <w:rsid w:val="006B27AA"/>
    <w:rsid w:val="006B3E2C"/>
    <w:rsid w:val="006B4722"/>
    <w:rsid w:val="006B6996"/>
    <w:rsid w:val="006B6B6F"/>
    <w:rsid w:val="006C0244"/>
    <w:rsid w:val="006C179B"/>
    <w:rsid w:val="006C1862"/>
    <w:rsid w:val="006C38C3"/>
    <w:rsid w:val="006C42C9"/>
    <w:rsid w:val="006C57D6"/>
    <w:rsid w:val="006C6284"/>
    <w:rsid w:val="006C660D"/>
    <w:rsid w:val="006C6AB3"/>
    <w:rsid w:val="006C729C"/>
    <w:rsid w:val="006C7489"/>
    <w:rsid w:val="006C7607"/>
    <w:rsid w:val="006C7DEF"/>
    <w:rsid w:val="006C7E13"/>
    <w:rsid w:val="006D0180"/>
    <w:rsid w:val="006D063E"/>
    <w:rsid w:val="006D0E66"/>
    <w:rsid w:val="006D2845"/>
    <w:rsid w:val="006D32C4"/>
    <w:rsid w:val="006D3744"/>
    <w:rsid w:val="006D3A79"/>
    <w:rsid w:val="006D4879"/>
    <w:rsid w:val="006D6235"/>
    <w:rsid w:val="006D7573"/>
    <w:rsid w:val="006E17C5"/>
    <w:rsid w:val="006E1B0F"/>
    <w:rsid w:val="006E2422"/>
    <w:rsid w:val="006E3776"/>
    <w:rsid w:val="006E3E0E"/>
    <w:rsid w:val="006E56CD"/>
    <w:rsid w:val="006E6D87"/>
    <w:rsid w:val="006E7BAC"/>
    <w:rsid w:val="006F146E"/>
    <w:rsid w:val="006F3ABD"/>
    <w:rsid w:val="006F4AB4"/>
    <w:rsid w:val="006F51F6"/>
    <w:rsid w:val="006F5541"/>
    <w:rsid w:val="006F59CA"/>
    <w:rsid w:val="006F6A3B"/>
    <w:rsid w:val="006F72A7"/>
    <w:rsid w:val="00700029"/>
    <w:rsid w:val="007001CA"/>
    <w:rsid w:val="0070067C"/>
    <w:rsid w:val="007013AC"/>
    <w:rsid w:val="0070154E"/>
    <w:rsid w:val="007020E5"/>
    <w:rsid w:val="0070301C"/>
    <w:rsid w:val="00703D2A"/>
    <w:rsid w:val="00704F59"/>
    <w:rsid w:val="007055A3"/>
    <w:rsid w:val="00705831"/>
    <w:rsid w:val="007102B2"/>
    <w:rsid w:val="00713D07"/>
    <w:rsid w:val="007140B9"/>
    <w:rsid w:val="00715581"/>
    <w:rsid w:val="00715DD5"/>
    <w:rsid w:val="00721C37"/>
    <w:rsid w:val="00722829"/>
    <w:rsid w:val="0072286D"/>
    <w:rsid w:val="00722DA2"/>
    <w:rsid w:val="00722EA1"/>
    <w:rsid w:val="00723629"/>
    <w:rsid w:val="0072366F"/>
    <w:rsid w:val="00723749"/>
    <w:rsid w:val="0072544A"/>
    <w:rsid w:val="00725AA6"/>
    <w:rsid w:val="00726752"/>
    <w:rsid w:val="0073006F"/>
    <w:rsid w:val="007302D7"/>
    <w:rsid w:val="00730F04"/>
    <w:rsid w:val="00731310"/>
    <w:rsid w:val="007314EF"/>
    <w:rsid w:val="00732DF4"/>
    <w:rsid w:val="00732F30"/>
    <w:rsid w:val="0073373C"/>
    <w:rsid w:val="0073678D"/>
    <w:rsid w:val="00736B4B"/>
    <w:rsid w:val="007402FF"/>
    <w:rsid w:val="00740554"/>
    <w:rsid w:val="00740B65"/>
    <w:rsid w:val="00741B67"/>
    <w:rsid w:val="00741BC8"/>
    <w:rsid w:val="007422FD"/>
    <w:rsid w:val="007432BE"/>
    <w:rsid w:val="0074405F"/>
    <w:rsid w:val="007445D1"/>
    <w:rsid w:val="007452AA"/>
    <w:rsid w:val="007455AC"/>
    <w:rsid w:val="007473EE"/>
    <w:rsid w:val="0074746B"/>
    <w:rsid w:val="00747CDF"/>
    <w:rsid w:val="0075009E"/>
    <w:rsid w:val="00751BC6"/>
    <w:rsid w:val="00753029"/>
    <w:rsid w:val="00753F17"/>
    <w:rsid w:val="0075496D"/>
    <w:rsid w:val="00755AEC"/>
    <w:rsid w:val="00755B5B"/>
    <w:rsid w:val="00756377"/>
    <w:rsid w:val="00756E23"/>
    <w:rsid w:val="00756F75"/>
    <w:rsid w:val="00757DEA"/>
    <w:rsid w:val="00760587"/>
    <w:rsid w:val="00762361"/>
    <w:rsid w:val="00763660"/>
    <w:rsid w:val="00764013"/>
    <w:rsid w:val="007647F2"/>
    <w:rsid w:val="00765148"/>
    <w:rsid w:val="00765BB0"/>
    <w:rsid w:val="00767F8D"/>
    <w:rsid w:val="007704BE"/>
    <w:rsid w:val="007720BA"/>
    <w:rsid w:val="00772376"/>
    <w:rsid w:val="007729D9"/>
    <w:rsid w:val="00772CA2"/>
    <w:rsid w:val="00772ED4"/>
    <w:rsid w:val="00773676"/>
    <w:rsid w:val="00776FC8"/>
    <w:rsid w:val="007775B9"/>
    <w:rsid w:val="00777E04"/>
    <w:rsid w:val="00780095"/>
    <w:rsid w:val="00783731"/>
    <w:rsid w:val="007839CA"/>
    <w:rsid w:val="00785F8F"/>
    <w:rsid w:val="00787429"/>
    <w:rsid w:val="00787609"/>
    <w:rsid w:val="00787E23"/>
    <w:rsid w:val="00790010"/>
    <w:rsid w:val="0079067E"/>
    <w:rsid w:val="00790FB6"/>
    <w:rsid w:val="007914F8"/>
    <w:rsid w:val="00791AA4"/>
    <w:rsid w:val="00794C37"/>
    <w:rsid w:val="00795549"/>
    <w:rsid w:val="0079601A"/>
    <w:rsid w:val="007972FD"/>
    <w:rsid w:val="00797813"/>
    <w:rsid w:val="007A114A"/>
    <w:rsid w:val="007A19F4"/>
    <w:rsid w:val="007A1DAD"/>
    <w:rsid w:val="007A2083"/>
    <w:rsid w:val="007A2F11"/>
    <w:rsid w:val="007A3E63"/>
    <w:rsid w:val="007A4A54"/>
    <w:rsid w:val="007A680D"/>
    <w:rsid w:val="007B0A76"/>
    <w:rsid w:val="007B0DFB"/>
    <w:rsid w:val="007B2A64"/>
    <w:rsid w:val="007B2F84"/>
    <w:rsid w:val="007B3EA9"/>
    <w:rsid w:val="007B461B"/>
    <w:rsid w:val="007B5306"/>
    <w:rsid w:val="007B5F09"/>
    <w:rsid w:val="007B5FC7"/>
    <w:rsid w:val="007B604C"/>
    <w:rsid w:val="007B6ED6"/>
    <w:rsid w:val="007B79D3"/>
    <w:rsid w:val="007C0068"/>
    <w:rsid w:val="007C0867"/>
    <w:rsid w:val="007C0CC0"/>
    <w:rsid w:val="007C1AA8"/>
    <w:rsid w:val="007C2D52"/>
    <w:rsid w:val="007C3769"/>
    <w:rsid w:val="007C3B5C"/>
    <w:rsid w:val="007C43AC"/>
    <w:rsid w:val="007C46A9"/>
    <w:rsid w:val="007C4931"/>
    <w:rsid w:val="007C5FBD"/>
    <w:rsid w:val="007C67F7"/>
    <w:rsid w:val="007C73F4"/>
    <w:rsid w:val="007C7B9A"/>
    <w:rsid w:val="007D2A64"/>
    <w:rsid w:val="007D2E73"/>
    <w:rsid w:val="007D31D6"/>
    <w:rsid w:val="007D567D"/>
    <w:rsid w:val="007D589C"/>
    <w:rsid w:val="007D656E"/>
    <w:rsid w:val="007D69C6"/>
    <w:rsid w:val="007D79AD"/>
    <w:rsid w:val="007D7C17"/>
    <w:rsid w:val="007E080B"/>
    <w:rsid w:val="007E34B0"/>
    <w:rsid w:val="007E3843"/>
    <w:rsid w:val="007E3B79"/>
    <w:rsid w:val="007E557F"/>
    <w:rsid w:val="007E65A5"/>
    <w:rsid w:val="007E6E57"/>
    <w:rsid w:val="007E7509"/>
    <w:rsid w:val="007F02C1"/>
    <w:rsid w:val="007F04CF"/>
    <w:rsid w:val="007F1149"/>
    <w:rsid w:val="007F16DE"/>
    <w:rsid w:val="007F24F6"/>
    <w:rsid w:val="007F2F1B"/>
    <w:rsid w:val="007F3586"/>
    <w:rsid w:val="007F3AF6"/>
    <w:rsid w:val="007F4DA9"/>
    <w:rsid w:val="007F6FD4"/>
    <w:rsid w:val="007F739E"/>
    <w:rsid w:val="00800ECC"/>
    <w:rsid w:val="0080162E"/>
    <w:rsid w:val="00803231"/>
    <w:rsid w:val="008032C1"/>
    <w:rsid w:val="0080358B"/>
    <w:rsid w:val="008035E3"/>
    <w:rsid w:val="0080394E"/>
    <w:rsid w:val="00805964"/>
    <w:rsid w:val="00805B75"/>
    <w:rsid w:val="00806415"/>
    <w:rsid w:val="00806838"/>
    <w:rsid w:val="00810777"/>
    <w:rsid w:val="00811E8B"/>
    <w:rsid w:val="008143AB"/>
    <w:rsid w:val="00814A6D"/>
    <w:rsid w:val="0081533D"/>
    <w:rsid w:val="008160DF"/>
    <w:rsid w:val="008167A4"/>
    <w:rsid w:val="00816C52"/>
    <w:rsid w:val="0081752A"/>
    <w:rsid w:val="00820299"/>
    <w:rsid w:val="00822173"/>
    <w:rsid w:val="00822295"/>
    <w:rsid w:val="00823CA6"/>
    <w:rsid w:val="00825DE8"/>
    <w:rsid w:val="00826526"/>
    <w:rsid w:val="008265F0"/>
    <w:rsid w:val="00826CC0"/>
    <w:rsid w:val="00826D51"/>
    <w:rsid w:val="00827193"/>
    <w:rsid w:val="008303EA"/>
    <w:rsid w:val="00832250"/>
    <w:rsid w:val="0083226A"/>
    <w:rsid w:val="00832424"/>
    <w:rsid w:val="0083368C"/>
    <w:rsid w:val="00833DC3"/>
    <w:rsid w:val="008344F7"/>
    <w:rsid w:val="0083554A"/>
    <w:rsid w:val="00837BDF"/>
    <w:rsid w:val="008417B2"/>
    <w:rsid w:val="00842783"/>
    <w:rsid w:val="00842938"/>
    <w:rsid w:val="008430E7"/>
    <w:rsid w:val="0084339A"/>
    <w:rsid w:val="008436CE"/>
    <w:rsid w:val="00843A16"/>
    <w:rsid w:val="00844748"/>
    <w:rsid w:val="00844F67"/>
    <w:rsid w:val="00845D68"/>
    <w:rsid w:val="00847DD7"/>
    <w:rsid w:val="00851D9E"/>
    <w:rsid w:val="0085253F"/>
    <w:rsid w:val="00852F08"/>
    <w:rsid w:val="00853CB4"/>
    <w:rsid w:val="00854085"/>
    <w:rsid w:val="00855545"/>
    <w:rsid w:val="00860E17"/>
    <w:rsid w:val="008623B8"/>
    <w:rsid w:val="00863547"/>
    <w:rsid w:val="00863625"/>
    <w:rsid w:val="0086389E"/>
    <w:rsid w:val="00864684"/>
    <w:rsid w:val="00865479"/>
    <w:rsid w:val="00865EEF"/>
    <w:rsid w:val="00867E8A"/>
    <w:rsid w:val="00870413"/>
    <w:rsid w:val="00872987"/>
    <w:rsid w:val="00872C2F"/>
    <w:rsid w:val="00872EB7"/>
    <w:rsid w:val="0087347C"/>
    <w:rsid w:val="008739D8"/>
    <w:rsid w:val="0087508F"/>
    <w:rsid w:val="00875C01"/>
    <w:rsid w:val="00876612"/>
    <w:rsid w:val="00877A16"/>
    <w:rsid w:val="008804DA"/>
    <w:rsid w:val="00882517"/>
    <w:rsid w:val="008825DE"/>
    <w:rsid w:val="00882992"/>
    <w:rsid w:val="00883530"/>
    <w:rsid w:val="0088376C"/>
    <w:rsid w:val="00883D92"/>
    <w:rsid w:val="00886052"/>
    <w:rsid w:val="00886E2C"/>
    <w:rsid w:val="00886EA7"/>
    <w:rsid w:val="008870F0"/>
    <w:rsid w:val="00887C2C"/>
    <w:rsid w:val="008906A2"/>
    <w:rsid w:val="00890DFC"/>
    <w:rsid w:val="00891ABB"/>
    <w:rsid w:val="008924FB"/>
    <w:rsid w:val="00892E78"/>
    <w:rsid w:val="00894F5C"/>
    <w:rsid w:val="0089690B"/>
    <w:rsid w:val="00897DD7"/>
    <w:rsid w:val="00897F4A"/>
    <w:rsid w:val="008A068A"/>
    <w:rsid w:val="008A188D"/>
    <w:rsid w:val="008A3446"/>
    <w:rsid w:val="008A3C20"/>
    <w:rsid w:val="008A553F"/>
    <w:rsid w:val="008A66A3"/>
    <w:rsid w:val="008B05A6"/>
    <w:rsid w:val="008B0AF8"/>
    <w:rsid w:val="008B127C"/>
    <w:rsid w:val="008B1ECA"/>
    <w:rsid w:val="008B25D6"/>
    <w:rsid w:val="008B313C"/>
    <w:rsid w:val="008B44AC"/>
    <w:rsid w:val="008B528D"/>
    <w:rsid w:val="008B7E62"/>
    <w:rsid w:val="008C0362"/>
    <w:rsid w:val="008C0D77"/>
    <w:rsid w:val="008C0F3B"/>
    <w:rsid w:val="008C4404"/>
    <w:rsid w:val="008C628A"/>
    <w:rsid w:val="008C637D"/>
    <w:rsid w:val="008C64A0"/>
    <w:rsid w:val="008C7506"/>
    <w:rsid w:val="008C78BD"/>
    <w:rsid w:val="008C78E6"/>
    <w:rsid w:val="008D1121"/>
    <w:rsid w:val="008D196B"/>
    <w:rsid w:val="008D199F"/>
    <w:rsid w:val="008D19B7"/>
    <w:rsid w:val="008D2212"/>
    <w:rsid w:val="008D2244"/>
    <w:rsid w:val="008D247A"/>
    <w:rsid w:val="008D747B"/>
    <w:rsid w:val="008E0E6B"/>
    <w:rsid w:val="008E2215"/>
    <w:rsid w:val="008E2343"/>
    <w:rsid w:val="008E3450"/>
    <w:rsid w:val="008E3F31"/>
    <w:rsid w:val="008E4F4A"/>
    <w:rsid w:val="008F0D67"/>
    <w:rsid w:val="008F0EB0"/>
    <w:rsid w:val="008F1F7D"/>
    <w:rsid w:val="008F2D98"/>
    <w:rsid w:val="008F3BF5"/>
    <w:rsid w:val="008F52F7"/>
    <w:rsid w:val="008F7B9D"/>
    <w:rsid w:val="00900E28"/>
    <w:rsid w:val="00902875"/>
    <w:rsid w:val="00904062"/>
    <w:rsid w:val="00904AE8"/>
    <w:rsid w:val="00904E42"/>
    <w:rsid w:val="00905813"/>
    <w:rsid w:val="00905CE6"/>
    <w:rsid w:val="00906F07"/>
    <w:rsid w:val="00907A6F"/>
    <w:rsid w:val="00910B28"/>
    <w:rsid w:val="00910C13"/>
    <w:rsid w:val="00913359"/>
    <w:rsid w:val="00914961"/>
    <w:rsid w:val="00915710"/>
    <w:rsid w:val="00916411"/>
    <w:rsid w:val="0091747D"/>
    <w:rsid w:val="0092140A"/>
    <w:rsid w:val="009215BA"/>
    <w:rsid w:val="00922598"/>
    <w:rsid w:val="00922E04"/>
    <w:rsid w:val="00923418"/>
    <w:rsid w:val="009246A0"/>
    <w:rsid w:val="009307A6"/>
    <w:rsid w:val="00930E59"/>
    <w:rsid w:val="00932D25"/>
    <w:rsid w:val="00933405"/>
    <w:rsid w:val="00936D14"/>
    <w:rsid w:val="00936E07"/>
    <w:rsid w:val="00937557"/>
    <w:rsid w:val="00937BBB"/>
    <w:rsid w:val="00937BC1"/>
    <w:rsid w:val="0094099F"/>
    <w:rsid w:val="00940C4B"/>
    <w:rsid w:val="00941C80"/>
    <w:rsid w:val="00942482"/>
    <w:rsid w:val="00942C58"/>
    <w:rsid w:val="00942D66"/>
    <w:rsid w:val="00942F1C"/>
    <w:rsid w:val="00944082"/>
    <w:rsid w:val="00945317"/>
    <w:rsid w:val="00945562"/>
    <w:rsid w:val="0094569B"/>
    <w:rsid w:val="0094652D"/>
    <w:rsid w:val="009466D4"/>
    <w:rsid w:val="009468F1"/>
    <w:rsid w:val="00947C4B"/>
    <w:rsid w:val="00950201"/>
    <w:rsid w:val="00950680"/>
    <w:rsid w:val="009521B1"/>
    <w:rsid w:val="00952B92"/>
    <w:rsid w:val="00953327"/>
    <w:rsid w:val="00954B1D"/>
    <w:rsid w:val="00954C79"/>
    <w:rsid w:val="00956118"/>
    <w:rsid w:val="00957F6D"/>
    <w:rsid w:val="00960653"/>
    <w:rsid w:val="0096090C"/>
    <w:rsid w:val="00961680"/>
    <w:rsid w:val="0096293C"/>
    <w:rsid w:val="00962A69"/>
    <w:rsid w:val="00963307"/>
    <w:rsid w:val="009637D3"/>
    <w:rsid w:val="00963B93"/>
    <w:rsid w:val="00963C8F"/>
    <w:rsid w:val="0096539E"/>
    <w:rsid w:val="009661EF"/>
    <w:rsid w:val="009674FF"/>
    <w:rsid w:val="00967DA8"/>
    <w:rsid w:val="00972BEC"/>
    <w:rsid w:val="0097413E"/>
    <w:rsid w:val="0097737A"/>
    <w:rsid w:val="00977F39"/>
    <w:rsid w:val="00977F7A"/>
    <w:rsid w:val="00981405"/>
    <w:rsid w:val="00981A94"/>
    <w:rsid w:val="00981D47"/>
    <w:rsid w:val="00982C22"/>
    <w:rsid w:val="00983569"/>
    <w:rsid w:val="009836A0"/>
    <w:rsid w:val="009843E5"/>
    <w:rsid w:val="00984B0D"/>
    <w:rsid w:val="009851BA"/>
    <w:rsid w:val="00985CE7"/>
    <w:rsid w:val="00985F5D"/>
    <w:rsid w:val="0098796A"/>
    <w:rsid w:val="0099006E"/>
    <w:rsid w:val="009914F5"/>
    <w:rsid w:val="00991BDF"/>
    <w:rsid w:val="0099215A"/>
    <w:rsid w:val="00992720"/>
    <w:rsid w:val="00992DA4"/>
    <w:rsid w:val="009939CD"/>
    <w:rsid w:val="009943E7"/>
    <w:rsid w:val="0099768D"/>
    <w:rsid w:val="00997B08"/>
    <w:rsid w:val="00997E12"/>
    <w:rsid w:val="00997E86"/>
    <w:rsid w:val="009A1E01"/>
    <w:rsid w:val="009A3A68"/>
    <w:rsid w:val="009A45C7"/>
    <w:rsid w:val="009A5B2B"/>
    <w:rsid w:val="009A5E85"/>
    <w:rsid w:val="009A6B46"/>
    <w:rsid w:val="009A7785"/>
    <w:rsid w:val="009B0AEC"/>
    <w:rsid w:val="009B12B3"/>
    <w:rsid w:val="009B3662"/>
    <w:rsid w:val="009B67A8"/>
    <w:rsid w:val="009B7466"/>
    <w:rsid w:val="009C1BD3"/>
    <w:rsid w:val="009C20CB"/>
    <w:rsid w:val="009C4204"/>
    <w:rsid w:val="009C57FD"/>
    <w:rsid w:val="009C5CA6"/>
    <w:rsid w:val="009C5FBB"/>
    <w:rsid w:val="009C7C14"/>
    <w:rsid w:val="009D1463"/>
    <w:rsid w:val="009D2BE9"/>
    <w:rsid w:val="009D4B91"/>
    <w:rsid w:val="009E0D99"/>
    <w:rsid w:val="009E1555"/>
    <w:rsid w:val="009E1B27"/>
    <w:rsid w:val="009E24E1"/>
    <w:rsid w:val="009E2E7D"/>
    <w:rsid w:val="009E36DC"/>
    <w:rsid w:val="009E3DBD"/>
    <w:rsid w:val="009E5C91"/>
    <w:rsid w:val="009E6836"/>
    <w:rsid w:val="009F07BE"/>
    <w:rsid w:val="009F0A0E"/>
    <w:rsid w:val="009F1597"/>
    <w:rsid w:val="009F2284"/>
    <w:rsid w:val="009F326B"/>
    <w:rsid w:val="009F3813"/>
    <w:rsid w:val="009F3A47"/>
    <w:rsid w:val="009F3B13"/>
    <w:rsid w:val="009F5BDF"/>
    <w:rsid w:val="009F5FED"/>
    <w:rsid w:val="009F751E"/>
    <w:rsid w:val="009F75F3"/>
    <w:rsid w:val="009F7669"/>
    <w:rsid w:val="00A0142C"/>
    <w:rsid w:val="00A029B5"/>
    <w:rsid w:val="00A04018"/>
    <w:rsid w:val="00A04801"/>
    <w:rsid w:val="00A057EF"/>
    <w:rsid w:val="00A05AD0"/>
    <w:rsid w:val="00A05F8F"/>
    <w:rsid w:val="00A061A0"/>
    <w:rsid w:val="00A06201"/>
    <w:rsid w:val="00A06C29"/>
    <w:rsid w:val="00A07276"/>
    <w:rsid w:val="00A07CC8"/>
    <w:rsid w:val="00A07FD5"/>
    <w:rsid w:val="00A13B2B"/>
    <w:rsid w:val="00A167B6"/>
    <w:rsid w:val="00A16FAD"/>
    <w:rsid w:val="00A17804"/>
    <w:rsid w:val="00A22793"/>
    <w:rsid w:val="00A2508C"/>
    <w:rsid w:val="00A25172"/>
    <w:rsid w:val="00A25CB2"/>
    <w:rsid w:val="00A25E0C"/>
    <w:rsid w:val="00A26F38"/>
    <w:rsid w:val="00A3087D"/>
    <w:rsid w:val="00A30E8B"/>
    <w:rsid w:val="00A31469"/>
    <w:rsid w:val="00A31852"/>
    <w:rsid w:val="00A31F36"/>
    <w:rsid w:val="00A3234C"/>
    <w:rsid w:val="00A327A2"/>
    <w:rsid w:val="00A32E25"/>
    <w:rsid w:val="00A32EC1"/>
    <w:rsid w:val="00A33A94"/>
    <w:rsid w:val="00A34E12"/>
    <w:rsid w:val="00A35F5D"/>
    <w:rsid w:val="00A374AC"/>
    <w:rsid w:val="00A40652"/>
    <w:rsid w:val="00A408C4"/>
    <w:rsid w:val="00A42BA2"/>
    <w:rsid w:val="00A436C2"/>
    <w:rsid w:val="00A438E1"/>
    <w:rsid w:val="00A43EBA"/>
    <w:rsid w:val="00A44383"/>
    <w:rsid w:val="00A44813"/>
    <w:rsid w:val="00A463C8"/>
    <w:rsid w:val="00A46418"/>
    <w:rsid w:val="00A472E3"/>
    <w:rsid w:val="00A51631"/>
    <w:rsid w:val="00A5260A"/>
    <w:rsid w:val="00A57123"/>
    <w:rsid w:val="00A57A1E"/>
    <w:rsid w:val="00A57A61"/>
    <w:rsid w:val="00A61EC6"/>
    <w:rsid w:val="00A621F0"/>
    <w:rsid w:val="00A62C57"/>
    <w:rsid w:val="00A631E1"/>
    <w:rsid w:val="00A63387"/>
    <w:rsid w:val="00A63BFC"/>
    <w:rsid w:val="00A6490E"/>
    <w:rsid w:val="00A66441"/>
    <w:rsid w:val="00A7121D"/>
    <w:rsid w:val="00A71EC9"/>
    <w:rsid w:val="00A738D6"/>
    <w:rsid w:val="00A73CBA"/>
    <w:rsid w:val="00A75E15"/>
    <w:rsid w:val="00A760B1"/>
    <w:rsid w:val="00A77677"/>
    <w:rsid w:val="00A80EDF"/>
    <w:rsid w:val="00A82DFF"/>
    <w:rsid w:val="00A842CF"/>
    <w:rsid w:val="00A847B8"/>
    <w:rsid w:val="00A90D34"/>
    <w:rsid w:val="00A9115C"/>
    <w:rsid w:val="00A916F9"/>
    <w:rsid w:val="00A92157"/>
    <w:rsid w:val="00A92A7F"/>
    <w:rsid w:val="00A93ED2"/>
    <w:rsid w:val="00A9423D"/>
    <w:rsid w:val="00AA023B"/>
    <w:rsid w:val="00AA189F"/>
    <w:rsid w:val="00AA204C"/>
    <w:rsid w:val="00AA2F80"/>
    <w:rsid w:val="00AA33BD"/>
    <w:rsid w:val="00AA35B7"/>
    <w:rsid w:val="00AA6CF1"/>
    <w:rsid w:val="00AA7235"/>
    <w:rsid w:val="00AB2753"/>
    <w:rsid w:val="00AB2E13"/>
    <w:rsid w:val="00AB40AB"/>
    <w:rsid w:val="00AB40CE"/>
    <w:rsid w:val="00AB5B2C"/>
    <w:rsid w:val="00AB7042"/>
    <w:rsid w:val="00AC1046"/>
    <w:rsid w:val="00AC1899"/>
    <w:rsid w:val="00AC73BD"/>
    <w:rsid w:val="00AD091E"/>
    <w:rsid w:val="00AD2B4B"/>
    <w:rsid w:val="00AD385E"/>
    <w:rsid w:val="00AD3897"/>
    <w:rsid w:val="00AD39BA"/>
    <w:rsid w:val="00AD40C7"/>
    <w:rsid w:val="00AD553A"/>
    <w:rsid w:val="00AD6F8D"/>
    <w:rsid w:val="00AD7706"/>
    <w:rsid w:val="00AD78FA"/>
    <w:rsid w:val="00AE2347"/>
    <w:rsid w:val="00AE2FD1"/>
    <w:rsid w:val="00AE3326"/>
    <w:rsid w:val="00AE3509"/>
    <w:rsid w:val="00AE54C5"/>
    <w:rsid w:val="00AE58BE"/>
    <w:rsid w:val="00AE5AD8"/>
    <w:rsid w:val="00AF0979"/>
    <w:rsid w:val="00AF14D5"/>
    <w:rsid w:val="00AF1C02"/>
    <w:rsid w:val="00AF34E9"/>
    <w:rsid w:val="00AF3EB2"/>
    <w:rsid w:val="00AF6634"/>
    <w:rsid w:val="00B00742"/>
    <w:rsid w:val="00B01460"/>
    <w:rsid w:val="00B01AD2"/>
    <w:rsid w:val="00B01FE6"/>
    <w:rsid w:val="00B02F78"/>
    <w:rsid w:val="00B04139"/>
    <w:rsid w:val="00B05DBC"/>
    <w:rsid w:val="00B06383"/>
    <w:rsid w:val="00B068A4"/>
    <w:rsid w:val="00B06A18"/>
    <w:rsid w:val="00B07683"/>
    <w:rsid w:val="00B1036B"/>
    <w:rsid w:val="00B10873"/>
    <w:rsid w:val="00B138E2"/>
    <w:rsid w:val="00B13D49"/>
    <w:rsid w:val="00B13EB3"/>
    <w:rsid w:val="00B14363"/>
    <w:rsid w:val="00B144EC"/>
    <w:rsid w:val="00B14725"/>
    <w:rsid w:val="00B14CC5"/>
    <w:rsid w:val="00B15B17"/>
    <w:rsid w:val="00B15BC8"/>
    <w:rsid w:val="00B16359"/>
    <w:rsid w:val="00B1637B"/>
    <w:rsid w:val="00B176DD"/>
    <w:rsid w:val="00B17DE9"/>
    <w:rsid w:val="00B203D4"/>
    <w:rsid w:val="00B2137C"/>
    <w:rsid w:val="00B218B9"/>
    <w:rsid w:val="00B218BC"/>
    <w:rsid w:val="00B22DD6"/>
    <w:rsid w:val="00B23CAB"/>
    <w:rsid w:val="00B23F8F"/>
    <w:rsid w:val="00B25B5A"/>
    <w:rsid w:val="00B26810"/>
    <w:rsid w:val="00B26973"/>
    <w:rsid w:val="00B26F73"/>
    <w:rsid w:val="00B27D51"/>
    <w:rsid w:val="00B27E76"/>
    <w:rsid w:val="00B30EA8"/>
    <w:rsid w:val="00B30FDB"/>
    <w:rsid w:val="00B31F16"/>
    <w:rsid w:val="00B34965"/>
    <w:rsid w:val="00B3558A"/>
    <w:rsid w:val="00B35EA7"/>
    <w:rsid w:val="00B3679F"/>
    <w:rsid w:val="00B37467"/>
    <w:rsid w:val="00B375FF"/>
    <w:rsid w:val="00B37723"/>
    <w:rsid w:val="00B40780"/>
    <w:rsid w:val="00B40B11"/>
    <w:rsid w:val="00B40C36"/>
    <w:rsid w:val="00B42F6A"/>
    <w:rsid w:val="00B4402B"/>
    <w:rsid w:val="00B45505"/>
    <w:rsid w:val="00B458E9"/>
    <w:rsid w:val="00B45BDB"/>
    <w:rsid w:val="00B467CC"/>
    <w:rsid w:val="00B475D3"/>
    <w:rsid w:val="00B4766A"/>
    <w:rsid w:val="00B50437"/>
    <w:rsid w:val="00B50803"/>
    <w:rsid w:val="00B517BC"/>
    <w:rsid w:val="00B53E5A"/>
    <w:rsid w:val="00B55AA1"/>
    <w:rsid w:val="00B612AE"/>
    <w:rsid w:val="00B6176E"/>
    <w:rsid w:val="00B62779"/>
    <w:rsid w:val="00B63834"/>
    <w:rsid w:val="00B64177"/>
    <w:rsid w:val="00B6467D"/>
    <w:rsid w:val="00B64B31"/>
    <w:rsid w:val="00B64C21"/>
    <w:rsid w:val="00B64CA0"/>
    <w:rsid w:val="00B65852"/>
    <w:rsid w:val="00B65C2F"/>
    <w:rsid w:val="00B661EF"/>
    <w:rsid w:val="00B67066"/>
    <w:rsid w:val="00B67E40"/>
    <w:rsid w:val="00B71955"/>
    <w:rsid w:val="00B7302F"/>
    <w:rsid w:val="00B73A0F"/>
    <w:rsid w:val="00B73C97"/>
    <w:rsid w:val="00B75704"/>
    <w:rsid w:val="00B80EA1"/>
    <w:rsid w:val="00B8176E"/>
    <w:rsid w:val="00B8201C"/>
    <w:rsid w:val="00B84E4C"/>
    <w:rsid w:val="00B85121"/>
    <w:rsid w:val="00B85B57"/>
    <w:rsid w:val="00B86FB6"/>
    <w:rsid w:val="00B8741E"/>
    <w:rsid w:val="00B87F16"/>
    <w:rsid w:val="00B90104"/>
    <w:rsid w:val="00B90329"/>
    <w:rsid w:val="00B90401"/>
    <w:rsid w:val="00B92597"/>
    <w:rsid w:val="00B92982"/>
    <w:rsid w:val="00B92A6F"/>
    <w:rsid w:val="00B93761"/>
    <w:rsid w:val="00B9444C"/>
    <w:rsid w:val="00B9446E"/>
    <w:rsid w:val="00B94B8D"/>
    <w:rsid w:val="00B957C0"/>
    <w:rsid w:val="00B97D61"/>
    <w:rsid w:val="00BA26BA"/>
    <w:rsid w:val="00BA2A31"/>
    <w:rsid w:val="00BA4C17"/>
    <w:rsid w:val="00BA6453"/>
    <w:rsid w:val="00BA73D5"/>
    <w:rsid w:val="00BB04B3"/>
    <w:rsid w:val="00BB086B"/>
    <w:rsid w:val="00BB1AF3"/>
    <w:rsid w:val="00BB36FF"/>
    <w:rsid w:val="00BB4EBB"/>
    <w:rsid w:val="00BB5C45"/>
    <w:rsid w:val="00BB6FB2"/>
    <w:rsid w:val="00BB75D5"/>
    <w:rsid w:val="00BB7FB0"/>
    <w:rsid w:val="00BC14E6"/>
    <w:rsid w:val="00BC5B05"/>
    <w:rsid w:val="00BC649A"/>
    <w:rsid w:val="00BD021D"/>
    <w:rsid w:val="00BD02DE"/>
    <w:rsid w:val="00BD0A8A"/>
    <w:rsid w:val="00BD1B5F"/>
    <w:rsid w:val="00BD1B8B"/>
    <w:rsid w:val="00BD33F1"/>
    <w:rsid w:val="00BD54A8"/>
    <w:rsid w:val="00BD62E2"/>
    <w:rsid w:val="00BD73E9"/>
    <w:rsid w:val="00BE07A0"/>
    <w:rsid w:val="00BE1BBF"/>
    <w:rsid w:val="00BE2699"/>
    <w:rsid w:val="00BE29C6"/>
    <w:rsid w:val="00BE2D67"/>
    <w:rsid w:val="00BE3335"/>
    <w:rsid w:val="00BE345D"/>
    <w:rsid w:val="00BE42C6"/>
    <w:rsid w:val="00BE459E"/>
    <w:rsid w:val="00BE5E19"/>
    <w:rsid w:val="00BE6658"/>
    <w:rsid w:val="00BE6CCD"/>
    <w:rsid w:val="00BE6FF0"/>
    <w:rsid w:val="00BE7339"/>
    <w:rsid w:val="00BF0018"/>
    <w:rsid w:val="00BF08CC"/>
    <w:rsid w:val="00BF2428"/>
    <w:rsid w:val="00BF380A"/>
    <w:rsid w:val="00BF3BC1"/>
    <w:rsid w:val="00BF50B8"/>
    <w:rsid w:val="00BF55A5"/>
    <w:rsid w:val="00BF6879"/>
    <w:rsid w:val="00BF6DD1"/>
    <w:rsid w:val="00BF776F"/>
    <w:rsid w:val="00C01607"/>
    <w:rsid w:val="00C029E6"/>
    <w:rsid w:val="00C02B3F"/>
    <w:rsid w:val="00C03A44"/>
    <w:rsid w:val="00C03CE8"/>
    <w:rsid w:val="00C03F57"/>
    <w:rsid w:val="00C05AA6"/>
    <w:rsid w:val="00C06188"/>
    <w:rsid w:val="00C0774D"/>
    <w:rsid w:val="00C10F80"/>
    <w:rsid w:val="00C11A7F"/>
    <w:rsid w:val="00C124C5"/>
    <w:rsid w:val="00C12F56"/>
    <w:rsid w:val="00C13869"/>
    <w:rsid w:val="00C1585B"/>
    <w:rsid w:val="00C171BD"/>
    <w:rsid w:val="00C17433"/>
    <w:rsid w:val="00C17FE5"/>
    <w:rsid w:val="00C205C3"/>
    <w:rsid w:val="00C20992"/>
    <w:rsid w:val="00C20B12"/>
    <w:rsid w:val="00C20EA6"/>
    <w:rsid w:val="00C21A80"/>
    <w:rsid w:val="00C21DB5"/>
    <w:rsid w:val="00C22177"/>
    <w:rsid w:val="00C221EE"/>
    <w:rsid w:val="00C224B7"/>
    <w:rsid w:val="00C230BB"/>
    <w:rsid w:val="00C2423E"/>
    <w:rsid w:val="00C24A06"/>
    <w:rsid w:val="00C25667"/>
    <w:rsid w:val="00C27977"/>
    <w:rsid w:val="00C300ED"/>
    <w:rsid w:val="00C30673"/>
    <w:rsid w:val="00C33BEA"/>
    <w:rsid w:val="00C342D7"/>
    <w:rsid w:val="00C346D2"/>
    <w:rsid w:val="00C34918"/>
    <w:rsid w:val="00C349CD"/>
    <w:rsid w:val="00C34FCB"/>
    <w:rsid w:val="00C35112"/>
    <w:rsid w:val="00C36615"/>
    <w:rsid w:val="00C36BD9"/>
    <w:rsid w:val="00C36D38"/>
    <w:rsid w:val="00C36E8F"/>
    <w:rsid w:val="00C375B3"/>
    <w:rsid w:val="00C37BCC"/>
    <w:rsid w:val="00C37D4E"/>
    <w:rsid w:val="00C409A1"/>
    <w:rsid w:val="00C40F28"/>
    <w:rsid w:val="00C41428"/>
    <w:rsid w:val="00C4365D"/>
    <w:rsid w:val="00C444F5"/>
    <w:rsid w:val="00C455FF"/>
    <w:rsid w:val="00C467DC"/>
    <w:rsid w:val="00C46F2D"/>
    <w:rsid w:val="00C47AB3"/>
    <w:rsid w:val="00C47D62"/>
    <w:rsid w:val="00C505DB"/>
    <w:rsid w:val="00C52454"/>
    <w:rsid w:val="00C527B8"/>
    <w:rsid w:val="00C53AB5"/>
    <w:rsid w:val="00C55705"/>
    <w:rsid w:val="00C559EE"/>
    <w:rsid w:val="00C55E9B"/>
    <w:rsid w:val="00C56DE5"/>
    <w:rsid w:val="00C6056B"/>
    <w:rsid w:val="00C60BC5"/>
    <w:rsid w:val="00C61698"/>
    <w:rsid w:val="00C624A0"/>
    <w:rsid w:val="00C640DD"/>
    <w:rsid w:val="00C642EF"/>
    <w:rsid w:val="00C643BB"/>
    <w:rsid w:val="00C64AB0"/>
    <w:rsid w:val="00C65BA7"/>
    <w:rsid w:val="00C703E5"/>
    <w:rsid w:val="00C72EBD"/>
    <w:rsid w:val="00C74102"/>
    <w:rsid w:val="00C74A7F"/>
    <w:rsid w:val="00C759F2"/>
    <w:rsid w:val="00C76B0E"/>
    <w:rsid w:val="00C8222D"/>
    <w:rsid w:val="00C82C69"/>
    <w:rsid w:val="00C8309B"/>
    <w:rsid w:val="00C852B7"/>
    <w:rsid w:val="00C852E5"/>
    <w:rsid w:val="00C85818"/>
    <w:rsid w:val="00C8746F"/>
    <w:rsid w:val="00C91CE5"/>
    <w:rsid w:val="00C91F39"/>
    <w:rsid w:val="00C93865"/>
    <w:rsid w:val="00C93CE7"/>
    <w:rsid w:val="00C93E8E"/>
    <w:rsid w:val="00C94210"/>
    <w:rsid w:val="00C95152"/>
    <w:rsid w:val="00C9553B"/>
    <w:rsid w:val="00C96BE0"/>
    <w:rsid w:val="00C96D86"/>
    <w:rsid w:val="00C97898"/>
    <w:rsid w:val="00CA02BD"/>
    <w:rsid w:val="00CA0A77"/>
    <w:rsid w:val="00CA1CFD"/>
    <w:rsid w:val="00CA243E"/>
    <w:rsid w:val="00CA320D"/>
    <w:rsid w:val="00CA5081"/>
    <w:rsid w:val="00CA5506"/>
    <w:rsid w:val="00CA5B44"/>
    <w:rsid w:val="00CA5C23"/>
    <w:rsid w:val="00CA5D94"/>
    <w:rsid w:val="00CA79BF"/>
    <w:rsid w:val="00CB0261"/>
    <w:rsid w:val="00CB067C"/>
    <w:rsid w:val="00CB1075"/>
    <w:rsid w:val="00CB1663"/>
    <w:rsid w:val="00CB2164"/>
    <w:rsid w:val="00CB2979"/>
    <w:rsid w:val="00CB2A52"/>
    <w:rsid w:val="00CB33DC"/>
    <w:rsid w:val="00CB4B87"/>
    <w:rsid w:val="00CB5952"/>
    <w:rsid w:val="00CB5B07"/>
    <w:rsid w:val="00CB6A06"/>
    <w:rsid w:val="00CB707C"/>
    <w:rsid w:val="00CB7647"/>
    <w:rsid w:val="00CC1041"/>
    <w:rsid w:val="00CC220B"/>
    <w:rsid w:val="00CC26C5"/>
    <w:rsid w:val="00CC345B"/>
    <w:rsid w:val="00CC51EA"/>
    <w:rsid w:val="00CC7218"/>
    <w:rsid w:val="00CC7A9C"/>
    <w:rsid w:val="00CD4052"/>
    <w:rsid w:val="00CD4645"/>
    <w:rsid w:val="00CD4B5F"/>
    <w:rsid w:val="00CD4EA8"/>
    <w:rsid w:val="00CD5251"/>
    <w:rsid w:val="00CD7438"/>
    <w:rsid w:val="00CD761E"/>
    <w:rsid w:val="00CE01C8"/>
    <w:rsid w:val="00CE03BB"/>
    <w:rsid w:val="00CE0E84"/>
    <w:rsid w:val="00CE17DC"/>
    <w:rsid w:val="00CE1F01"/>
    <w:rsid w:val="00CE20AE"/>
    <w:rsid w:val="00CE2CF2"/>
    <w:rsid w:val="00CE2F95"/>
    <w:rsid w:val="00CE306D"/>
    <w:rsid w:val="00CE5691"/>
    <w:rsid w:val="00CE75EB"/>
    <w:rsid w:val="00CE7C5F"/>
    <w:rsid w:val="00CF0B2C"/>
    <w:rsid w:val="00CF3456"/>
    <w:rsid w:val="00CF4665"/>
    <w:rsid w:val="00CF6DF5"/>
    <w:rsid w:val="00D0010B"/>
    <w:rsid w:val="00D009B7"/>
    <w:rsid w:val="00D0108E"/>
    <w:rsid w:val="00D01166"/>
    <w:rsid w:val="00D01D39"/>
    <w:rsid w:val="00D03FD1"/>
    <w:rsid w:val="00D03FFF"/>
    <w:rsid w:val="00D04279"/>
    <w:rsid w:val="00D046DB"/>
    <w:rsid w:val="00D0515F"/>
    <w:rsid w:val="00D0535D"/>
    <w:rsid w:val="00D06D3A"/>
    <w:rsid w:val="00D06FFC"/>
    <w:rsid w:val="00D10FF3"/>
    <w:rsid w:val="00D14988"/>
    <w:rsid w:val="00D15AC5"/>
    <w:rsid w:val="00D1668A"/>
    <w:rsid w:val="00D17D93"/>
    <w:rsid w:val="00D20743"/>
    <w:rsid w:val="00D209D8"/>
    <w:rsid w:val="00D20E69"/>
    <w:rsid w:val="00D2132A"/>
    <w:rsid w:val="00D214BB"/>
    <w:rsid w:val="00D22201"/>
    <w:rsid w:val="00D22A51"/>
    <w:rsid w:val="00D23492"/>
    <w:rsid w:val="00D23507"/>
    <w:rsid w:val="00D24C52"/>
    <w:rsid w:val="00D2676D"/>
    <w:rsid w:val="00D273F0"/>
    <w:rsid w:val="00D3118A"/>
    <w:rsid w:val="00D312FA"/>
    <w:rsid w:val="00D31589"/>
    <w:rsid w:val="00D32C6C"/>
    <w:rsid w:val="00D335A3"/>
    <w:rsid w:val="00D358C8"/>
    <w:rsid w:val="00D405B4"/>
    <w:rsid w:val="00D408BD"/>
    <w:rsid w:val="00D40E7E"/>
    <w:rsid w:val="00D412DD"/>
    <w:rsid w:val="00D41DDF"/>
    <w:rsid w:val="00D42DDE"/>
    <w:rsid w:val="00D44023"/>
    <w:rsid w:val="00D440AB"/>
    <w:rsid w:val="00D45458"/>
    <w:rsid w:val="00D45AC2"/>
    <w:rsid w:val="00D46156"/>
    <w:rsid w:val="00D47685"/>
    <w:rsid w:val="00D477D2"/>
    <w:rsid w:val="00D50A98"/>
    <w:rsid w:val="00D51AFC"/>
    <w:rsid w:val="00D527AB"/>
    <w:rsid w:val="00D52EA2"/>
    <w:rsid w:val="00D531F2"/>
    <w:rsid w:val="00D53FF3"/>
    <w:rsid w:val="00D542C3"/>
    <w:rsid w:val="00D5464E"/>
    <w:rsid w:val="00D54BFB"/>
    <w:rsid w:val="00D55B62"/>
    <w:rsid w:val="00D56E6B"/>
    <w:rsid w:val="00D60CEE"/>
    <w:rsid w:val="00D61BF1"/>
    <w:rsid w:val="00D62675"/>
    <w:rsid w:val="00D628A0"/>
    <w:rsid w:val="00D62964"/>
    <w:rsid w:val="00D64AAD"/>
    <w:rsid w:val="00D6519C"/>
    <w:rsid w:val="00D65757"/>
    <w:rsid w:val="00D666E5"/>
    <w:rsid w:val="00D669B7"/>
    <w:rsid w:val="00D67833"/>
    <w:rsid w:val="00D706A8"/>
    <w:rsid w:val="00D7099F"/>
    <w:rsid w:val="00D714FD"/>
    <w:rsid w:val="00D715AC"/>
    <w:rsid w:val="00D72462"/>
    <w:rsid w:val="00D74249"/>
    <w:rsid w:val="00D7574D"/>
    <w:rsid w:val="00D768CF"/>
    <w:rsid w:val="00D76E5A"/>
    <w:rsid w:val="00D81CBB"/>
    <w:rsid w:val="00D8202B"/>
    <w:rsid w:val="00D840C9"/>
    <w:rsid w:val="00D84B53"/>
    <w:rsid w:val="00D85012"/>
    <w:rsid w:val="00D8554E"/>
    <w:rsid w:val="00D8616B"/>
    <w:rsid w:val="00D86AE0"/>
    <w:rsid w:val="00D90564"/>
    <w:rsid w:val="00D905C0"/>
    <w:rsid w:val="00D90D93"/>
    <w:rsid w:val="00D90EC4"/>
    <w:rsid w:val="00D9606D"/>
    <w:rsid w:val="00D963B2"/>
    <w:rsid w:val="00D96E53"/>
    <w:rsid w:val="00D97CBE"/>
    <w:rsid w:val="00DA034D"/>
    <w:rsid w:val="00DA101B"/>
    <w:rsid w:val="00DA2A7E"/>
    <w:rsid w:val="00DA2F0A"/>
    <w:rsid w:val="00DA4485"/>
    <w:rsid w:val="00DA5A55"/>
    <w:rsid w:val="00DA6874"/>
    <w:rsid w:val="00DA713F"/>
    <w:rsid w:val="00DA725D"/>
    <w:rsid w:val="00DB02E6"/>
    <w:rsid w:val="00DB0717"/>
    <w:rsid w:val="00DB1A27"/>
    <w:rsid w:val="00DB1AE3"/>
    <w:rsid w:val="00DB1DD2"/>
    <w:rsid w:val="00DB1E98"/>
    <w:rsid w:val="00DB2977"/>
    <w:rsid w:val="00DB3C66"/>
    <w:rsid w:val="00DB3CDB"/>
    <w:rsid w:val="00DB470D"/>
    <w:rsid w:val="00DB6977"/>
    <w:rsid w:val="00DB751A"/>
    <w:rsid w:val="00DC1850"/>
    <w:rsid w:val="00DC5A4A"/>
    <w:rsid w:val="00DC646F"/>
    <w:rsid w:val="00DD07D5"/>
    <w:rsid w:val="00DD0854"/>
    <w:rsid w:val="00DD165D"/>
    <w:rsid w:val="00DD2EE2"/>
    <w:rsid w:val="00DD2EFA"/>
    <w:rsid w:val="00DD3212"/>
    <w:rsid w:val="00DD3DBB"/>
    <w:rsid w:val="00DD48C9"/>
    <w:rsid w:val="00DD4CD5"/>
    <w:rsid w:val="00DD70F4"/>
    <w:rsid w:val="00DD74C6"/>
    <w:rsid w:val="00DE0BC1"/>
    <w:rsid w:val="00DE3776"/>
    <w:rsid w:val="00DE417B"/>
    <w:rsid w:val="00DE65BD"/>
    <w:rsid w:val="00DE6D5F"/>
    <w:rsid w:val="00DE76AE"/>
    <w:rsid w:val="00DE7B35"/>
    <w:rsid w:val="00DF0F7C"/>
    <w:rsid w:val="00DF1016"/>
    <w:rsid w:val="00DF2674"/>
    <w:rsid w:val="00DF2F64"/>
    <w:rsid w:val="00DF37EB"/>
    <w:rsid w:val="00DF650B"/>
    <w:rsid w:val="00DF6B65"/>
    <w:rsid w:val="00DF7112"/>
    <w:rsid w:val="00DF7ADB"/>
    <w:rsid w:val="00DF7F9B"/>
    <w:rsid w:val="00E00EB6"/>
    <w:rsid w:val="00E01248"/>
    <w:rsid w:val="00E019A8"/>
    <w:rsid w:val="00E021B7"/>
    <w:rsid w:val="00E023CE"/>
    <w:rsid w:val="00E0245A"/>
    <w:rsid w:val="00E02FD1"/>
    <w:rsid w:val="00E0346A"/>
    <w:rsid w:val="00E03CC2"/>
    <w:rsid w:val="00E06EEF"/>
    <w:rsid w:val="00E0784C"/>
    <w:rsid w:val="00E07A9C"/>
    <w:rsid w:val="00E105A8"/>
    <w:rsid w:val="00E10C49"/>
    <w:rsid w:val="00E1316E"/>
    <w:rsid w:val="00E13483"/>
    <w:rsid w:val="00E13569"/>
    <w:rsid w:val="00E13B43"/>
    <w:rsid w:val="00E146EF"/>
    <w:rsid w:val="00E14DA9"/>
    <w:rsid w:val="00E15DD3"/>
    <w:rsid w:val="00E15FCE"/>
    <w:rsid w:val="00E201BE"/>
    <w:rsid w:val="00E21409"/>
    <w:rsid w:val="00E233EB"/>
    <w:rsid w:val="00E23B6B"/>
    <w:rsid w:val="00E276C2"/>
    <w:rsid w:val="00E27CCB"/>
    <w:rsid w:val="00E31514"/>
    <w:rsid w:val="00E315C0"/>
    <w:rsid w:val="00E31D49"/>
    <w:rsid w:val="00E32B08"/>
    <w:rsid w:val="00E32D2B"/>
    <w:rsid w:val="00E34383"/>
    <w:rsid w:val="00E3562E"/>
    <w:rsid w:val="00E3620C"/>
    <w:rsid w:val="00E366CB"/>
    <w:rsid w:val="00E37B58"/>
    <w:rsid w:val="00E418E7"/>
    <w:rsid w:val="00E41A5F"/>
    <w:rsid w:val="00E42818"/>
    <w:rsid w:val="00E4296B"/>
    <w:rsid w:val="00E43F71"/>
    <w:rsid w:val="00E448C7"/>
    <w:rsid w:val="00E44905"/>
    <w:rsid w:val="00E44CEE"/>
    <w:rsid w:val="00E44DDF"/>
    <w:rsid w:val="00E50423"/>
    <w:rsid w:val="00E504A8"/>
    <w:rsid w:val="00E51F96"/>
    <w:rsid w:val="00E5279E"/>
    <w:rsid w:val="00E53275"/>
    <w:rsid w:val="00E5389D"/>
    <w:rsid w:val="00E539D6"/>
    <w:rsid w:val="00E54EF3"/>
    <w:rsid w:val="00E56331"/>
    <w:rsid w:val="00E60696"/>
    <w:rsid w:val="00E61ACD"/>
    <w:rsid w:val="00E61B95"/>
    <w:rsid w:val="00E62B4F"/>
    <w:rsid w:val="00E6448B"/>
    <w:rsid w:val="00E65129"/>
    <w:rsid w:val="00E65652"/>
    <w:rsid w:val="00E65774"/>
    <w:rsid w:val="00E65F1E"/>
    <w:rsid w:val="00E70FA4"/>
    <w:rsid w:val="00E713AD"/>
    <w:rsid w:val="00E71AD5"/>
    <w:rsid w:val="00E724A4"/>
    <w:rsid w:val="00E73DFF"/>
    <w:rsid w:val="00E7635F"/>
    <w:rsid w:val="00E803FF"/>
    <w:rsid w:val="00E82158"/>
    <w:rsid w:val="00E82C3B"/>
    <w:rsid w:val="00E8391E"/>
    <w:rsid w:val="00E84CF3"/>
    <w:rsid w:val="00E8565B"/>
    <w:rsid w:val="00E85D0A"/>
    <w:rsid w:val="00E86153"/>
    <w:rsid w:val="00E87B37"/>
    <w:rsid w:val="00E92F98"/>
    <w:rsid w:val="00E93888"/>
    <w:rsid w:val="00E9442A"/>
    <w:rsid w:val="00E94F5F"/>
    <w:rsid w:val="00E96016"/>
    <w:rsid w:val="00E9636A"/>
    <w:rsid w:val="00E975C8"/>
    <w:rsid w:val="00EA0B9B"/>
    <w:rsid w:val="00EA2DA8"/>
    <w:rsid w:val="00EA30BE"/>
    <w:rsid w:val="00EA36F5"/>
    <w:rsid w:val="00EA4292"/>
    <w:rsid w:val="00EA4F4B"/>
    <w:rsid w:val="00EA540F"/>
    <w:rsid w:val="00EA5416"/>
    <w:rsid w:val="00EA6ED6"/>
    <w:rsid w:val="00EB0042"/>
    <w:rsid w:val="00EB06D0"/>
    <w:rsid w:val="00EB2396"/>
    <w:rsid w:val="00EB3859"/>
    <w:rsid w:val="00EB4073"/>
    <w:rsid w:val="00EB40BD"/>
    <w:rsid w:val="00EB4D83"/>
    <w:rsid w:val="00EB5A69"/>
    <w:rsid w:val="00EB7F51"/>
    <w:rsid w:val="00EC3109"/>
    <w:rsid w:val="00EC3847"/>
    <w:rsid w:val="00EC4B55"/>
    <w:rsid w:val="00EC4D41"/>
    <w:rsid w:val="00EC594B"/>
    <w:rsid w:val="00EC6722"/>
    <w:rsid w:val="00EC69F5"/>
    <w:rsid w:val="00ED0ED8"/>
    <w:rsid w:val="00ED2003"/>
    <w:rsid w:val="00ED3EAF"/>
    <w:rsid w:val="00ED4EFE"/>
    <w:rsid w:val="00ED51B4"/>
    <w:rsid w:val="00ED52AE"/>
    <w:rsid w:val="00ED63FA"/>
    <w:rsid w:val="00ED73C4"/>
    <w:rsid w:val="00EE0123"/>
    <w:rsid w:val="00EE0273"/>
    <w:rsid w:val="00EE105A"/>
    <w:rsid w:val="00EE2AD9"/>
    <w:rsid w:val="00EE36FE"/>
    <w:rsid w:val="00EE3D11"/>
    <w:rsid w:val="00EE427C"/>
    <w:rsid w:val="00EE4A1F"/>
    <w:rsid w:val="00EE4EC1"/>
    <w:rsid w:val="00EE56BF"/>
    <w:rsid w:val="00EE575E"/>
    <w:rsid w:val="00EE6616"/>
    <w:rsid w:val="00EE6A6F"/>
    <w:rsid w:val="00EE77F1"/>
    <w:rsid w:val="00EE7C77"/>
    <w:rsid w:val="00EF02B0"/>
    <w:rsid w:val="00EF2350"/>
    <w:rsid w:val="00EF2F63"/>
    <w:rsid w:val="00EF329F"/>
    <w:rsid w:val="00EF3474"/>
    <w:rsid w:val="00EF3643"/>
    <w:rsid w:val="00EF3EE8"/>
    <w:rsid w:val="00EF5270"/>
    <w:rsid w:val="00EF685A"/>
    <w:rsid w:val="00EF736D"/>
    <w:rsid w:val="00EF7701"/>
    <w:rsid w:val="00F00376"/>
    <w:rsid w:val="00F0070F"/>
    <w:rsid w:val="00F00717"/>
    <w:rsid w:val="00F028BB"/>
    <w:rsid w:val="00F0295A"/>
    <w:rsid w:val="00F02AAA"/>
    <w:rsid w:val="00F0314D"/>
    <w:rsid w:val="00F03ED1"/>
    <w:rsid w:val="00F04452"/>
    <w:rsid w:val="00F0533E"/>
    <w:rsid w:val="00F05F4C"/>
    <w:rsid w:val="00F107FD"/>
    <w:rsid w:val="00F11961"/>
    <w:rsid w:val="00F12FD7"/>
    <w:rsid w:val="00F13347"/>
    <w:rsid w:val="00F13371"/>
    <w:rsid w:val="00F1450F"/>
    <w:rsid w:val="00F15B69"/>
    <w:rsid w:val="00F16790"/>
    <w:rsid w:val="00F206EA"/>
    <w:rsid w:val="00F21B9E"/>
    <w:rsid w:val="00F24A55"/>
    <w:rsid w:val="00F25A60"/>
    <w:rsid w:val="00F269ED"/>
    <w:rsid w:val="00F314D6"/>
    <w:rsid w:val="00F31F2C"/>
    <w:rsid w:val="00F333FD"/>
    <w:rsid w:val="00F33586"/>
    <w:rsid w:val="00F33CAD"/>
    <w:rsid w:val="00F3573D"/>
    <w:rsid w:val="00F357F3"/>
    <w:rsid w:val="00F3596F"/>
    <w:rsid w:val="00F35C53"/>
    <w:rsid w:val="00F35E85"/>
    <w:rsid w:val="00F36959"/>
    <w:rsid w:val="00F36B86"/>
    <w:rsid w:val="00F37FBB"/>
    <w:rsid w:val="00F403A3"/>
    <w:rsid w:val="00F4128C"/>
    <w:rsid w:val="00F41DD4"/>
    <w:rsid w:val="00F43C7C"/>
    <w:rsid w:val="00F43F4B"/>
    <w:rsid w:val="00F44ACB"/>
    <w:rsid w:val="00F46AF0"/>
    <w:rsid w:val="00F46C73"/>
    <w:rsid w:val="00F50596"/>
    <w:rsid w:val="00F508DA"/>
    <w:rsid w:val="00F51280"/>
    <w:rsid w:val="00F537DC"/>
    <w:rsid w:val="00F5434D"/>
    <w:rsid w:val="00F54621"/>
    <w:rsid w:val="00F546D4"/>
    <w:rsid w:val="00F54C68"/>
    <w:rsid w:val="00F56E2A"/>
    <w:rsid w:val="00F57A94"/>
    <w:rsid w:val="00F6032D"/>
    <w:rsid w:val="00F608CA"/>
    <w:rsid w:val="00F6173C"/>
    <w:rsid w:val="00F626F2"/>
    <w:rsid w:val="00F62D7C"/>
    <w:rsid w:val="00F63290"/>
    <w:rsid w:val="00F63D4C"/>
    <w:rsid w:val="00F63DA1"/>
    <w:rsid w:val="00F6468D"/>
    <w:rsid w:val="00F64B54"/>
    <w:rsid w:val="00F6636B"/>
    <w:rsid w:val="00F663F1"/>
    <w:rsid w:val="00F6649A"/>
    <w:rsid w:val="00F6735A"/>
    <w:rsid w:val="00F6756B"/>
    <w:rsid w:val="00F708BE"/>
    <w:rsid w:val="00F71233"/>
    <w:rsid w:val="00F714FD"/>
    <w:rsid w:val="00F71A9B"/>
    <w:rsid w:val="00F71AEA"/>
    <w:rsid w:val="00F71FCE"/>
    <w:rsid w:val="00F722D6"/>
    <w:rsid w:val="00F726EF"/>
    <w:rsid w:val="00F735F6"/>
    <w:rsid w:val="00F74137"/>
    <w:rsid w:val="00F7437B"/>
    <w:rsid w:val="00F745E4"/>
    <w:rsid w:val="00F75150"/>
    <w:rsid w:val="00F752ED"/>
    <w:rsid w:val="00F75D22"/>
    <w:rsid w:val="00F80F20"/>
    <w:rsid w:val="00F815A9"/>
    <w:rsid w:val="00F81EE1"/>
    <w:rsid w:val="00F82626"/>
    <w:rsid w:val="00F83C5D"/>
    <w:rsid w:val="00F842EF"/>
    <w:rsid w:val="00F847B2"/>
    <w:rsid w:val="00F84F02"/>
    <w:rsid w:val="00F85915"/>
    <w:rsid w:val="00F868BE"/>
    <w:rsid w:val="00F874E0"/>
    <w:rsid w:val="00F87C4A"/>
    <w:rsid w:val="00F9055F"/>
    <w:rsid w:val="00F91DEA"/>
    <w:rsid w:val="00F92E49"/>
    <w:rsid w:val="00F93845"/>
    <w:rsid w:val="00F94B3F"/>
    <w:rsid w:val="00F95089"/>
    <w:rsid w:val="00F95C02"/>
    <w:rsid w:val="00F95FF8"/>
    <w:rsid w:val="00F9731E"/>
    <w:rsid w:val="00FA0A6E"/>
    <w:rsid w:val="00FA1796"/>
    <w:rsid w:val="00FA19EB"/>
    <w:rsid w:val="00FA2238"/>
    <w:rsid w:val="00FA2517"/>
    <w:rsid w:val="00FA2BEE"/>
    <w:rsid w:val="00FA3685"/>
    <w:rsid w:val="00FA4062"/>
    <w:rsid w:val="00FA40AA"/>
    <w:rsid w:val="00FA4208"/>
    <w:rsid w:val="00FA42B2"/>
    <w:rsid w:val="00FA47DF"/>
    <w:rsid w:val="00FA7298"/>
    <w:rsid w:val="00FA7776"/>
    <w:rsid w:val="00FB081D"/>
    <w:rsid w:val="00FB15F4"/>
    <w:rsid w:val="00FB2E7E"/>
    <w:rsid w:val="00FB3470"/>
    <w:rsid w:val="00FB3C76"/>
    <w:rsid w:val="00FB433D"/>
    <w:rsid w:val="00FB546E"/>
    <w:rsid w:val="00FB6888"/>
    <w:rsid w:val="00FC04E1"/>
    <w:rsid w:val="00FC26ED"/>
    <w:rsid w:val="00FC37A4"/>
    <w:rsid w:val="00FC37E3"/>
    <w:rsid w:val="00FC45EA"/>
    <w:rsid w:val="00FC7B8F"/>
    <w:rsid w:val="00FD0648"/>
    <w:rsid w:val="00FD0A56"/>
    <w:rsid w:val="00FD0DE6"/>
    <w:rsid w:val="00FD100E"/>
    <w:rsid w:val="00FD2DB9"/>
    <w:rsid w:val="00FD3F5B"/>
    <w:rsid w:val="00FD4DF6"/>
    <w:rsid w:val="00FD7676"/>
    <w:rsid w:val="00FD7975"/>
    <w:rsid w:val="00FD7F47"/>
    <w:rsid w:val="00FD7FDB"/>
    <w:rsid w:val="00FE2607"/>
    <w:rsid w:val="00FE2DF4"/>
    <w:rsid w:val="00FE2E59"/>
    <w:rsid w:val="00FE3E0F"/>
    <w:rsid w:val="00FE4746"/>
    <w:rsid w:val="00FE5A18"/>
    <w:rsid w:val="00FE6396"/>
    <w:rsid w:val="00FF056D"/>
    <w:rsid w:val="00FF10F2"/>
    <w:rsid w:val="00FF29B7"/>
    <w:rsid w:val="00FF2C20"/>
    <w:rsid w:val="00FF389D"/>
    <w:rsid w:val="00FF4EF5"/>
    <w:rsid w:val="00FF4FF3"/>
    <w:rsid w:val="00FF51AB"/>
    <w:rsid w:val="00FF59DC"/>
    <w:rsid w:val="00FF5C89"/>
    <w:rsid w:val="00FF603A"/>
    <w:rsid w:val="00FF669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B126B"/>
  <w15:docId w15:val="{599737DB-6BA6-4560-9AA9-4F914003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9F3"/>
    <w:pPr>
      <w:autoSpaceDE w:val="0"/>
      <w:autoSpaceDN w:val="0"/>
    </w:pPr>
  </w:style>
  <w:style w:type="paragraph" w:styleId="Heading1">
    <w:name w:val="heading 1"/>
    <w:basedOn w:val="Normal"/>
    <w:next w:val="Normal"/>
    <w:link w:val="Heading1Char"/>
    <w:uiPriority w:val="9"/>
    <w:qFormat/>
    <w:rsid w:val="009C59F3"/>
    <w:pPr>
      <w:keepNext/>
      <w:jc w:val="center"/>
      <w:outlineLvl w:val="0"/>
    </w:pPr>
    <w:rPr>
      <w:rFonts w:ascii="Tahoma" w:hAnsi="Tahoma"/>
      <w:b/>
      <w:bCs/>
      <w:sz w:val="18"/>
      <w:szCs w:val="18"/>
    </w:rPr>
  </w:style>
  <w:style w:type="paragraph" w:styleId="Heading2">
    <w:name w:val="heading 2"/>
    <w:basedOn w:val="Normal"/>
    <w:next w:val="Normal"/>
    <w:link w:val="Heading2Char"/>
    <w:uiPriority w:val="9"/>
    <w:semiHidden/>
    <w:unhideWhenUsed/>
    <w:qFormat/>
    <w:rsid w:val="009C59F3"/>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9C59F3"/>
    <w:pPr>
      <w:keepNext/>
      <w:ind w:left="90" w:hanging="90"/>
      <w:jc w:val="both"/>
      <w:outlineLvl w:val="2"/>
    </w:pPr>
    <w:rPr>
      <w:rFonts w:ascii="Tahoma" w:hAnsi="Tahoma"/>
      <w:b/>
      <w:bCs/>
      <w:sz w:val="18"/>
      <w:szCs w:val="18"/>
    </w:rPr>
  </w:style>
  <w:style w:type="paragraph" w:styleId="Heading4">
    <w:name w:val="heading 4"/>
    <w:basedOn w:val="Normal"/>
    <w:next w:val="Normal"/>
    <w:link w:val="Heading4Char"/>
    <w:uiPriority w:val="9"/>
    <w:semiHidden/>
    <w:unhideWhenUsed/>
    <w:qFormat/>
    <w:rsid w:val="009C59F3"/>
    <w:pPr>
      <w:keepNext/>
      <w:ind w:left="2160" w:hanging="2160"/>
      <w:jc w:val="both"/>
      <w:outlineLvl w:val="3"/>
    </w:pPr>
    <w:rPr>
      <w:rFonts w:ascii="Tahoma" w:hAnsi="Tahoma"/>
      <w:b/>
      <w:bCs/>
      <w:sz w:val="18"/>
      <w:szCs w:val="18"/>
    </w:rPr>
  </w:style>
  <w:style w:type="paragraph" w:styleId="Heading5">
    <w:name w:val="heading 5"/>
    <w:basedOn w:val="Normal"/>
    <w:next w:val="Normal"/>
    <w:link w:val="Heading5Char"/>
    <w:uiPriority w:val="9"/>
    <w:semiHidden/>
    <w:unhideWhenUsed/>
    <w:qFormat/>
    <w:rsid w:val="009C59F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C59F3"/>
    <w:pPr>
      <w:keepNext/>
      <w:widowControl w:val="0"/>
      <w:ind w:left="2160" w:right="76" w:hanging="2160"/>
      <w:jc w:val="center"/>
      <w:outlineLvl w:val="5"/>
    </w:pPr>
    <w:rPr>
      <w:rFonts w:ascii="Tahoma" w:hAnsi="Tahoma"/>
      <w:b/>
      <w:bCs/>
    </w:rPr>
  </w:style>
  <w:style w:type="paragraph" w:styleId="Heading8">
    <w:name w:val="heading 8"/>
    <w:basedOn w:val="Normal"/>
    <w:next w:val="Normal"/>
    <w:link w:val="Heading8Char"/>
    <w:qFormat/>
    <w:rsid w:val="009C59F3"/>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9C59F3"/>
    <w:pPr>
      <w:keepNext/>
      <w:widowControl w:val="0"/>
      <w:spacing w:before="240" w:after="240"/>
      <w:jc w:val="center"/>
      <w:outlineLvl w:val="8"/>
    </w:pPr>
    <w:rPr>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sid w:val="009C59F3"/>
    <w:rPr>
      <w:rFonts w:ascii="Tahoma" w:eastAsia="Times New Roman" w:hAnsi="Tahoma" w:cs="Times New Roman"/>
      <w:b/>
      <w:bCs/>
      <w:sz w:val="18"/>
      <w:szCs w:val="18"/>
      <w:lang w:val="en-US"/>
    </w:rPr>
  </w:style>
  <w:style w:type="character" w:customStyle="1" w:styleId="Heading2Char">
    <w:name w:val="Heading 2 Char"/>
    <w:link w:val="Heading2"/>
    <w:rsid w:val="009C59F3"/>
    <w:rPr>
      <w:rFonts w:ascii="Arial" w:eastAsia="Times New Roman" w:hAnsi="Arial" w:cs="Times New Roman"/>
      <w:b/>
      <w:bCs/>
      <w:i/>
      <w:iCs/>
      <w:sz w:val="28"/>
      <w:szCs w:val="28"/>
      <w:lang w:val="en-US"/>
    </w:rPr>
  </w:style>
  <w:style w:type="character" w:customStyle="1" w:styleId="Heading3Char">
    <w:name w:val="Heading 3 Char"/>
    <w:link w:val="Heading3"/>
    <w:rsid w:val="009C59F3"/>
    <w:rPr>
      <w:rFonts w:ascii="Tahoma" w:eastAsia="Times New Roman" w:hAnsi="Tahoma" w:cs="Times New Roman"/>
      <w:b/>
      <w:bCs/>
      <w:sz w:val="18"/>
      <w:szCs w:val="18"/>
    </w:rPr>
  </w:style>
  <w:style w:type="character" w:customStyle="1" w:styleId="Heading4Char">
    <w:name w:val="Heading 4 Char"/>
    <w:link w:val="Heading4"/>
    <w:rsid w:val="009C59F3"/>
    <w:rPr>
      <w:rFonts w:ascii="Tahoma" w:eastAsia="Times New Roman" w:hAnsi="Tahoma" w:cs="Times New Roman"/>
      <w:b/>
      <w:bCs/>
      <w:sz w:val="18"/>
      <w:szCs w:val="18"/>
      <w:lang w:val="en-US"/>
    </w:rPr>
  </w:style>
  <w:style w:type="character" w:customStyle="1" w:styleId="Heading5Char">
    <w:name w:val="Heading 5 Char"/>
    <w:link w:val="Heading5"/>
    <w:rsid w:val="009C59F3"/>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9C59F3"/>
    <w:rPr>
      <w:rFonts w:ascii="Tahoma" w:eastAsia="Times New Roman" w:hAnsi="Tahoma" w:cs="Times New Roman"/>
      <w:b/>
      <w:bCs/>
      <w:sz w:val="20"/>
      <w:szCs w:val="20"/>
      <w:lang w:val="en-US"/>
    </w:rPr>
  </w:style>
  <w:style w:type="character" w:customStyle="1" w:styleId="Heading8Char">
    <w:name w:val="Heading 8 Char"/>
    <w:link w:val="Heading8"/>
    <w:rsid w:val="009C59F3"/>
    <w:rPr>
      <w:rFonts w:ascii="Calibri" w:eastAsia="Times New Roman" w:hAnsi="Calibri" w:cs="Times New Roman"/>
      <w:i/>
      <w:iCs/>
      <w:sz w:val="24"/>
      <w:szCs w:val="24"/>
    </w:rPr>
  </w:style>
  <w:style w:type="character" w:customStyle="1" w:styleId="Heading9Char">
    <w:name w:val="Heading 9 Char"/>
    <w:link w:val="Heading9"/>
    <w:rsid w:val="009C59F3"/>
    <w:rPr>
      <w:rFonts w:ascii="Times New Roman" w:eastAsia="Times New Roman" w:hAnsi="Times New Roman" w:cs="Times New Roman"/>
      <w:b/>
      <w:bCs/>
      <w:noProof/>
      <w:sz w:val="24"/>
      <w:szCs w:val="24"/>
      <w:lang w:val="en-US"/>
    </w:rPr>
  </w:style>
  <w:style w:type="paragraph" w:styleId="Header">
    <w:name w:val="header"/>
    <w:basedOn w:val="Normal"/>
    <w:link w:val="HeaderChar"/>
    <w:uiPriority w:val="99"/>
    <w:rsid w:val="009C59F3"/>
    <w:pPr>
      <w:widowControl w:val="0"/>
      <w:tabs>
        <w:tab w:val="center" w:pos="4320"/>
        <w:tab w:val="right" w:pos="8640"/>
      </w:tabs>
    </w:pPr>
  </w:style>
  <w:style w:type="character" w:customStyle="1" w:styleId="HeaderChar">
    <w:name w:val="Header Char"/>
    <w:link w:val="Header"/>
    <w:uiPriority w:val="99"/>
    <w:rsid w:val="009C59F3"/>
    <w:rPr>
      <w:rFonts w:ascii="Times New Roman" w:eastAsia="Times New Roman" w:hAnsi="Times New Roman" w:cs="Times New Roman"/>
      <w:sz w:val="20"/>
      <w:szCs w:val="20"/>
      <w:lang w:val="en-US"/>
    </w:rPr>
  </w:style>
  <w:style w:type="paragraph" w:customStyle="1" w:styleId="BodyText21">
    <w:name w:val="Body Text 21"/>
    <w:basedOn w:val="Normal"/>
    <w:rsid w:val="009C59F3"/>
    <w:pPr>
      <w:widowControl w:val="0"/>
      <w:tabs>
        <w:tab w:val="left" w:pos="1440"/>
      </w:tabs>
      <w:spacing w:after="120" w:line="24" w:lineRule="auto"/>
      <w:ind w:left="1800"/>
      <w:jc w:val="both"/>
    </w:pPr>
    <w:rPr>
      <w:sz w:val="24"/>
      <w:szCs w:val="24"/>
    </w:rPr>
  </w:style>
  <w:style w:type="paragraph" w:customStyle="1" w:styleId="BodyText22">
    <w:name w:val="Body Text 22"/>
    <w:basedOn w:val="Normal"/>
    <w:rsid w:val="009C59F3"/>
    <w:pPr>
      <w:widowControl w:val="0"/>
      <w:ind w:left="360"/>
      <w:jc w:val="both"/>
    </w:pPr>
    <w:rPr>
      <w:sz w:val="18"/>
      <w:szCs w:val="18"/>
    </w:rPr>
  </w:style>
  <w:style w:type="paragraph" w:styleId="BodyTextIndent2">
    <w:name w:val="Body Text Indent 2"/>
    <w:basedOn w:val="Normal"/>
    <w:link w:val="BodyTextIndent2Char"/>
    <w:rsid w:val="009C59F3"/>
    <w:pPr>
      <w:widowControl w:val="0"/>
      <w:spacing w:after="120" w:line="24" w:lineRule="auto"/>
      <w:ind w:left="720" w:hanging="360"/>
      <w:jc w:val="both"/>
    </w:pPr>
    <w:rPr>
      <w:rFonts w:ascii="Comic Sans MS" w:hAnsi="Comic Sans MS"/>
    </w:rPr>
  </w:style>
  <w:style w:type="character" w:customStyle="1" w:styleId="BodyTextIndent2Char">
    <w:name w:val="Body Text Indent 2 Char"/>
    <w:link w:val="BodyTextIndent2"/>
    <w:rsid w:val="009C59F3"/>
    <w:rPr>
      <w:rFonts w:ascii="Comic Sans MS" w:eastAsia="Times New Roman" w:hAnsi="Comic Sans MS" w:cs="Times New Roman"/>
      <w:sz w:val="20"/>
      <w:szCs w:val="20"/>
      <w:lang w:val="en-US"/>
    </w:rPr>
  </w:style>
  <w:style w:type="paragraph" w:styleId="BodyText">
    <w:name w:val="Body Text"/>
    <w:basedOn w:val="Normal"/>
    <w:link w:val="BodyTextChar"/>
    <w:rsid w:val="009C59F3"/>
    <w:pPr>
      <w:widowControl w:val="0"/>
      <w:spacing w:after="120" w:line="24" w:lineRule="auto"/>
      <w:jc w:val="both"/>
    </w:pPr>
    <w:rPr>
      <w:rFonts w:ascii="Comic Sans MS" w:hAnsi="Comic Sans MS"/>
    </w:rPr>
  </w:style>
  <w:style w:type="character" w:customStyle="1" w:styleId="BodyTextChar">
    <w:name w:val="Body Text Char"/>
    <w:link w:val="BodyText"/>
    <w:rsid w:val="009C59F3"/>
    <w:rPr>
      <w:rFonts w:ascii="Comic Sans MS" w:eastAsia="Times New Roman" w:hAnsi="Comic Sans MS" w:cs="Times New Roman"/>
      <w:sz w:val="20"/>
      <w:szCs w:val="20"/>
      <w:lang w:val="en-US"/>
    </w:rPr>
  </w:style>
  <w:style w:type="paragraph" w:styleId="BodyText2">
    <w:name w:val="Body Text 2"/>
    <w:basedOn w:val="Normal"/>
    <w:link w:val="BodyText2Char"/>
    <w:rsid w:val="009C59F3"/>
    <w:pPr>
      <w:keepNext/>
      <w:widowControl w:val="0"/>
      <w:spacing w:after="120" w:line="240" w:lineRule="atLeast"/>
      <w:jc w:val="both"/>
    </w:pPr>
    <w:rPr>
      <w:sz w:val="26"/>
      <w:szCs w:val="26"/>
    </w:rPr>
  </w:style>
  <w:style w:type="character" w:customStyle="1" w:styleId="BodyText2Char">
    <w:name w:val="Body Text 2 Char"/>
    <w:link w:val="BodyText2"/>
    <w:rsid w:val="009C59F3"/>
    <w:rPr>
      <w:rFonts w:ascii="Times New Roman" w:eastAsia="Times New Roman" w:hAnsi="Times New Roman" w:cs="Times New Roman"/>
      <w:sz w:val="26"/>
      <w:szCs w:val="26"/>
      <w:lang w:val="en-US"/>
    </w:rPr>
  </w:style>
  <w:style w:type="paragraph" w:styleId="BlockText">
    <w:name w:val="Block Text"/>
    <w:basedOn w:val="Normal"/>
    <w:rsid w:val="009C59F3"/>
    <w:pPr>
      <w:widowControl w:val="0"/>
      <w:tabs>
        <w:tab w:val="decimal" w:pos="8364"/>
      </w:tabs>
      <w:ind w:left="2268" w:right="8646" w:hanging="283"/>
      <w:jc w:val="both"/>
    </w:pPr>
    <w:rPr>
      <w:sz w:val="28"/>
      <w:szCs w:val="28"/>
    </w:rPr>
  </w:style>
  <w:style w:type="paragraph" w:styleId="Footer">
    <w:name w:val="footer"/>
    <w:basedOn w:val="Normal"/>
    <w:link w:val="FooterChar"/>
    <w:uiPriority w:val="99"/>
    <w:rsid w:val="009C59F3"/>
    <w:pPr>
      <w:tabs>
        <w:tab w:val="center" w:pos="4320"/>
        <w:tab w:val="right" w:pos="8640"/>
      </w:tabs>
    </w:pPr>
  </w:style>
  <w:style w:type="character" w:customStyle="1" w:styleId="FooterChar">
    <w:name w:val="Footer Char"/>
    <w:link w:val="Footer"/>
    <w:uiPriority w:val="99"/>
    <w:rsid w:val="009C59F3"/>
    <w:rPr>
      <w:rFonts w:ascii="Times New Roman" w:eastAsia="Times New Roman" w:hAnsi="Times New Roman" w:cs="Times New Roman"/>
      <w:sz w:val="20"/>
      <w:szCs w:val="20"/>
      <w:lang w:val="en-US"/>
    </w:rPr>
  </w:style>
  <w:style w:type="character" w:styleId="PageNumber">
    <w:name w:val="page number"/>
    <w:basedOn w:val="DefaultParagraphFont"/>
    <w:rsid w:val="009C59F3"/>
  </w:style>
  <w:style w:type="table" w:styleId="TableGrid">
    <w:name w:val="Table Grid"/>
    <w:basedOn w:val="TableNormal"/>
    <w:uiPriority w:val="39"/>
    <w:rsid w:val="009C59F3"/>
    <w:pPr>
      <w:autoSpaceDE w:val="0"/>
      <w:autoSpaceDN w:val="0"/>
    </w:pPr>
    <w:rPr>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9C59F3"/>
    <w:pPr>
      <w:spacing w:after="120"/>
    </w:pPr>
    <w:rPr>
      <w:sz w:val="16"/>
      <w:szCs w:val="16"/>
    </w:rPr>
  </w:style>
  <w:style w:type="character" w:customStyle="1" w:styleId="BodyText3Char">
    <w:name w:val="Body Text 3 Char"/>
    <w:link w:val="BodyText3"/>
    <w:rsid w:val="009C59F3"/>
    <w:rPr>
      <w:rFonts w:ascii="Times New Roman" w:eastAsia="Times New Roman" w:hAnsi="Times New Roman" w:cs="Times New Roman"/>
      <w:sz w:val="16"/>
      <w:szCs w:val="16"/>
      <w:lang w:val="en-US"/>
    </w:rPr>
  </w:style>
  <w:style w:type="paragraph" w:styleId="BodyTextIndent3">
    <w:name w:val="Body Text Indent 3"/>
    <w:basedOn w:val="Normal"/>
    <w:link w:val="BodyTextIndent3Char"/>
    <w:rsid w:val="009C59F3"/>
    <w:pPr>
      <w:spacing w:after="120"/>
      <w:ind w:left="360"/>
    </w:pPr>
    <w:rPr>
      <w:sz w:val="16"/>
      <w:szCs w:val="16"/>
    </w:rPr>
  </w:style>
  <w:style w:type="character" w:customStyle="1" w:styleId="BodyTextIndent3Char">
    <w:name w:val="Body Text Indent 3 Char"/>
    <w:link w:val="BodyTextIndent3"/>
    <w:rsid w:val="009C59F3"/>
    <w:rPr>
      <w:rFonts w:ascii="Times New Roman" w:eastAsia="Times New Roman" w:hAnsi="Times New Roman" w:cs="Times New Roman"/>
      <w:sz w:val="16"/>
      <w:szCs w:val="16"/>
      <w:lang w:val="en-US"/>
    </w:rPr>
  </w:style>
  <w:style w:type="paragraph" w:customStyle="1" w:styleId="Style1">
    <w:name w:val="Style 1"/>
    <w:basedOn w:val="Normal"/>
    <w:rsid w:val="009C59F3"/>
    <w:pPr>
      <w:widowControl w:val="0"/>
      <w:ind w:left="432"/>
    </w:pPr>
    <w:rPr>
      <w:sz w:val="24"/>
      <w:szCs w:val="24"/>
    </w:rPr>
  </w:style>
  <w:style w:type="paragraph" w:customStyle="1" w:styleId="Style2">
    <w:name w:val="Style 2"/>
    <w:basedOn w:val="Normal"/>
    <w:rsid w:val="009C59F3"/>
    <w:pPr>
      <w:widowControl w:val="0"/>
      <w:ind w:left="72"/>
    </w:pPr>
    <w:rPr>
      <w:sz w:val="24"/>
      <w:szCs w:val="24"/>
    </w:rPr>
  </w:style>
  <w:style w:type="paragraph" w:customStyle="1" w:styleId="Style3">
    <w:name w:val="Style 3"/>
    <w:basedOn w:val="Normal"/>
    <w:rsid w:val="009C59F3"/>
    <w:pPr>
      <w:widowControl w:val="0"/>
      <w:ind w:left="72" w:right="72"/>
      <w:jc w:val="both"/>
    </w:pPr>
    <w:rPr>
      <w:sz w:val="24"/>
      <w:szCs w:val="24"/>
    </w:rPr>
  </w:style>
  <w:style w:type="paragraph" w:customStyle="1" w:styleId="Style4">
    <w:name w:val="Style 4"/>
    <w:basedOn w:val="Normal"/>
    <w:rsid w:val="009C59F3"/>
    <w:pPr>
      <w:widowControl w:val="0"/>
      <w:adjustRightInd w:val="0"/>
    </w:pPr>
    <w:rPr>
      <w:sz w:val="24"/>
      <w:szCs w:val="24"/>
    </w:rPr>
  </w:style>
  <w:style w:type="paragraph" w:styleId="BalloonText">
    <w:name w:val="Balloon Text"/>
    <w:basedOn w:val="Normal"/>
    <w:link w:val="BalloonTextChar"/>
    <w:uiPriority w:val="99"/>
    <w:semiHidden/>
    <w:rsid w:val="009C59F3"/>
    <w:rPr>
      <w:rFonts w:ascii="Tahoma" w:hAnsi="Tahoma" w:cs="Tahoma"/>
      <w:sz w:val="16"/>
      <w:szCs w:val="16"/>
    </w:rPr>
  </w:style>
  <w:style w:type="character" w:customStyle="1" w:styleId="BalloonTextChar">
    <w:name w:val="Balloon Text Char"/>
    <w:link w:val="BalloonText"/>
    <w:uiPriority w:val="99"/>
    <w:semiHidden/>
    <w:rsid w:val="009C59F3"/>
    <w:rPr>
      <w:rFonts w:ascii="Tahoma" w:eastAsia="Times New Roman" w:hAnsi="Tahoma" w:cs="Tahoma"/>
      <w:sz w:val="16"/>
      <w:szCs w:val="16"/>
      <w:lang w:val="en-US"/>
    </w:rPr>
  </w:style>
  <w:style w:type="paragraph" w:styleId="ListParagraph">
    <w:name w:val="List Paragraph"/>
    <w:aliases w:val="Source,Colorful List - Accent 11,Num Bullet 1,Bab,Item2,List 5.2.1,spasi 2 taiiii,Atan,NUMBERED PARAGRAPH,List Paragraph 1,List Paragraph1,Level 3,kepala,Heading 21,Recommendation,List Paragraph11,Bulleted Para,NFP GP Bulleted List,awal"/>
    <w:basedOn w:val="Normal"/>
    <w:link w:val="ListParagraphChar"/>
    <w:uiPriority w:val="34"/>
    <w:qFormat/>
    <w:rsid w:val="009C59F3"/>
    <w:pPr>
      <w:ind w:left="720"/>
      <w:contextualSpacing/>
    </w:pPr>
  </w:style>
  <w:style w:type="paragraph" w:styleId="DocumentMap">
    <w:name w:val="Document Map"/>
    <w:basedOn w:val="Normal"/>
    <w:link w:val="DocumentMapChar"/>
    <w:rsid w:val="009C59F3"/>
    <w:rPr>
      <w:rFonts w:ascii="Tahoma" w:hAnsi="Tahoma"/>
      <w:sz w:val="16"/>
      <w:szCs w:val="16"/>
    </w:rPr>
  </w:style>
  <w:style w:type="character" w:customStyle="1" w:styleId="DocumentMapChar">
    <w:name w:val="Document Map Char"/>
    <w:link w:val="DocumentMap"/>
    <w:rsid w:val="009C59F3"/>
    <w:rPr>
      <w:rFonts w:ascii="Tahoma" w:eastAsia="Times New Roman" w:hAnsi="Tahoma" w:cs="Times New Roman"/>
      <w:sz w:val="16"/>
      <w:szCs w:val="16"/>
      <w:lang w:val="en-US"/>
    </w:rPr>
  </w:style>
  <w:style w:type="character" w:customStyle="1" w:styleId="ListParagraphChar">
    <w:name w:val="List Paragraph Char"/>
    <w:aliases w:val="Source Char,Colorful List - Accent 11 Char,Num Bullet 1 Char,Bab Char,Item2 Char,List 5.2.1 Char,spasi 2 taiiii Char,Atan Char,NUMBERED PARAGRAPH Char,List Paragraph 1 Char,List Paragraph1 Char,Level 3 Char,kepala Char,awal Char"/>
    <w:link w:val="ListParagraph"/>
    <w:uiPriority w:val="34"/>
    <w:qFormat/>
    <w:rsid w:val="009C59F3"/>
    <w:rPr>
      <w:rFonts w:ascii="Times New Roman" w:eastAsia="Times New Roman" w:hAnsi="Times New Roman" w:cs="Times New Roman"/>
      <w:sz w:val="20"/>
      <w:szCs w:val="20"/>
      <w:lang w:val="en-US"/>
    </w:rPr>
  </w:style>
  <w:style w:type="paragraph" w:customStyle="1" w:styleId="BodyText2858D7CFB-ED40-4347-BF05-701D383B685F858D7CFB-ED40-4347-BF05-701D383B685F">
    <w:name w:val="Body Text 2[858D7CFB-ED40-4347-BF05-701D383B685F][858D7CFB-ED40-4347-BF05-701D383B685F]"/>
    <w:basedOn w:val="Normal"/>
    <w:rsid w:val="009C59F3"/>
    <w:pPr>
      <w:autoSpaceDE/>
      <w:autoSpaceDN/>
      <w:spacing w:after="120" w:line="480" w:lineRule="auto"/>
    </w:pPr>
    <w:rPr>
      <w:lang w:val="id-ID" w:eastAsia="id-ID"/>
    </w:rPr>
  </w:style>
  <w:style w:type="paragraph" w:customStyle="1" w:styleId="Default">
    <w:name w:val="Default"/>
    <w:rsid w:val="009C59F3"/>
    <w:pPr>
      <w:autoSpaceDE w:val="0"/>
      <w:autoSpaceDN w:val="0"/>
      <w:adjustRightInd w:val="0"/>
    </w:pPr>
    <w:rPr>
      <w:rFonts w:ascii="Bookman Old Style" w:hAnsi="Bookman Old Style" w:cs="Bookman Old Style"/>
      <w:color w:val="000000"/>
      <w:sz w:val="24"/>
      <w:szCs w:val="24"/>
    </w:rPr>
  </w:style>
  <w:style w:type="character" w:styleId="Emphasis">
    <w:name w:val="Emphasis"/>
    <w:qFormat/>
    <w:rsid w:val="009C59F3"/>
    <w:rPr>
      <w:i/>
      <w:iCs/>
    </w:rPr>
  </w:style>
  <w:style w:type="paragraph" w:styleId="Revision">
    <w:name w:val="Revision"/>
    <w:hidden/>
    <w:uiPriority w:val="99"/>
    <w:semiHidden/>
    <w:rsid w:val="009C59F3"/>
  </w:style>
  <w:style w:type="character" w:styleId="CommentReference">
    <w:name w:val="annotation reference"/>
    <w:uiPriority w:val="99"/>
    <w:semiHidden/>
    <w:unhideWhenUsed/>
    <w:rsid w:val="008E7321"/>
    <w:rPr>
      <w:sz w:val="16"/>
      <w:szCs w:val="16"/>
    </w:rPr>
  </w:style>
  <w:style w:type="paragraph" w:styleId="CommentText">
    <w:name w:val="annotation text"/>
    <w:basedOn w:val="Normal"/>
    <w:link w:val="CommentTextChar"/>
    <w:uiPriority w:val="99"/>
    <w:unhideWhenUsed/>
    <w:rsid w:val="008E7321"/>
    <w:pPr>
      <w:autoSpaceDE/>
      <w:autoSpaceDN/>
      <w:spacing w:after="200"/>
    </w:pPr>
    <w:rPr>
      <w:rFonts w:ascii="Calibri" w:eastAsia="Calibri" w:hAnsi="Calibri"/>
    </w:rPr>
  </w:style>
  <w:style w:type="character" w:customStyle="1" w:styleId="CommentTextChar">
    <w:name w:val="Comment Text Char"/>
    <w:link w:val="CommentText"/>
    <w:uiPriority w:val="99"/>
    <w:rsid w:val="008E732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990"/>
    <w:pPr>
      <w:autoSpaceDE w:val="0"/>
      <w:autoSpaceDN w:val="0"/>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F65990"/>
    <w:rPr>
      <w:rFonts w:ascii="Times New Roman" w:eastAsia="Times New Roman" w:hAnsi="Times New Roman" w:cs="Times New Roman"/>
      <w:b/>
      <w:bCs/>
      <w:sz w:val="20"/>
      <w:szCs w:val="20"/>
      <w:lang w:val="en-US"/>
    </w:rPr>
  </w:style>
  <w:style w:type="paragraph" w:customStyle="1" w:styleId="ayatt">
    <w:name w:val="ayatt"/>
    <w:basedOn w:val="ListParagraph"/>
    <w:link w:val="ayattChar"/>
    <w:rsid w:val="00837856"/>
    <w:pPr>
      <w:numPr>
        <w:numId w:val="1"/>
      </w:numPr>
      <w:autoSpaceDE/>
      <w:autoSpaceDN/>
      <w:spacing w:before="120" w:after="120" w:line="276" w:lineRule="auto"/>
      <w:contextualSpacing w:val="0"/>
      <w:jc w:val="both"/>
    </w:pPr>
    <w:rPr>
      <w:rFonts w:ascii="Bookman Old Style" w:eastAsia="Calibri" w:hAnsi="Bookman Old Style"/>
      <w:sz w:val="22"/>
      <w:szCs w:val="24"/>
    </w:rPr>
  </w:style>
  <w:style w:type="character" w:customStyle="1" w:styleId="ayattChar">
    <w:name w:val="ayatt Char"/>
    <w:link w:val="ayatt"/>
    <w:rsid w:val="00837856"/>
    <w:rPr>
      <w:rFonts w:ascii="Bookman Old Style" w:eastAsia="Calibri" w:hAnsi="Bookman Old Style"/>
      <w:sz w:val="22"/>
      <w:szCs w:val="24"/>
    </w:rPr>
  </w:style>
  <w:style w:type="paragraph" w:styleId="PlainText">
    <w:name w:val="Plain Text"/>
    <w:basedOn w:val="Normal"/>
    <w:link w:val="PlainTextChar"/>
    <w:uiPriority w:val="99"/>
    <w:rsid w:val="00B65A1A"/>
    <w:pPr>
      <w:autoSpaceDE/>
      <w:autoSpaceDN/>
    </w:pPr>
    <w:rPr>
      <w:rFonts w:ascii="Courier New" w:hAnsi="Courier New" w:cs="Courier New"/>
      <w:lang w:val="sv-SE"/>
    </w:rPr>
  </w:style>
  <w:style w:type="character" w:customStyle="1" w:styleId="PlainTextChar">
    <w:name w:val="Plain Text Char"/>
    <w:link w:val="PlainText"/>
    <w:uiPriority w:val="99"/>
    <w:rsid w:val="00B65A1A"/>
    <w:rPr>
      <w:rFonts w:ascii="Courier New" w:eastAsia="Times New Roman" w:hAnsi="Courier New" w:cs="Courier New"/>
      <w:sz w:val="20"/>
      <w:szCs w:val="20"/>
      <w:lang w:val="sv-SE"/>
    </w:rPr>
  </w:style>
  <w:style w:type="paragraph" w:customStyle="1" w:styleId="judulbab">
    <w:name w:val="judul bab"/>
    <w:basedOn w:val="ListParagraph"/>
    <w:link w:val="judulbabChar"/>
    <w:rsid w:val="00E24C77"/>
    <w:pPr>
      <w:autoSpaceDE/>
      <w:autoSpaceDN/>
      <w:spacing w:before="120" w:after="120" w:line="276" w:lineRule="auto"/>
      <w:ind w:left="0"/>
      <w:contextualSpacing w:val="0"/>
      <w:jc w:val="center"/>
    </w:pPr>
    <w:rPr>
      <w:rFonts w:ascii="Calibri" w:eastAsia="Calibri" w:hAnsi="Calibri"/>
      <w:szCs w:val="24"/>
    </w:rPr>
  </w:style>
  <w:style w:type="character" w:customStyle="1" w:styleId="judulbabChar">
    <w:name w:val="judul bab Char"/>
    <w:link w:val="judulbab"/>
    <w:rsid w:val="00E24C77"/>
    <w:rPr>
      <w:rFonts w:ascii="Calibri" w:eastAsia="Calibri" w:hAnsi="Calibri" w:cs="Times New Roman"/>
      <w:sz w:val="20"/>
      <w:szCs w:val="24"/>
    </w:rPr>
  </w:style>
  <w:style w:type="paragraph" w:styleId="NormalWeb">
    <w:name w:val="Normal (Web)"/>
    <w:basedOn w:val="Normal"/>
    <w:uiPriority w:val="99"/>
    <w:semiHidden/>
    <w:unhideWhenUsed/>
    <w:rsid w:val="00AD1E1F"/>
    <w:pPr>
      <w:autoSpaceDE/>
      <w:autoSpaceDN/>
      <w:spacing w:before="100" w:beforeAutospacing="1" w:after="100" w:afterAutospacing="1"/>
    </w:pPr>
    <w:rPr>
      <w:sz w:val="24"/>
      <w:szCs w:val="24"/>
      <w:lang w:val="id-ID" w:eastAsia="id-ID"/>
    </w:rPr>
  </w:style>
  <w:style w:type="character" w:styleId="Hyperlink">
    <w:name w:val="Hyperlink"/>
    <w:basedOn w:val="DefaultParagraphFont"/>
    <w:uiPriority w:val="99"/>
    <w:unhideWhenUsed/>
    <w:rsid w:val="00380F72"/>
    <w:rPr>
      <w:color w:val="0000FF" w:themeColor="hyperlink"/>
      <w:u w:val="single"/>
    </w:rPr>
  </w:style>
  <w:style w:type="character" w:customStyle="1" w:styleId="UnresolvedMention1">
    <w:name w:val="Unresolved Mention1"/>
    <w:basedOn w:val="DefaultParagraphFont"/>
    <w:uiPriority w:val="99"/>
    <w:semiHidden/>
    <w:unhideWhenUsed/>
    <w:rsid w:val="00380F7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fontstyle01">
    <w:name w:val="fontstyle01"/>
    <w:basedOn w:val="DefaultParagraphFont"/>
    <w:rsid w:val="00512D8F"/>
    <w:rPr>
      <w:rFonts w:ascii="Bookman Old Style" w:hAnsi="Bookman Old Style"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349369">
      <w:bodyDiv w:val="1"/>
      <w:marLeft w:val="0"/>
      <w:marRight w:val="0"/>
      <w:marTop w:val="0"/>
      <w:marBottom w:val="0"/>
      <w:divBdr>
        <w:top w:val="none" w:sz="0" w:space="0" w:color="auto"/>
        <w:left w:val="none" w:sz="0" w:space="0" w:color="auto"/>
        <w:bottom w:val="none" w:sz="0" w:space="0" w:color="auto"/>
        <w:right w:val="none" w:sz="0" w:space="0" w:color="auto"/>
      </w:divBdr>
      <w:divsChild>
        <w:div w:id="920287187">
          <w:marLeft w:val="0"/>
          <w:marRight w:val="0"/>
          <w:marTop w:val="0"/>
          <w:marBottom w:val="0"/>
          <w:divBdr>
            <w:top w:val="none" w:sz="0" w:space="0" w:color="auto"/>
            <w:left w:val="none" w:sz="0" w:space="0" w:color="auto"/>
            <w:bottom w:val="none" w:sz="0" w:space="0" w:color="auto"/>
            <w:right w:val="none" w:sz="0" w:space="0" w:color="auto"/>
          </w:divBdr>
          <w:divsChild>
            <w:div w:id="167137190">
              <w:marLeft w:val="0"/>
              <w:marRight w:val="0"/>
              <w:marTop w:val="0"/>
              <w:marBottom w:val="0"/>
              <w:divBdr>
                <w:top w:val="none" w:sz="0" w:space="0" w:color="auto"/>
                <w:left w:val="none" w:sz="0" w:space="0" w:color="auto"/>
                <w:bottom w:val="none" w:sz="0" w:space="0" w:color="auto"/>
                <w:right w:val="none" w:sz="0" w:space="0" w:color="auto"/>
              </w:divBdr>
              <w:divsChild>
                <w:div w:id="125805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676249">
      <w:bodyDiv w:val="1"/>
      <w:marLeft w:val="0"/>
      <w:marRight w:val="0"/>
      <w:marTop w:val="0"/>
      <w:marBottom w:val="0"/>
      <w:divBdr>
        <w:top w:val="none" w:sz="0" w:space="0" w:color="auto"/>
        <w:left w:val="none" w:sz="0" w:space="0" w:color="auto"/>
        <w:bottom w:val="none" w:sz="0" w:space="0" w:color="auto"/>
        <w:right w:val="none" w:sz="0" w:space="0" w:color="auto"/>
      </w:divBdr>
      <w:divsChild>
        <w:div w:id="287974303">
          <w:marLeft w:val="547"/>
          <w:marRight w:val="0"/>
          <w:marTop w:val="0"/>
          <w:marBottom w:val="0"/>
          <w:divBdr>
            <w:top w:val="none" w:sz="0" w:space="0" w:color="auto"/>
            <w:left w:val="none" w:sz="0" w:space="0" w:color="auto"/>
            <w:bottom w:val="none" w:sz="0" w:space="0" w:color="auto"/>
            <w:right w:val="none" w:sz="0" w:space="0" w:color="auto"/>
          </w:divBdr>
        </w:div>
      </w:divsChild>
    </w:div>
    <w:div w:id="1756316448">
      <w:bodyDiv w:val="1"/>
      <w:marLeft w:val="0"/>
      <w:marRight w:val="0"/>
      <w:marTop w:val="0"/>
      <w:marBottom w:val="0"/>
      <w:divBdr>
        <w:top w:val="none" w:sz="0" w:space="0" w:color="auto"/>
        <w:left w:val="none" w:sz="0" w:space="0" w:color="auto"/>
        <w:bottom w:val="none" w:sz="0" w:space="0" w:color="auto"/>
        <w:right w:val="none" w:sz="0" w:space="0" w:color="auto"/>
      </w:divBdr>
      <w:divsChild>
        <w:div w:id="380322343">
          <w:marLeft w:val="0"/>
          <w:marRight w:val="0"/>
          <w:marTop w:val="0"/>
          <w:marBottom w:val="0"/>
          <w:divBdr>
            <w:top w:val="none" w:sz="0" w:space="0" w:color="auto"/>
            <w:left w:val="none" w:sz="0" w:space="0" w:color="auto"/>
            <w:bottom w:val="none" w:sz="0" w:space="0" w:color="auto"/>
            <w:right w:val="none" w:sz="0" w:space="0" w:color="auto"/>
          </w:divBdr>
          <w:divsChild>
            <w:div w:id="831260927">
              <w:marLeft w:val="0"/>
              <w:marRight w:val="0"/>
              <w:marTop w:val="0"/>
              <w:marBottom w:val="0"/>
              <w:divBdr>
                <w:top w:val="none" w:sz="0" w:space="0" w:color="auto"/>
                <w:left w:val="none" w:sz="0" w:space="0" w:color="auto"/>
                <w:bottom w:val="none" w:sz="0" w:space="0" w:color="auto"/>
                <w:right w:val="none" w:sz="0" w:space="0" w:color="auto"/>
              </w:divBdr>
              <w:divsChild>
                <w:div w:id="17077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KrEcenjqcLjgNnxjVT3sCcufvQ==">AMUW2mVWFJgw6yh73BOppDJnEDoPc89wzMlYnA5TInGJ60LJWp3tsrtEf+ml1LwsRfIaig0P1PhfP/6/Jaxy6L6F92IMK4LEvSPDfGG9GXPdEnsTNMGsfCmuvhZgHLakF68nhQexCNCO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32520B-0400-423E-81DA-66B6D796E2F4}">
  <ds:schemaRefs>
    <ds:schemaRef ds:uri="http://schemas.openxmlformats.org/officeDocument/2006/bibliography"/>
  </ds:schemaRefs>
</ds:datastoreItem>
</file>

<file path=customXml/itemProps3.xml><?xml version="1.0" encoding="utf-8"?>
<ds:datastoreItem xmlns:ds="http://schemas.openxmlformats.org/officeDocument/2006/customXml" ds:itemID="{3513104F-B228-4228-B612-95FE870DA131}"/>
</file>

<file path=customXml/itemProps4.xml><?xml version="1.0" encoding="utf-8"?>
<ds:datastoreItem xmlns:ds="http://schemas.openxmlformats.org/officeDocument/2006/customXml" ds:itemID="{AF41498E-3868-4BE9-9E1B-FFCD0F58B34D}"/>
</file>

<file path=customXml/itemProps5.xml><?xml version="1.0" encoding="utf-8"?>
<ds:datastoreItem xmlns:ds="http://schemas.openxmlformats.org/officeDocument/2006/customXml" ds:itemID="{2F8ED3CA-19CE-47AD-BBF5-81766940CB3E}"/>
</file>

<file path=docProps/app.xml><?xml version="1.0" encoding="utf-8"?>
<Properties xmlns="http://schemas.openxmlformats.org/officeDocument/2006/extended-properties" xmlns:vt="http://schemas.openxmlformats.org/officeDocument/2006/docPropsVTypes">
  <Template>Normal</Template>
  <TotalTime>0</TotalTime>
  <Pages>13</Pages>
  <Words>2225</Words>
  <Characters>12687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Ni Kadek Riana Mustika Dewi</cp:lastModifiedBy>
  <cp:revision>2</cp:revision>
  <cp:lastPrinted>2025-08-12T08:25:00Z</cp:lastPrinted>
  <dcterms:created xsi:type="dcterms:W3CDTF">2026-04-07T06:33:00Z</dcterms:created>
  <dcterms:modified xsi:type="dcterms:W3CDTF">2026-04-07T06:33:00Z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c6fe721a6a4c445d7b93534ae9749c11e540f669a95b0f9f8b3adbd4b71be20e</vt:lpwstr>
  </property>
  <property fmtid="{D5CDD505-2E9C-101B-9397-08002B2CF9AE}" pid="3" name="ContentTypeId">
    <vt:lpwstr>0x0101000E568EA12C02744B90C2548B18D7B906</vt:lpwstr>
  </property>
</Properties>
</file>