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F3A8" w14:textId="77777777" w:rsidR="008C438A" w:rsidRPr="00510AD8" w:rsidRDefault="008C438A" w:rsidP="008C438A">
      <w:pPr>
        <w:jc w:val="center"/>
        <w:rPr>
          <w:rFonts w:ascii="Bookman Old Style" w:hAnsi="Bookman Old Style" w:cs="Bookman Old Style"/>
          <w:bCs/>
          <w:color w:val="000000"/>
          <w:sz w:val="20"/>
          <w:szCs w:val="20"/>
          <w:lang w:val="en-US"/>
        </w:rPr>
      </w:pPr>
      <w:bookmarkStart w:id="0" w:name="_Hlk137616758"/>
      <w:r w:rsidRPr="00510AD8">
        <w:rPr>
          <w:rFonts w:ascii="Bookman Old Style" w:hAnsi="Bookman Old Style" w:cs="Bookman Old Style"/>
          <w:bCs/>
          <w:color w:val="000000"/>
          <w:sz w:val="20"/>
          <w:szCs w:val="20"/>
          <w:lang w:val="en-US"/>
        </w:rPr>
        <w:t>MATRIKS TANGGAPAN</w:t>
      </w:r>
    </w:p>
    <w:p w14:paraId="010A1864" w14:textId="77777777" w:rsidR="00B73664" w:rsidRPr="00510AD8" w:rsidRDefault="008C438A" w:rsidP="00B73664">
      <w:pPr>
        <w:pStyle w:val="Default"/>
        <w:jc w:val="center"/>
        <w:rPr>
          <w:bCs/>
          <w:sz w:val="20"/>
          <w:szCs w:val="20"/>
        </w:rPr>
      </w:pPr>
      <w:bookmarkStart w:id="1" w:name="_Hlk78277036"/>
      <w:r w:rsidRPr="00510AD8">
        <w:rPr>
          <w:bCs/>
          <w:sz w:val="20"/>
          <w:szCs w:val="20"/>
        </w:rPr>
        <w:t>RANCANGAN PERATURAN OTORITAS JASA KEUANGAN</w:t>
      </w:r>
      <w:r w:rsidR="00B73664" w:rsidRPr="00510AD8">
        <w:rPr>
          <w:bCs/>
          <w:sz w:val="20"/>
          <w:szCs w:val="20"/>
        </w:rPr>
        <w:t xml:space="preserve"> </w:t>
      </w:r>
      <w:r w:rsidRPr="00510AD8">
        <w:rPr>
          <w:bCs/>
          <w:sz w:val="20"/>
          <w:szCs w:val="20"/>
        </w:rPr>
        <w:t xml:space="preserve">TENTANG </w:t>
      </w:r>
      <w:bookmarkEnd w:id="1"/>
    </w:p>
    <w:p w14:paraId="75964BD8" w14:textId="64B14DFF" w:rsidR="008C438A" w:rsidRPr="00510AD8" w:rsidRDefault="00B73664" w:rsidP="00B73664">
      <w:pPr>
        <w:pStyle w:val="Default"/>
        <w:jc w:val="center"/>
        <w:rPr>
          <w:sz w:val="20"/>
          <w:szCs w:val="20"/>
        </w:rPr>
      </w:pPr>
      <w:r w:rsidRPr="00510AD8">
        <w:rPr>
          <w:bCs/>
          <w:sz w:val="20"/>
          <w:szCs w:val="20"/>
        </w:rPr>
        <w:t>PENGGUNA STANDAR AKUNTANSI KEUANGAN INTERNASIONAL DI PASAR MODAL</w:t>
      </w:r>
    </w:p>
    <w:bookmarkEnd w:id="0"/>
    <w:p w14:paraId="043AC3CB" w14:textId="77777777" w:rsidR="00B73664" w:rsidRPr="00510AD8" w:rsidRDefault="00B73664" w:rsidP="00B73664">
      <w:pPr>
        <w:pStyle w:val="Default"/>
        <w:jc w:val="center"/>
        <w:rPr>
          <w:sz w:val="20"/>
          <w:szCs w:val="20"/>
        </w:rPr>
      </w:pPr>
    </w:p>
    <w:tbl>
      <w:tblPr>
        <w:tblW w:w="15812" w:type="dxa"/>
        <w:tblInd w:w="113" w:type="dxa"/>
        <w:tblLook w:val="04A0" w:firstRow="1" w:lastRow="0" w:firstColumn="1" w:lastColumn="0" w:noHBand="0" w:noVBand="1"/>
      </w:tblPr>
      <w:tblGrid>
        <w:gridCol w:w="5012"/>
        <w:gridCol w:w="5103"/>
        <w:gridCol w:w="2637"/>
        <w:gridCol w:w="3060"/>
      </w:tblGrid>
      <w:tr w:rsidR="00B73664" w:rsidRPr="00510AD8" w14:paraId="5FD521F5" w14:textId="3B62087F" w:rsidTr="00C34ADC">
        <w:trPr>
          <w:trHeight w:val="300"/>
          <w:tblHeader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0644F2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b/>
                <w:sz w:val="20"/>
                <w:szCs w:val="20"/>
              </w:rPr>
              <w:t>Draft RPOJK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8FD62C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b/>
                <w:sz w:val="20"/>
                <w:szCs w:val="20"/>
              </w:rPr>
              <w:t xml:space="preserve">Draft </w:t>
            </w:r>
            <w:proofErr w:type="spellStart"/>
            <w:r w:rsidRPr="00510AD8">
              <w:rPr>
                <w:rFonts w:ascii="Bookman Old Style" w:hAnsi="Bookman Old Style"/>
                <w:b/>
                <w:sz w:val="20"/>
                <w:szCs w:val="20"/>
              </w:rPr>
              <w:t>Penjelasan</w:t>
            </w:r>
            <w:proofErr w:type="spellEnd"/>
            <w:r w:rsidRPr="00510AD8">
              <w:rPr>
                <w:rFonts w:ascii="Bookman Old Style" w:hAnsi="Bookman Old Style"/>
                <w:b/>
                <w:sz w:val="20"/>
                <w:szCs w:val="20"/>
              </w:rPr>
              <w:t xml:space="preserve"> RPOJK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A184329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b/>
                <w:sz w:val="20"/>
                <w:szCs w:val="20"/>
              </w:rPr>
              <w:t>Tanggapan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CB320" w14:textId="6B9E934C" w:rsidR="00B73664" w:rsidRPr="00510AD8" w:rsidRDefault="00B73664" w:rsidP="00B73664">
            <w:pPr>
              <w:tabs>
                <w:tab w:val="left" w:pos="1509"/>
              </w:tabs>
              <w:spacing w:after="0"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b/>
                <w:sz w:val="20"/>
                <w:szCs w:val="20"/>
              </w:rPr>
              <w:t>Usulan</w:t>
            </w:r>
            <w:proofErr w:type="spellEnd"/>
            <w:r w:rsidRPr="00510AD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b/>
                <w:sz w:val="20"/>
                <w:szCs w:val="20"/>
              </w:rPr>
              <w:t>Perubahan</w:t>
            </w:r>
            <w:proofErr w:type="spellEnd"/>
          </w:p>
        </w:tc>
      </w:tr>
      <w:tr w:rsidR="00B73664" w:rsidRPr="00510AD8" w14:paraId="617CE1DF" w14:textId="25A094F0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9856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4E2629C8" wp14:editId="291DAE5B">
                  <wp:extent cx="831273" cy="819397"/>
                  <wp:effectExtent l="0" t="0" r="6985" b="0"/>
                  <wp:docPr id="982388363" name="Picture 982388363" descr="Description: garu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garuda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13" cy="823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4D70A" w14:textId="25D4D71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510AD8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OTORITAS JASA KEUANGAN</w:t>
            </w:r>
          </w:p>
          <w:p w14:paraId="734A4C28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</w:rPr>
            </w:pPr>
            <w:r w:rsidRPr="00510AD8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REPUBLIK INDONESIA</w:t>
            </w:r>
          </w:p>
          <w:p w14:paraId="04589D36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693CBB3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it-IT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  <w:t>PERATURAN OTORITAS JASA KEUANGAN</w:t>
            </w:r>
          </w:p>
          <w:p w14:paraId="7EFA7CDF" w14:textId="0086B62D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ind w:hanging="1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it-IT"/>
              </w:rPr>
              <w:t xml:space="preserve">NOMOR </w:t>
            </w: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  <w:t>....... /POJK.04/.........</w:t>
            </w:r>
          </w:p>
          <w:p w14:paraId="6A9577F6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ind w:hanging="1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it-IT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it-IT"/>
              </w:rPr>
              <w:t>TENTANG</w:t>
            </w:r>
          </w:p>
          <w:p w14:paraId="03280970" w14:textId="7BA14752" w:rsidR="00B73664" w:rsidRPr="00510AD8" w:rsidRDefault="00B73664" w:rsidP="00B73664">
            <w:pPr>
              <w:pStyle w:val="Default"/>
              <w:jc w:val="center"/>
              <w:rPr>
                <w:rFonts w:eastAsia="Times New Roman" w:cs="Times New Roman"/>
                <w:noProof/>
                <w:color w:val="auto"/>
                <w:sz w:val="20"/>
                <w:szCs w:val="20"/>
                <w:lang w:val="it-IT"/>
              </w:rPr>
            </w:pPr>
            <w:bookmarkStart w:id="2" w:name="_GoBack"/>
            <w:r w:rsidRPr="00510AD8">
              <w:rPr>
                <w:rFonts w:eastAsia="Times New Roman" w:cs="Times New Roman"/>
                <w:noProof/>
                <w:color w:val="auto"/>
                <w:sz w:val="20"/>
                <w:szCs w:val="20"/>
                <w:lang w:val="it-IT"/>
              </w:rPr>
              <w:t>PENGGUNA STANDAR AKUNTANSI KEUANGAN INTERNASIONAL DI PASAR MODAL</w:t>
            </w:r>
            <w:bookmarkEnd w:id="2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C4D6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</w:p>
          <w:p w14:paraId="15D21399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</w:p>
          <w:p w14:paraId="3746947F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</w:p>
          <w:p w14:paraId="29BBA3A8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</w:p>
          <w:p w14:paraId="1E821D81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</w:p>
          <w:p w14:paraId="00B29D8E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</w:p>
          <w:p w14:paraId="1114515D" w14:textId="74E5B3BE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  <w:t>PENJELASAN</w:t>
            </w:r>
          </w:p>
          <w:p w14:paraId="2B2D7BBB" w14:textId="211EE78D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  <w:t>ATAS</w:t>
            </w:r>
          </w:p>
          <w:p w14:paraId="538226D0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  <w:t>PERATURAN OTORITAS JASA KEUANGAN</w:t>
            </w:r>
          </w:p>
          <w:p w14:paraId="4317E516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  <w:t>NOMOR ....... /POJK.04/.........</w:t>
            </w:r>
          </w:p>
          <w:p w14:paraId="06BC4993" w14:textId="77777777" w:rsidR="00B73664" w:rsidRPr="00510AD8" w:rsidRDefault="00B73664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  <w:t>TENTANG</w:t>
            </w:r>
          </w:p>
          <w:p w14:paraId="005F31F2" w14:textId="11CFE577" w:rsidR="00B73664" w:rsidRPr="00510AD8" w:rsidRDefault="00510AD8" w:rsidP="00920511">
            <w:pPr>
              <w:keepNext/>
              <w:keepLines/>
              <w:autoSpaceDE w:val="0"/>
              <w:autoSpaceDN w:val="0"/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eastAsia="Times New Roman" w:hAnsi="Bookman Old Style" w:cs="Times New Roman"/>
                <w:noProof/>
                <w:sz w:val="20"/>
                <w:szCs w:val="20"/>
                <w:lang w:val="en-US"/>
              </w:rPr>
              <w:t>PENGGUNA STANDAR AKUNTANSI KEUANGAN INTERNASIONAL DI PASAR MODAL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BC477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E8B83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21149F6C" w14:textId="3DBAEFA4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0BAB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68EC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22B7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3241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02621738" w14:textId="4EFCD2FC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4BD04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>DENGAN RAHMAT TUHAN YANG MAHA ESA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0092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AAC4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6F28D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302E6EF0" w14:textId="5B03DF5E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761F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>DEWAN KOMISIONER OTORITAS JASA KEUANGAN,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2E47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07F1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CF250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42CE2B93" w14:textId="2608C6BF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2BD97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FF982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DE25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D6581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0D7E74AB" w14:textId="31EBD0B8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833C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Menimbang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9705" w14:textId="55B828D2" w:rsidR="00B73664" w:rsidRPr="00510AD8" w:rsidRDefault="00B73664" w:rsidP="003D543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46" w:hanging="294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>UMUM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38F55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2E7EE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1A7F5F3B" w14:textId="70785B11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E6DDB" w14:textId="6E2B575D" w:rsidR="00B73664" w:rsidRPr="00510AD8" w:rsidRDefault="00B73664" w:rsidP="00B736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6" w:hanging="28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rangka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pendanaan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penyederhanaan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bertujuan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umum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terbuka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) negara;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93448C" w14:textId="77777777" w:rsidR="00C34ADC" w:rsidRPr="00510AD8" w:rsidRDefault="00D55120" w:rsidP="00C34ADC">
            <w:pPr>
              <w:spacing w:after="0" w:line="276" w:lineRule="auto"/>
              <w:ind w:firstLine="346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bahasa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diakui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dipergunakan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dunia. Agar para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misalnya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komunikasi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kondisi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lain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seperti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calon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investor,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maka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hal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harus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bahasa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dipahami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semua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pihak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diperlukan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ketentuan-ketentuan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tata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bahasa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bahasa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komunikasi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304A4638" w14:textId="77777777" w:rsidR="00C34ADC" w:rsidRPr="00510AD8" w:rsidRDefault="00D55120" w:rsidP="00C34ADC">
            <w:pPr>
              <w:spacing w:after="0" w:line="276" w:lineRule="auto"/>
              <w:ind w:firstLine="34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Pada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2008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merupakan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bersejarah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perkembangan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lastRenderedPageBreak/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Indonesia. Kumpulan negara-negara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Group of Twenty 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(G-20)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bersepakat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International Accounting Standards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International Financial Reporting Standards 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(IAS/IFRS)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acuan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berkualitas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terlaksananya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bisnis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lintas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memberi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kemudahan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para investor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dunia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memahami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perusahaan-perusahaan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belahan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dunia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pengambilan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relevan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diperbandingkan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4E3C8AFB" w14:textId="224E48C4" w:rsidR="00D55120" w:rsidRPr="00510AD8" w:rsidRDefault="00D55120" w:rsidP="00C34ADC">
            <w:pPr>
              <w:spacing w:after="0" w:line="276" w:lineRule="auto"/>
              <w:ind w:firstLine="34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salah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anggota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G-20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mempunyai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komitmen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mengikuti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kesepakatan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demikian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salah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sekitar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120 negara di dunia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IAS/IFRS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acuan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tindaklanjut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kesepakatan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maka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konvergensi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IAS/IFRS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sangat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relevan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penting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Proses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konvergensi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IAS/IFRS di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gradual approach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big bang approach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Proses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konvergensi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gradual approach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diharapkan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mengurangi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psikologis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implementasi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berbasis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IAS/IFRS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kata lain,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penyusun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mempunyai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memahami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baru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menghasilkan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benar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berkualitas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keseriusan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proses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konvergensi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lastRenderedPageBreak/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IAS/IFRS, pada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2016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penandatanganan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Joint Statement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Ikatan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Indonesia, dan IFRS 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Foundation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26D94B11" w14:textId="03ACA444" w:rsidR="00B73664" w:rsidRPr="00510AD8" w:rsidRDefault="00D55120" w:rsidP="00D55120">
            <w:pPr>
              <w:spacing w:after="0" w:line="276" w:lineRule="auto"/>
              <w:ind w:firstLine="34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Setelah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proses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konvergensi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2008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memperhatikan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kesiapan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di Indonesia,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maka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dipandang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waktunya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menerapkan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mengadopsi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penuh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IFRS (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full adoption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acuan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) Negara (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dual listed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menyusun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stakeholders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luar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negeri,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perlu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diatur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pengguna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SAK-I di pasar modal.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A337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9190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206B045C" w14:textId="4BBF1ADA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23CA" w14:textId="0FC3709E" w:rsidR="00B73664" w:rsidRPr="00510AD8" w:rsidRDefault="00B73664" w:rsidP="00B736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6" w:hanging="28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rangka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kualitas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pengakuan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dunia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Indonesia,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khususnya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pemangku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kepentingan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;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FEACF8D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45E3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5F95B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45367611" w14:textId="31EC01EF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10AB" w14:textId="34860EA1" w:rsidR="00B73664" w:rsidRPr="00510AD8" w:rsidRDefault="00B73664" w:rsidP="00B736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6" w:hanging="28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sejalan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komitmen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Pemerintah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mendukung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penerapan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berkualitas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diterima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;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F34264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6E11B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2FAA0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6D4B51AB" w14:textId="6125ACEE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38ED" w14:textId="57C40B2E" w:rsidR="00B73664" w:rsidRPr="00510AD8" w:rsidRDefault="00B73664" w:rsidP="00B736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6" w:hanging="28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bahwa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pertimbangan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a,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b,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c,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perlu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Pengguna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Pasar Modal;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00B244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B033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81A5F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3664" w:rsidRPr="00510AD8" w14:paraId="643D0C33" w14:textId="60AB2B68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CAF4" w14:textId="77777777" w:rsidR="00B73664" w:rsidRPr="00510AD8" w:rsidRDefault="00B73664" w:rsidP="00CF3461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Mengingat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94DBD8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B8EC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D20C1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610C4F1A" w14:textId="09CE5C24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9F1E6" w14:textId="77777777" w:rsidR="00B73664" w:rsidRPr="00510AD8" w:rsidRDefault="00B73664" w:rsidP="003A698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06" w:hanging="30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8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1995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Pasar Modal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Lembaran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Republik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1995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64,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Lembaran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Republik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3608);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991B136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4859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18441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6C5C32F8" w14:textId="512B8DC6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914E" w14:textId="77777777" w:rsidR="00B73664" w:rsidRPr="00510AD8" w:rsidRDefault="00B73664" w:rsidP="003A698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06" w:hanging="30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Undang-undang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No. 21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2011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Lembaran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2011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111,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Tambahan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Lembaran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5253);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2A36A7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6BEE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ACECF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46DD2473" w14:textId="610C8190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4610" w14:textId="77777777" w:rsidR="00B73664" w:rsidRPr="00510AD8" w:rsidRDefault="00B73664" w:rsidP="00920511">
            <w:pPr>
              <w:pStyle w:val="ListParagraph"/>
              <w:spacing w:after="0" w:line="276" w:lineRule="auto"/>
              <w:ind w:left="306"/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FB891ED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2131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34B27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79B8F467" w14:textId="3FF6E8D7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2CD7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>MEMUTUSKAN: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E0FE83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0A93A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F597E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1CB638D8" w14:textId="45292B5D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078F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7FC167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B7F0F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15A89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50B69A23" w14:textId="32AB2C1C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F7A82" w14:textId="749ADF08" w:rsidR="00B73664" w:rsidRPr="00510AD8" w:rsidRDefault="00B73664" w:rsidP="00CF3461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>PERATURAN OTORITAS JASA KEUANGAN TENTANG PENGGUNA STANDAR AKUNTANSI KEUANGAN INTERNASIONAL DI PASAR MODAL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B7E02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CFB8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80F0D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4A8DD443" w14:textId="74F6609A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417D2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 w:eastAsia="en-I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845E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E303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4EFF4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74E9BCA5" w14:textId="2BD62ECC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F704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>BAB 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24C7" w14:textId="77777777" w:rsidR="00B73664" w:rsidRPr="00510AD8" w:rsidRDefault="00B73664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B557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E02B4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5D4C3440" w14:textId="444A8EE1" w:rsidTr="00C34ADC">
        <w:trPr>
          <w:trHeight w:val="7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F177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>KETENTUAN UMUM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2EE2" w14:textId="2519C8B5" w:rsidR="00B73664" w:rsidRPr="00510AD8" w:rsidRDefault="00B73664" w:rsidP="003D543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46" w:hanging="294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>PASAL DEMI PASAL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66FA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81F42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5FC76AD1" w14:textId="7EB418CA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5444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68674" w14:textId="7777777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CA22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7FA49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345E37" w:rsidRPr="00510AD8" w14:paraId="109A31B6" w14:textId="3EB9BAEE" w:rsidTr="008C59FA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C67F" w14:textId="77777777" w:rsidR="00345E37" w:rsidRPr="00510AD8" w:rsidRDefault="00345E37" w:rsidP="00D1109A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Jasa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209F33" w14:textId="77777777" w:rsidR="00345E37" w:rsidRPr="00510AD8" w:rsidRDefault="00345E37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82FAF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51253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345E37" w:rsidRPr="00510AD8" w14:paraId="7138885D" w14:textId="52DD007F" w:rsidTr="008C59FA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D6C8" w14:textId="021493C4" w:rsidR="00345E37" w:rsidRPr="00510AD8" w:rsidRDefault="00345E37" w:rsidP="00B7366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06" w:hanging="30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emiten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penawaran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umum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efek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bersifat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ekuitas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496AF4" w14:textId="77777777" w:rsidR="00345E37" w:rsidRPr="00510AD8" w:rsidRDefault="00345E37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0A9B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8FC34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345E37" w:rsidRPr="00510AD8" w14:paraId="650EB127" w14:textId="6DA0183A" w:rsidTr="008C59FA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507F" w14:textId="6F67CF44" w:rsidR="00345E37" w:rsidRPr="00510AD8" w:rsidRDefault="00345E37" w:rsidP="00B7366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06" w:hanging="30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didirikan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berkedudukan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Indonesia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pencatatan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efek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bersifat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ekuitas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bursa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efek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Indonesia dan bursa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efek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negara lain.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20E398" w14:textId="77777777" w:rsidR="00345E37" w:rsidRPr="00510AD8" w:rsidRDefault="00345E37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EE52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E51E5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345E37" w:rsidRPr="00510AD8" w14:paraId="3EFA8BF3" w14:textId="53289C86" w:rsidTr="008C59FA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1E8C" w14:textId="5FE1AAF1" w:rsidR="00345E37" w:rsidRPr="00510AD8" w:rsidRDefault="00345E37" w:rsidP="00E1166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06" w:hanging="306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Pasar Modal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disebut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perlakuan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pasar modal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pengaturannya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sejalan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lastRenderedPageBreak/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bertujuan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keterbukaan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perlindungan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investor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33EAF3" w14:textId="77777777" w:rsidR="00345E37" w:rsidRPr="00510AD8" w:rsidRDefault="00345E37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9637C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B4D1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345E37" w:rsidRPr="00510AD8" w14:paraId="6A1781BF" w14:textId="076AA499" w:rsidTr="008C59FA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536C1" w14:textId="77777777" w:rsidR="00345E37" w:rsidRPr="00510AD8" w:rsidRDefault="00345E37" w:rsidP="00E11662">
            <w:pPr>
              <w:pStyle w:val="Default"/>
              <w:rPr>
                <w:rFonts w:cstheme="minorBidi"/>
                <w:color w:val="auto"/>
                <w:sz w:val="20"/>
                <w:szCs w:val="20"/>
                <w:lang w:val="en-ID"/>
              </w:rPr>
            </w:pPr>
          </w:p>
          <w:p w14:paraId="2CD7C584" w14:textId="5D1E47CE" w:rsidR="00345E37" w:rsidRPr="00510AD8" w:rsidRDefault="00345E37" w:rsidP="00E1166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06" w:hanging="30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disingkat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SAK-I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pernyataan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interpretasi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diterbitkan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oleh Dewan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Ikatan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Indonesia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mengacu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International Financial Reporting Standards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diterbitkan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oleh Dewan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the International Accounting Standards Board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terdiri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International Financial Reporting Standards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International Accounting Standards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interpretasi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komite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interpretasi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International Financial Reporting Standards Interpretations Committee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),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interpretasi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Komite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Interpretasi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Tetap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510AD8">
              <w:rPr>
                <w:rFonts w:ascii="Bookman Old Style" w:hAnsi="Bookman Old Style"/>
                <w:i/>
                <w:iCs/>
                <w:sz w:val="20"/>
                <w:szCs w:val="20"/>
              </w:rPr>
              <w:t>Standing Interpretations Committee</w:t>
            </w: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).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C1236E" w14:textId="77777777" w:rsidR="00345E37" w:rsidRPr="00510AD8" w:rsidRDefault="00345E37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921EE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93FED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345E37" w:rsidRPr="00510AD8" w14:paraId="626FE5C6" w14:textId="2C561F5F" w:rsidTr="008C59FA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03A0" w14:textId="77777777" w:rsidR="00345E37" w:rsidRPr="00510AD8" w:rsidRDefault="00345E37" w:rsidP="00E1166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06" w:hanging="306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adalah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pertanggungjawaban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dewan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komisaris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pengurusan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pengawasan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emiten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kurun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buku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kepada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rapat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umum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pemegang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saham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disusun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sektor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pasar modal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emiten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22D977DF" w14:textId="12C0AA11" w:rsidR="00345E37" w:rsidRPr="00510AD8" w:rsidRDefault="00345E37" w:rsidP="00E11662">
            <w:pPr>
              <w:pStyle w:val="ListParagraph"/>
              <w:spacing w:after="0" w:line="276" w:lineRule="auto"/>
              <w:ind w:left="306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866AE" w14:textId="77777777" w:rsidR="00345E37" w:rsidRPr="00510AD8" w:rsidRDefault="00345E37" w:rsidP="00920511">
            <w:pPr>
              <w:spacing w:after="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7CB53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E42CB" w14:textId="77777777" w:rsidR="00345E37" w:rsidRPr="00510AD8" w:rsidRDefault="00345E37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E11662" w:rsidRPr="00510AD8" w14:paraId="062604D1" w14:textId="77777777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E9D3" w14:textId="1E8E1426" w:rsidR="00E11662" w:rsidRPr="00510AD8" w:rsidRDefault="00E11662" w:rsidP="00D55120">
            <w:pPr>
              <w:pStyle w:val="ListParagraph"/>
              <w:spacing w:after="0" w:line="276" w:lineRule="auto"/>
              <w:ind w:left="-48"/>
              <w:contextualSpacing w:val="0"/>
              <w:jc w:val="center"/>
              <w:rPr>
                <w:rFonts w:ascii="Bookman Old Style" w:hAnsi="Bookman Old Style" w:cs="BookAntiqua"/>
                <w:sz w:val="20"/>
                <w:szCs w:val="20"/>
              </w:rPr>
            </w:pPr>
            <w:r w:rsidRPr="00510AD8">
              <w:rPr>
                <w:rFonts w:ascii="Bookman Old Style" w:hAnsi="Bookman Old Style" w:cs="BookAntiqua"/>
                <w:sz w:val="20"/>
                <w:szCs w:val="20"/>
              </w:rPr>
              <w:lastRenderedPageBreak/>
              <w:t>BAB II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3745" w14:textId="77777777" w:rsidR="00E11662" w:rsidRPr="00510AD8" w:rsidRDefault="00E11662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0FF6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A0532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E11662" w:rsidRPr="00510AD8" w14:paraId="35137485" w14:textId="77777777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AA8D9" w14:textId="4669D839" w:rsidR="00E11662" w:rsidRPr="00510AD8" w:rsidRDefault="00E11662" w:rsidP="00D55120">
            <w:pPr>
              <w:pStyle w:val="ListParagraph"/>
              <w:spacing w:after="0" w:line="276" w:lineRule="auto"/>
              <w:ind w:left="-48"/>
              <w:contextualSpacing w:val="0"/>
              <w:jc w:val="center"/>
              <w:rPr>
                <w:rFonts w:ascii="Bookman Old Style" w:hAnsi="Bookman Old Style" w:cs="BookAntiqua"/>
                <w:sz w:val="20"/>
                <w:szCs w:val="20"/>
              </w:rPr>
            </w:pPr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PENYUSUNAN LAPORAN KEUANGAN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C7B33" w14:textId="77777777" w:rsidR="00E11662" w:rsidRPr="00510AD8" w:rsidRDefault="00E11662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42B9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F7BF6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6436DF83" w14:textId="5D958101" w:rsidTr="00C34ADC">
        <w:trPr>
          <w:trHeight w:val="296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E8F0" w14:textId="4FFAFFF8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1F19" w14:textId="42C16067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C8BD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2E43F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1EF2F671" w14:textId="777B1967" w:rsidTr="00C34ADC">
        <w:trPr>
          <w:trHeight w:val="9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912A" w14:textId="4A403890" w:rsidR="00B73664" w:rsidRPr="00510AD8" w:rsidRDefault="00E11662" w:rsidP="00E11662">
            <w:pPr>
              <w:pStyle w:val="ListParagraph"/>
              <w:spacing w:after="0" w:line="276" w:lineRule="auto"/>
              <w:ind w:left="-48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) Negara yang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diatur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pada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peraturan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ini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terdiri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atas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: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2B34D" w14:textId="53C3591E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6FE9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806D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15AA5D35" w14:textId="046DA0C1" w:rsidTr="00C34ADC">
        <w:trPr>
          <w:trHeight w:val="602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09F29" w14:textId="72953C2C" w:rsidR="00E11662" w:rsidRPr="00510AD8" w:rsidRDefault="00E11662" w:rsidP="003D5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342"/>
              <w:contextualSpacing w:val="0"/>
              <w:jc w:val="both"/>
              <w:rPr>
                <w:rFonts w:ascii="Bookman Old Style" w:hAnsi="Bookman Old Style" w:cs="BookAntiqua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peraturan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perundang-undangan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sektor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pasar modal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efek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) Negara yang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merupakan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efek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; dan</w:t>
            </w:r>
            <w:r w:rsidRPr="00510AD8">
              <w:rPr>
                <w:rFonts w:cs="BookAntiqua"/>
                <w:sz w:val="20"/>
                <w:szCs w:val="20"/>
              </w:rPr>
              <w:t xml:space="preserve"> </w:t>
            </w:r>
          </w:p>
          <w:p w14:paraId="69E51AC0" w14:textId="19BECFBF" w:rsidR="00E11662" w:rsidRPr="00510AD8" w:rsidRDefault="00E11662" w:rsidP="00E11662">
            <w:pPr>
              <w:pStyle w:val="ListParagraph"/>
              <w:spacing w:after="0" w:line="276" w:lineRule="auto"/>
              <w:ind w:left="342"/>
              <w:contextualSpacing w:val="0"/>
              <w:jc w:val="both"/>
              <w:rPr>
                <w:rFonts w:ascii="Bookman Old Style" w:hAnsi="Bookman Old Style" w:cs="BookAntiqua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01F74" w14:textId="1E40C7A0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679A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CC6B4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36D14C91" w14:textId="711FE93D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8110" w14:textId="3FAF061C" w:rsidR="00B73664" w:rsidRPr="00510AD8" w:rsidRDefault="00E11662" w:rsidP="003D5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342"/>
              <w:contextualSpacing w:val="0"/>
              <w:jc w:val="both"/>
              <w:rPr>
                <w:rFonts w:ascii="Bookman Old Style" w:hAnsi="Bookman Old Style" w:cs="BookAntiqua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peraturan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perundang-undangan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sektor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pasar modal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penyajian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pengungkapan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emiten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publik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) Negara yang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bukan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merupakan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efek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0F3E" w14:textId="26A14A8B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7B7D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C11E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7CF9A02D" w14:textId="6A767DDB" w:rsidTr="00C34ADC">
        <w:trPr>
          <w:trHeight w:val="30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50B3" w14:textId="6CB37AF4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A0C5" w14:textId="367196E4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3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72D2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71BD0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1574C9E6" w14:textId="1782F1ED" w:rsidTr="00C34ADC">
        <w:trPr>
          <w:trHeight w:val="12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DFE7" w14:textId="2046F121" w:rsidR="00B73664" w:rsidRPr="00510AD8" w:rsidRDefault="00E11662" w:rsidP="00D55120">
            <w:pPr>
              <w:spacing w:after="12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) Negara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baik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entitas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maupun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konsolidasian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keperluan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penyampaian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kepada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masyarakat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kepada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Otoritas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Jasa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wajib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disusun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berdasarkan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) Negara.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56A5" w14:textId="4F4091FA" w:rsidR="00B73664" w:rsidRPr="00510AD8" w:rsidRDefault="00D55120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B47C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7D223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2008DABF" w14:textId="169555AB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2FA8" w14:textId="04325FAD" w:rsidR="00B73664" w:rsidRPr="00510AD8" w:rsidRDefault="00E11662" w:rsidP="00E11662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153B" w14:textId="4DB6B396" w:rsidR="00B73664" w:rsidRPr="00510AD8" w:rsidRDefault="00D55120" w:rsidP="00D55120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19B3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44980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E11662" w:rsidRPr="00510AD8" w14:paraId="414C7221" w14:textId="77777777" w:rsidTr="00C34ADC">
        <w:trPr>
          <w:trHeight w:val="701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EB6F" w14:textId="2BEB50B8" w:rsidR="00E11662" w:rsidRPr="00510AD8" w:rsidRDefault="00E11662" w:rsidP="003D543E">
            <w:pPr>
              <w:pStyle w:val="Default"/>
              <w:numPr>
                <w:ilvl w:val="0"/>
                <w:numId w:val="7"/>
              </w:numPr>
              <w:spacing w:after="120"/>
              <w:ind w:left="317" w:hanging="317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Perusahaan Terbuka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Tercatat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Lebih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Dari 1 (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satu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) Negara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dapat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memilih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menerapkan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SAK-I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sebagai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acuan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dalam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menyusun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keuangan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DC309" w14:textId="6BFEB5AD" w:rsidR="00E11662" w:rsidRPr="00510AD8" w:rsidRDefault="00D55120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1593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720F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E11662" w:rsidRPr="00510AD8" w14:paraId="791CB94C" w14:textId="77777777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6FF25" w14:textId="164F5578" w:rsidR="00E11662" w:rsidRPr="00510AD8" w:rsidRDefault="00E11662" w:rsidP="003D543E">
            <w:pPr>
              <w:pStyle w:val="Default"/>
              <w:numPr>
                <w:ilvl w:val="0"/>
                <w:numId w:val="7"/>
              </w:numPr>
              <w:spacing w:after="120"/>
              <w:ind w:left="317" w:hanging="317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Dalam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hal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Perusahaan Terbuka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Tercatat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Lebih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Dari 1 (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satu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) Negara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memilih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lastRenderedPageBreak/>
              <w:t>menerapkan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SAK-I,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penyusunan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keuangan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Perusahaan Terbuka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Tercatat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Lebih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Dari 1 (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satu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) Negara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dikecualikan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dari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ketentuan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Pasal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3.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715B1" w14:textId="258CA13D" w:rsidR="00E11662" w:rsidRPr="00510AD8" w:rsidRDefault="00D55120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lastRenderedPageBreak/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0CAF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B3FD7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E11662" w:rsidRPr="00510AD8" w14:paraId="7517CB20" w14:textId="77777777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DC37" w14:textId="05092BCA" w:rsidR="00E11662" w:rsidRPr="00510AD8" w:rsidRDefault="00E11662" w:rsidP="003D543E">
            <w:pPr>
              <w:pStyle w:val="Default"/>
              <w:numPr>
                <w:ilvl w:val="0"/>
                <w:numId w:val="7"/>
              </w:numPr>
              <w:spacing w:after="120"/>
              <w:ind w:left="317" w:hanging="317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Dalam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hal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Perusahaan Terbuka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Tercatat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Lebih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Dari 1 (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satu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) Negara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memilih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menerapkan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SAK-I,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kewajiban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penyajian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pengungkapan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minimum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sesuai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dengan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ketentuan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peraturan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perundang-undangan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sektor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pasar modal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mengenai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penyajian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pengungkapan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keuangan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emiten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atau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perusahaan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publik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tidak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berlaku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D91D" w14:textId="217312C8" w:rsidR="00E11662" w:rsidRPr="00510AD8" w:rsidRDefault="00D55120" w:rsidP="00D55120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Kewajiban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penyajian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pengungkapan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minimum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merupakan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kewajiban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diatur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peraturan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Otoritas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Jasa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penyampaian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berkala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emiten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publik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EAAE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D114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641E85B9" w14:textId="11849F2D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8876" w14:textId="7F3CE85F" w:rsidR="00B73664" w:rsidRPr="00510AD8" w:rsidRDefault="00E11662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DDBF" w14:textId="130700AA" w:rsidR="00B73664" w:rsidRPr="00510AD8" w:rsidRDefault="00D55120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E225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B3593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E11662" w:rsidRPr="00510AD8" w14:paraId="2004FDDF" w14:textId="77777777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268C" w14:textId="2F842857" w:rsidR="00E11662" w:rsidRPr="00510AD8" w:rsidRDefault="00E11662" w:rsidP="003D543E">
            <w:pPr>
              <w:pStyle w:val="Default"/>
              <w:numPr>
                <w:ilvl w:val="0"/>
                <w:numId w:val="8"/>
              </w:numPr>
              <w:spacing w:after="120"/>
              <w:ind w:left="312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Perusahaan Terbuka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Tercatat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Lebih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Dari 1 (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satu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) Negara yang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memilih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menerapkan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SAK-I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sebagai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acuan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dalam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penyusunan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keuangan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wajib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mengungkapkan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Tahunan</w:t>
            </w:r>
            <w:proofErr w:type="spellEnd"/>
            <w:r w:rsidR="00785079"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8A76C" w14:textId="10A500FC" w:rsidR="00E11662" w:rsidRPr="00510AD8" w:rsidRDefault="00D55120" w:rsidP="00D55120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968D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B8188" w14:textId="77777777" w:rsidR="00E11662" w:rsidRPr="00510AD8" w:rsidRDefault="00E11662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2978A138" w14:textId="1FA31309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CF3B6" w14:textId="1DEEE3A1" w:rsidR="00B73664" w:rsidRPr="00510AD8" w:rsidRDefault="00785079" w:rsidP="003D543E">
            <w:pPr>
              <w:pStyle w:val="Default"/>
              <w:numPr>
                <w:ilvl w:val="0"/>
                <w:numId w:val="8"/>
              </w:numPr>
              <w:spacing w:after="120"/>
              <w:ind w:left="312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Pengungkapan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pada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Tahunan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sebagaimana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dimaksud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dalam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ayat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(1) paling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sedikit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memuat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3700" w14:textId="06B8813E" w:rsidR="00B73664" w:rsidRPr="00510AD8" w:rsidRDefault="00B73664" w:rsidP="00920511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E973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F073" w14:textId="77777777" w:rsidR="00B73664" w:rsidRPr="00510AD8" w:rsidRDefault="00B73664" w:rsidP="00920511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59909A11" w14:textId="559BCAD6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E859" w14:textId="4028903B" w:rsidR="00B73664" w:rsidRPr="00510AD8" w:rsidRDefault="00785079" w:rsidP="003D543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582" w:hanging="270"/>
              <w:contextualSpacing w:val="0"/>
              <w:jc w:val="both"/>
              <w:rPr>
                <w:sz w:val="20"/>
                <w:szCs w:val="20"/>
              </w:rPr>
            </w:pPr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Bagan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alur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struktur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berbasis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SAK-I;</w:t>
            </w:r>
            <w:r w:rsidRPr="00510A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28570" w14:textId="5B130470" w:rsidR="00B73664" w:rsidRPr="00510AD8" w:rsidRDefault="00D55120" w:rsidP="007E3895">
            <w:pPr>
              <w:spacing w:after="12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Bagan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alur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struktur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menggambarkan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peranan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organ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fungsi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pendukung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dan stakeholders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terkait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menyusun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antara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lain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direksi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dewan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komisaris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komite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bawah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direksi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/dewan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komisaris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divisi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/divisi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terkait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lainnya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internal audit,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eksternal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audit, dan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rapat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umum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pemegang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saham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(RUPS),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sejak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pencatatan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sampai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dipublikasi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serta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koordinasi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grup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/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entitas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anak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terkait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konsolidasi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jika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ada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grup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/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entitas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anak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CAC4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4F4E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06795FE3" w14:textId="170C3BD4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685A" w14:textId="0514FB60" w:rsidR="00B73664" w:rsidRPr="00510AD8" w:rsidRDefault="00785079" w:rsidP="003D543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582" w:hanging="270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pengetahuan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SAK-I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direksi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jabatan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nama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pelatihan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waktu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lastRenderedPageBreak/>
              <w:t>pelaksanaan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pelatihan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, dan badan/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lembaga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penyelenggara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pelatihan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sertifikasi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046A" w14:textId="77777777" w:rsidR="007E3895" w:rsidRPr="00510AD8" w:rsidRDefault="007E3895" w:rsidP="007E3895">
            <w:pPr>
              <w:pStyle w:val="Default"/>
              <w:spacing w:after="60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lastRenderedPageBreak/>
              <w:t>Contoh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pengetahuan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cukup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tentang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SAK-I: </w:t>
            </w:r>
          </w:p>
          <w:p w14:paraId="08E81108" w14:textId="77777777" w:rsidR="007E3895" w:rsidRPr="00510AD8" w:rsidRDefault="007E3895" w:rsidP="007E3895">
            <w:pPr>
              <w:pStyle w:val="Default"/>
              <w:spacing w:after="60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Direksi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atau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pegawai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telah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mengikuti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: </w:t>
            </w:r>
          </w:p>
          <w:p w14:paraId="49E20E10" w14:textId="77777777" w:rsidR="007E3895" w:rsidRPr="00510AD8" w:rsidRDefault="007E3895" w:rsidP="007E3895">
            <w:pPr>
              <w:pStyle w:val="Default"/>
              <w:spacing w:after="60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1.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pelatihan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;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atau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</w:p>
          <w:p w14:paraId="0B3BC096" w14:textId="02F39B26" w:rsidR="007E3895" w:rsidRPr="00510AD8" w:rsidRDefault="007E3895" w:rsidP="007E3895">
            <w:pPr>
              <w:pStyle w:val="Default"/>
              <w:spacing w:after="60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2.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sertifikasi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, </w:t>
            </w:r>
          </w:p>
          <w:p w14:paraId="357706EF" w14:textId="0E57EE1F" w:rsidR="00B73664" w:rsidRPr="00510AD8" w:rsidRDefault="007E3895" w:rsidP="007E3895">
            <w:pPr>
              <w:spacing w:after="6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hAnsi="Bookman Old Style" w:cs="BookAntiqua"/>
                <w:sz w:val="20"/>
                <w:szCs w:val="20"/>
              </w:rPr>
              <w:lastRenderedPageBreak/>
              <w:t xml:space="preserve">yang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didalamnya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memuat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pembelajaran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SAK-I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IFRS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terkini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dibuktikan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adanya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sertifikat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pelatihan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sertifikasi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C82E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FFB59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43E8E30C" w14:textId="3C3A5C2D" w:rsidTr="00C34ADC">
        <w:trPr>
          <w:trHeight w:val="6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2C67" w14:textId="4D01BE35" w:rsidR="00B73664" w:rsidRPr="00510AD8" w:rsidRDefault="00785079" w:rsidP="003D543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591" w:hanging="27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khusus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memastikan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kesesuaian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SAK-I;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0D8E2" w14:textId="77777777" w:rsidR="007E3895" w:rsidRPr="00510AD8" w:rsidRDefault="007E3895" w:rsidP="007E3895">
            <w:pPr>
              <w:pStyle w:val="Default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Contoh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upaya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khusus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antara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lain: </w:t>
            </w:r>
          </w:p>
          <w:p w14:paraId="1C5D1EC9" w14:textId="36B92F7C" w:rsidR="007E3895" w:rsidRPr="00510AD8" w:rsidRDefault="007E3895" w:rsidP="003D543E">
            <w:pPr>
              <w:pStyle w:val="Default"/>
              <w:numPr>
                <w:ilvl w:val="1"/>
                <w:numId w:val="11"/>
              </w:numPr>
              <w:spacing w:after="149"/>
              <w:ind w:left="246" w:hanging="246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pembentukan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divisi/unit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khusus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bertugas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menjalankan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proses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transisi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dari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ketentuan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peraturan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perundang-undangan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sektor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pasar modal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mengenai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penyajian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pengungkapan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keuangan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emiten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atau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perusahaan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publik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ke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SAK-I; </w:t>
            </w:r>
          </w:p>
          <w:p w14:paraId="3B72CB4E" w14:textId="765E4FDF" w:rsidR="007E3895" w:rsidRPr="00510AD8" w:rsidRDefault="007E3895" w:rsidP="003D543E">
            <w:pPr>
              <w:pStyle w:val="Default"/>
              <w:numPr>
                <w:ilvl w:val="1"/>
                <w:numId w:val="11"/>
              </w:numPr>
              <w:spacing w:after="149"/>
              <w:ind w:left="246" w:hanging="246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melakukan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analisa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dampak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penerbitan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r w:rsidRPr="005509DE">
              <w:rPr>
                <w:rFonts w:cs="BookAntiqua"/>
                <w:i/>
                <w:iCs/>
                <w:color w:val="auto"/>
                <w:sz w:val="20"/>
                <w:szCs w:val="20"/>
                <w:lang w:val="en-ID"/>
              </w:rPr>
              <w:t>exposure draft</w:t>
            </w:r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(ED) SAK-I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atau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IFRS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baru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/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revisi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terhadap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perusahaan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; dan </w:t>
            </w:r>
          </w:p>
          <w:p w14:paraId="79945A4F" w14:textId="073F1B69" w:rsidR="00B73664" w:rsidRPr="00510AD8" w:rsidRDefault="007E3895" w:rsidP="003D543E">
            <w:pPr>
              <w:pStyle w:val="Default"/>
              <w:numPr>
                <w:ilvl w:val="1"/>
                <w:numId w:val="11"/>
              </w:numPr>
              <w:spacing w:after="120"/>
              <w:ind w:left="245" w:hanging="245"/>
              <w:jc w:val="both"/>
              <w:rPr>
                <w:rFonts w:cs="BookAntiqua"/>
                <w:color w:val="auto"/>
                <w:sz w:val="20"/>
                <w:szCs w:val="20"/>
                <w:lang w:val="en-ID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selalu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mengikuti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informasi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siaran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pers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atau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penerbitan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>standar</w:t>
            </w:r>
            <w:proofErr w:type="spellEnd"/>
            <w:r w:rsidRPr="00510AD8">
              <w:rPr>
                <w:rFonts w:cs="BookAntiqua"/>
                <w:color w:val="auto"/>
                <w:sz w:val="20"/>
                <w:szCs w:val="20"/>
                <w:lang w:val="en-ID"/>
              </w:rPr>
              <w:t xml:space="preserve"> oleh IASB/IAI.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824F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EF1D5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37452E77" w14:textId="5AC036CB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0EBC" w14:textId="00657741" w:rsidR="00B73664" w:rsidRPr="00510AD8" w:rsidRDefault="00785079" w:rsidP="003D543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591" w:hanging="27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pernyataan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pemenuhan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lain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persyaratan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penyampaian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berbasis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internasional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; dan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3829" w14:textId="1B0B4F08" w:rsidR="00B73664" w:rsidRPr="00510AD8" w:rsidRDefault="007E3895" w:rsidP="00C2119E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4C05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2EF5A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651DD14D" w14:textId="5AA50EDC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4C1E" w14:textId="474D88F3" w:rsidR="00B73664" w:rsidRPr="00510AD8" w:rsidRDefault="00785079" w:rsidP="003D543E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591" w:hanging="274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Pernyataan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kepatuhan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berkesinambungan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dilakukan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huruf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d).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0047" w14:textId="117C9FC1" w:rsidR="00B73664" w:rsidRPr="00510AD8" w:rsidRDefault="007E3895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747D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EC7C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74E0B0E4" w14:textId="0AF0324F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DB30" w14:textId="15107660" w:rsidR="00B73664" w:rsidRPr="00510AD8" w:rsidRDefault="00B73664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r w:rsidR="00785079" w:rsidRPr="00510AD8">
              <w:rPr>
                <w:rFonts w:ascii="Bookman Old Style" w:hAnsi="Bookman Old Style" w:cs="BookAntiqua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7C4D" w14:textId="5FDA679C" w:rsidR="00B73664" w:rsidRPr="00510AD8" w:rsidRDefault="00B73664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85079" w:rsidRPr="00510AD8">
              <w:rPr>
                <w:rFonts w:ascii="Bookman Old Style" w:hAnsi="Bookman Old Style" w:cs="BookAntiqua"/>
                <w:sz w:val="20"/>
                <w:szCs w:val="20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9B32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6A890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2F0CCDF3" w14:textId="4F3D6810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11F6" w14:textId="0E15867B" w:rsidR="00B73664" w:rsidRPr="00510AD8" w:rsidRDefault="00785079" w:rsidP="003D543E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317" w:hanging="317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Perusahaan Terbuka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Tercatat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Lebih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Dari 1 (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satu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) Negara 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telah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memilih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menerapkan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SAK-I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acuan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penyusunan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laporan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wajib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menerapkan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SAK-I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secara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konsisten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sampai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Perusahaan Terbuka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tersebut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tidak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lagi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menjadi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Perusahaan Terbuka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Tercatat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Lebih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Dari 1 (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satu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) Negara.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0360" w14:textId="75095DB7" w:rsidR="00B73664" w:rsidRPr="00510AD8" w:rsidRDefault="007E3895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6134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E2028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7FACBBF3" w14:textId="5BB4590D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B6C0" w14:textId="26EB6595" w:rsidR="00B73664" w:rsidRPr="00510AD8" w:rsidRDefault="00785079" w:rsidP="003D543E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317" w:hanging="317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Perusahaan Terbuka 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tidak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lagi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menjadi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Perusahaan Terbuka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Tercatat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Lebih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Dari 1 (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satu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) Negara 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sebelumnya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telah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memilih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lastRenderedPageBreak/>
              <w:t xml:space="preserve">SAK-I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acuan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penyusunan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laporan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keuangannya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wajib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tetap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menerapkan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SAK-I pada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periode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pelaporan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sama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Perusahaan Terbuka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tersebut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tidak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lagi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menjadi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Perusahaan Terbuka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Tercatat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Lebih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Dari 1 (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satu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) Negara.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A491" w14:textId="29C48D9E" w:rsidR="00B73664" w:rsidRPr="00510AD8" w:rsidRDefault="007E3895" w:rsidP="007E3895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lastRenderedPageBreak/>
              <w:t>Contoh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ilustrasi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: PT ABC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Tbk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delisting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dari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Bursa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Efek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negara A pada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tanggal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30 April 2024. PT ABC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Tbk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tetap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menggunakan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SAK-I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acuan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lastRenderedPageBreak/>
              <w:t>penyusunan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laporan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sampai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tanggal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31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2024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atau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digunakan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penyusunan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laporan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tengah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tahunan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30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Juni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2024 dan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laporan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tahunan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31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2024.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06B9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91C3F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3F5D5C2F" w14:textId="2E4D632C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43D4" w14:textId="4DE0E16E" w:rsidR="00B73664" w:rsidRPr="00510AD8" w:rsidRDefault="00785079" w:rsidP="003D543E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317" w:hanging="317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Perusahaan Terbuka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Negara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sebelumnya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memilih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SAK-I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acuan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keuangannya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menerapkan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3 pada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setelah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tersebut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) Negara.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DDAE2" w14:textId="300EA66E" w:rsidR="00B73664" w:rsidRPr="00510AD8" w:rsidRDefault="007E3895" w:rsidP="00C2119E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Contoh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ilustrasi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: PT ABC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Tbk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delisting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Bursa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Efek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negara A pada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30 April 2024. PT ABC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Tbk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perundang-undangan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sektor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Pasar Modal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mengenai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penyajian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pengungkapan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emiten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perusahaan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publik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acuan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sejak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tanggal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1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2025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digunakan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tengah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30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Juni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2025,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dst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D2CA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250FE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0B3DA2E7" w14:textId="2A4A2174" w:rsidTr="00C34ADC">
        <w:trPr>
          <w:trHeight w:val="96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57E1" w14:textId="3465156E" w:rsidR="00B73664" w:rsidRPr="00510AD8" w:rsidRDefault="00785079" w:rsidP="003D543E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317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Perusahaan Terbuka yang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Negara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menerapkan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Negara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sebagaimana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dimaksud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ayat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(3)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wajib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mencatat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dampak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kebijakan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pengakuan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Ketentuan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Akuntansi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) Negara.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46A7" w14:textId="601CBAC0" w:rsidR="00B73664" w:rsidRPr="00510AD8" w:rsidRDefault="007E3895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4E82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2184F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2603D96B" w14:textId="769F29B4" w:rsidTr="00C34ADC">
        <w:trPr>
          <w:trHeight w:val="96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F111" w14:textId="4FAC3DD7" w:rsidR="00B73664" w:rsidRPr="00510AD8" w:rsidRDefault="00B73664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08AC" w14:textId="4EB2BD70" w:rsidR="00B73664" w:rsidRPr="00510AD8" w:rsidRDefault="00B73664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6CC1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FC5A4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5CFBF046" w14:textId="1F1E0A1C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A546" w14:textId="2734A7FB" w:rsidR="00B73664" w:rsidRPr="00510AD8" w:rsidRDefault="00F44F53" w:rsidP="00F44F53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Penggunaan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SAK-I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sebagai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acuan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penyusunan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laporan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keuangan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Perusahaan Terbuka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Tercatat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di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Lebih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Dari 1 (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satu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) Negara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berlaku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untuk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periode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tahun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buku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yang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dimulai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pada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atau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setelah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tanggal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1 </w:t>
            </w: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Januari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2024.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729A" w14:textId="49354585" w:rsidR="00B73664" w:rsidRPr="00510AD8" w:rsidRDefault="007E3895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67AB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68C5E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2F2D4B0F" w14:textId="69691EF0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FEA8" w14:textId="2419AFD0" w:rsidR="00B73664" w:rsidRPr="00510AD8" w:rsidRDefault="00F44F53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hAnsi="Bookman Old Style" w:cs="Arial"/>
                <w:sz w:val="20"/>
                <w:szCs w:val="20"/>
              </w:rPr>
              <w:lastRenderedPageBreak/>
              <w:t>BAB III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03007" w14:textId="3673A387" w:rsidR="00B73664" w:rsidRPr="00510AD8" w:rsidRDefault="00B73664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2A7A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4D168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6B499ADC" w14:textId="7F722BB0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55E4" w14:textId="6ED8CB1A" w:rsidR="00B73664" w:rsidRPr="00510AD8" w:rsidRDefault="00F44F53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hAnsi="Bookman Old Style" w:cs="Arial"/>
                <w:sz w:val="20"/>
                <w:szCs w:val="20"/>
              </w:rPr>
              <w:t>SANKSI ADMINISTRATIF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FBB3" w14:textId="0DF49E5B" w:rsidR="00B73664" w:rsidRPr="00510AD8" w:rsidRDefault="00B73664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BCD8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05E2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F44F53" w:rsidRPr="00510AD8" w14:paraId="105E97E8" w14:textId="77777777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601B2" w14:textId="247BD376" w:rsidR="00F44F53" w:rsidRPr="00510AD8" w:rsidRDefault="00F44F53" w:rsidP="00F44F53">
            <w:pPr>
              <w:spacing w:after="0" w:line="276" w:lineRule="auto"/>
              <w:jc w:val="center"/>
              <w:rPr>
                <w:rFonts w:ascii="Bookman Old Style" w:hAnsi="Bookman Old Style" w:cs="Calibri"/>
                <w:sz w:val="20"/>
                <w:szCs w:val="20"/>
                <w:lang w:val="en-US"/>
              </w:rPr>
            </w:pPr>
            <w:proofErr w:type="spellStart"/>
            <w:r w:rsidRPr="00510AD8">
              <w:rPr>
                <w:rFonts w:ascii="Bookman Old Style" w:hAnsi="Bookman Old Style" w:cs="Calibri"/>
                <w:sz w:val="20"/>
                <w:szCs w:val="20"/>
                <w:lang w:val="en-US"/>
              </w:rPr>
              <w:t>Pasal</w:t>
            </w:r>
            <w:proofErr w:type="spellEnd"/>
            <w:r w:rsidRPr="00510AD8">
              <w:rPr>
                <w:rFonts w:ascii="Bookman Old Style" w:hAnsi="Bookman Old Style" w:cs="Calibri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D2CC" w14:textId="35A000BB" w:rsidR="00F44F53" w:rsidRPr="00510AD8" w:rsidRDefault="00C34ADC" w:rsidP="00C34ADC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Calibri"/>
                <w:sz w:val="20"/>
                <w:szCs w:val="20"/>
                <w:lang w:val="en-US"/>
              </w:rPr>
              <w:t>Pasal</w:t>
            </w:r>
            <w:proofErr w:type="spellEnd"/>
            <w:r w:rsidRPr="00510AD8">
              <w:rPr>
                <w:rFonts w:ascii="Bookman Old Style" w:hAnsi="Bookman Old Style" w:cs="Calibri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29A60" w14:textId="77777777" w:rsidR="00F44F53" w:rsidRPr="00510AD8" w:rsidRDefault="00F44F53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2C8A" w14:textId="77777777" w:rsidR="00F44F53" w:rsidRPr="00510AD8" w:rsidRDefault="00F44F53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1E58D728" w14:textId="410599BA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6D573" w14:textId="6DCECFDE" w:rsidR="00C34ADC" w:rsidRPr="00510AD8" w:rsidRDefault="00C34ADC" w:rsidP="003D543E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03" w:hanging="402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Setiap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pihak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melanggar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ketentuan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2,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3,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4,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5,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6, dan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7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dikenai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administratif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. 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74311" w14:textId="1F8D8838" w:rsidR="00C34ADC" w:rsidRPr="00510AD8" w:rsidRDefault="00C34ADC" w:rsidP="00F44F53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10AD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510AD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B60C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3A42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1291D9B2" w14:textId="57B2A69B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E97B" w14:textId="2E3D3028" w:rsidR="00C34ADC" w:rsidRPr="005509DE" w:rsidRDefault="00C34ADC" w:rsidP="003D543E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03" w:hanging="402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(1)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dikenakan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juga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kepada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pihak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menyebabkan</w:t>
            </w:r>
            <w:proofErr w:type="spellEnd"/>
            <w:r w:rsid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terjadinya</w:t>
            </w:r>
            <w:proofErr w:type="spellEnd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pelanggaran</w:t>
            </w:r>
            <w:proofErr w:type="spellEnd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509D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(1).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3E642" w14:textId="10ACF81B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2BE6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E5DB9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3406DC8A" w14:textId="77777777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515A" w14:textId="229A15FD" w:rsidR="00C34ADC" w:rsidRPr="00510AD8" w:rsidRDefault="00C34ADC" w:rsidP="003D543E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03" w:hanging="402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(1) dan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(2)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dijatuhkan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oleh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Otoritas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Jasa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.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4EBA65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18038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0C1C7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38578E9C" w14:textId="77777777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88C7E" w14:textId="1D44A56F" w:rsidR="00C34ADC" w:rsidRPr="00510AD8" w:rsidRDefault="00C34ADC" w:rsidP="003D543E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03" w:hanging="402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administratif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(1)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berupa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: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0281CE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B956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52208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5FF359CF" w14:textId="6B4E851B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93C8" w14:textId="77777777" w:rsidR="00C34ADC" w:rsidRPr="00510AD8" w:rsidRDefault="00C34ADC" w:rsidP="00D55120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672" w:hanging="270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peringatan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tertulis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; </w:t>
            </w:r>
          </w:p>
          <w:p w14:paraId="00592B8E" w14:textId="6D8B6811" w:rsidR="00C34ADC" w:rsidRPr="00510AD8" w:rsidRDefault="00C34ADC" w:rsidP="00D55120">
            <w:pPr>
              <w:spacing w:after="120" w:line="276" w:lineRule="auto"/>
              <w:ind w:left="672" w:hanging="270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8884D" w14:textId="18243EBA" w:rsidR="00C34ADC" w:rsidRPr="00510AD8" w:rsidRDefault="00C34ADC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E823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433C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36138D6B" w14:textId="68013A53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944E6" w14:textId="19F8EB10" w:rsidR="00C34ADC" w:rsidRPr="00510AD8" w:rsidRDefault="00C34ADC" w:rsidP="00D55120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672" w:hanging="270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denda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berupa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kewajiban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untuk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membayar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sejumlah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uang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tertentu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;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64F834" w14:textId="4187246F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DC1F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760B7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5593D420" w14:textId="0BB608CD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D713" w14:textId="77777777" w:rsidR="00C34ADC" w:rsidRPr="00510AD8" w:rsidRDefault="00C34ADC" w:rsidP="00D55120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672" w:hanging="270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pembatasan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kegiatan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usaha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</w:p>
          <w:p w14:paraId="27251AF6" w14:textId="02994C41" w:rsidR="00C34ADC" w:rsidRPr="00510AD8" w:rsidRDefault="00C34ADC" w:rsidP="00D55120">
            <w:pPr>
              <w:spacing w:after="120" w:line="276" w:lineRule="auto"/>
              <w:ind w:left="672" w:hanging="270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82815" w14:textId="4E0EFB8E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89DD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5C6A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15EBDC1B" w14:textId="7AF23455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BE99" w14:textId="181A9EE2" w:rsidR="00C34ADC" w:rsidRPr="00510AD8" w:rsidRDefault="00C34ADC" w:rsidP="00D55120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672" w:hanging="270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pembekuan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kegiatan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usaha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2C5A76F" w14:textId="5395B7BB" w:rsidR="00C34ADC" w:rsidRPr="00510AD8" w:rsidRDefault="00C34ADC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1B79" w14:textId="6C27F2AD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E9B50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3F0F498F" w14:textId="69291E68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7C7E9" w14:textId="7DB282D8" w:rsidR="00C34ADC" w:rsidRPr="00510AD8" w:rsidRDefault="00C34ADC" w:rsidP="00D55120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672" w:hanging="270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pencabutan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izin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usaha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;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6CEFC9" w14:textId="6F7F0BFC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F06D" w14:textId="3AFBF8A8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6D85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61D1A163" w14:textId="7EF67D2D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C31F" w14:textId="6D6FE66B" w:rsidR="00C34ADC" w:rsidRPr="00510AD8" w:rsidRDefault="00C34ADC" w:rsidP="00D55120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672" w:hanging="270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pembatalan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persetujuan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; dan/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atau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9B63BD" w14:textId="7BAA2941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1D95" w14:textId="107F30AB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1CD6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03362CE6" w14:textId="4AB81063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3F03" w14:textId="5BE62C3C" w:rsidR="00C34ADC" w:rsidRPr="00510AD8" w:rsidRDefault="00C34ADC" w:rsidP="00D55120">
            <w:pPr>
              <w:pStyle w:val="ListParagraph"/>
              <w:numPr>
                <w:ilvl w:val="1"/>
                <w:numId w:val="3"/>
              </w:numPr>
              <w:spacing w:after="120" w:line="276" w:lineRule="auto"/>
              <w:ind w:left="672" w:hanging="270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pembatalan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pendaftaran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. 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632D15" w14:textId="5A356605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540C" w14:textId="5623EE6C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8D38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247808EB" w14:textId="108B5C5D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B8E0" w14:textId="77777777" w:rsidR="00C34ADC" w:rsidRPr="00510AD8" w:rsidRDefault="00C34ADC" w:rsidP="003D543E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02" w:hanging="402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administratif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(4)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b,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c,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e,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f,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atau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dapat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dikenakan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atau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tanpa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didahului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pengenaan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administratif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berupa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peringatan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tertulis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(4)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a. </w:t>
            </w:r>
          </w:p>
          <w:p w14:paraId="5065338B" w14:textId="4D97A39C" w:rsidR="00C34ADC" w:rsidRPr="00510AD8" w:rsidRDefault="00C34ADC" w:rsidP="00D55120">
            <w:pPr>
              <w:spacing w:after="12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739FB" w14:textId="4D6C70B0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44E6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3060B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3F23E37F" w14:textId="6AEBBEEB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DC36" w14:textId="77777777" w:rsidR="00C34ADC" w:rsidRPr="00510AD8" w:rsidRDefault="00C34ADC" w:rsidP="003D543E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02" w:hanging="402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lastRenderedPageBreak/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administratif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berupa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denda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(4)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b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dapat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dikenakan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secara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sendiri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atau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secara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bersama-sama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pengenaan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administratif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(4)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c,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d,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e,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f,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atau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huruf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g. </w:t>
            </w:r>
          </w:p>
          <w:p w14:paraId="2BFADF49" w14:textId="0F63494E" w:rsidR="00C34ADC" w:rsidRPr="00510AD8" w:rsidRDefault="00C34ADC" w:rsidP="00D55120">
            <w:pPr>
              <w:spacing w:after="12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4CB09" w14:textId="5FF008D9" w:rsidR="00C34ADC" w:rsidRPr="00510AD8" w:rsidRDefault="00C34ADC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F81B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81EED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C34ADC" w:rsidRPr="00510AD8" w14:paraId="363E9171" w14:textId="5F97571E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681C" w14:textId="7E83E428" w:rsidR="00C34ADC" w:rsidRPr="00510AD8" w:rsidRDefault="00C34ADC" w:rsidP="003D543E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03" w:hanging="403"/>
              <w:contextualSpacing w:val="0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Tata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cara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pengenaan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(3)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dilaksanakan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sesuai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ketentuan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peraturan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perundang-undangan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. 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E65F" w14:textId="2254318C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8915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FED4" w14:textId="77777777" w:rsidR="00C34ADC" w:rsidRPr="00510AD8" w:rsidRDefault="00C34ADC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13C21262" w14:textId="373DD831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7957" w14:textId="6839B945" w:rsidR="00B73664" w:rsidRPr="00510AD8" w:rsidRDefault="00F44F53" w:rsidP="00F44F53">
            <w:pPr>
              <w:pStyle w:val="ListParagraph"/>
              <w:spacing w:after="0" w:line="276" w:lineRule="auto"/>
              <w:ind w:left="342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B78D" w14:textId="75965E1A" w:rsidR="00B73664" w:rsidRPr="00510AD8" w:rsidRDefault="006E713C" w:rsidP="006E713C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77DC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AD16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07E24793" w14:textId="214C044E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FCD1" w14:textId="61A6E1C6" w:rsidR="00B73664" w:rsidRPr="00510AD8" w:rsidRDefault="00F44F53" w:rsidP="00D55120">
            <w:pPr>
              <w:spacing w:after="120" w:line="276" w:lineRule="auto"/>
              <w:jc w:val="both"/>
              <w:rPr>
                <w:rFonts w:ascii="Bookman Old Style" w:hAnsi="Bookman Old Style" w:cs="BookAntiqua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Selain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administratif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8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(4),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Otoritas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Jasa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dapat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melakukan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tindakan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tertentu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terhadap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setiap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pihak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melakukan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pelanggaran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ketentuan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Peraturan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Otoritas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Jasa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ini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8EC8" w14:textId="3E64856A" w:rsidR="00B73664" w:rsidRPr="00510AD8" w:rsidRDefault="007E3895" w:rsidP="007E3895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“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tindakan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tertentu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”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antara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lain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perintah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untuk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melakukan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penerbitan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kembali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laporan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tidak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sesuai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dengan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Ketentuan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Akuntansi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529D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DD99B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4C74464E" w14:textId="51A21521" w:rsidTr="00C34ADC">
        <w:trPr>
          <w:trHeight w:val="305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93AB" w14:textId="1C53198D" w:rsidR="00B73664" w:rsidRPr="00510AD8" w:rsidRDefault="001D07FF" w:rsidP="001D07FF">
            <w:pPr>
              <w:spacing w:after="0" w:line="276" w:lineRule="auto"/>
              <w:jc w:val="center"/>
              <w:rPr>
                <w:rFonts w:ascii="Bookman Old Style" w:hAnsi="Bookman Old Style" w:cs="BookAntiqua"/>
                <w:sz w:val="20"/>
                <w:szCs w:val="20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C29D" w14:textId="58398D7B" w:rsidR="00B73664" w:rsidRPr="00510AD8" w:rsidRDefault="006E713C" w:rsidP="006E713C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>Pasal</w:t>
            </w:r>
            <w:proofErr w:type="spellEnd"/>
            <w:r w:rsidRPr="00510AD8">
              <w:rPr>
                <w:rFonts w:ascii="Bookman Old Style" w:hAnsi="Bookman Old Style" w:cs="BookAntiqua"/>
                <w:sz w:val="20"/>
                <w:szCs w:val="20"/>
              </w:rPr>
              <w:t xml:space="preserve"> 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E36A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7CB6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2E328B4C" w14:textId="03EA3746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F8A7" w14:textId="5CA20FAA" w:rsidR="00B73664" w:rsidRPr="00510AD8" w:rsidRDefault="001D07FF" w:rsidP="001D07FF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Otoritas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Jasa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Keuangan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dapat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mengumumkan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pengenaan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sanksi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administratif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8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ayat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(4) dan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tindakan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tertentu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sebagaimana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dimaksud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dalam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Pasal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9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kepada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masyarakat</w:t>
            </w:r>
            <w:proofErr w:type="spellEnd"/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0757" w14:textId="1E556572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="007E3895"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Cukup</w:t>
            </w:r>
            <w:proofErr w:type="spellEnd"/>
            <w:r w:rsidR="007E3895"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7E3895"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jelas</w:t>
            </w:r>
            <w:proofErr w:type="spellEnd"/>
            <w:r w:rsidR="007E3895"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8B4B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3426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01A53011" w14:textId="369ED082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A085" w14:textId="7859F91D" w:rsidR="00B73664" w:rsidRPr="00510AD8" w:rsidRDefault="001D07FF" w:rsidP="001D07FF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 w:eastAsia="en-ID"/>
              </w:rPr>
              <w:t>BAB IV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E84E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D7F3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1CEBE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038380AE" w14:textId="1154F564" w:rsidTr="00C34ADC">
        <w:trPr>
          <w:trHeight w:val="7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A4CA" w14:textId="20A20DD8" w:rsidR="00B73664" w:rsidRPr="00510AD8" w:rsidRDefault="001D07FF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 w:eastAsia="en-ID"/>
              </w:rPr>
              <w:t>KETENTUAN PENUTUP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9E18" w14:textId="16A2B662" w:rsidR="00B73664" w:rsidRPr="00510AD8" w:rsidRDefault="00B73664" w:rsidP="00C2119E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D350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B0CF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33F529F1" w14:textId="2FC9A082" w:rsidTr="00C34ADC">
        <w:trPr>
          <w:trHeight w:val="251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33CD" w14:textId="3D35C9A6" w:rsidR="00B73664" w:rsidRPr="00510AD8" w:rsidRDefault="001D07FF" w:rsidP="001D07FF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id-ID"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id-ID" w:eastAsia="en-ID"/>
              </w:rPr>
              <w:t>Pasal 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4034" w14:textId="1E13C115" w:rsidR="00B73664" w:rsidRPr="00510AD8" w:rsidRDefault="006E713C" w:rsidP="006E713C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id-ID" w:eastAsia="en-ID"/>
              </w:rPr>
              <w:t>Pasal 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C09D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749D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59B41138" w14:textId="02C99FA1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D366" w14:textId="62B82B4C" w:rsidR="00B73664" w:rsidRPr="00510AD8" w:rsidRDefault="001D07FF" w:rsidP="00D55120">
            <w:pPr>
              <w:spacing w:after="0" w:line="276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id-ID"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id-ID" w:eastAsia="en-ID"/>
              </w:rPr>
              <w:t>Peraturan Otoritas Jasa Keuangan ini mulai berlaku pada tanggal diundangkan.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C985" w14:textId="191121B8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="007E3895"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Cukup</w:t>
            </w:r>
            <w:proofErr w:type="spellEnd"/>
            <w:r w:rsidR="007E3895"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="007E3895"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jelas</w:t>
            </w:r>
            <w:proofErr w:type="spellEnd"/>
            <w:r w:rsidR="007E3895"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C884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88E2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11D53070" w14:textId="16E5FBEA" w:rsidTr="00C34ADC">
        <w:trPr>
          <w:trHeight w:val="30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908F" w14:textId="47D37EE8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 w:eastAsia="en-ID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8FB1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8005" w14:textId="270A0E4E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0F36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346E4DDB" w14:textId="2B2362FB" w:rsidTr="00C34ADC">
        <w:trPr>
          <w:trHeight w:val="77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F2F1" w14:textId="01FD72C0" w:rsidR="00B73664" w:rsidRPr="00510AD8" w:rsidRDefault="00D55120" w:rsidP="00510AD8">
            <w:pPr>
              <w:pStyle w:val="nomor-1alinea"/>
              <w:spacing w:before="0" w:line="276" w:lineRule="auto"/>
              <w:ind w:left="0" w:firstLine="0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Calibri"/>
                <w:sz w:val="20"/>
                <w:lang w:val="id-ID" w:eastAsia="en-ID"/>
              </w:rPr>
              <w:t>Agar setiap orang mengetahuinya, memerintahkan pengundangan Peraturan Otoritas Jasa Keuangan ini dengan penempatannya dalam Lembaran Negara Republik Indonesia.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F4F3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C93F" w14:textId="2B464FA0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F00F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6CA50AD0" w14:textId="113E1DC2" w:rsidTr="00C34ADC">
        <w:trPr>
          <w:trHeight w:val="77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877B" w14:textId="7CA98414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</w:rPr>
              <w:lastRenderedPageBreak/>
              <w:t>Ditetapkan</w:t>
            </w:r>
            <w:proofErr w:type="spellEnd"/>
            <w:r w:rsidRPr="00510AD8">
              <w:rPr>
                <w:rFonts w:cs="BookAntiqua"/>
                <w:color w:val="auto"/>
                <w:sz w:val="20"/>
              </w:rPr>
              <w:t xml:space="preserve"> di Jakarta</w:t>
            </w:r>
          </w:p>
          <w:p w14:paraId="4A3320A5" w14:textId="6AAF0392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 xml:space="preserve">Pada </w:t>
            </w:r>
            <w:proofErr w:type="spellStart"/>
            <w:r w:rsidRPr="00510AD8">
              <w:rPr>
                <w:rFonts w:cs="BookAntiqua"/>
                <w:color w:val="auto"/>
                <w:sz w:val="20"/>
              </w:rPr>
              <w:t>tanggal</w:t>
            </w:r>
            <w:proofErr w:type="spellEnd"/>
            <w:r w:rsidRPr="00510AD8">
              <w:rPr>
                <w:rFonts w:cs="BookAntiqua"/>
                <w:color w:val="auto"/>
                <w:sz w:val="20"/>
              </w:rPr>
              <w:t xml:space="preserve"> </w:t>
            </w:r>
          </w:p>
          <w:p w14:paraId="5728E25C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</w:p>
          <w:p w14:paraId="2678452A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>KETUA DEWAN KOMISIONER</w:t>
            </w:r>
          </w:p>
          <w:p w14:paraId="6F023352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>OTORITAS JASA KEUANGAN,</w:t>
            </w:r>
          </w:p>
          <w:p w14:paraId="4277D38A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ab/>
            </w:r>
            <w:proofErr w:type="spellStart"/>
            <w:r w:rsidRPr="00510AD8">
              <w:rPr>
                <w:rFonts w:cs="BookAntiqua"/>
                <w:color w:val="auto"/>
                <w:sz w:val="20"/>
              </w:rPr>
              <w:t>Ttd</w:t>
            </w:r>
            <w:proofErr w:type="spellEnd"/>
            <w:r w:rsidRPr="00510AD8">
              <w:rPr>
                <w:rFonts w:cs="BookAntiqua"/>
                <w:color w:val="auto"/>
                <w:sz w:val="20"/>
              </w:rPr>
              <w:t>.</w:t>
            </w:r>
          </w:p>
          <w:p w14:paraId="09FB2DA0" w14:textId="77777777" w:rsidR="00B73664" w:rsidRPr="00510AD8" w:rsidRDefault="00B73664" w:rsidP="00C2119E">
            <w:pPr>
              <w:pStyle w:val="nomor-1alinea"/>
              <w:spacing w:before="0" w:after="0" w:line="276" w:lineRule="auto"/>
              <w:ind w:left="0" w:firstLine="0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>MAHENDRA SIREGAR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1A76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D159" w14:textId="67956C1A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858B2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33B6201C" w14:textId="363F6780" w:rsidTr="00C34ADC">
        <w:trPr>
          <w:trHeight w:val="77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B258" w14:textId="07C6902B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9949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4BA6" w14:textId="0546CA2B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2743D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18CA0B1D" w14:textId="76E220B9" w:rsidTr="00C34ADC">
        <w:trPr>
          <w:trHeight w:val="77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A8EDD" w14:textId="678C1D24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</w:rPr>
              <w:t>Diundangkan</w:t>
            </w:r>
            <w:proofErr w:type="spellEnd"/>
            <w:r w:rsidRPr="00510AD8">
              <w:rPr>
                <w:rFonts w:cs="BookAntiqua"/>
                <w:color w:val="auto"/>
                <w:sz w:val="20"/>
              </w:rPr>
              <w:t xml:space="preserve"> di Jakarta</w:t>
            </w:r>
          </w:p>
          <w:p w14:paraId="63479311" w14:textId="50F92021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 xml:space="preserve">Pada </w:t>
            </w:r>
            <w:proofErr w:type="spellStart"/>
            <w:r w:rsidRPr="00510AD8">
              <w:rPr>
                <w:rFonts w:cs="BookAntiqua"/>
                <w:color w:val="auto"/>
                <w:sz w:val="20"/>
              </w:rPr>
              <w:t>tanggal</w:t>
            </w:r>
            <w:proofErr w:type="spellEnd"/>
            <w:r w:rsidRPr="00510AD8">
              <w:rPr>
                <w:rFonts w:cs="BookAntiqua"/>
                <w:color w:val="auto"/>
                <w:sz w:val="20"/>
              </w:rPr>
              <w:t xml:space="preserve"> </w:t>
            </w:r>
          </w:p>
          <w:p w14:paraId="0052707A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</w:p>
          <w:p w14:paraId="4BE1EAD6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>MENTERI HUKUM DAN HAK ASASI MANUSIA</w:t>
            </w:r>
          </w:p>
          <w:p w14:paraId="34FAF0A7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>REPUBLIK INDONESIA,</w:t>
            </w:r>
          </w:p>
          <w:p w14:paraId="19EF1980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proofErr w:type="spellStart"/>
            <w:r w:rsidRPr="00510AD8">
              <w:rPr>
                <w:rFonts w:cs="BookAntiqua"/>
                <w:color w:val="auto"/>
                <w:sz w:val="20"/>
              </w:rPr>
              <w:t>Ttd</w:t>
            </w:r>
            <w:proofErr w:type="spellEnd"/>
            <w:r w:rsidRPr="00510AD8">
              <w:rPr>
                <w:rFonts w:cs="BookAntiqua"/>
                <w:color w:val="auto"/>
                <w:sz w:val="20"/>
              </w:rPr>
              <w:t>.</w:t>
            </w:r>
          </w:p>
          <w:p w14:paraId="6C2ED0BB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>YASONNA H. LAOLY</w:t>
            </w:r>
          </w:p>
          <w:p w14:paraId="3F70D6FF" w14:textId="77777777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</w:p>
          <w:p w14:paraId="04B20D62" w14:textId="5B0A9130" w:rsidR="00B73664" w:rsidRPr="00510AD8" w:rsidRDefault="00B73664" w:rsidP="00C2119E">
            <w:pPr>
              <w:pStyle w:val="nomor-1alinea"/>
              <w:spacing w:before="0" w:after="0" w:line="276" w:lineRule="auto"/>
              <w:jc w:val="left"/>
              <w:rPr>
                <w:rFonts w:cs="BookAntiqua"/>
                <w:color w:val="auto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81FD3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B678" w14:textId="4857B373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E4DDE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  <w:tr w:rsidR="00B73664" w:rsidRPr="00510AD8" w14:paraId="5A0F8DEC" w14:textId="2BCE36CF" w:rsidTr="00C34ADC">
        <w:trPr>
          <w:trHeight w:val="77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1222" w14:textId="3B9B1A96" w:rsidR="00B73664" w:rsidRPr="00510AD8" w:rsidRDefault="00B73664" w:rsidP="00C2119E">
            <w:pPr>
              <w:pStyle w:val="nomor-1alinea"/>
              <w:spacing w:before="0" w:after="0" w:line="276" w:lineRule="auto"/>
              <w:ind w:left="0" w:firstLine="0"/>
              <w:jc w:val="left"/>
              <w:rPr>
                <w:rFonts w:cs="BookAntiqua"/>
                <w:color w:val="auto"/>
                <w:sz w:val="20"/>
              </w:rPr>
            </w:pPr>
            <w:r w:rsidRPr="00510AD8">
              <w:rPr>
                <w:rFonts w:cs="BookAntiqua"/>
                <w:color w:val="auto"/>
                <w:sz w:val="20"/>
              </w:rPr>
              <w:t>LEMBARAN NEGARA REPUBLIK INDONESIA TAHUN ...........NOMOR ...........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9577A" w14:textId="4934ED1F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510A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TAMBAHAN LEMBARAN NEGARA REPUBLIK INDONESIA NOMOR ……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B4D9" w14:textId="267A444E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97207" w14:textId="77777777" w:rsidR="00B73664" w:rsidRPr="00510AD8" w:rsidRDefault="00B73664" w:rsidP="00C2119E">
            <w:pPr>
              <w:spacing w:after="0"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</w:p>
        </w:tc>
      </w:tr>
    </w:tbl>
    <w:p w14:paraId="1A29B73C" w14:textId="2BBB6575" w:rsidR="00BB658A" w:rsidRPr="00510AD8" w:rsidRDefault="00BB658A" w:rsidP="004001F1">
      <w:pPr>
        <w:rPr>
          <w:sz w:val="20"/>
          <w:szCs w:val="20"/>
        </w:rPr>
      </w:pPr>
    </w:p>
    <w:p w14:paraId="0FE4F39D" w14:textId="5D62839B" w:rsidR="00BB658A" w:rsidRPr="00510AD8" w:rsidRDefault="00BB658A" w:rsidP="00BB658A">
      <w:pPr>
        <w:spacing w:after="0"/>
        <w:rPr>
          <w:rFonts w:ascii="Bookman Old Style" w:hAnsi="Bookman Old Style"/>
          <w:sz w:val="20"/>
          <w:szCs w:val="20"/>
        </w:rPr>
      </w:pPr>
    </w:p>
    <w:p w14:paraId="275FCCA4" w14:textId="213A88AC" w:rsidR="00BB658A" w:rsidRPr="00510AD8" w:rsidRDefault="00BB658A" w:rsidP="00BB658A">
      <w:pPr>
        <w:spacing w:after="0"/>
        <w:rPr>
          <w:rFonts w:ascii="Bookman Old Style" w:hAnsi="Bookman Old Style"/>
          <w:sz w:val="20"/>
          <w:szCs w:val="20"/>
        </w:rPr>
      </w:pPr>
    </w:p>
    <w:p w14:paraId="5D99E0D6" w14:textId="73534DFA" w:rsidR="00BB658A" w:rsidRPr="00510AD8" w:rsidRDefault="00BB658A" w:rsidP="00BB658A">
      <w:pPr>
        <w:spacing w:after="0"/>
        <w:rPr>
          <w:rFonts w:ascii="Bookman Old Style" w:hAnsi="Bookman Old Style"/>
          <w:sz w:val="20"/>
          <w:szCs w:val="20"/>
        </w:rPr>
      </w:pPr>
    </w:p>
    <w:p w14:paraId="5DE360A9" w14:textId="77002283" w:rsidR="00BB658A" w:rsidRPr="00510AD8" w:rsidRDefault="00BB658A" w:rsidP="00BB658A">
      <w:pPr>
        <w:spacing w:after="0"/>
        <w:rPr>
          <w:rFonts w:ascii="Bookman Old Style" w:hAnsi="Bookman Old Style"/>
          <w:sz w:val="20"/>
          <w:szCs w:val="20"/>
        </w:rPr>
      </w:pPr>
    </w:p>
    <w:p w14:paraId="5B38E3BD" w14:textId="3085B615" w:rsidR="00BB658A" w:rsidRPr="00510AD8" w:rsidRDefault="00BB658A" w:rsidP="00BB658A">
      <w:pPr>
        <w:spacing w:after="0"/>
        <w:rPr>
          <w:rFonts w:ascii="Bookman Old Style" w:hAnsi="Bookman Old Style"/>
          <w:sz w:val="20"/>
          <w:szCs w:val="20"/>
        </w:rPr>
      </w:pPr>
    </w:p>
    <w:p w14:paraId="098A9BD7" w14:textId="3ABD7F88" w:rsidR="00BB658A" w:rsidRPr="00510AD8" w:rsidRDefault="00BB658A" w:rsidP="00BB658A">
      <w:pPr>
        <w:spacing w:after="0"/>
        <w:rPr>
          <w:rFonts w:ascii="Bookman Old Style" w:hAnsi="Bookman Old Style"/>
          <w:sz w:val="20"/>
          <w:szCs w:val="20"/>
        </w:rPr>
      </w:pPr>
    </w:p>
    <w:sectPr w:rsidR="00BB658A" w:rsidRPr="00510AD8" w:rsidSect="00781F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17A1"/>
    <w:multiLevelType w:val="hybridMultilevel"/>
    <w:tmpl w:val="77C683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E13"/>
    <w:multiLevelType w:val="hybridMultilevel"/>
    <w:tmpl w:val="9A60E348"/>
    <w:lvl w:ilvl="0" w:tplc="F59C122A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HAnsi" w:hAnsi="Bookman Old Style" w:cs="Bookman Old Style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920"/>
    <w:multiLevelType w:val="hybridMultilevel"/>
    <w:tmpl w:val="7A1CE0D6"/>
    <w:lvl w:ilvl="0" w:tplc="26642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3CAF"/>
    <w:multiLevelType w:val="hybridMultilevel"/>
    <w:tmpl w:val="40709B76"/>
    <w:lvl w:ilvl="0" w:tplc="6A8AB33C">
      <w:start w:val="1"/>
      <w:numFmt w:val="decimal"/>
      <w:lvlText w:val="%1."/>
      <w:lvlJc w:val="left"/>
      <w:pPr>
        <w:ind w:left="1026" w:hanging="360"/>
      </w:pPr>
      <w:rPr>
        <w:rFonts w:ascii="Bookman Old Style" w:hAnsi="Bookman Old Style" w:hint="default"/>
        <w:sz w:val="18"/>
        <w:szCs w:val="18"/>
      </w:rPr>
    </w:lvl>
    <w:lvl w:ilvl="1" w:tplc="F976DE34">
      <w:start w:val="1"/>
      <w:numFmt w:val="lowerLetter"/>
      <w:lvlText w:val="%2."/>
      <w:lvlJc w:val="left"/>
      <w:pPr>
        <w:ind w:left="210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66" w:hanging="180"/>
      </w:pPr>
    </w:lvl>
    <w:lvl w:ilvl="3" w:tplc="FFFFFFFF" w:tentative="1">
      <w:start w:val="1"/>
      <w:numFmt w:val="decimal"/>
      <w:lvlText w:val="%4."/>
      <w:lvlJc w:val="left"/>
      <w:pPr>
        <w:ind w:left="3186" w:hanging="360"/>
      </w:pPr>
    </w:lvl>
    <w:lvl w:ilvl="4" w:tplc="FFFFFFFF" w:tentative="1">
      <w:start w:val="1"/>
      <w:numFmt w:val="lowerLetter"/>
      <w:lvlText w:val="%5."/>
      <w:lvlJc w:val="left"/>
      <w:pPr>
        <w:ind w:left="3906" w:hanging="360"/>
      </w:pPr>
    </w:lvl>
    <w:lvl w:ilvl="5" w:tplc="FFFFFFFF" w:tentative="1">
      <w:start w:val="1"/>
      <w:numFmt w:val="lowerRoman"/>
      <w:lvlText w:val="%6."/>
      <w:lvlJc w:val="right"/>
      <w:pPr>
        <w:ind w:left="4626" w:hanging="180"/>
      </w:pPr>
    </w:lvl>
    <w:lvl w:ilvl="6" w:tplc="FFFFFFFF" w:tentative="1">
      <w:start w:val="1"/>
      <w:numFmt w:val="decimal"/>
      <w:lvlText w:val="%7."/>
      <w:lvlJc w:val="left"/>
      <w:pPr>
        <w:ind w:left="5346" w:hanging="360"/>
      </w:pPr>
    </w:lvl>
    <w:lvl w:ilvl="7" w:tplc="FFFFFFFF" w:tentative="1">
      <w:start w:val="1"/>
      <w:numFmt w:val="lowerLetter"/>
      <w:lvlText w:val="%8."/>
      <w:lvlJc w:val="left"/>
      <w:pPr>
        <w:ind w:left="6066" w:hanging="360"/>
      </w:pPr>
    </w:lvl>
    <w:lvl w:ilvl="8" w:tplc="FFFFFFFF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22DA497E"/>
    <w:multiLevelType w:val="hybridMultilevel"/>
    <w:tmpl w:val="BC5A3D50"/>
    <w:lvl w:ilvl="0" w:tplc="653A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97223"/>
    <w:multiLevelType w:val="hybridMultilevel"/>
    <w:tmpl w:val="2F4C0158"/>
    <w:lvl w:ilvl="0" w:tplc="12BABD92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80983"/>
    <w:multiLevelType w:val="hybridMultilevel"/>
    <w:tmpl w:val="0EB6D41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605B8"/>
    <w:multiLevelType w:val="hybridMultilevel"/>
    <w:tmpl w:val="C284B48A"/>
    <w:lvl w:ilvl="0" w:tplc="41C0E57E">
      <w:start w:val="1"/>
      <w:numFmt w:val="lowerLetter"/>
      <w:lvlText w:val="%1."/>
      <w:lvlJc w:val="left"/>
      <w:pPr>
        <w:ind w:left="1026" w:hanging="360"/>
      </w:pPr>
      <w:rPr>
        <w:rFonts w:ascii="Bookman Old Style" w:hAnsi="Bookman Old Style" w:hint="default"/>
        <w:sz w:val="18"/>
        <w:szCs w:val="18"/>
      </w:rPr>
    </w:lvl>
    <w:lvl w:ilvl="1" w:tplc="816C75C8">
      <w:start w:val="1"/>
      <w:numFmt w:val="decimal"/>
      <w:lvlText w:val="%2."/>
      <w:lvlJc w:val="left"/>
      <w:pPr>
        <w:ind w:left="17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66" w:hanging="180"/>
      </w:pPr>
    </w:lvl>
    <w:lvl w:ilvl="3" w:tplc="FFFFFFFF" w:tentative="1">
      <w:start w:val="1"/>
      <w:numFmt w:val="decimal"/>
      <w:lvlText w:val="%4."/>
      <w:lvlJc w:val="left"/>
      <w:pPr>
        <w:ind w:left="3186" w:hanging="360"/>
      </w:pPr>
    </w:lvl>
    <w:lvl w:ilvl="4" w:tplc="FFFFFFFF" w:tentative="1">
      <w:start w:val="1"/>
      <w:numFmt w:val="lowerLetter"/>
      <w:lvlText w:val="%5."/>
      <w:lvlJc w:val="left"/>
      <w:pPr>
        <w:ind w:left="3906" w:hanging="360"/>
      </w:pPr>
    </w:lvl>
    <w:lvl w:ilvl="5" w:tplc="FFFFFFFF" w:tentative="1">
      <w:start w:val="1"/>
      <w:numFmt w:val="lowerRoman"/>
      <w:lvlText w:val="%6."/>
      <w:lvlJc w:val="right"/>
      <w:pPr>
        <w:ind w:left="4626" w:hanging="180"/>
      </w:pPr>
    </w:lvl>
    <w:lvl w:ilvl="6" w:tplc="FFFFFFFF" w:tentative="1">
      <w:start w:val="1"/>
      <w:numFmt w:val="decimal"/>
      <w:lvlText w:val="%7."/>
      <w:lvlJc w:val="left"/>
      <w:pPr>
        <w:ind w:left="5346" w:hanging="360"/>
      </w:pPr>
    </w:lvl>
    <w:lvl w:ilvl="7" w:tplc="FFFFFFFF" w:tentative="1">
      <w:start w:val="1"/>
      <w:numFmt w:val="lowerLetter"/>
      <w:lvlText w:val="%8."/>
      <w:lvlJc w:val="left"/>
      <w:pPr>
        <w:ind w:left="6066" w:hanging="360"/>
      </w:pPr>
    </w:lvl>
    <w:lvl w:ilvl="8" w:tplc="FFFFFFFF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 w15:restartNumberingAfterBreak="0">
    <w:nsid w:val="657200CD"/>
    <w:multiLevelType w:val="hybridMultilevel"/>
    <w:tmpl w:val="2B98A96C"/>
    <w:lvl w:ilvl="0" w:tplc="FFFFFFFF">
      <w:start w:val="1"/>
      <w:numFmt w:val="decimal"/>
      <w:lvlText w:val="%1."/>
      <w:lvlJc w:val="left"/>
      <w:pPr>
        <w:ind w:left="1026" w:hanging="360"/>
      </w:pPr>
    </w:lvl>
    <w:lvl w:ilvl="1" w:tplc="FFFFFFFF" w:tentative="1">
      <w:start w:val="1"/>
      <w:numFmt w:val="lowerLetter"/>
      <w:lvlText w:val="%2."/>
      <w:lvlJc w:val="left"/>
      <w:pPr>
        <w:ind w:left="1746" w:hanging="360"/>
      </w:pPr>
    </w:lvl>
    <w:lvl w:ilvl="2" w:tplc="FFFFFFFF" w:tentative="1">
      <w:start w:val="1"/>
      <w:numFmt w:val="lowerRoman"/>
      <w:lvlText w:val="%3."/>
      <w:lvlJc w:val="right"/>
      <w:pPr>
        <w:ind w:left="2466" w:hanging="180"/>
      </w:pPr>
    </w:lvl>
    <w:lvl w:ilvl="3" w:tplc="FFFFFFFF" w:tentative="1">
      <w:start w:val="1"/>
      <w:numFmt w:val="decimal"/>
      <w:lvlText w:val="%4."/>
      <w:lvlJc w:val="left"/>
      <w:pPr>
        <w:ind w:left="3186" w:hanging="360"/>
      </w:pPr>
    </w:lvl>
    <w:lvl w:ilvl="4" w:tplc="FFFFFFFF" w:tentative="1">
      <w:start w:val="1"/>
      <w:numFmt w:val="lowerLetter"/>
      <w:lvlText w:val="%5."/>
      <w:lvlJc w:val="left"/>
      <w:pPr>
        <w:ind w:left="3906" w:hanging="360"/>
      </w:pPr>
    </w:lvl>
    <w:lvl w:ilvl="5" w:tplc="FFFFFFFF" w:tentative="1">
      <w:start w:val="1"/>
      <w:numFmt w:val="lowerRoman"/>
      <w:lvlText w:val="%6."/>
      <w:lvlJc w:val="right"/>
      <w:pPr>
        <w:ind w:left="4626" w:hanging="180"/>
      </w:pPr>
    </w:lvl>
    <w:lvl w:ilvl="6" w:tplc="FFFFFFFF" w:tentative="1">
      <w:start w:val="1"/>
      <w:numFmt w:val="decimal"/>
      <w:lvlText w:val="%7."/>
      <w:lvlJc w:val="left"/>
      <w:pPr>
        <w:ind w:left="5346" w:hanging="360"/>
      </w:pPr>
    </w:lvl>
    <w:lvl w:ilvl="7" w:tplc="FFFFFFFF" w:tentative="1">
      <w:start w:val="1"/>
      <w:numFmt w:val="lowerLetter"/>
      <w:lvlText w:val="%8."/>
      <w:lvlJc w:val="left"/>
      <w:pPr>
        <w:ind w:left="6066" w:hanging="360"/>
      </w:pPr>
    </w:lvl>
    <w:lvl w:ilvl="8" w:tplc="FFFFFFFF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9" w15:restartNumberingAfterBreak="0">
    <w:nsid w:val="71F76E97"/>
    <w:multiLevelType w:val="hybridMultilevel"/>
    <w:tmpl w:val="0EB6D410"/>
    <w:lvl w:ilvl="0" w:tplc="653A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39E7"/>
    <w:multiLevelType w:val="hybridMultilevel"/>
    <w:tmpl w:val="06C40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F5"/>
    <w:rsid w:val="000410DF"/>
    <w:rsid w:val="000614C8"/>
    <w:rsid w:val="000655DA"/>
    <w:rsid w:val="00076AED"/>
    <w:rsid w:val="00092980"/>
    <w:rsid w:val="00096F97"/>
    <w:rsid w:val="000B420A"/>
    <w:rsid w:val="000B4830"/>
    <w:rsid w:val="000B58A8"/>
    <w:rsid w:val="000E1BCA"/>
    <w:rsid w:val="000F0A04"/>
    <w:rsid w:val="000F2051"/>
    <w:rsid w:val="001130C9"/>
    <w:rsid w:val="00113CDF"/>
    <w:rsid w:val="00153095"/>
    <w:rsid w:val="00171BA9"/>
    <w:rsid w:val="00172FC6"/>
    <w:rsid w:val="001A2A39"/>
    <w:rsid w:val="001A675A"/>
    <w:rsid w:val="001A7801"/>
    <w:rsid w:val="001B0E02"/>
    <w:rsid w:val="001B169F"/>
    <w:rsid w:val="001B5192"/>
    <w:rsid w:val="001C1C94"/>
    <w:rsid w:val="001D07FF"/>
    <w:rsid w:val="001D1457"/>
    <w:rsid w:val="001E075E"/>
    <w:rsid w:val="001E2E5A"/>
    <w:rsid w:val="001E6980"/>
    <w:rsid w:val="001F41C7"/>
    <w:rsid w:val="001F7AEA"/>
    <w:rsid w:val="00202794"/>
    <w:rsid w:val="00204950"/>
    <w:rsid w:val="00216688"/>
    <w:rsid w:val="00233CBE"/>
    <w:rsid w:val="00243FD4"/>
    <w:rsid w:val="002609FD"/>
    <w:rsid w:val="00265E5D"/>
    <w:rsid w:val="00267E2B"/>
    <w:rsid w:val="00273F1F"/>
    <w:rsid w:val="00273F57"/>
    <w:rsid w:val="00275C0C"/>
    <w:rsid w:val="00282194"/>
    <w:rsid w:val="00284892"/>
    <w:rsid w:val="002B4ADC"/>
    <w:rsid w:val="002C3EBB"/>
    <w:rsid w:val="002C4579"/>
    <w:rsid w:val="002C4E54"/>
    <w:rsid w:val="002C7DF1"/>
    <w:rsid w:val="002E3146"/>
    <w:rsid w:val="00336B9B"/>
    <w:rsid w:val="003457F5"/>
    <w:rsid w:val="00345E37"/>
    <w:rsid w:val="0035439A"/>
    <w:rsid w:val="00370539"/>
    <w:rsid w:val="00373897"/>
    <w:rsid w:val="003807B0"/>
    <w:rsid w:val="0038167D"/>
    <w:rsid w:val="003864EE"/>
    <w:rsid w:val="003A01C3"/>
    <w:rsid w:val="003A6984"/>
    <w:rsid w:val="003A7069"/>
    <w:rsid w:val="003B172C"/>
    <w:rsid w:val="003B4C8D"/>
    <w:rsid w:val="003B7F05"/>
    <w:rsid w:val="003C0572"/>
    <w:rsid w:val="003C37F2"/>
    <w:rsid w:val="003C3EF2"/>
    <w:rsid w:val="003C7C00"/>
    <w:rsid w:val="003D2920"/>
    <w:rsid w:val="003D543E"/>
    <w:rsid w:val="003E42FC"/>
    <w:rsid w:val="003F0B59"/>
    <w:rsid w:val="003F38C4"/>
    <w:rsid w:val="003F6E87"/>
    <w:rsid w:val="004001F1"/>
    <w:rsid w:val="00406255"/>
    <w:rsid w:val="0041519A"/>
    <w:rsid w:val="0041718F"/>
    <w:rsid w:val="004305F8"/>
    <w:rsid w:val="004417FE"/>
    <w:rsid w:val="00443306"/>
    <w:rsid w:val="004453DE"/>
    <w:rsid w:val="004576F8"/>
    <w:rsid w:val="004620F1"/>
    <w:rsid w:val="0049063F"/>
    <w:rsid w:val="004C3199"/>
    <w:rsid w:val="004D4372"/>
    <w:rsid w:val="004D7C03"/>
    <w:rsid w:val="004D7F25"/>
    <w:rsid w:val="004E6994"/>
    <w:rsid w:val="00510AD8"/>
    <w:rsid w:val="005215D3"/>
    <w:rsid w:val="005239ED"/>
    <w:rsid w:val="00541D38"/>
    <w:rsid w:val="005430CD"/>
    <w:rsid w:val="00550732"/>
    <w:rsid w:val="005509DE"/>
    <w:rsid w:val="00557032"/>
    <w:rsid w:val="005751A3"/>
    <w:rsid w:val="00575621"/>
    <w:rsid w:val="00577542"/>
    <w:rsid w:val="0059264B"/>
    <w:rsid w:val="005976B7"/>
    <w:rsid w:val="005B5A6A"/>
    <w:rsid w:val="005D1E2D"/>
    <w:rsid w:val="005F140E"/>
    <w:rsid w:val="00620725"/>
    <w:rsid w:val="00636C9C"/>
    <w:rsid w:val="006402E4"/>
    <w:rsid w:val="00640EB2"/>
    <w:rsid w:val="00646AB7"/>
    <w:rsid w:val="0066396E"/>
    <w:rsid w:val="00670674"/>
    <w:rsid w:val="006716A3"/>
    <w:rsid w:val="00677BD1"/>
    <w:rsid w:val="006A24FF"/>
    <w:rsid w:val="006A5FE5"/>
    <w:rsid w:val="006C7875"/>
    <w:rsid w:val="006D79ED"/>
    <w:rsid w:val="006E3256"/>
    <w:rsid w:val="006E713C"/>
    <w:rsid w:val="00701CB9"/>
    <w:rsid w:val="00701EAE"/>
    <w:rsid w:val="00702A9F"/>
    <w:rsid w:val="00704A1E"/>
    <w:rsid w:val="00716167"/>
    <w:rsid w:val="00717E7F"/>
    <w:rsid w:val="007263C5"/>
    <w:rsid w:val="00727EE5"/>
    <w:rsid w:val="0074039D"/>
    <w:rsid w:val="00747288"/>
    <w:rsid w:val="007616FD"/>
    <w:rsid w:val="00761E17"/>
    <w:rsid w:val="007620EC"/>
    <w:rsid w:val="007705D9"/>
    <w:rsid w:val="007752CA"/>
    <w:rsid w:val="00781F72"/>
    <w:rsid w:val="00785079"/>
    <w:rsid w:val="007869D3"/>
    <w:rsid w:val="007B5DD4"/>
    <w:rsid w:val="007B786F"/>
    <w:rsid w:val="007D0EF5"/>
    <w:rsid w:val="007D382E"/>
    <w:rsid w:val="007E3895"/>
    <w:rsid w:val="007E48D3"/>
    <w:rsid w:val="007F4622"/>
    <w:rsid w:val="00802055"/>
    <w:rsid w:val="00812EA2"/>
    <w:rsid w:val="008240FD"/>
    <w:rsid w:val="0082415C"/>
    <w:rsid w:val="00855E23"/>
    <w:rsid w:val="008657D3"/>
    <w:rsid w:val="008719C4"/>
    <w:rsid w:val="008A0687"/>
    <w:rsid w:val="008A684A"/>
    <w:rsid w:val="008B175A"/>
    <w:rsid w:val="008C438A"/>
    <w:rsid w:val="00903AFF"/>
    <w:rsid w:val="00920511"/>
    <w:rsid w:val="009263D9"/>
    <w:rsid w:val="00930AA1"/>
    <w:rsid w:val="00934B12"/>
    <w:rsid w:val="00945AD3"/>
    <w:rsid w:val="00953379"/>
    <w:rsid w:val="009533A7"/>
    <w:rsid w:val="00964598"/>
    <w:rsid w:val="009743E0"/>
    <w:rsid w:val="009B131B"/>
    <w:rsid w:val="009C0D4F"/>
    <w:rsid w:val="009D1D20"/>
    <w:rsid w:val="009D6A45"/>
    <w:rsid w:val="00A00401"/>
    <w:rsid w:val="00A019F3"/>
    <w:rsid w:val="00A032C2"/>
    <w:rsid w:val="00A041A1"/>
    <w:rsid w:val="00A437DB"/>
    <w:rsid w:val="00A45D70"/>
    <w:rsid w:val="00A461F3"/>
    <w:rsid w:val="00A5533D"/>
    <w:rsid w:val="00A70F5D"/>
    <w:rsid w:val="00A756A5"/>
    <w:rsid w:val="00A84B08"/>
    <w:rsid w:val="00A86169"/>
    <w:rsid w:val="00AB0DE6"/>
    <w:rsid w:val="00AB5E6C"/>
    <w:rsid w:val="00AC4AF4"/>
    <w:rsid w:val="00AE7BFC"/>
    <w:rsid w:val="00B01C18"/>
    <w:rsid w:val="00B217EC"/>
    <w:rsid w:val="00B24D21"/>
    <w:rsid w:val="00B26761"/>
    <w:rsid w:val="00B33D0B"/>
    <w:rsid w:val="00B363FF"/>
    <w:rsid w:val="00B626C4"/>
    <w:rsid w:val="00B73664"/>
    <w:rsid w:val="00B80040"/>
    <w:rsid w:val="00B962A6"/>
    <w:rsid w:val="00BA40A2"/>
    <w:rsid w:val="00BA68C5"/>
    <w:rsid w:val="00BB5024"/>
    <w:rsid w:val="00BB50DF"/>
    <w:rsid w:val="00BB658A"/>
    <w:rsid w:val="00BC4F1C"/>
    <w:rsid w:val="00BE10A9"/>
    <w:rsid w:val="00BF1891"/>
    <w:rsid w:val="00BF6F21"/>
    <w:rsid w:val="00C14559"/>
    <w:rsid w:val="00C2119E"/>
    <w:rsid w:val="00C270F7"/>
    <w:rsid w:val="00C27A17"/>
    <w:rsid w:val="00C31708"/>
    <w:rsid w:val="00C34ADC"/>
    <w:rsid w:val="00C358A6"/>
    <w:rsid w:val="00C61A06"/>
    <w:rsid w:val="00C645D6"/>
    <w:rsid w:val="00C64DA6"/>
    <w:rsid w:val="00C73727"/>
    <w:rsid w:val="00C82152"/>
    <w:rsid w:val="00C91385"/>
    <w:rsid w:val="00C93D6F"/>
    <w:rsid w:val="00C95DAD"/>
    <w:rsid w:val="00CB58AF"/>
    <w:rsid w:val="00CD0DC5"/>
    <w:rsid w:val="00CF1C96"/>
    <w:rsid w:val="00CF3461"/>
    <w:rsid w:val="00D02BB8"/>
    <w:rsid w:val="00D0553F"/>
    <w:rsid w:val="00D1109A"/>
    <w:rsid w:val="00D21186"/>
    <w:rsid w:val="00D26E4C"/>
    <w:rsid w:val="00D55120"/>
    <w:rsid w:val="00D712BB"/>
    <w:rsid w:val="00D82641"/>
    <w:rsid w:val="00D90A4E"/>
    <w:rsid w:val="00D9703E"/>
    <w:rsid w:val="00DB222E"/>
    <w:rsid w:val="00DB386F"/>
    <w:rsid w:val="00DC2032"/>
    <w:rsid w:val="00DC69A8"/>
    <w:rsid w:val="00DF2EA9"/>
    <w:rsid w:val="00E11662"/>
    <w:rsid w:val="00E15E2B"/>
    <w:rsid w:val="00E25DF9"/>
    <w:rsid w:val="00E50CCA"/>
    <w:rsid w:val="00E6436D"/>
    <w:rsid w:val="00E702DC"/>
    <w:rsid w:val="00E83705"/>
    <w:rsid w:val="00EB4ED4"/>
    <w:rsid w:val="00EC49AC"/>
    <w:rsid w:val="00EF04DD"/>
    <w:rsid w:val="00EF39A5"/>
    <w:rsid w:val="00F0470A"/>
    <w:rsid w:val="00F26FD6"/>
    <w:rsid w:val="00F44F53"/>
    <w:rsid w:val="00F72347"/>
    <w:rsid w:val="00F769F1"/>
    <w:rsid w:val="00F773F8"/>
    <w:rsid w:val="00F8032A"/>
    <w:rsid w:val="00FA15E1"/>
    <w:rsid w:val="00FA5E5B"/>
    <w:rsid w:val="00FB2388"/>
    <w:rsid w:val="00FB7714"/>
    <w:rsid w:val="00FE1F84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DB5B"/>
  <w15:chartTrackingRefBased/>
  <w15:docId w15:val="{66468B5A-EB7E-4630-9286-3A0E0548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4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ab,Colorful List - Accent 11,Source,Atan,awal,List Paragraph2,Item2,Level 3"/>
    <w:basedOn w:val="Normal"/>
    <w:link w:val="ListParagraphChar"/>
    <w:uiPriority w:val="34"/>
    <w:qFormat/>
    <w:rsid w:val="00DB386F"/>
    <w:pPr>
      <w:ind w:left="720"/>
      <w:contextualSpacing/>
    </w:pPr>
  </w:style>
  <w:style w:type="paragraph" w:customStyle="1" w:styleId="nomor-1alinea">
    <w:name w:val="nomor-1 alinea"/>
    <w:basedOn w:val="Normal"/>
    <w:rsid w:val="001A7801"/>
    <w:pPr>
      <w:widowControl w:val="0"/>
      <w:spacing w:before="180" w:after="120" w:line="240" w:lineRule="auto"/>
      <w:ind w:left="547" w:right="14" w:hanging="547"/>
      <w:jc w:val="both"/>
    </w:pPr>
    <w:rPr>
      <w:rFonts w:ascii="Bookman Old Style" w:eastAsia="Times New Roman" w:hAnsi="Bookman Old Style" w:cs="Times New Roman"/>
      <w:color w:val="000000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C43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38A"/>
    <w:rPr>
      <w:color w:val="954F72"/>
      <w:u w:val="single"/>
    </w:rPr>
  </w:style>
  <w:style w:type="paragraph" w:customStyle="1" w:styleId="msonormal0">
    <w:name w:val="msonormal"/>
    <w:basedOn w:val="Normal"/>
    <w:rsid w:val="008C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font5">
    <w:name w:val="font5"/>
    <w:basedOn w:val="Normal"/>
    <w:rsid w:val="008C438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00000"/>
      <w:lang w:eastAsia="en-ID"/>
    </w:rPr>
  </w:style>
  <w:style w:type="paragraph" w:customStyle="1" w:styleId="font6">
    <w:name w:val="font6"/>
    <w:basedOn w:val="Normal"/>
    <w:rsid w:val="008C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en-ID"/>
    </w:rPr>
  </w:style>
  <w:style w:type="paragraph" w:customStyle="1" w:styleId="font7">
    <w:name w:val="font7"/>
    <w:basedOn w:val="Normal"/>
    <w:rsid w:val="008C438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00000"/>
      <w:lang w:eastAsia="en-ID"/>
    </w:rPr>
  </w:style>
  <w:style w:type="paragraph" w:customStyle="1" w:styleId="xl65">
    <w:name w:val="xl65"/>
    <w:basedOn w:val="Normal"/>
    <w:rsid w:val="008C4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8C4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7">
    <w:name w:val="xl67"/>
    <w:basedOn w:val="Normal"/>
    <w:rsid w:val="008C4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Bookman Old Style" w:eastAsia="Times New Roman" w:hAnsi="Bookman Old Style" w:cs="Times New Roman"/>
      <w:sz w:val="24"/>
      <w:szCs w:val="24"/>
      <w:lang w:eastAsia="en-ID"/>
    </w:rPr>
  </w:style>
  <w:style w:type="paragraph" w:customStyle="1" w:styleId="xl68">
    <w:name w:val="xl68"/>
    <w:basedOn w:val="Normal"/>
    <w:rsid w:val="008C4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Bookman Old Style" w:eastAsia="Times New Roman" w:hAnsi="Bookman Old Style" w:cs="Times New Roman"/>
      <w:sz w:val="24"/>
      <w:szCs w:val="24"/>
      <w:lang w:eastAsia="en-ID"/>
    </w:rPr>
  </w:style>
  <w:style w:type="paragraph" w:customStyle="1" w:styleId="xl69">
    <w:name w:val="xl69"/>
    <w:basedOn w:val="Normal"/>
    <w:rsid w:val="008C4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Bookman Old Style" w:eastAsia="Times New Roman" w:hAnsi="Bookman Old Style" w:cs="Times New Roman"/>
      <w:sz w:val="20"/>
      <w:szCs w:val="20"/>
      <w:lang w:eastAsia="en-ID"/>
    </w:rPr>
  </w:style>
  <w:style w:type="paragraph" w:customStyle="1" w:styleId="xl70">
    <w:name w:val="xl70"/>
    <w:basedOn w:val="Normal"/>
    <w:rsid w:val="008C4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ID"/>
    </w:rPr>
  </w:style>
  <w:style w:type="paragraph" w:customStyle="1" w:styleId="xl71">
    <w:name w:val="xl71"/>
    <w:basedOn w:val="Normal"/>
    <w:rsid w:val="008C438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Bookman Old Style" w:eastAsia="Times New Roman" w:hAnsi="Bookman Old Style" w:cs="Times New Roman"/>
      <w:sz w:val="24"/>
      <w:szCs w:val="24"/>
      <w:lang w:eastAsia="en-ID"/>
    </w:rPr>
  </w:style>
  <w:style w:type="paragraph" w:customStyle="1" w:styleId="xl72">
    <w:name w:val="xl72"/>
    <w:basedOn w:val="Normal"/>
    <w:rsid w:val="008C438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Bookman Old Style" w:eastAsia="Times New Roman" w:hAnsi="Bookman Old Style" w:cs="Times New Roman"/>
      <w:sz w:val="24"/>
      <w:szCs w:val="24"/>
      <w:lang w:eastAsia="en-ID"/>
    </w:rPr>
  </w:style>
  <w:style w:type="character" w:customStyle="1" w:styleId="ListParagraphChar">
    <w:name w:val="List Paragraph Char"/>
    <w:aliases w:val="Bab Char,Colorful List - Accent 11 Char,Source Char,Atan Char,awal Char,List Paragraph2 Char,Item2 Char,Level 3 Char"/>
    <w:basedOn w:val="DefaultParagraphFont"/>
    <w:link w:val="ListParagraph"/>
    <w:uiPriority w:val="34"/>
    <w:rsid w:val="007B786F"/>
  </w:style>
  <w:style w:type="paragraph" w:customStyle="1" w:styleId="Default">
    <w:name w:val="Default"/>
    <w:rsid w:val="00B7366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0577A6-AFA3-49DC-828F-6BDF44D8F60E}"/>
</file>

<file path=customXml/itemProps2.xml><?xml version="1.0" encoding="utf-8"?>
<ds:datastoreItem xmlns:ds="http://schemas.openxmlformats.org/officeDocument/2006/customXml" ds:itemID="{B16B52E0-B498-4A78-A583-7598B9B90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55A6F-D833-2B42-AB3F-97FF1C971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07E49-E018-4795-9C01-4905B2282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DwiAnggoro DwiAnggoro_Sukarsono</dc:creator>
  <cp:keywords/>
  <dc:description/>
  <cp:lastModifiedBy>Anakiowa Padmandaru</cp:lastModifiedBy>
  <cp:revision>2</cp:revision>
  <dcterms:created xsi:type="dcterms:W3CDTF">2023-06-19T03:10:00Z</dcterms:created>
  <dcterms:modified xsi:type="dcterms:W3CDTF">2023-06-19T03:10:00Z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