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5302" w14:textId="77777777" w:rsidR="00CB56E3" w:rsidRPr="007C3531" w:rsidRDefault="00CB56E3" w:rsidP="007E4C46">
      <w:pPr>
        <w:spacing w:line="240" w:lineRule="auto"/>
      </w:pPr>
      <w:r w:rsidRPr="007C3531">
        <w:rPr>
          <w:rFonts w:ascii="Bookman Old Style" w:hAnsi="Bookman Old Style"/>
          <w:noProof/>
          <w:lang w:eastAsia="id-ID"/>
        </w:rPr>
        <w:drawing>
          <wp:anchor distT="0" distB="0" distL="114300" distR="114300" simplePos="0" relativeHeight="251659264" behindDoc="1" locked="0" layoutInCell="1" allowOverlap="1" wp14:anchorId="7C77BC41" wp14:editId="187DFEF4">
            <wp:simplePos x="0" y="0"/>
            <wp:positionH relativeFrom="page">
              <wp:posOffset>808075</wp:posOffset>
            </wp:positionH>
            <wp:positionV relativeFrom="paragraph">
              <wp:posOffset>354</wp:posOffset>
            </wp:positionV>
            <wp:extent cx="1550035" cy="641985"/>
            <wp:effectExtent l="0" t="0" r="0" b="5715"/>
            <wp:wrapTight wrapText="bothSides">
              <wp:wrapPolygon edited="0">
                <wp:start x="1062" y="0"/>
                <wp:lineTo x="0" y="1282"/>
                <wp:lineTo x="0" y="4487"/>
                <wp:lineTo x="531" y="15383"/>
                <wp:lineTo x="796" y="20510"/>
                <wp:lineTo x="1593" y="21151"/>
                <wp:lineTo x="11946" y="21151"/>
                <wp:lineTo x="21237" y="21151"/>
                <wp:lineTo x="21237" y="8332"/>
                <wp:lineTo x="18583" y="6409"/>
                <wp:lineTo x="5309" y="0"/>
                <wp:lineTo x="106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035" cy="641985"/>
                    </a:xfrm>
                    <a:prstGeom prst="rect">
                      <a:avLst/>
                    </a:prstGeom>
                    <a:noFill/>
                    <a:ln>
                      <a:noFill/>
                    </a:ln>
                  </pic:spPr>
                </pic:pic>
              </a:graphicData>
            </a:graphic>
          </wp:anchor>
        </w:drawing>
      </w:r>
    </w:p>
    <w:p w14:paraId="4B384A7E" w14:textId="77777777" w:rsidR="00CB56E3" w:rsidRPr="007C3531" w:rsidRDefault="00CB56E3" w:rsidP="007E4C46">
      <w:pPr>
        <w:spacing w:line="240" w:lineRule="auto"/>
      </w:pPr>
    </w:p>
    <w:p w14:paraId="498EAAA6" w14:textId="77777777" w:rsidR="00CB56E3" w:rsidRPr="007C3531" w:rsidRDefault="00CB56E3" w:rsidP="007E4C46">
      <w:pPr>
        <w:spacing w:line="240" w:lineRule="auto"/>
      </w:pPr>
    </w:p>
    <w:p w14:paraId="01358B35" w14:textId="1F43A85C" w:rsidR="00CB56E3" w:rsidRPr="00011BE8" w:rsidRDefault="00011BE8" w:rsidP="007E4C46">
      <w:pPr>
        <w:spacing w:line="240" w:lineRule="auto"/>
        <w:rPr>
          <w:lang w:val="en-US"/>
        </w:rPr>
      </w:pPr>
      <w:r>
        <w:rPr>
          <w:lang w:val="en-US"/>
        </w:rPr>
        <w:t xml:space="preserve"> </w:t>
      </w:r>
    </w:p>
    <w:p w14:paraId="7E2A2F1E" w14:textId="77777777" w:rsidR="00CB56E3" w:rsidRPr="007C3531" w:rsidRDefault="00CB56E3" w:rsidP="007E4C46">
      <w:pPr>
        <w:pStyle w:val="Title"/>
        <w:spacing w:after="120" w:line="240" w:lineRule="auto"/>
        <w:jc w:val="left"/>
        <w:rPr>
          <w:rFonts w:ascii="Bookman Old Style" w:hAnsi="Bookman Old Style"/>
          <w:b w:val="0"/>
          <w:sz w:val="22"/>
          <w:szCs w:val="22"/>
        </w:rPr>
      </w:pPr>
    </w:p>
    <w:p w14:paraId="335E7AF3" w14:textId="77777777" w:rsidR="00E70162" w:rsidRPr="007C3531" w:rsidRDefault="00E70162" w:rsidP="007E4C46">
      <w:pPr>
        <w:pStyle w:val="Title"/>
        <w:spacing w:after="120" w:line="240" w:lineRule="auto"/>
        <w:rPr>
          <w:rFonts w:ascii="Bookman Old Style" w:hAnsi="Bookman Old Style"/>
          <w:b w:val="0"/>
          <w:sz w:val="22"/>
          <w:szCs w:val="22"/>
        </w:rPr>
      </w:pPr>
      <w:r w:rsidRPr="007C3531">
        <w:rPr>
          <w:rFonts w:ascii="Bookman Old Style" w:hAnsi="Bookman Old Style"/>
          <w:b w:val="0"/>
          <w:sz w:val="22"/>
          <w:szCs w:val="22"/>
        </w:rPr>
        <w:t xml:space="preserve">MATRIKS </w:t>
      </w:r>
      <w:r w:rsidR="004911CA" w:rsidRPr="007C3531">
        <w:rPr>
          <w:rFonts w:ascii="Bookman Old Style" w:hAnsi="Bookman Old Style"/>
          <w:b w:val="0"/>
          <w:sz w:val="22"/>
          <w:szCs w:val="22"/>
        </w:rPr>
        <w:t>TANGGAPAN</w:t>
      </w:r>
      <w:r w:rsidRPr="007C3531">
        <w:rPr>
          <w:rFonts w:ascii="Bookman Old Style" w:hAnsi="Bookman Old Style"/>
          <w:b w:val="0"/>
          <w:sz w:val="22"/>
          <w:szCs w:val="22"/>
        </w:rPr>
        <w:t xml:space="preserve"> </w:t>
      </w:r>
    </w:p>
    <w:p w14:paraId="4A9F949E" w14:textId="77777777" w:rsidR="00CB56E3" w:rsidRPr="007C3531" w:rsidRDefault="00CB56E3" w:rsidP="007E4C46">
      <w:pPr>
        <w:pStyle w:val="Title"/>
        <w:spacing w:after="120" w:line="240" w:lineRule="auto"/>
        <w:rPr>
          <w:rFonts w:ascii="Bookman Old Style" w:hAnsi="Bookman Old Style"/>
          <w:b w:val="0"/>
          <w:sz w:val="22"/>
          <w:szCs w:val="22"/>
        </w:rPr>
      </w:pPr>
      <w:r w:rsidRPr="007C3531">
        <w:rPr>
          <w:rFonts w:ascii="Bookman Old Style" w:hAnsi="Bookman Old Style"/>
          <w:b w:val="0"/>
          <w:sz w:val="22"/>
          <w:szCs w:val="22"/>
        </w:rPr>
        <w:t>RANCANGAN</w:t>
      </w:r>
      <w:r w:rsidR="00E70162" w:rsidRPr="007C3531">
        <w:rPr>
          <w:rFonts w:ascii="Bookman Old Style" w:hAnsi="Bookman Old Style"/>
          <w:b w:val="0"/>
          <w:sz w:val="22"/>
          <w:szCs w:val="22"/>
        </w:rPr>
        <w:t xml:space="preserve"> </w:t>
      </w:r>
      <w:r w:rsidRPr="007C3531">
        <w:rPr>
          <w:rFonts w:ascii="Bookman Old Style" w:hAnsi="Bookman Old Style"/>
          <w:b w:val="0"/>
          <w:sz w:val="22"/>
          <w:szCs w:val="22"/>
        </w:rPr>
        <w:t>PERATURAN OTORITAS JASA KEUANGAN</w:t>
      </w:r>
    </w:p>
    <w:p w14:paraId="67155128" w14:textId="4F9FFA5C" w:rsidR="00652A15" w:rsidRPr="007C3531" w:rsidRDefault="00652A15" w:rsidP="00652A15">
      <w:pPr>
        <w:pStyle w:val="Subtitle"/>
        <w:tabs>
          <w:tab w:val="center" w:pos="4845"/>
          <w:tab w:val="right" w:pos="9690"/>
        </w:tabs>
        <w:spacing w:line="240" w:lineRule="auto"/>
        <w:rPr>
          <w:rFonts w:ascii="Bookman Old Style" w:hAnsi="Bookman Old Style"/>
          <w:b w:val="0"/>
          <w:sz w:val="22"/>
          <w:szCs w:val="22"/>
        </w:rPr>
      </w:pPr>
      <w:r w:rsidRPr="007C3531">
        <w:rPr>
          <w:rFonts w:ascii="Bookman Old Style" w:hAnsi="Bookman Old Style"/>
          <w:b w:val="0"/>
          <w:sz w:val="22"/>
          <w:szCs w:val="22"/>
        </w:rPr>
        <w:t>NOMOR       /POJK.07/202</w:t>
      </w:r>
      <w:r w:rsidR="00D2005C" w:rsidRPr="007C3531">
        <w:rPr>
          <w:rFonts w:ascii="Bookman Old Style" w:hAnsi="Bookman Old Style"/>
          <w:b w:val="0"/>
          <w:sz w:val="22"/>
          <w:szCs w:val="22"/>
        </w:rPr>
        <w:t>2</w:t>
      </w:r>
    </w:p>
    <w:p w14:paraId="37D74A9E" w14:textId="77777777" w:rsidR="00652A15" w:rsidRPr="007C3531" w:rsidRDefault="00652A15" w:rsidP="00652A15">
      <w:pPr>
        <w:pStyle w:val="Subtitle"/>
        <w:tabs>
          <w:tab w:val="center" w:pos="4845"/>
          <w:tab w:val="right" w:pos="9690"/>
        </w:tabs>
        <w:spacing w:line="240" w:lineRule="auto"/>
        <w:rPr>
          <w:rFonts w:ascii="Bookman Old Style" w:hAnsi="Bookman Old Style"/>
          <w:b w:val="0"/>
          <w:sz w:val="22"/>
          <w:szCs w:val="22"/>
        </w:rPr>
      </w:pPr>
      <w:r w:rsidRPr="007C3531">
        <w:rPr>
          <w:rFonts w:ascii="Bookman Old Style" w:hAnsi="Bookman Old Style"/>
          <w:b w:val="0"/>
          <w:sz w:val="22"/>
          <w:szCs w:val="22"/>
        </w:rPr>
        <w:t>TENTANG</w:t>
      </w:r>
    </w:p>
    <w:p w14:paraId="3E48550B" w14:textId="77777777" w:rsidR="00D2005C" w:rsidRPr="007C3531" w:rsidRDefault="00D2005C" w:rsidP="00652A15">
      <w:pPr>
        <w:pStyle w:val="Subtitle"/>
        <w:tabs>
          <w:tab w:val="center" w:pos="4845"/>
          <w:tab w:val="right" w:pos="9690"/>
        </w:tabs>
        <w:spacing w:line="240" w:lineRule="auto"/>
        <w:rPr>
          <w:rFonts w:ascii="Bookman Old Style" w:hAnsi="Bookman Old Style"/>
          <w:b w:val="0"/>
          <w:sz w:val="22"/>
          <w:szCs w:val="22"/>
        </w:rPr>
      </w:pPr>
      <w:r w:rsidRPr="007C3531">
        <w:rPr>
          <w:rFonts w:ascii="Bookman Old Style" w:hAnsi="Bookman Old Style"/>
          <w:b w:val="0"/>
          <w:sz w:val="22"/>
          <w:szCs w:val="22"/>
        </w:rPr>
        <w:t xml:space="preserve">PENINGKATAN LITERASI KEUANGAN DAN INKLUSI KEUANGAN </w:t>
      </w:r>
    </w:p>
    <w:p w14:paraId="59565621" w14:textId="4C5043DD" w:rsidR="00CB56E3" w:rsidRPr="007C3531" w:rsidRDefault="00D2005C" w:rsidP="00652A15">
      <w:pPr>
        <w:pStyle w:val="Subtitle"/>
        <w:tabs>
          <w:tab w:val="center" w:pos="4845"/>
          <w:tab w:val="right" w:pos="9690"/>
        </w:tabs>
        <w:spacing w:line="240" w:lineRule="auto"/>
        <w:rPr>
          <w:rFonts w:ascii="Bookman Old Style" w:hAnsi="Bookman Old Style"/>
          <w:b w:val="0"/>
          <w:sz w:val="22"/>
          <w:szCs w:val="22"/>
        </w:rPr>
      </w:pPr>
      <w:r w:rsidRPr="007C3531">
        <w:rPr>
          <w:rFonts w:ascii="Bookman Old Style" w:hAnsi="Bookman Old Style"/>
          <w:b w:val="0"/>
          <w:sz w:val="22"/>
          <w:szCs w:val="22"/>
        </w:rPr>
        <w:t>DI SEKTOR JASA KEUANGAN BAGI KONSUMEN DAN MASYARAKAT</w:t>
      </w:r>
    </w:p>
    <w:p w14:paraId="60331BCF" w14:textId="77777777" w:rsidR="00652A15" w:rsidRPr="007C3531" w:rsidRDefault="00652A15" w:rsidP="00652A15">
      <w:pPr>
        <w:pStyle w:val="Subtitle"/>
        <w:tabs>
          <w:tab w:val="center" w:pos="4845"/>
          <w:tab w:val="right" w:pos="9690"/>
        </w:tabs>
        <w:spacing w:line="240" w:lineRule="auto"/>
        <w:rPr>
          <w:rFonts w:ascii="Bookman Old Style" w:hAnsi="Bookman Old Style"/>
          <w:b w:val="0"/>
          <w:sz w:val="22"/>
          <w:szCs w:val="22"/>
        </w:rPr>
      </w:pPr>
    </w:p>
    <w:p w14:paraId="23BEBCA7" w14:textId="77777777" w:rsidR="00CB56E3" w:rsidRPr="007C3531" w:rsidRDefault="00CB56E3" w:rsidP="007E4C46">
      <w:pPr>
        <w:spacing w:after="120" w:line="240" w:lineRule="auto"/>
        <w:jc w:val="center"/>
        <w:rPr>
          <w:rFonts w:ascii="Bookman Old Style" w:hAnsi="Bookman Old Style"/>
        </w:rPr>
      </w:pPr>
      <w:r w:rsidRPr="007C3531">
        <w:rPr>
          <w:rFonts w:ascii="Bookman Old Style" w:hAnsi="Bookman Old Style"/>
        </w:rPr>
        <w:t>DENGAN RAHMAT TUHAN YANG MAHA ESA</w:t>
      </w:r>
    </w:p>
    <w:p w14:paraId="67580E16" w14:textId="77777777" w:rsidR="00CB56E3" w:rsidRPr="007C3531" w:rsidRDefault="00CB56E3" w:rsidP="007E4C46">
      <w:pPr>
        <w:spacing w:after="120" w:line="240" w:lineRule="auto"/>
        <w:jc w:val="center"/>
        <w:rPr>
          <w:rFonts w:ascii="Bookman Old Style" w:hAnsi="Bookman Old Style"/>
        </w:rPr>
      </w:pPr>
      <w:r w:rsidRPr="007C3531">
        <w:rPr>
          <w:rFonts w:ascii="Bookman Old Style" w:hAnsi="Bookman Old Style"/>
        </w:rPr>
        <w:t>DEWAN KOMISIONER OTORITAS JASA KEUANGAN,</w:t>
      </w:r>
    </w:p>
    <w:tbl>
      <w:tblPr>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412"/>
        <w:gridCol w:w="14433"/>
      </w:tblGrid>
      <w:tr w:rsidR="00CB56E3" w:rsidRPr="007C3531" w14:paraId="48C7162A" w14:textId="77777777" w:rsidTr="00476504">
        <w:trPr>
          <w:trHeight w:val="622"/>
        </w:trPr>
        <w:tc>
          <w:tcPr>
            <w:tcW w:w="1706" w:type="dxa"/>
          </w:tcPr>
          <w:p w14:paraId="38213D68" w14:textId="77777777" w:rsidR="00CB56E3" w:rsidRPr="007C3531" w:rsidRDefault="00CB56E3" w:rsidP="007E4C46">
            <w:pPr>
              <w:spacing w:after="120" w:line="240" w:lineRule="auto"/>
              <w:jc w:val="both"/>
              <w:rPr>
                <w:rFonts w:ascii="Bookman Old Style" w:hAnsi="Bookman Old Style"/>
              </w:rPr>
            </w:pPr>
            <w:bookmarkStart w:id="0" w:name="_Hlk488733160"/>
            <w:r w:rsidRPr="007C3531">
              <w:rPr>
                <w:rFonts w:ascii="Bookman Old Style" w:hAnsi="Bookman Old Style"/>
              </w:rPr>
              <w:t>Menimbang</w:t>
            </w:r>
          </w:p>
        </w:tc>
        <w:tc>
          <w:tcPr>
            <w:tcW w:w="412" w:type="dxa"/>
          </w:tcPr>
          <w:p w14:paraId="6E3D8955" w14:textId="77777777" w:rsidR="00CB56E3" w:rsidRPr="007C3531" w:rsidRDefault="00CB56E3" w:rsidP="007E4C46">
            <w:pPr>
              <w:spacing w:after="120" w:line="240" w:lineRule="auto"/>
              <w:jc w:val="both"/>
              <w:rPr>
                <w:rFonts w:ascii="Bookman Old Style" w:hAnsi="Bookman Old Style"/>
              </w:rPr>
            </w:pPr>
            <w:r w:rsidRPr="007C3531">
              <w:rPr>
                <w:rFonts w:ascii="Bookman Old Style" w:hAnsi="Bookman Old Style"/>
              </w:rPr>
              <w:t>:</w:t>
            </w:r>
          </w:p>
        </w:tc>
        <w:tc>
          <w:tcPr>
            <w:tcW w:w="14433" w:type="dxa"/>
          </w:tcPr>
          <w:p w14:paraId="49CA77D1" w14:textId="4613ACF0" w:rsidR="00652A15" w:rsidRPr="007C3531" w:rsidRDefault="00D2005C" w:rsidP="00CC623D">
            <w:pPr>
              <w:pStyle w:val="ListParagraph"/>
              <w:numPr>
                <w:ilvl w:val="0"/>
                <w:numId w:val="1"/>
              </w:numPr>
              <w:tabs>
                <w:tab w:val="left" w:pos="1701"/>
                <w:tab w:val="left" w:pos="1985"/>
                <w:tab w:val="left" w:pos="2552"/>
              </w:tabs>
              <w:spacing w:line="360" w:lineRule="auto"/>
              <w:jc w:val="both"/>
              <w:rPr>
                <w:rFonts w:ascii="Bookman Old Style" w:eastAsia="Bookman Old Style" w:hAnsi="Bookman Old Style" w:cs="Bookman Old Style"/>
                <w:lang w:val="id-ID"/>
              </w:rPr>
            </w:pPr>
            <w:r w:rsidRPr="007C3531">
              <w:rPr>
                <w:rFonts w:ascii="Bookman Old Style" w:eastAsia="Bookman Old Style" w:hAnsi="Bookman Old Style" w:cs="Bookman Old Style"/>
                <w:lang w:val="id-ID"/>
              </w:rPr>
              <w:t xml:space="preserve">bahwa saat ini </w:t>
            </w:r>
            <w:r w:rsidR="006C769C" w:rsidRPr="007C3531">
              <w:rPr>
                <w:rFonts w:ascii="Bookman Old Style" w:eastAsia="Bookman Old Style" w:hAnsi="Bookman Old Style" w:cs="Bookman Old Style"/>
                <w:lang w:val="id-ID"/>
              </w:rPr>
              <w:t xml:space="preserve">literasi keuangan dan inklusi keuangan </w:t>
            </w:r>
            <w:r w:rsidRPr="007C3531">
              <w:rPr>
                <w:rFonts w:ascii="Bookman Old Style" w:eastAsia="Bookman Old Style" w:hAnsi="Bookman Old Style" w:cs="Bookman Old Style"/>
                <w:lang w:val="id-ID"/>
              </w:rPr>
              <w:t>masyarakat masih perlu ditingkatkan;</w:t>
            </w:r>
            <w:r w:rsidR="00652A15" w:rsidRPr="007C3531">
              <w:rPr>
                <w:rFonts w:ascii="Bookman Old Style" w:eastAsia="Bookman Old Style" w:hAnsi="Bookman Old Style" w:cs="Bookman Old Style"/>
                <w:b/>
                <w:bCs/>
                <w:strike/>
                <w:lang w:val="id-ID"/>
              </w:rPr>
              <w:t xml:space="preserve"> </w:t>
            </w:r>
          </w:p>
          <w:p w14:paraId="7763632A" w14:textId="255522EF" w:rsidR="00652A15" w:rsidRPr="007C3531" w:rsidRDefault="00D2005C" w:rsidP="00CC623D">
            <w:pPr>
              <w:pStyle w:val="ListParagraph"/>
              <w:numPr>
                <w:ilvl w:val="0"/>
                <w:numId w:val="1"/>
              </w:numPr>
              <w:tabs>
                <w:tab w:val="left" w:pos="1701"/>
                <w:tab w:val="left" w:pos="1985"/>
                <w:tab w:val="left" w:pos="2552"/>
              </w:tabs>
              <w:spacing w:line="360" w:lineRule="auto"/>
              <w:jc w:val="both"/>
              <w:rPr>
                <w:rFonts w:ascii="Bookman Old Style" w:eastAsia="Bookman Old Style" w:hAnsi="Bookman Old Style" w:cs="Bookman Old Style"/>
                <w:lang w:val="id-ID"/>
              </w:rPr>
            </w:pPr>
            <w:r w:rsidRPr="007C3531">
              <w:rPr>
                <w:rFonts w:ascii="Bookman Old Style" w:eastAsia="Bookman Old Style" w:hAnsi="Bookman Old Style" w:cs="Bookman Old Style"/>
                <w:lang w:val="id-ID"/>
              </w:rPr>
              <w:t xml:space="preserve">bahwa untuk mendukung kebijakan pemerintah dan otoritas dalam peningkatan </w:t>
            </w:r>
            <w:r w:rsidR="006C769C" w:rsidRPr="007C3531">
              <w:rPr>
                <w:rFonts w:ascii="Bookman Old Style" w:eastAsia="Bookman Old Style" w:hAnsi="Bookman Old Style" w:cs="Bookman Old Style"/>
                <w:lang w:val="id-ID"/>
              </w:rPr>
              <w:t xml:space="preserve">literasi keuangan dan inklusi keuangan </w:t>
            </w:r>
            <w:r w:rsidRPr="007C3531">
              <w:rPr>
                <w:rFonts w:ascii="Bookman Old Style" w:eastAsia="Bookman Old Style" w:hAnsi="Bookman Old Style" w:cs="Bookman Old Style"/>
                <w:lang w:val="id-ID"/>
              </w:rPr>
              <w:t>masyarakat perlu dilakukan penguatan pengaturan;</w:t>
            </w:r>
          </w:p>
          <w:p w14:paraId="558DFD6E" w14:textId="4C539101" w:rsidR="00CB56E3" w:rsidRPr="007C3531" w:rsidRDefault="00D2005C" w:rsidP="00CC623D">
            <w:pPr>
              <w:pStyle w:val="ListParagraph"/>
              <w:numPr>
                <w:ilvl w:val="0"/>
                <w:numId w:val="1"/>
              </w:numPr>
              <w:tabs>
                <w:tab w:val="left" w:pos="1701"/>
                <w:tab w:val="left" w:pos="1985"/>
                <w:tab w:val="left" w:pos="2552"/>
              </w:tabs>
              <w:spacing w:line="360" w:lineRule="auto"/>
              <w:jc w:val="both"/>
              <w:rPr>
                <w:rFonts w:ascii="Bookman Old Style" w:eastAsia="Bookman Old Style" w:hAnsi="Bookman Old Style" w:cs="Bookman Old Style"/>
                <w:lang w:val="id-ID"/>
              </w:rPr>
            </w:pPr>
            <w:r w:rsidRPr="007C3531">
              <w:rPr>
                <w:rFonts w:ascii="Bookman Old Style" w:eastAsia="Bookman Old Style" w:hAnsi="Bookman Old Style" w:cs="Bookman Old Style"/>
                <w:lang w:val="id-ID"/>
              </w:rPr>
              <w:t xml:space="preserve">bahwa untuk mempercepat peningkatan </w:t>
            </w:r>
            <w:r w:rsidR="006C769C" w:rsidRPr="007C3531">
              <w:rPr>
                <w:rFonts w:ascii="Bookman Old Style" w:eastAsia="Bookman Old Style" w:hAnsi="Bookman Old Style" w:cs="Bookman Old Style"/>
                <w:lang w:val="id-ID"/>
              </w:rPr>
              <w:t xml:space="preserve">literasi keuangan dan inklusi keuangan </w:t>
            </w:r>
            <w:r w:rsidRPr="007C3531">
              <w:rPr>
                <w:rFonts w:ascii="Bookman Old Style" w:eastAsia="Bookman Old Style" w:hAnsi="Bookman Old Style" w:cs="Bookman Old Style"/>
                <w:lang w:val="id-ID"/>
              </w:rPr>
              <w:t xml:space="preserve">perlu dilakukan peningkatan kuantitas kegiatan </w:t>
            </w:r>
            <w:r w:rsidR="006C769C" w:rsidRPr="007C3531">
              <w:rPr>
                <w:rFonts w:ascii="Bookman Old Style" w:eastAsia="Bookman Old Style" w:hAnsi="Bookman Old Style" w:cs="Bookman Old Style"/>
                <w:lang w:val="id-ID"/>
              </w:rPr>
              <w:t xml:space="preserve">literasi keuangan dan inklusi keuangan </w:t>
            </w:r>
            <w:r w:rsidRPr="007C3531">
              <w:rPr>
                <w:rFonts w:ascii="Bookman Old Style" w:eastAsia="Bookman Old Style" w:hAnsi="Bookman Old Style" w:cs="Bookman Old Style"/>
                <w:lang w:val="id-ID"/>
              </w:rPr>
              <w:t>serta pemanfaatan perkembangan teknologi informasi</w:t>
            </w:r>
            <w:r w:rsidR="00652A15" w:rsidRPr="007C3531">
              <w:rPr>
                <w:rFonts w:ascii="Bookman Old Style" w:eastAsia="Bookman Old Style" w:hAnsi="Bookman Old Style" w:cs="Bookman Old Style"/>
                <w:lang w:val="id-ID"/>
              </w:rPr>
              <w:t>;</w:t>
            </w:r>
          </w:p>
          <w:p w14:paraId="1548DCA4" w14:textId="4EAEC00D" w:rsidR="00D2005C" w:rsidRPr="007C3531" w:rsidRDefault="00D2005C" w:rsidP="00CC623D">
            <w:pPr>
              <w:pStyle w:val="ListParagraph"/>
              <w:numPr>
                <w:ilvl w:val="0"/>
                <w:numId w:val="1"/>
              </w:numPr>
              <w:tabs>
                <w:tab w:val="left" w:pos="1701"/>
                <w:tab w:val="left" w:pos="1985"/>
                <w:tab w:val="left" w:pos="2552"/>
              </w:tabs>
              <w:spacing w:line="360" w:lineRule="auto"/>
              <w:jc w:val="both"/>
              <w:rPr>
                <w:rFonts w:ascii="Bookman Old Style" w:eastAsia="Bookman Old Style" w:hAnsi="Bookman Old Style" w:cs="Bookman Old Style"/>
                <w:lang w:val="id-ID"/>
              </w:rPr>
            </w:pPr>
            <w:r w:rsidRPr="007C3531">
              <w:rPr>
                <w:rFonts w:ascii="Bookman Old Style" w:eastAsia="Bookman Old Style" w:hAnsi="Bookman Old Style" w:cs="Bookman Old Style"/>
                <w:lang w:val="id-ID"/>
              </w:rPr>
              <w:t xml:space="preserve">bahwa untuk </w:t>
            </w:r>
            <w:proofErr w:type="spellStart"/>
            <w:r w:rsidR="005439E1" w:rsidRPr="00E80C10">
              <w:rPr>
                <w:rFonts w:ascii="Bookman Old Style" w:eastAsia="Bookman Old Style" w:hAnsi="Bookman Old Style" w:cs="Bookman Old Style"/>
              </w:rPr>
              <w:t>meningkatkan</w:t>
            </w:r>
            <w:proofErr w:type="spellEnd"/>
            <w:r w:rsidR="005439E1">
              <w:rPr>
                <w:rFonts w:ascii="Bookman Old Style" w:eastAsia="Bookman Old Style" w:hAnsi="Bookman Old Style" w:cs="Bookman Old Style"/>
              </w:rPr>
              <w:t xml:space="preserve"> </w:t>
            </w:r>
            <w:r w:rsidR="006C769C" w:rsidRPr="007C3531">
              <w:rPr>
                <w:rFonts w:ascii="Bookman Old Style" w:eastAsia="Bookman Old Style" w:hAnsi="Bookman Old Style" w:cs="Bookman Old Style"/>
                <w:lang w:val="id-ID"/>
              </w:rPr>
              <w:t>literasi keuangan dan inklusi keuangan</w:t>
            </w:r>
            <w:r w:rsidRPr="007C3531">
              <w:rPr>
                <w:rFonts w:ascii="Bookman Old Style" w:eastAsia="Bookman Old Style" w:hAnsi="Bookman Old Style" w:cs="Bookman Old Style"/>
                <w:lang w:val="id-ID"/>
              </w:rPr>
              <w:t>, Peraturan Otoritas Jasa Keuangan Nomor 76/POJK.07/2016 tentang Peningkatan Literasi dan Inklusi Keuangan di Sektor Jasa Keuangan Bagi Konsumen dan/atau Masyarakat memerlukan penguatan dan penyempurnaan sehingga perlu diganti;</w:t>
            </w:r>
          </w:p>
          <w:p w14:paraId="3AE04515" w14:textId="75CDE4C5" w:rsidR="00D2005C" w:rsidRPr="007C3531" w:rsidRDefault="00D2005C" w:rsidP="00CC623D">
            <w:pPr>
              <w:pStyle w:val="ListParagraph"/>
              <w:numPr>
                <w:ilvl w:val="0"/>
                <w:numId w:val="1"/>
              </w:numPr>
              <w:tabs>
                <w:tab w:val="left" w:pos="1701"/>
                <w:tab w:val="left" w:pos="1985"/>
                <w:tab w:val="left" w:pos="2552"/>
              </w:tabs>
              <w:spacing w:line="360" w:lineRule="auto"/>
              <w:jc w:val="both"/>
              <w:rPr>
                <w:rFonts w:ascii="Bookman Old Style" w:eastAsia="Bookman Old Style" w:hAnsi="Bookman Old Style" w:cs="Bookman Old Style"/>
                <w:lang w:val="id-ID"/>
              </w:rPr>
            </w:pPr>
            <w:r w:rsidRPr="007C3531">
              <w:rPr>
                <w:rFonts w:ascii="Bookman Old Style" w:eastAsia="Bookman Old Style" w:hAnsi="Bookman Old Style" w:cs="Bookman Old Style"/>
                <w:lang w:val="id-ID"/>
              </w:rPr>
              <w:lastRenderedPageBreak/>
              <w:t>bahwa berdasarkan pertimbangan sebagaimana dimaksud dalam huruf a, huruf b, huruf c, dan huruf d perlu menetapkan Peraturan Otoritas Jasa Keuangan tentang Peningkatan Literasi Keuangan dan Inklusi Keuangan di Sektor Jasa Keuangan bagi Konsumen dan Masyarakat;</w:t>
            </w:r>
          </w:p>
        </w:tc>
      </w:tr>
      <w:tr w:rsidR="00CB56E3" w:rsidRPr="007C3531" w14:paraId="2538F8B6" w14:textId="77777777" w:rsidTr="00476504">
        <w:trPr>
          <w:trHeight w:val="971"/>
        </w:trPr>
        <w:tc>
          <w:tcPr>
            <w:tcW w:w="1706" w:type="dxa"/>
          </w:tcPr>
          <w:p w14:paraId="18AA1371" w14:textId="77777777" w:rsidR="00CB56E3" w:rsidRPr="007C3531" w:rsidRDefault="00CB56E3" w:rsidP="007E4C46">
            <w:pPr>
              <w:spacing w:after="120" w:line="240" w:lineRule="auto"/>
              <w:jc w:val="both"/>
              <w:rPr>
                <w:rFonts w:ascii="Bookman Old Style" w:hAnsi="Bookman Old Style"/>
              </w:rPr>
            </w:pPr>
            <w:r w:rsidRPr="007C3531">
              <w:rPr>
                <w:rFonts w:ascii="Bookman Old Style" w:hAnsi="Bookman Old Style"/>
              </w:rPr>
              <w:lastRenderedPageBreak/>
              <w:t>Mengingat</w:t>
            </w:r>
          </w:p>
        </w:tc>
        <w:tc>
          <w:tcPr>
            <w:tcW w:w="412" w:type="dxa"/>
          </w:tcPr>
          <w:p w14:paraId="4FB882C8" w14:textId="77777777" w:rsidR="00CB56E3" w:rsidRPr="007C3531" w:rsidRDefault="00CB56E3" w:rsidP="007E4C46">
            <w:pPr>
              <w:spacing w:after="120" w:line="240" w:lineRule="auto"/>
              <w:jc w:val="both"/>
              <w:rPr>
                <w:rFonts w:ascii="Bookman Old Style" w:hAnsi="Bookman Old Style"/>
              </w:rPr>
            </w:pPr>
            <w:r w:rsidRPr="007C3531">
              <w:rPr>
                <w:rFonts w:ascii="Bookman Old Style" w:hAnsi="Bookman Old Style"/>
              </w:rPr>
              <w:t>:</w:t>
            </w:r>
          </w:p>
        </w:tc>
        <w:tc>
          <w:tcPr>
            <w:tcW w:w="14433" w:type="dxa"/>
          </w:tcPr>
          <w:p w14:paraId="747E1D5A" w14:textId="0202507B" w:rsidR="00CB56E3" w:rsidRPr="007C3531" w:rsidRDefault="00D2005C" w:rsidP="00D2005C">
            <w:pPr>
              <w:spacing w:line="360" w:lineRule="auto"/>
              <w:rPr>
                <w:rFonts w:ascii="Calibri" w:eastAsia="Calibri" w:hAnsi="Calibri"/>
              </w:rPr>
            </w:pPr>
            <w:r w:rsidRPr="007C3531">
              <w:rPr>
                <w:rFonts w:ascii="Bookman Old Style" w:eastAsia="Times New Roman" w:hAnsi="Bookman Old Style"/>
              </w:rPr>
              <w:t>Undang-Undang Nomor 21 Tahun 2011 tentang Otoritas Jasa Keuangan (Lembaran Negara Republik Indonesia Tahun 2011 Nomor 111, Tambahan Lembaran Negara Republik Indonesia Nomor 5253);</w:t>
            </w:r>
          </w:p>
        </w:tc>
      </w:tr>
      <w:bookmarkEnd w:id="0"/>
    </w:tbl>
    <w:p w14:paraId="15AA3111" w14:textId="77777777" w:rsidR="00CB56E3" w:rsidRPr="007C3531" w:rsidRDefault="00CB56E3" w:rsidP="007E4C46">
      <w:pPr>
        <w:pStyle w:val="BodyText"/>
        <w:tabs>
          <w:tab w:val="left" w:pos="1800"/>
          <w:tab w:val="left" w:pos="2175"/>
        </w:tabs>
        <w:spacing w:after="120" w:line="240" w:lineRule="auto"/>
        <w:rPr>
          <w:rFonts w:ascii="Bookman Old Style" w:hAnsi="Bookman Old Style"/>
          <w:sz w:val="22"/>
          <w:szCs w:val="22"/>
        </w:rPr>
      </w:pPr>
    </w:p>
    <w:p w14:paraId="3D290F93" w14:textId="77777777" w:rsidR="00CB56E3" w:rsidRPr="007C3531" w:rsidRDefault="00CB56E3" w:rsidP="007E4C46">
      <w:pPr>
        <w:pStyle w:val="BodyText"/>
        <w:tabs>
          <w:tab w:val="left" w:pos="1800"/>
          <w:tab w:val="left" w:pos="2175"/>
        </w:tabs>
        <w:spacing w:after="120" w:line="240" w:lineRule="auto"/>
        <w:ind w:left="2177" w:hanging="2177"/>
        <w:jc w:val="center"/>
        <w:rPr>
          <w:rFonts w:ascii="Bookman Old Style" w:hAnsi="Bookman Old Style"/>
          <w:sz w:val="22"/>
          <w:szCs w:val="22"/>
        </w:rPr>
      </w:pPr>
      <w:r w:rsidRPr="007C3531">
        <w:rPr>
          <w:rFonts w:ascii="Bookman Old Style" w:hAnsi="Bookman Old Style"/>
          <w:sz w:val="22"/>
          <w:szCs w:val="22"/>
        </w:rPr>
        <w:t>MEMUTUSKAN :</w:t>
      </w:r>
    </w:p>
    <w:p w14:paraId="6B474F4B" w14:textId="0BD1285C" w:rsidR="00CB56E3" w:rsidRPr="007C3531" w:rsidRDefault="00CB56E3" w:rsidP="007E4C46">
      <w:pPr>
        <w:pStyle w:val="BodyText"/>
        <w:tabs>
          <w:tab w:val="left" w:pos="1800"/>
        </w:tabs>
        <w:spacing w:after="120" w:line="240" w:lineRule="auto"/>
        <w:ind w:left="2160" w:hanging="2160"/>
        <w:rPr>
          <w:rFonts w:ascii="Bookman Old Style" w:hAnsi="Bookman Old Style"/>
          <w:color w:val="000000" w:themeColor="text1"/>
          <w:sz w:val="22"/>
          <w:szCs w:val="22"/>
        </w:rPr>
      </w:pPr>
      <w:r w:rsidRPr="007C3531">
        <w:rPr>
          <w:rFonts w:ascii="Bookman Old Style" w:hAnsi="Bookman Old Style"/>
          <w:sz w:val="22"/>
          <w:szCs w:val="22"/>
        </w:rPr>
        <w:t>Menetapkan</w:t>
      </w:r>
      <w:r w:rsidRPr="007C3531">
        <w:rPr>
          <w:rFonts w:ascii="Bookman Old Style" w:hAnsi="Bookman Old Style"/>
          <w:sz w:val="22"/>
          <w:szCs w:val="22"/>
        </w:rPr>
        <w:tab/>
        <w:t>:</w:t>
      </w:r>
      <w:r w:rsidRPr="007C3531">
        <w:rPr>
          <w:rFonts w:ascii="Bookman Old Style" w:hAnsi="Bookman Old Style"/>
          <w:sz w:val="22"/>
          <w:szCs w:val="22"/>
        </w:rPr>
        <w:tab/>
      </w:r>
      <w:r w:rsidR="006C6AB8" w:rsidRPr="007C3531">
        <w:rPr>
          <w:rFonts w:ascii="Bookman Old Style" w:eastAsia="Bookman Old Style" w:hAnsi="Bookman Old Style" w:cs="Bookman Old Style"/>
        </w:rPr>
        <w:t>PERATURAN OTORITAS JASA KEUANGAN TENTANG PENINGKATAN LITERASI KEUANGAN DAN INKLUSI KEUANGAN DI SEKTOR JASA KEUANGAN BAGI KONSUMEN DAN MASYARAKAT</w:t>
      </w:r>
      <w:r w:rsidR="00973342" w:rsidRPr="007C3531">
        <w:rPr>
          <w:rFonts w:ascii="Bookman Old Style" w:eastAsia="Bookman Old Style" w:hAnsi="Bookman Old Style" w:cs="Bookman Old Style"/>
        </w:rPr>
        <w:t>.</w:t>
      </w:r>
    </w:p>
    <w:p w14:paraId="29B9E8BC" w14:textId="77777777" w:rsidR="00CB56E3" w:rsidRPr="007C3531" w:rsidRDefault="00CB56E3" w:rsidP="00CF674D">
      <w:pPr>
        <w:pStyle w:val="BodyText"/>
        <w:tabs>
          <w:tab w:val="left" w:pos="1800"/>
        </w:tabs>
        <w:spacing w:after="120" w:line="240" w:lineRule="auto"/>
        <w:rPr>
          <w:rFonts w:ascii="Bookman Old Style" w:hAnsi="Bookman Old Style"/>
          <w:sz w:val="22"/>
          <w:szCs w:val="22"/>
        </w:rPr>
      </w:pPr>
    </w:p>
    <w:tbl>
      <w:tblPr>
        <w:tblStyle w:val="TableGrid"/>
        <w:tblW w:w="15751" w:type="dxa"/>
        <w:tblInd w:w="-5" w:type="dxa"/>
        <w:tblLook w:val="04A0" w:firstRow="1" w:lastRow="0" w:firstColumn="1" w:lastColumn="0" w:noHBand="0" w:noVBand="1"/>
      </w:tblPr>
      <w:tblGrid>
        <w:gridCol w:w="3828"/>
        <w:gridCol w:w="4394"/>
        <w:gridCol w:w="3827"/>
        <w:gridCol w:w="3702"/>
      </w:tblGrid>
      <w:tr w:rsidR="003922B4" w:rsidRPr="007C3531" w14:paraId="66093A93" w14:textId="037A6D8F" w:rsidTr="00217FB7">
        <w:trPr>
          <w:trHeight w:val="283"/>
          <w:tblHeader/>
        </w:trPr>
        <w:tc>
          <w:tcPr>
            <w:tcW w:w="3828" w:type="dxa"/>
            <w:shd w:val="clear" w:color="auto" w:fill="D0CECE" w:themeFill="background2" w:themeFillShade="E6"/>
            <w:vAlign w:val="center"/>
          </w:tcPr>
          <w:p w14:paraId="5C222AC5" w14:textId="77777777" w:rsidR="003922B4" w:rsidRPr="007C3531" w:rsidRDefault="003922B4" w:rsidP="008B5350">
            <w:pPr>
              <w:pStyle w:val="BodyText"/>
              <w:tabs>
                <w:tab w:val="left" w:pos="1800"/>
              </w:tabs>
              <w:spacing w:line="240" w:lineRule="auto"/>
              <w:jc w:val="center"/>
              <w:rPr>
                <w:rFonts w:ascii="Bookman Old Style" w:hAnsi="Bookman Old Style"/>
                <w:b/>
                <w:bCs/>
                <w:sz w:val="18"/>
                <w:szCs w:val="18"/>
                <w:lang w:val="id-ID"/>
              </w:rPr>
            </w:pPr>
            <w:r w:rsidRPr="007C3531">
              <w:rPr>
                <w:rFonts w:ascii="Bookman Old Style" w:hAnsi="Bookman Old Style"/>
                <w:b/>
                <w:bCs/>
                <w:sz w:val="18"/>
                <w:szCs w:val="18"/>
                <w:lang w:val="id-ID"/>
              </w:rPr>
              <w:t>Batang Tubuh</w:t>
            </w:r>
          </w:p>
        </w:tc>
        <w:tc>
          <w:tcPr>
            <w:tcW w:w="4394" w:type="dxa"/>
            <w:shd w:val="clear" w:color="auto" w:fill="D0CECE" w:themeFill="background2" w:themeFillShade="E6"/>
            <w:vAlign w:val="center"/>
          </w:tcPr>
          <w:p w14:paraId="25CFA36E" w14:textId="77777777" w:rsidR="003922B4" w:rsidRPr="007C3531" w:rsidRDefault="003922B4" w:rsidP="008B5350">
            <w:pPr>
              <w:pStyle w:val="BodyText"/>
              <w:tabs>
                <w:tab w:val="left" w:pos="1800"/>
              </w:tabs>
              <w:spacing w:line="240" w:lineRule="auto"/>
              <w:jc w:val="center"/>
              <w:rPr>
                <w:rFonts w:ascii="Bookman Old Style" w:hAnsi="Bookman Old Style"/>
                <w:b/>
                <w:bCs/>
                <w:sz w:val="18"/>
                <w:szCs w:val="18"/>
                <w:lang w:val="id-ID"/>
              </w:rPr>
            </w:pPr>
            <w:r w:rsidRPr="007C3531">
              <w:rPr>
                <w:rFonts w:ascii="Bookman Old Style" w:hAnsi="Bookman Old Style"/>
                <w:b/>
                <w:bCs/>
                <w:sz w:val="18"/>
                <w:szCs w:val="18"/>
                <w:lang w:val="id-ID"/>
              </w:rPr>
              <w:t>Penjelasan</w:t>
            </w:r>
          </w:p>
        </w:tc>
        <w:tc>
          <w:tcPr>
            <w:tcW w:w="3827" w:type="dxa"/>
            <w:shd w:val="clear" w:color="auto" w:fill="D0CECE" w:themeFill="background2" w:themeFillShade="E6"/>
          </w:tcPr>
          <w:p w14:paraId="29BD80F7" w14:textId="4858A42F" w:rsidR="003922B4" w:rsidRPr="007C3531" w:rsidRDefault="003922B4" w:rsidP="008B5350">
            <w:pPr>
              <w:pStyle w:val="BodyText"/>
              <w:tabs>
                <w:tab w:val="left" w:pos="1800"/>
              </w:tabs>
              <w:spacing w:line="240" w:lineRule="auto"/>
              <w:jc w:val="center"/>
              <w:rPr>
                <w:rFonts w:ascii="Bookman Old Style" w:hAnsi="Bookman Old Style"/>
                <w:b/>
                <w:bCs/>
                <w:sz w:val="18"/>
                <w:szCs w:val="18"/>
                <w:lang w:val="id-ID"/>
              </w:rPr>
            </w:pPr>
            <w:r w:rsidRPr="007C3531">
              <w:rPr>
                <w:rFonts w:ascii="Bookman Old Style" w:hAnsi="Bookman Old Style"/>
                <w:b/>
                <w:bCs/>
                <w:sz w:val="18"/>
                <w:szCs w:val="18"/>
                <w:lang w:val="id-ID"/>
              </w:rPr>
              <w:t>Tanggapan</w:t>
            </w:r>
          </w:p>
        </w:tc>
        <w:tc>
          <w:tcPr>
            <w:tcW w:w="3702" w:type="dxa"/>
            <w:shd w:val="clear" w:color="auto" w:fill="D0CECE" w:themeFill="background2" w:themeFillShade="E6"/>
          </w:tcPr>
          <w:p w14:paraId="0AC9BDF3" w14:textId="76DB285F" w:rsidR="003922B4" w:rsidRPr="007C3531" w:rsidRDefault="003922B4" w:rsidP="008B5350">
            <w:pPr>
              <w:pStyle w:val="BodyText"/>
              <w:tabs>
                <w:tab w:val="left" w:pos="1800"/>
              </w:tabs>
              <w:spacing w:line="240" w:lineRule="auto"/>
              <w:jc w:val="center"/>
              <w:rPr>
                <w:rFonts w:ascii="Bookman Old Style" w:hAnsi="Bookman Old Style"/>
                <w:b/>
                <w:bCs/>
                <w:sz w:val="18"/>
                <w:szCs w:val="18"/>
                <w:lang w:val="id-ID"/>
              </w:rPr>
            </w:pPr>
            <w:r w:rsidRPr="007C3531">
              <w:rPr>
                <w:rFonts w:ascii="Bookman Old Style" w:hAnsi="Bookman Old Style"/>
                <w:b/>
                <w:bCs/>
                <w:sz w:val="18"/>
                <w:szCs w:val="18"/>
                <w:lang w:val="id-ID"/>
              </w:rPr>
              <w:t>Usulan Perubahan</w:t>
            </w:r>
          </w:p>
        </w:tc>
      </w:tr>
      <w:tr w:rsidR="003922B4" w:rsidRPr="007C3531" w14:paraId="59FC754B" w14:textId="7888D330" w:rsidTr="00217FB7">
        <w:tc>
          <w:tcPr>
            <w:tcW w:w="3828" w:type="dxa"/>
          </w:tcPr>
          <w:p w14:paraId="0B19181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4394" w:type="dxa"/>
          </w:tcPr>
          <w:p w14:paraId="5CBEA391" w14:textId="77777777" w:rsidR="003922B4" w:rsidRPr="007C3531" w:rsidRDefault="003922B4" w:rsidP="00E405C6">
            <w:pPr>
              <w:pStyle w:val="BodyText"/>
              <w:numPr>
                <w:ilvl w:val="0"/>
                <w:numId w:val="2"/>
              </w:numPr>
              <w:tabs>
                <w:tab w:val="left" w:pos="1800"/>
              </w:tabs>
              <w:spacing w:after="120" w:line="276" w:lineRule="auto"/>
              <w:ind w:left="145" w:hanging="153"/>
              <w:rPr>
                <w:rFonts w:ascii="Bookman Old Style" w:hAnsi="Bookman Old Style"/>
                <w:sz w:val="18"/>
                <w:szCs w:val="18"/>
                <w:lang w:val="id-ID"/>
              </w:rPr>
            </w:pPr>
            <w:r w:rsidRPr="007C3531">
              <w:rPr>
                <w:rFonts w:ascii="Bookman Old Style" w:hAnsi="Bookman Old Style"/>
                <w:sz w:val="18"/>
                <w:szCs w:val="18"/>
                <w:lang w:val="id-ID"/>
              </w:rPr>
              <w:t>Umum</w:t>
            </w:r>
          </w:p>
          <w:p w14:paraId="1A1E04DE" w14:textId="77777777" w:rsidR="003922B4" w:rsidRPr="007C3531" w:rsidRDefault="003922B4" w:rsidP="00C46A5A">
            <w:pPr>
              <w:spacing w:line="276" w:lineRule="auto"/>
              <w:ind w:right="-43" w:firstLine="567"/>
              <w:jc w:val="both"/>
              <w:rPr>
                <w:rFonts w:ascii="Bookman Old Style" w:hAnsi="Bookman Old Style" w:cs="Arial"/>
                <w:sz w:val="18"/>
                <w:szCs w:val="18"/>
                <w:lang w:val="id-ID"/>
              </w:rPr>
            </w:pPr>
            <w:r w:rsidRPr="007C3531">
              <w:rPr>
                <w:rFonts w:ascii="Bookman Old Style" w:hAnsi="Bookman Old Style" w:cs="Arial"/>
                <w:sz w:val="18"/>
                <w:szCs w:val="18"/>
                <w:lang w:val="id-ID"/>
              </w:rPr>
              <w:t xml:space="preserve">Pasal 28 huruf a Undang-Undang Nomor 21 Tahun 2011 tentang Otoritas Jasa Keuangan (UU OJK), Otoritas Jasa Keuangan berwenang melakukan tindakan pencegahan kerugian yaitu dengan memberikan informasi dan edukasi kepada masyarakat atas karakteristik sektor jasa keuangan, layanan, dan produknya. </w:t>
            </w:r>
          </w:p>
          <w:p w14:paraId="0CAD7F89" w14:textId="210A8898" w:rsidR="003922B4" w:rsidRPr="002456AC" w:rsidRDefault="003922B4" w:rsidP="00C46A5A">
            <w:pPr>
              <w:spacing w:line="276" w:lineRule="auto"/>
              <w:ind w:right="-43" w:firstLine="567"/>
              <w:jc w:val="both"/>
              <w:rPr>
                <w:rFonts w:ascii="Bookman Old Style" w:hAnsi="Bookman Old Style" w:cs="Arial"/>
                <w:sz w:val="18"/>
                <w:szCs w:val="18"/>
              </w:rPr>
            </w:pPr>
            <w:r w:rsidRPr="007C3531">
              <w:rPr>
                <w:rFonts w:ascii="Bookman Old Style" w:hAnsi="Bookman Old Style" w:cs="Arial"/>
                <w:sz w:val="18"/>
                <w:szCs w:val="18"/>
                <w:lang w:val="id-ID"/>
              </w:rPr>
              <w:t xml:space="preserve">Untuk menindaklanjuti kewenangan dalam UU OJK dimaksud, Otoritas Jasa Keuangan telah melakukan berbagai hal antara lain:  (1) menerbitkan Peraturan Otoritas Jasa Keuangan Nomor 76/POJK.07/2016 tentang Peningkatan Literasi Keuangan dan Inklusi Keuangan di Sektor Jasa Keuangan Bagi Konsumen dan/atau Masyarakat; (2) menerbitkan Strategi Nasional Literasi Keuangan Indonesia 2021-2025; dan (3) </w:t>
            </w:r>
            <w:proofErr w:type="spellStart"/>
            <w:r w:rsidR="005439E1" w:rsidRPr="00E80C10">
              <w:rPr>
                <w:rFonts w:ascii="Bookman Old Style" w:hAnsi="Bookman Old Style" w:cs="Arial"/>
                <w:sz w:val="18"/>
                <w:szCs w:val="18"/>
              </w:rPr>
              <w:t>menyediakan</w:t>
            </w:r>
            <w:proofErr w:type="spellEnd"/>
            <w:r w:rsidRPr="007C3531">
              <w:rPr>
                <w:rFonts w:ascii="Bookman Old Style" w:hAnsi="Bookman Old Style" w:cs="Arial"/>
                <w:sz w:val="18"/>
                <w:szCs w:val="18"/>
                <w:lang w:val="id-ID"/>
              </w:rPr>
              <w:t xml:space="preserve"> sistem manajemen pembelajaran </w:t>
            </w:r>
            <w:proofErr w:type="spellStart"/>
            <w:r w:rsidR="005F1D0E" w:rsidRPr="00E80C10">
              <w:rPr>
                <w:rFonts w:ascii="Bookman Old Style" w:hAnsi="Bookman Old Style" w:cs="Arial"/>
                <w:sz w:val="18"/>
                <w:szCs w:val="18"/>
              </w:rPr>
              <w:lastRenderedPageBreak/>
              <w:t>e</w:t>
            </w:r>
            <w:r w:rsidR="005439E1" w:rsidRPr="00E80C10">
              <w:rPr>
                <w:rFonts w:ascii="Bookman Old Style" w:hAnsi="Bookman Old Style" w:cs="Arial"/>
                <w:sz w:val="18"/>
                <w:szCs w:val="18"/>
              </w:rPr>
              <w:t>dukasi</w:t>
            </w:r>
            <w:proofErr w:type="spellEnd"/>
            <w:r w:rsidR="005439E1" w:rsidRPr="00E80C10">
              <w:rPr>
                <w:rFonts w:ascii="Bookman Old Style" w:hAnsi="Bookman Old Style" w:cs="Arial"/>
                <w:sz w:val="18"/>
                <w:szCs w:val="18"/>
              </w:rPr>
              <w:t xml:space="preserve"> </w:t>
            </w:r>
            <w:proofErr w:type="spellStart"/>
            <w:r w:rsidR="005F1D0E" w:rsidRPr="00E80C10">
              <w:rPr>
                <w:rFonts w:ascii="Bookman Old Style" w:hAnsi="Bookman Old Style" w:cs="Arial"/>
                <w:sz w:val="18"/>
                <w:szCs w:val="18"/>
              </w:rPr>
              <w:t>k</w:t>
            </w:r>
            <w:r w:rsidR="005439E1" w:rsidRPr="00E80C10">
              <w:rPr>
                <w:rFonts w:ascii="Bookman Old Style" w:hAnsi="Bookman Old Style" w:cs="Arial"/>
                <w:sz w:val="18"/>
                <w:szCs w:val="18"/>
              </w:rPr>
              <w:t>euangan</w:t>
            </w:r>
            <w:proofErr w:type="spellEnd"/>
            <w:r w:rsidR="005439E1" w:rsidRPr="00E80C10">
              <w:rPr>
                <w:rFonts w:ascii="Bookman Old Style" w:hAnsi="Bookman Old Style" w:cs="Arial"/>
                <w:sz w:val="18"/>
                <w:szCs w:val="18"/>
              </w:rPr>
              <w:t xml:space="preserve"> </w:t>
            </w:r>
            <w:r w:rsidRPr="00E80C10">
              <w:rPr>
                <w:rFonts w:ascii="Bookman Old Style" w:hAnsi="Bookman Old Style" w:cs="Arial"/>
                <w:sz w:val="18"/>
                <w:szCs w:val="18"/>
                <w:lang w:val="id-ID"/>
              </w:rPr>
              <w:t>(</w:t>
            </w:r>
            <w:r w:rsidRPr="00E80C10">
              <w:rPr>
                <w:rFonts w:ascii="Bookman Old Style" w:hAnsi="Bookman Old Style" w:cs="Arial"/>
                <w:i/>
                <w:iCs/>
                <w:sz w:val="18"/>
                <w:szCs w:val="18"/>
                <w:lang w:val="id-ID"/>
              </w:rPr>
              <w:t>Learning Management System</w:t>
            </w:r>
            <w:r w:rsidRPr="00E80C10">
              <w:rPr>
                <w:rFonts w:ascii="Bookman Old Style" w:hAnsi="Bookman Old Style" w:cs="Arial"/>
                <w:sz w:val="18"/>
                <w:szCs w:val="18"/>
                <w:lang w:val="id-ID"/>
              </w:rPr>
              <w:t>/LMS</w:t>
            </w:r>
            <w:r w:rsidR="005439E1" w:rsidRPr="00E80C10">
              <w:rPr>
                <w:rFonts w:ascii="Bookman Old Style" w:hAnsi="Bookman Old Style" w:cs="Arial"/>
                <w:sz w:val="18"/>
                <w:szCs w:val="18"/>
              </w:rPr>
              <w:t xml:space="preserve"> </w:t>
            </w:r>
            <w:proofErr w:type="spellStart"/>
            <w:r w:rsidR="005F1D0E" w:rsidRPr="00E80C10">
              <w:rPr>
                <w:rFonts w:ascii="Bookman Old Style" w:hAnsi="Bookman Old Style" w:cs="Arial"/>
                <w:sz w:val="18"/>
                <w:szCs w:val="18"/>
              </w:rPr>
              <w:t>e</w:t>
            </w:r>
            <w:r w:rsidR="005439E1" w:rsidRPr="00E80C10">
              <w:rPr>
                <w:rFonts w:ascii="Bookman Old Style" w:hAnsi="Bookman Old Style" w:cs="Arial"/>
                <w:sz w:val="18"/>
                <w:szCs w:val="18"/>
              </w:rPr>
              <w:t>dukasi</w:t>
            </w:r>
            <w:proofErr w:type="spellEnd"/>
            <w:r w:rsidR="005439E1" w:rsidRPr="00E80C10">
              <w:rPr>
                <w:rFonts w:ascii="Bookman Old Style" w:hAnsi="Bookman Old Style" w:cs="Arial"/>
                <w:sz w:val="18"/>
                <w:szCs w:val="18"/>
              </w:rPr>
              <w:t xml:space="preserve"> </w:t>
            </w:r>
            <w:proofErr w:type="spellStart"/>
            <w:r w:rsidR="005F1D0E" w:rsidRPr="00E80C10">
              <w:rPr>
                <w:rFonts w:ascii="Bookman Old Style" w:hAnsi="Bookman Old Style" w:cs="Arial"/>
                <w:sz w:val="18"/>
                <w:szCs w:val="18"/>
              </w:rPr>
              <w:t>k</w:t>
            </w:r>
            <w:r w:rsidR="005439E1" w:rsidRPr="00E80C10">
              <w:rPr>
                <w:rFonts w:ascii="Bookman Old Style" w:hAnsi="Bookman Old Style" w:cs="Arial"/>
                <w:sz w:val="18"/>
                <w:szCs w:val="18"/>
              </w:rPr>
              <w:t>euangan</w:t>
            </w:r>
            <w:proofErr w:type="spellEnd"/>
            <w:r w:rsidRPr="007C3531">
              <w:rPr>
                <w:rFonts w:ascii="Bookman Old Style" w:hAnsi="Bookman Old Style" w:cs="Arial"/>
                <w:sz w:val="18"/>
                <w:szCs w:val="18"/>
                <w:lang w:val="id-ID"/>
              </w:rPr>
              <w:t>)</w:t>
            </w:r>
            <w:r w:rsidR="002456AC">
              <w:rPr>
                <w:rFonts w:ascii="Bookman Old Style" w:hAnsi="Bookman Old Style" w:cs="Arial"/>
                <w:sz w:val="18"/>
                <w:szCs w:val="18"/>
              </w:rPr>
              <w:t>.</w:t>
            </w:r>
          </w:p>
          <w:p w14:paraId="770257CC" w14:textId="77777777" w:rsidR="003922B4" w:rsidRPr="007C3531" w:rsidRDefault="003922B4" w:rsidP="00C46A5A">
            <w:pPr>
              <w:spacing w:line="276" w:lineRule="auto"/>
              <w:ind w:right="-43" w:firstLine="567"/>
              <w:jc w:val="both"/>
              <w:rPr>
                <w:rFonts w:ascii="Bookman Old Style" w:hAnsi="Bookman Old Style" w:cs="Arial"/>
                <w:sz w:val="18"/>
                <w:szCs w:val="18"/>
                <w:lang w:val="id-ID"/>
              </w:rPr>
            </w:pPr>
            <w:r w:rsidRPr="007C3531">
              <w:rPr>
                <w:rFonts w:ascii="Bookman Old Style" w:hAnsi="Bookman Old Style" w:cs="Arial"/>
                <w:sz w:val="18"/>
                <w:szCs w:val="18"/>
                <w:lang w:val="id-ID"/>
              </w:rPr>
              <w:t xml:space="preserve">Literasi Keuangan dan Inklusi Keuangan merupakan dua sisi yang harus diseimbangkan. Di satu sisi, kegiatan untuk meningkatkan Literasi Keuangan diharapkan dapat mendorong kualitas pengambilan keputusan keuangan dan mentransformasi sikap serta perilaku masyarakat dalam pengelolaan keuangan ke arah yang lebih baik sehingga akan menjadikan masyarakat lebih bijak dalam memilih dan memanfaatkan produk dan/atau layanan. Di sisi lain, peningkatan Literasi Keuangan juga perlu diimbangi dengan peningkatan Inklusi Keuangan yang diwujudkan melalui (1) ketersediaan akses masyarakat terhadap lembaga, produk dan/atau layanan; (2) ketersediaan produk dan/atau layanan; serta (3) keberlangsungan terhadap akses lembaga, produk dan/atau layanan dan/atau keberlangsungan produk dan/atau layanan yang telah dimiliki atau disediakan oleh PUJK untuk tetap dapat dimanfaatkan oleh Konsumen dan/atau masyarakat. </w:t>
            </w:r>
          </w:p>
          <w:p w14:paraId="2FEF33AF" w14:textId="6BBF4DBB" w:rsidR="003922B4" w:rsidRPr="007C3531" w:rsidRDefault="003922B4" w:rsidP="00C46A5A">
            <w:pPr>
              <w:spacing w:line="276" w:lineRule="auto"/>
              <w:ind w:right="-43" w:firstLine="567"/>
              <w:jc w:val="both"/>
              <w:rPr>
                <w:rFonts w:ascii="Bookman Old Style" w:hAnsi="Bookman Old Style" w:cs="Arial"/>
                <w:sz w:val="18"/>
                <w:szCs w:val="18"/>
                <w:lang w:val="id-ID"/>
              </w:rPr>
            </w:pPr>
            <w:r w:rsidRPr="007C3531">
              <w:rPr>
                <w:rFonts w:ascii="Bookman Old Style" w:hAnsi="Bookman Old Style" w:cs="Arial"/>
                <w:sz w:val="18"/>
                <w:szCs w:val="18"/>
                <w:lang w:val="id-ID"/>
              </w:rPr>
              <w:t xml:space="preserve">Literasi Keuangan, Inklusi Keuangan, dan Perlindungan Konsumen memiliki peran penting dalam stabilitas keuangan dan pertumbuhan ekonomi suatu negara. Hal ini </w:t>
            </w:r>
            <w:proofErr w:type="spellStart"/>
            <w:r w:rsidR="005439E1" w:rsidRPr="00E80C10">
              <w:rPr>
                <w:rFonts w:ascii="Bookman Old Style" w:hAnsi="Bookman Old Style" w:cs="Arial"/>
                <w:sz w:val="18"/>
                <w:szCs w:val="18"/>
              </w:rPr>
              <w:t>diperkuat</w:t>
            </w:r>
            <w:proofErr w:type="spellEnd"/>
            <w:r w:rsidR="005439E1" w:rsidRPr="00E80C10">
              <w:rPr>
                <w:rFonts w:ascii="Bookman Old Style" w:hAnsi="Bookman Old Style" w:cs="Arial"/>
                <w:sz w:val="18"/>
                <w:szCs w:val="18"/>
              </w:rPr>
              <w:t xml:space="preserve"> </w:t>
            </w:r>
            <w:r w:rsidRPr="00E80C10">
              <w:rPr>
                <w:rFonts w:ascii="Bookman Old Style" w:hAnsi="Bookman Old Style" w:cs="Arial"/>
                <w:sz w:val="18"/>
                <w:szCs w:val="18"/>
                <w:lang w:val="id-ID"/>
              </w:rPr>
              <w:t xml:space="preserve">dengan </w:t>
            </w:r>
            <w:proofErr w:type="spellStart"/>
            <w:r w:rsidR="005439E1" w:rsidRPr="00E80C10">
              <w:rPr>
                <w:rFonts w:ascii="Bookman Old Style" w:hAnsi="Bookman Old Style" w:cs="Arial"/>
                <w:sz w:val="18"/>
                <w:szCs w:val="18"/>
              </w:rPr>
              <w:t>ditetapkannya</w:t>
            </w:r>
            <w:proofErr w:type="spellEnd"/>
            <w:r w:rsidR="005439E1">
              <w:rPr>
                <w:rFonts w:ascii="Bookman Old Style" w:hAnsi="Bookman Old Style" w:cs="Arial"/>
                <w:sz w:val="18"/>
                <w:szCs w:val="18"/>
              </w:rPr>
              <w:t xml:space="preserve"> </w:t>
            </w:r>
            <w:r w:rsidRPr="007C3531">
              <w:rPr>
                <w:rFonts w:ascii="Bookman Old Style" w:hAnsi="Bookman Old Style" w:cs="Arial"/>
                <w:sz w:val="18"/>
                <w:szCs w:val="18"/>
                <w:lang w:val="id-ID"/>
              </w:rPr>
              <w:t xml:space="preserve">Strategi Nasional Keuangan Inklusif di Indonesia yang dicanangkan oleh pemerintah dan dituangkan dalam Peraturan Presiden Nomor 114 Tahun 2020, di mana dalam Strategi Nasional Keuangan Inklusif secara khusus terdapat pilar mengenai Edukasi Keuangan, pilar produk, intermediasi dan saluran distribusi, serta pilar </w:t>
            </w:r>
            <w:r w:rsidRPr="007C3531">
              <w:rPr>
                <w:rFonts w:ascii="Bookman Old Style" w:hAnsi="Bookman Old Style" w:cs="Arial"/>
                <w:sz w:val="18"/>
                <w:szCs w:val="18"/>
                <w:lang w:val="id-ID"/>
              </w:rPr>
              <w:lastRenderedPageBreak/>
              <w:t>perlindungan konsumen. Kemudian, pada Peraturan Presiden Nomor 18 Tahun 2020 tentang Rencana Pembangunan Jangka Menengah Nasional tahun 2020-2024 juga disusun rencana untuk memperkuat pelaksanaan perlindungan sosial melalui perluasan inovasi produk keuangan, peningkatan akses keuangan masyarakat, dan pengembangan infrastruktur sektor jasa keuangan yang didukung dengan edukasi keuangan untuk meningkatkan Literasi Keuangan dan Inklusi Keuangan melalui program penyaluran bantuan sosial dan subsidi.</w:t>
            </w:r>
          </w:p>
          <w:p w14:paraId="069E7CBF" w14:textId="5010DC25" w:rsidR="003922B4" w:rsidRPr="007C3531" w:rsidRDefault="003922B4" w:rsidP="00C46A5A">
            <w:pPr>
              <w:spacing w:line="276" w:lineRule="auto"/>
              <w:ind w:right="-43" w:firstLine="567"/>
              <w:jc w:val="both"/>
              <w:rPr>
                <w:rFonts w:ascii="Bookman Old Style" w:hAnsi="Bookman Old Style" w:cs="Arial"/>
                <w:sz w:val="18"/>
                <w:szCs w:val="18"/>
                <w:lang w:val="id-ID"/>
              </w:rPr>
            </w:pPr>
            <w:r w:rsidRPr="007C3531">
              <w:rPr>
                <w:rFonts w:ascii="Bookman Old Style" w:hAnsi="Bookman Old Style" w:cs="Arial"/>
                <w:sz w:val="18"/>
                <w:szCs w:val="18"/>
                <w:lang w:val="id-ID"/>
              </w:rPr>
              <w:t>Peningkatan Literasi Keuangan dan Inklusi Keuangan yang optimal memiliki kontribusi positif terhadap kesejahteraan keuangan individu dan masyarakat. Dalam mewujudkan hal tersebut, dibutuhkan sinergi antara pemerintah, otoritas, dan Lembaga Jasa Keuangan dalam melaksanakan kegiatan untuk meningkatkan Literasi Keuangan dan Inklusi Keuangan. Selanjutnya untuk memperkuat komitmen, kesadara</w:t>
            </w:r>
            <w:r w:rsidRPr="00E80C10">
              <w:rPr>
                <w:rFonts w:ascii="Bookman Old Style" w:hAnsi="Bookman Old Style" w:cs="Arial"/>
                <w:sz w:val="18"/>
                <w:szCs w:val="18"/>
                <w:lang w:val="id-ID"/>
              </w:rPr>
              <w:t>n</w:t>
            </w:r>
            <w:r w:rsidR="00926EBB" w:rsidRPr="00E80C10">
              <w:rPr>
                <w:rFonts w:ascii="Bookman Old Style" w:hAnsi="Bookman Old Style" w:cs="Arial"/>
                <w:sz w:val="18"/>
                <w:szCs w:val="18"/>
              </w:rPr>
              <w:t>,</w:t>
            </w:r>
            <w:r w:rsidRPr="007C3531">
              <w:rPr>
                <w:rFonts w:ascii="Bookman Old Style" w:hAnsi="Bookman Old Style" w:cs="Arial"/>
                <w:sz w:val="18"/>
                <w:szCs w:val="18"/>
                <w:lang w:val="id-ID"/>
              </w:rPr>
              <w:t xml:space="preserve"> dan tanggung jawab PUJK yang memiliki produk dan layanan jasa keuangan serta berinteraksi langsung dengan Konsumen dan/atau masyarakat terhadap peningkatan Literasi Keuangan dan Inklusi Keuangan bagi Konsumen dan masyarakat, </w:t>
            </w:r>
            <w:proofErr w:type="spellStart"/>
            <w:r w:rsidR="00926EBB" w:rsidRPr="00E80C10">
              <w:rPr>
                <w:rFonts w:ascii="Bookman Old Style" w:hAnsi="Bookman Old Style" w:cs="Arial"/>
                <w:sz w:val="18"/>
                <w:szCs w:val="18"/>
              </w:rPr>
              <w:t>diperlukan</w:t>
            </w:r>
            <w:proofErr w:type="spellEnd"/>
            <w:r w:rsidRPr="00E80C10">
              <w:rPr>
                <w:rFonts w:ascii="Bookman Old Style" w:hAnsi="Bookman Old Style" w:cs="Arial"/>
                <w:sz w:val="18"/>
                <w:szCs w:val="18"/>
                <w:lang w:val="id-ID"/>
              </w:rPr>
              <w:t xml:space="preserve"> k</w:t>
            </w:r>
            <w:r w:rsidRPr="007C3531">
              <w:rPr>
                <w:rFonts w:ascii="Bookman Old Style" w:hAnsi="Bookman Old Style" w:cs="Arial"/>
                <w:sz w:val="18"/>
                <w:szCs w:val="18"/>
                <w:lang w:val="id-ID"/>
              </w:rPr>
              <w:t>etentuan mengenai Peningkatan Literasi Keuangan dan Inklusi Keuangan di sektor jasa keuan</w:t>
            </w:r>
            <w:r w:rsidRPr="00E80C10">
              <w:rPr>
                <w:rFonts w:ascii="Bookman Old Style" w:hAnsi="Bookman Old Style" w:cs="Arial"/>
                <w:sz w:val="18"/>
                <w:szCs w:val="18"/>
                <w:lang w:val="id-ID"/>
              </w:rPr>
              <w:t>gan</w:t>
            </w:r>
            <w:r w:rsidR="00926EBB" w:rsidRPr="00E80C10">
              <w:rPr>
                <w:rFonts w:ascii="Bookman Old Style" w:hAnsi="Bookman Old Style" w:cs="Arial"/>
                <w:sz w:val="18"/>
                <w:szCs w:val="18"/>
              </w:rPr>
              <w:t>.</w:t>
            </w:r>
            <w:r w:rsidRPr="00E80C10">
              <w:rPr>
                <w:rFonts w:ascii="Bookman Old Style" w:hAnsi="Bookman Old Style" w:cs="Arial"/>
                <w:sz w:val="18"/>
                <w:szCs w:val="18"/>
                <w:lang w:val="id-ID"/>
              </w:rPr>
              <w:t xml:space="preserve"> </w:t>
            </w:r>
            <w:proofErr w:type="spellStart"/>
            <w:r w:rsidR="00926EBB" w:rsidRPr="00E80C10">
              <w:rPr>
                <w:rFonts w:ascii="Bookman Old Style" w:hAnsi="Bookman Old Style" w:cs="Arial"/>
                <w:sz w:val="18"/>
                <w:szCs w:val="18"/>
              </w:rPr>
              <w:t>Ketentuan</w:t>
            </w:r>
            <w:proofErr w:type="spellEnd"/>
            <w:r w:rsidR="00926EBB" w:rsidRPr="00E80C10">
              <w:rPr>
                <w:rFonts w:ascii="Bookman Old Style" w:hAnsi="Bookman Old Style" w:cs="Arial"/>
                <w:sz w:val="18"/>
                <w:szCs w:val="18"/>
              </w:rPr>
              <w:t xml:space="preserve"> </w:t>
            </w:r>
            <w:proofErr w:type="spellStart"/>
            <w:r w:rsidR="00926EBB" w:rsidRPr="00E80C10">
              <w:rPr>
                <w:rFonts w:ascii="Bookman Old Style" w:hAnsi="Bookman Old Style" w:cs="Arial"/>
                <w:sz w:val="18"/>
                <w:szCs w:val="18"/>
              </w:rPr>
              <w:t>dimaksud</w:t>
            </w:r>
            <w:proofErr w:type="spellEnd"/>
            <w:r w:rsidR="00926EBB" w:rsidRPr="00E80C10">
              <w:rPr>
                <w:rFonts w:ascii="Bookman Old Style" w:hAnsi="Bookman Old Style" w:cs="Arial"/>
                <w:sz w:val="18"/>
                <w:szCs w:val="18"/>
              </w:rPr>
              <w:t xml:space="preserve"> </w:t>
            </w:r>
            <w:proofErr w:type="spellStart"/>
            <w:r w:rsidR="00926EBB" w:rsidRPr="00E80C10">
              <w:rPr>
                <w:rFonts w:ascii="Bookman Old Style" w:hAnsi="Bookman Old Style" w:cs="Arial"/>
                <w:sz w:val="18"/>
                <w:szCs w:val="18"/>
              </w:rPr>
              <w:t>telah</w:t>
            </w:r>
            <w:proofErr w:type="spellEnd"/>
            <w:r w:rsidR="00926EBB" w:rsidRPr="00E80C10">
              <w:rPr>
                <w:rFonts w:ascii="Bookman Old Style" w:hAnsi="Bookman Old Style" w:cs="Arial"/>
                <w:sz w:val="18"/>
                <w:szCs w:val="18"/>
              </w:rPr>
              <w:t xml:space="preserve"> </w:t>
            </w:r>
            <w:proofErr w:type="spellStart"/>
            <w:r w:rsidR="00926EBB" w:rsidRPr="00E80C10">
              <w:rPr>
                <w:rFonts w:ascii="Bookman Old Style" w:hAnsi="Bookman Old Style" w:cs="Arial"/>
                <w:sz w:val="18"/>
                <w:szCs w:val="18"/>
              </w:rPr>
              <w:t>diatur</w:t>
            </w:r>
            <w:proofErr w:type="spellEnd"/>
            <w:r w:rsidR="00926EBB" w:rsidRPr="00E80C10">
              <w:rPr>
                <w:rFonts w:ascii="Bookman Old Style" w:hAnsi="Bookman Old Style" w:cs="Arial"/>
                <w:sz w:val="18"/>
                <w:szCs w:val="18"/>
              </w:rPr>
              <w:t xml:space="preserve"> </w:t>
            </w:r>
            <w:proofErr w:type="spellStart"/>
            <w:r w:rsidR="00926EBB" w:rsidRPr="00E80C10">
              <w:rPr>
                <w:rFonts w:ascii="Bookman Old Style" w:hAnsi="Bookman Old Style" w:cs="Arial"/>
                <w:sz w:val="18"/>
                <w:szCs w:val="18"/>
              </w:rPr>
              <w:t>dalam</w:t>
            </w:r>
            <w:proofErr w:type="spellEnd"/>
            <w:r w:rsidR="00926EBB">
              <w:rPr>
                <w:rFonts w:ascii="Bookman Old Style" w:hAnsi="Bookman Old Style" w:cs="Arial"/>
                <w:sz w:val="18"/>
                <w:szCs w:val="18"/>
              </w:rPr>
              <w:t xml:space="preserve"> </w:t>
            </w:r>
            <w:r w:rsidRPr="007C3531">
              <w:rPr>
                <w:rFonts w:ascii="Bookman Old Style" w:hAnsi="Bookman Old Style" w:cs="Arial"/>
                <w:sz w:val="18"/>
                <w:szCs w:val="18"/>
                <w:lang w:val="id-ID"/>
              </w:rPr>
              <w:t xml:space="preserve">Peraturan Otoritas Jasa Keuangan Nomor 76/POJK.07/2016 tentang Peningkatan Literasi Keuangan dan Inklusi Keuangan di Sektor Jasa Keuangan Bagi Konsumen dan/atau Masyarakat. Namun </w:t>
            </w:r>
            <w:r w:rsidRPr="007C3531">
              <w:rPr>
                <w:rFonts w:ascii="Bookman Old Style" w:hAnsi="Bookman Old Style" w:cs="Arial"/>
                <w:sz w:val="18"/>
                <w:szCs w:val="18"/>
                <w:lang w:val="id-ID"/>
              </w:rPr>
              <w:lastRenderedPageBreak/>
              <w:t>demikian, berdasarkan hasil evaluasi perlu dilakukan penyempurnaan terhadap Peraturan Otoritas Jasa Keuangan Nomor 76/POJK.07/2016 tentang Peningkatan Literasi Keuangan dan Inklusi Keuangan di Sektor Jasa Keuangan Bagi Konsumen dan/atau Masyarakat.</w:t>
            </w:r>
          </w:p>
          <w:p w14:paraId="09245965" w14:textId="2D97B011" w:rsidR="003922B4" w:rsidRPr="007C3531" w:rsidRDefault="003922B4" w:rsidP="00C46A5A">
            <w:pPr>
              <w:spacing w:line="276" w:lineRule="auto"/>
              <w:ind w:right="-43" w:firstLine="567"/>
              <w:jc w:val="both"/>
              <w:rPr>
                <w:rFonts w:ascii="Bookman Old Style" w:hAnsi="Bookman Old Style" w:cs="Arial"/>
                <w:sz w:val="18"/>
                <w:szCs w:val="18"/>
                <w:lang w:val="id-ID"/>
              </w:rPr>
            </w:pPr>
            <w:r w:rsidRPr="007C3531">
              <w:rPr>
                <w:rFonts w:ascii="Bookman Old Style" w:hAnsi="Bookman Old Style" w:cs="Arial"/>
                <w:sz w:val="18"/>
                <w:szCs w:val="18"/>
                <w:lang w:val="id-ID"/>
              </w:rPr>
              <w:t xml:space="preserve">Untuk mewujudkan peningkatan pengetahuan, pemahaman, dan ketersediaan akses masyarakat Indonesia terhadap lembaga, produk, dan layanan serta ketersediaan produk dan/atau layanan yang sesuai dengan kebutuhan dan kemampuan masyarakat, serta untuk memastikan kepatuhan terhadap ketentuan peraturan perundang-undangan, maka dalam Peraturan Otoritas Jasa Keuangan ini antara lain (1) melibatkan PUJK baru yang muncul sebagai dampak dari perkembangan di sektor jasa keuangan dalam melakukan peningkatan Literasi Keuangan dan Inklusi Keuangan; (2) mengakomodasi perkembangan inovasi dan teknologi yang cepat dan dinamis di sektor jasa keuangan sehingga memberikan kesempatan bagi PUJK untuk menciptakan cara atau metode dengan menggunakan teknologi informasi dalam melakukan kegiatan untuk meningkatkan Literasi Keuangan dan Inklusi Keuangan; (3) meningkatkan kuantitas kegiatan Literasi Keuangan dan Inklusi Keuangan antara lain dengan </w:t>
            </w:r>
            <w:r w:rsidRPr="00E80C10">
              <w:rPr>
                <w:rFonts w:ascii="Bookman Old Style" w:hAnsi="Bookman Old Style" w:cs="Arial"/>
                <w:sz w:val="18"/>
                <w:szCs w:val="18"/>
                <w:lang w:val="id-ID"/>
              </w:rPr>
              <w:t>mengoptimalisasi</w:t>
            </w:r>
            <w:proofErr w:type="spellStart"/>
            <w:r w:rsidR="00926EBB" w:rsidRPr="00E80C10">
              <w:rPr>
                <w:rFonts w:ascii="Bookman Old Style" w:hAnsi="Bookman Old Style" w:cs="Arial"/>
                <w:sz w:val="18"/>
                <w:szCs w:val="18"/>
              </w:rPr>
              <w:t>kan</w:t>
            </w:r>
            <w:proofErr w:type="spellEnd"/>
            <w:r w:rsidRPr="00E80C10">
              <w:rPr>
                <w:rFonts w:ascii="Bookman Old Style" w:hAnsi="Bookman Old Style" w:cs="Arial"/>
                <w:sz w:val="18"/>
                <w:szCs w:val="18"/>
                <w:lang w:val="id-ID"/>
              </w:rPr>
              <w:t xml:space="preserve"> peran PUJK dalam peningkatan Literasi Keuangan</w:t>
            </w:r>
            <w:r w:rsidRPr="007C3531">
              <w:rPr>
                <w:rFonts w:ascii="Bookman Old Style" w:hAnsi="Bookman Old Style" w:cs="Arial"/>
                <w:sz w:val="18"/>
                <w:szCs w:val="18"/>
                <w:lang w:val="id-ID"/>
              </w:rPr>
              <w:t xml:space="preserve"> dan Inklusi Keuangan; (4) penguatan pengawasan untuk pemenuhan aspek perlindungan konsumen dan masyarakat untuk peningkatan Literasi Keuangan dan Inklusi Keuangan dengan memisahkan laporan rencana dan realisasi Literasi Keuangan dan Inklusi </w:t>
            </w:r>
            <w:r w:rsidRPr="007C3531">
              <w:rPr>
                <w:rFonts w:ascii="Bookman Old Style" w:hAnsi="Bookman Old Style" w:cs="Arial"/>
                <w:sz w:val="18"/>
                <w:szCs w:val="18"/>
                <w:lang w:val="id-ID"/>
              </w:rPr>
              <w:lastRenderedPageBreak/>
              <w:t xml:space="preserve">Keuangan pada laporan rencana bisnis dan realisasi rencana bisnis PUJK; serta (5) </w:t>
            </w:r>
            <w:r w:rsidRPr="00E80C10">
              <w:rPr>
                <w:rFonts w:ascii="Bookman Old Style" w:hAnsi="Bookman Old Style" w:cs="Arial"/>
                <w:sz w:val="18"/>
                <w:szCs w:val="18"/>
                <w:lang w:val="id-ID"/>
              </w:rPr>
              <w:t>mengoptimalisasi</w:t>
            </w:r>
            <w:proofErr w:type="spellStart"/>
            <w:r w:rsidR="00926EBB" w:rsidRPr="00E80C10">
              <w:rPr>
                <w:rFonts w:ascii="Bookman Old Style" w:hAnsi="Bookman Old Style" w:cs="Arial"/>
                <w:sz w:val="18"/>
                <w:szCs w:val="18"/>
              </w:rPr>
              <w:t>kan</w:t>
            </w:r>
            <w:proofErr w:type="spellEnd"/>
            <w:r w:rsidRPr="00E80C10">
              <w:rPr>
                <w:rFonts w:ascii="Bookman Old Style" w:hAnsi="Bookman Old Style" w:cs="Arial"/>
                <w:sz w:val="18"/>
                <w:szCs w:val="18"/>
                <w:lang w:val="id-ID"/>
              </w:rPr>
              <w:t xml:space="preserve"> </w:t>
            </w:r>
            <w:proofErr w:type="spellStart"/>
            <w:r w:rsidR="00926EBB" w:rsidRPr="00E80C10">
              <w:rPr>
                <w:rFonts w:ascii="Bookman Old Style" w:hAnsi="Bookman Old Style" w:cs="Arial"/>
                <w:sz w:val="18"/>
                <w:szCs w:val="18"/>
              </w:rPr>
              <w:t>pemanfaatan</w:t>
            </w:r>
            <w:proofErr w:type="spellEnd"/>
            <w:r w:rsidR="00926EBB" w:rsidRPr="00E80C10">
              <w:rPr>
                <w:rFonts w:ascii="Bookman Old Style" w:hAnsi="Bookman Old Style" w:cs="Arial"/>
                <w:sz w:val="18"/>
                <w:szCs w:val="18"/>
              </w:rPr>
              <w:t xml:space="preserve"> </w:t>
            </w:r>
            <w:r w:rsidRPr="00E80C10">
              <w:rPr>
                <w:rFonts w:ascii="Bookman Old Style" w:hAnsi="Bookman Old Style" w:cs="Arial"/>
                <w:sz w:val="18"/>
                <w:szCs w:val="18"/>
                <w:lang w:val="id-ID"/>
              </w:rPr>
              <w:t>sistem manajemen pembelajaran</w:t>
            </w:r>
            <w:r w:rsidR="00926EBB" w:rsidRPr="00E80C10">
              <w:rPr>
                <w:rFonts w:ascii="Bookman Old Style" w:hAnsi="Bookman Old Style" w:cs="Arial"/>
                <w:sz w:val="18"/>
                <w:szCs w:val="18"/>
              </w:rPr>
              <w:t xml:space="preserve"> </w:t>
            </w:r>
            <w:proofErr w:type="spellStart"/>
            <w:r w:rsidR="00DB6302" w:rsidRPr="00E80C10">
              <w:rPr>
                <w:rFonts w:ascii="Bookman Old Style" w:hAnsi="Bookman Old Style" w:cs="Arial"/>
                <w:sz w:val="18"/>
                <w:szCs w:val="18"/>
              </w:rPr>
              <w:t>e</w:t>
            </w:r>
            <w:r w:rsidR="00926EBB" w:rsidRPr="00E80C10">
              <w:rPr>
                <w:rFonts w:ascii="Bookman Old Style" w:hAnsi="Bookman Old Style" w:cs="Arial"/>
                <w:sz w:val="18"/>
                <w:szCs w:val="18"/>
              </w:rPr>
              <w:t>dukasi</w:t>
            </w:r>
            <w:proofErr w:type="spellEnd"/>
            <w:r w:rsidR="00926EBB" w:rsidRPr="00E80C10">
              <w:rPr>
                <w:rFonts w:ascii="Bookman Old Style" w:hAnsi="Bookman Old Style" w:cs="Arial"/>
                <w:sz w:val="18"/>
                <w:szCs w:val="18"/>
              </w:rPr>
              <w:t xml:space="preserve"> </w:t>
            </w:r>
            <w:proofErr w:type="spellStart"/>
            <w:r w:rsidR="00DB6302" w:rsidRPr="00E80C10">
              <w:rPr>
                <w:rFonts w:ascii="Bookman Old Style" w:hAnsi="Bookman Old Style" w:cs="Arial"/>
                <w:sz w:val="18"/>
                <w:szCs w:val="18"/>
              </w:rPr>
              <w:t>k</w:t>
            </w:r>
            <w:r w:rsidR="00926EBB" w:rsidRPr="00E80C10">
              <w:rPr>
                <w:rFonts w:ascii="Bookman Old Style" w:hAnsi="Bookman Old Style" w:cs="Arial"/>
                <w:sz w:val="18"/>
                <w:szCs w:val="18"/>
              </w:rPr>
              <w:t>euangan</w:t>
            </w:r>
            <w:proofErr w:type="spellEnd"/>
            <w:r w:rsidRPr="00E80C10">
              <w:rPr>
                <w:rFonts w:ascii="Bookman Old Style" w:hAnsi="Bookman Old Style" w:cs="Arial"/>
                <w:sz w:val="18"/>
                <w:szCs w:val="18"/>
                <w:lang w:val="id-ID"/>
              </w:rPr>
              <w:t xml:space="preserve"> dalam upaya peningkatan Literasi Keuangan</w:t>
            </w:r>
            <w:r w:rsidRPr="007C3531">
              <w:rPr>
                <w:rFonts w:ascii="Bookman Old Style" w:hAnsi="Bookman Old Style" w:cs="Arial"/>
                <w:sz w:val="18"/>
                <w:szCs w:val="18"/>
                <w:lang w:val="id-ID"/>
              </w:rPr>
              <w:t xml:space="preserve"> dan Inklusi Keuangan.</w:t>
            </w:r>
          </w:p>
          <w:p w14:paraId="4D6EBFDC" w14:textId="51943F0E" w:rsidR="003922B4" w:rsidRPr="007C3531" w:rsidRDefault="00DB6302" w:rsidP="00C46A5A">
            <w:pPr>
              <w:spacing w:line="276" w:lineRule="auto"/>
              <w:ind w:right="-43" w:firstLine="567"/>
              <w:jc w:val="both"/>
              <w:rPr>
                <w:rFonts w:ascii="Bookman Old Style" w:hAnsi="Bookman Old Style" w:cs="Arial"/>
                <w:sz w:val="18"/>
                <w:szCs w:val="18"/>
                <w:lang w:val="id-ID"/>
              </w:rPr>
            </w:pPr>
            <w:proofErr w:type="spellStart"/>
            <w:r>
              <w:rPr>
                <w:rFonts w:ascii="Bookman Old Style" w:hAnsi="Bookman Old Style" w:cs="Arial"/>
                <w:sz w:val="18"/>
                <w:szCs w:val="18"/>
              </w:rPr>
              <w:t>Mempertimbangkan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hal-hal</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dimaksud</w:t>
            </w:r>
            <w:proofErr w:type="spellEnd"/>
            <w:r>
              <w:rPr>
                <w:rFonts w:ascii="Bookman Old Style" w:hAnsi="Bookman Old Style" w:cs="Arial"/>
                <w:sz w:val="18"/>
                <w:szCs w:val="18"/>
              </w:rPr>
              <w:t xml:space="preserve">, </w:t>
            </w:r>
            <w:r w:rsidR="003922B4" w:rsidRPr="007C3531">
              <w:rPr>
                <w:rFonts w:ascii="Bookman Old Style" w:hAnsi="Bookman Old Style" w:cs="Arial"/>
                <w:sz w:val="18"/>
                <w:szCs w:val="18"/>
                <w:lang w:val="id-ID"/>
              </w:rPr>
              <w:t>maka dilakukan pembentukan atas Peraturan Otoritas Jasa Keuangan tentang Peningkatan Literasi Keuangan dan Inklusi Keuangan di Sektor Jasa Keuangan bagi Konsumen dan Masyarakat ini.</w:t>
            </w:r>
          </w:p>
        </w:tc>
        <w:tc>
          <w:tcPr>
            <w:tcW w:w="3827" w:type="dxa"/>
          </w:tcPr>
          <w:p w14:paraId="2CC3436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41AD65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E41F84A" w14:textId="049CC143" w:rsidTr="00217FB7">
        <w:tc>
          <w:tcPr>
            <w:tcW w:w="3828" w:type="dxa"/>
          </w:tcPr>
          <w:p w14:paraId="452C99A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BAB I</w:t>
            </w:r>
          </w:p>
        </w:tc>
        <w:tc>
          <w:tcPr>
            <w:tcW w:w="4394" w:type="dxa"/>
          </w:tcPr>
          <w:p w14:paraId="5B0FB2F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450E3D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CAEE70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2D0A09A" w14:textId="2CE1E085" w:rsidTr="00217FB7">
        <w:tc>
          <w:tcPr>
            <w:tcW w:w="3828" w:type="dxa"/>
          </w:tcPr>
          <w:p w14:paraId="33DEFD6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KETENTUAN UMUM</w:t>
            </w:r>
          </w:p>
        </w:tc>
        <w:tc>
          <w:tcPr>
            <w:tcW w:w="4394" w:type="dxa"/>
          </w:tcPr>
          <w:p w14:paraId="0CAC666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CE185A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06F142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9A0747E" w14:textId="7064DABB" w:rsidTr="00217FB7">
        <w:tc>
          <w:tcPr>
            <w:tcW w:w="3828" w:type="dxa"/>
          </w:tcPr>
          <w:p w14:paraId="18ADD40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w:t>
            </w:r>
          </w:p>
        </w:tc>
        <w:tc>
          <w:tcPr>
            <w:tcW w:w="4394" w:type="dxa"/>
          </w:tcPr>
          <w:p w14:paraId="5FAB6D6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w:t>
            </w:r>
          </w:p>
        </w:tc>
        <w:tc>
          <w:tcPr>
            <w:tcW w:w="3827" w:type="dxa"/>
          </w:tcPr>
          <w:p w14:paraId="4E90F1F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8282B8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E64C675" w14:textId="681B7E30" w:rsidTr="00217FB7">
        <w:tc>
          <w:tcPr>
            <w:tcW w:w="3828" w:type="dxa"/>
          </w:tcPr>
          <w:p w14:paraId="0BA1C9BD" w14:textId="77777777" w:rsidR="003922B4" w:rsidRPr="007C3531" w:rsidRDefault="003922B4" w:rsidP="00E405C6">
            <w:pPr>
              <w:spacing w:line="276" w:lineRule="auto"/>
              <w:ind w:left="34" w:right="20"/>
              <w:jc w:val="both"/>
              <w:rPr>
                <w:rFonts w:ascii="Bookman Old Style" w:hAnsi="Bookman Old Style"/>
                <w:sz w:val="18"/>
                <w:szCs w:val="18"/>
                <w:lang w:val="id-ID"/>
              </w:rPr>
            </w:pPr>
            <w:r w:rsidRPr="007C3531">
              <w:rPr>
                <w:rFonts w:ascii="Bookman Old Style" w:hAnsi="Bookman Old Style"/>
                <w:sz w:val="18"/>
                <w:szCs w:val="18"/>
                <w:lang w:val="id-ID"/>
              </w:rPr>
              <w:t>Dalam Peraturan Otoritas Jasa Keuangan ini yang dimaksud dengan:</w:t>
            </w:r>
          </w:p>
        </w:tc>
        <w:tc>
          <w:tcPr>
            <w:tcW w:w="4394" w:type="dxa"/>
          </w:tcPr>
          <w:p w14:paraId="58C5017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8D6401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1C4D99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61E24A2" w14:textId="77DC741B" w:rsidTr="00217FB7">
        <w:tc>
          <w:tcPr>
            <w:tcW w:w="3828" w:type="dxa"/>
          </w:tcPr>
          <w:p w14:paraId="2B1E6121" w14:textId="16437E53" w:rsidR="003922B4" w:rsidRPr="007C3531" w:rsidRDefault="003922B4" w:rsidP="00E405C6">
            <w:pPr>
              <w:pStyle w:val="ListParagraph"/>
              <w:numPr>
                <w:ilvl w:val="0"/>
                <w:numId w:val="3"/>
              </w:numPr>
              <w:spacing w:after="120" w:line="276" w:lineRule="auto"/>
              <w:ind w:left="326" w:right="23" w:hanging="357"/>
              <w:jc w:val="both"/>
              <w:rPr>
                <w:rFonts w:ascii="Bookman Old Style" w:hAnsi="Bookman Old Style"/>
                <w:sz w:val="18"/>
                <w:szCs w:val="18"/>
                <w:lang w:val="id-ID"/>
              </w:rPr>
            </w:pPr>
            <w:r w:rsidRPr="007C3531">
              <w:rPr>
                <w:rFonts w:ascii="Bookman Old Style" w:hAnsi="Bookman Old Style"/>
                <w:sz w:val="18"/>
                <w:szCs w:val="18"/>
                <w:lang w:val="id-ID"/>
              </w:rPr>
              <w:t>Lembaga Jasa Keuangan adalah lembaga yang melaksanakan kegiatan di sektor Perbankan, Pasar Modal, Perasuransian, Dana Pensiun, Lembaga Pembiayaan, dan Lembaga Jasa Keuangan Lainnya.</w:t>
            </w:r>
          </w:p>
        </w:tc>
        <w:tc>
          <w:tcPr>
            <w:tcW w:w="4394" w:type="dxa"/>
          </w:tcPr>
          <w:p w14:paraId="4780F4B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393A215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F5F327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613D166" w14:textId="6220A792" w:rsidTr="00217FB7">
        <w:tc>
          <w:tcPr>
            <w:tcW w:w="3828" w:type="dxa"/>
          </w:tcPr>
          <w:p w14:paraId="4D701166" w14:textId="392B322C" w:rsidR="003922B4" w:rsidRPr="007C3531" w:rsidRDefault="003922B4" w:rsidP="00E405C6">
            <w:pPr>
              <w:pStyle w:val="ListParagraph"/>
              <w:numPr>
                <w:ilvl w:val="0"/>
                <w:numId w:val="3"/>
              </w:numPr>
              <w:spacing w:line="276" w:lineRule="auto"/>
              <w:ind w:left="312" w:right="23" w:hanging="357"/>
              <w:jc w:val="both"/>
              <w:rPr>
                <w:rFonts w:ascii="Bookman Old Style" w:hAnsi="Bookman Old Style"/>
                <w:sz w:val="18"/>
                <w:szCs w:val="18"/>
                <w:lang w:val="id-ID"/>
              </w:rPr>
            </w:pPr>
            <w:r w:rsidRPr="007C3531">
              <w:rPr>
                <w:rFonts w:ascii="Bookman Old Style" w:hAnsi="Bookman Old Style"/>
                <w:sz w:val="18"/>
                <w:szCs w:val="18"/>
                <w:lang w:val="id-ID"/>
              </w:rPr>
              <w:t>Pelaku Usaha Jasa Keuangan, yang selanjutnya disingkat PUJK adalah Lembaga Jasa Keuangan dan/atau pihak yang melakukan kegiatan usaha penghimpunan dana, penyaluran dana, dan/atau pengelolaan dana di sektor jasa keuangan.</w:t>
            </w:r>
          </w:p>
        </w:tc>
        <w:tc>
          <w:tcPr>
            <w:tcW w:w="4394" w:type="dxa"/>
          </w:tcPr>
          <w:p w14:paraId="5F5858E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0722576"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19C974CB"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B366219" w14:textId="609240AC" w:rsidTr="00217FB7">
        <w:tc>
          <w:tcPr>
            <w:tcW w:w="3828" w:type="dxa"/>
          </w:tcPr>
          <w:p w14:paraId="4154EC01" w14:textId="68C41DE1" w:rsidR="003922B4" w:rsidRPr="007C3531" w:rsidRDefault="003922B4" w:rsidP="00E405C6">
            <w:pPr>
              <w:pStyle w:val="ListParagraph"/>
              <w:numPr>
                <w:ilvl w:val="0"/>
                <w:numId w:val="3"/>
              </w:numPr>
              <w:spacing w:line="276" w:lineRule="auto"/>
              <w:ind w:left="312" w:right="23" w:hanging="357"/>
              <w:jc w:val="both"/>
              <w:rPr>
                <w:rFonts w:ascii="Bookman Old Style" w:hAnsi="Bookman Old Style"/>
                <w:sz w:val="18"/>
                <w:szCs w:val="18"/>
                <w:lang w:val="id-ID"/>
              </w:rPr>
            </w:pPr>
            <w:r w:rsidRPr="007C3531">
              <w:rPr>
                <w:rFonts w:ascii="Bookman Old Style" w:hAnsi="Bookman Old Style"/>
                <w:sz w:val="18"/>
                <w:szCs w:val="18"/>
                <w:lang w:val="id-ID"/>
              </w:rPr>
              <w:t xml:space="preserve">Konsumen adalah pihak-pihak yang menempatkan dananya dan/atau memanfaatkan pelayanan yang </w:t>
            </w:r>
            <w:r w:rsidRPr="007C3531">
              <w:rPr>
                <w:rFonts w:ascii="Bookman Old Style" w:hAnsi="Bookman Old Style"/>
                <w:sz w:val="18"/>
                <w:szCs w:val="18"/>
                <w:lang w:val="id-ID"/>
              </w:rPr>
              <w:lastRenderedPageBreak/>
              <w:t>tersedia di Lembaga Jasa Keuangan antara lain nasabah pada Perbankan, pemodal di Pasar Modal, pemegang polis pada Perasuransian, dan peserta pada Dana Pensiun, berdasarkan peraturan perundang-undangan di sektor jasa keuangan.</w:t>
            </w:r>
          </w:p>
        </w:tc>
        <w:tc>
          <w:tcPr>
            <w:tcW w:w="4394" w:type="dxa"/>
          </w:tcPr>
          <w:p w14:paraId="71EEB3C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D74F70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5C7F7C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38B96F7" w14:textId="43795958" w:rsidTr="00217FB7">
        <w:tc>
          <w:tcPr>
            <w:tcW w:w="3828" w:type="dxa"/>
          </w:tcPr>
          <w:p w14:paraId="305E31B9" w14:textId="2094DB04" w:rsidR="003922B4" w:rsidRPr="007C3531" w:rsidRDefault="003922B4" w:rsidP="00E405C6">
            <w:pPr>
              <w:pStyle w:val="ListParagraph"/>
              <w:numPr>
                <w:ilvl w:val="0"/>
                <w:numId w:val="3"/>
              </w:numPr>
              <w:spacing w:line="276" w:lineRule="auto"/>
              <w:ind w:left="312" w:right="20"/>
              <w:contextualSpacing/>
              <w:jc w:val="both"/>
              <w:rPr>
                <w:rFonts w:ascii="Bookman Old Style" w:eastAsia="Times New Roman" w:hAnsi="Bookman Old Style"/>
                <w:sz w:val="18"/>
                <w:szCs w:val="18"/>
                <w:lang w:val="id-ID"/>
              </w:rPr>
            </w:pPr>
            <w:r w:rsidRPr="007C3531">
              <w:rPr>
                <w:rFonts w:ascii="Bookman Old Style" w:hAnsi="Bookman Old Style"/>
                <w:sz w:val="18"/>
                <w:szCs w:val="18"/>
                <w:lang w:val="id-ID"/>
              </w:rPr>
              <w:t>Direksi bagi PUJK atau organ yang setara dengan Direksi pada badan hukum, yang selanjutnya disebut Direksi adalah organ yang melakukan fungsi pengurusan PUJK untuk kepentingan PUJK sesuai dengan maksud dan tujuan masing-masing PUJK serta mewakili PUJK di dalam maupun di luar pengadilan sesuai dengan ketentuan anggaran dasar, atau pemimpin kantor cabang dan pejabat satu tingkat di bawah pemimpin kantor cabang bagi PUJK yang berstatus sebagai kantor cabang dari PUJK yang berkedudukan di luar negeri.</w:t>
            </w:r>
          </w:p>
        </w:tc>
        <w:tc>
          <w:tcPr>
            <w:tcW w:w="4394" w:type="dxa"/>
          </w:tcPr>
          <w:p w14:paraId="28A65B7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11025E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1656CD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4665FFE" w14:textId="4B0C84B0" w:rsidTr="00217FB7">
        <w:tc>
          <w:tcPr>
            <w:tcW w:w="3828" w:type="dxa"/>
          </w:tcPr>
          <w:p w14:paraId="0D2B5F78" w14:textId="6BCA980D" w:rsidR="003922B4" w:rsidRPr="007C3531" w:rsidRDefault="003922B4" w:rsidP="00E405C6">
            <w:pPr>
              <w:pStyle w:val="ListParagraph"/>
              <w:numPr>
                <w:ilvl w:val="0"/>
                <w:numId w:val="3"/>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Dewan Komisaris bagi PUJK atau organ yang setara dengan Dewan Komisaris pada badan hukum, yang selanjutnya disebut Dewan Komisaris adalah organ pada masing-masing PUJK yang berperan untuk melakukan fungsi pengawasan secara umum dan/atau khusus sesuai dengan anggaran dasar serta memberi nasihat kepada Direksi, atau pihak yang ditunjuk untuk melaksanakan fungsi pengawasan bagi PUJK yang berstatus sebagai kantor cabang dari </w:t>
            </w:r>
            <w:r w:rsidRPr="007C3531">
              <w:rPr>
                <w:rFonts w:ascii="Bookman Old Style" w:hAnsi="Bookman Old Style"/>
                <w:sz w:val="18"/>
                <w:szCs w:val="18"/>
                <w:lang w:val="id-ID"/>
              </w:rPr>
              <w:lastRenderedPageBreak/>
              <w:t>PUJK yang berkedudukan di luar negeri.</w:t>
            </w:r>
          </w:p>
        </w:tc>
        <w:tc>
          <w:tcPr>
            <w:tcW w:w="4394" w:type="dxa"/>
          </w:tcPr>
          <w:p w14:paraId="53FA3AF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1B5BED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A4B29F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2634C57" w14:textId="7095638F" w:rsidTr="00217FB7">
        <w:tc>
          <w:tcPr>
            <w:tcW w:w="3828" w:type="dxa"/>
          </w:tcPr>
          <w:p w14:paraId="1768D2BE" w14:textId="220AE663" w:rsidR="003922B4" w:rsidRPr="007C3531" w:rsidRDefault="003922B4" w:rsidP="00E405C6">
            <w:pPr>
              <w:pStyle w:val="ListParagraph"/>
              <w:numPr>
                <w:ilvl w:val="0"/>
                <w:numId w:val="3"/>
              </w:numPr>
              <w:spacing w:line="276" w:lineRule="auto"/>
              <w:ind w:right="20"/>
              <w:contextualSpacing/>
              <w:jc w:val="both"/>
              <w:rPr>
                <w:rFonts w:ascii="Bookman Old Style" w:eastAsia="Times New Roman" w:hAnsi="Bookman Old Style"/>
                <w:sz w:val="18"/>
                <w:szCs w:val="18"/>
                <w:lang w:val="id-ID"/>
              </w:rPr>
            </w:pPr>
            <w:r w:rsidRPr="007C3531">
              <w:rPr>
                <w:rFonts w:ascii="Bookman Old Style" w:hAnsi="Bookman Old Style"/>
                <w:sz w:val="18"/>
                <w:szCs w:val="18"/>
                <w:lang w:val="id-ID"/>
              </w:rPr>
              <w:t>Literasi Keuangan adalah pengetahuan, keterampilan, dan keyakinan, yang memengaruhi sikap dan perilaku untuk meningkatkan kualitas pengambilan keputusan dan pengelolaan keuangan untuk mencapai kesejahteraan keuangan.</w:t>
            </w:r>
          </w:p>
        </w:tc>
        <w:tc>
          <w:tcPr>
            <w:tcW w:w="4394" w:type="dxa"/>
          </w:tcPr>
          <w:p w14:paraId="2B697AB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34AA9DE" w14:textId="5834320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E1950B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353BE32" w14:textId="1C399E4C" w:rsidTr="00217FB7">
        <w:tc>
          <w:tcPr>
            <w:tcW w:w="3828" w:type="dxa"/>
          </w:tcPr>
          <w:p w14:paraId="3E6C765A" w14:textId="49AD4B27" w:rsidR="003922B4" w:rsidRPr="007C3531" w:rsidRDefault="003922B4" w:rsidP="00E405C6">
            <w:pPr>
              <w:pStyle w:val="ListParagraph"/>
              <w:numPr>
                <w:ilvl w:val="0"/>
                <w:numId w:val="3"/>
              </w:numPr>
              <w:spacing w:line="276" w:lineRule="auto"/>
              <w:ind w:right="20"/>
              <w:contextualSpacing/>
              <w:jc w:val="both"/>
              <w:rPr>
                <w:rFonts w:ascii="Bookman Old Style" w:eastAsia="Times New Roman" w:hAnsi="Bookman Old Style"/>
                <w:sz w:val="18"/>
                <w:szCs w:val="18"/>
                <w:lang w:val="id-ID"/>
              </w:rPr>
            </w:pPr>
            <w:r w:rsidRPr="007C3531">
              <w:rPr>
                <w:rFonts w:ascii="Bookman Old Style" w:hAnsi="Bookman Old Style"/>
                <w:sz w:val="18"/>
                <w:szCs w:val="18"/>
                <w:lang w:val="id-ID"/>
              </w:rPr>
              <w:t>Inklusi Keuangan adalah ketersediaan akses pada lembaga serta pemanfaatan atas produk dan/atau layanan PUJK yang terjangkau, berkualitas, dan berkelanjutan sesuai dengan kebutuhan dan kemampuan masyarakat untuk meningkatkan kesejahteraan keuangan masyarakat.</w:t>
            </w:r>
          </w:p>
        </w:tc>
        <w:tc>
          <w:tcPr>
            <w:tcW w:w="4394" w:type="dxa"/>
          </w:tcPr>
          <w:p w14:paraId="620541B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7EB726A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97A971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F3D1136" w14:textId="1F02F9CA" w:rsidTr="00217FB7">
        <w:tc>
          <w:tcPr>
            <w:tcW w:w="3828" w:type="dxa"/>
          </w:tcPr>
          <w:p w14:paraId="2B45910E" w14:textId="1831DABB" w:rsidR="003922B4" w:rsidRPr="007C3531" w:rsidRDefault="003922B4" w:rsidP="00E405C6">
            <w:pPr>
              <w:pStyle w:val="ListParagraph"/>
              <w:numPr>
                <w:ilvl w:val="0"/>
                <w:numId w:val="3"/>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Edukasi Keuangan adalah serangkaian proses atau kegiatan melalui penyampaian materi dan/atau informasi untuk meningkatkan Literasi Keuangan.</w:t>
            </w:r>
          </w:p>
        </w:tc>
        <w:tc>
          <w:tcPr>
            <w:tcW w:w="4394" w:type="dxa"/>
          </w:tcPr>
          <w:p w14:paraId="26DA89D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8E61EE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035893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9798327" w14:textId="30DD9364" w:rsidTr="00217FB7">
        <w:tc>
          <w:tcPr>
            <w:tcW w:w="3828" w:type="dxa"/>
          </w:tcPr>
          <w:p w14:paraId="3654C8D3" w14:textId="34F38FFF" w:rsidR="003922B4" w:rsidRPr="007C3531" w:rsidRDefault="003922B4" w:rsidP="00E405C6">
            <w:pPr>
              <w:pStyle w:val="ListParagraph"/>
              <w:numPr>
                <w:ilvl w:val="0"/>
                <w:numId w:val="3"/>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Konglomerasi Keuangan adalah PUJK yang berada dalam satu grup atau kelompok karena keterkaitan kepemilikan dan/atau pengendalian.</w:t>
            </w:r>
          </w:p>
        </w:tc>
        <w:tc>
          <w:tcPr>
            <w:tcW w:w="4394" w:type="dxa"/>
          </w:tcPr>
          <w:p w14:paraId="6DA92A8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DD1821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F6C34B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17422B6" w14:textId="352E9AE8" w:rsidTr="00217FB7">
        <w:tc>
          <w:tcPr>
            <w:tcW w:w="3828" w:type="dxa"/>
          </w:tcPr>
          <w:p w14:paraId="10AB70C9" w14:textId="694BFCCA"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w:t>
            </w:r>
          </w:p>
        </w:tc>
        <w:tc>
          <w:tcPr>
            <w:tcW w:w="4394" w:type="dxa"/>
          </w:tcPr>
          <w:p w14:paraId="1C127982" w14:textId="0B6AA48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w:t>
            </w:r>
          </w:p>
        </w:tc>
        <w:tc>
          <w:tcPr>
            <w:tcW w:w="3827" w:type="dxa"/>
          </w:tcPr>
          <w:p w14:paraId="0BCC235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7F994F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96DD8DE" w14:textId="1CD59E88" w:rsidTr="00217FB7">
        <w:tc>
          <w:tcPr>
            <w:tcW w:w="3828" w:type="dxa"/>
            <w:vAlign w:val="center"/>
          </w:tcPr>
          <w:p w14:paraId="1D4BCDA5" w14:textId="77777777" w:rsidR="003922B4" w:rsidRPr="007C3531" w:rsidRDefault="003922B4" w:rsidP="00E405C6">
            <w:pPr>
              <w:spacing w:line="276" w:lineRule="auto"/>
              <w:jc w:val="both"/>
              <w:rPr>
                <w:rFonts w:ascii="Bookman Old Style" w:hAnsi="Bookman Old Style"/>
                <w:sz w:val="18"/>
                <w:szCs w:val="18"/>
                <w:lang w:val="id-ID"/>
              </w:rPr>
            </w:pPr>
            <w:r w:rsidRPr="007C3531">
              <w:rPr>
                <w:rFonts w:ascii="Bookman Old Style" w:hAnsi="Bookman Old Style"/>
                <w:sz w:val="18"/>
                <w:szCs w:val="18"/>
                <w:lang w:val="id-ID"/>
              </w:rPr>
              <w:t xml:space="preserve">PUJK sebagaimana dimaksud dalam Pasal 1 angka 2 terdiri atas: </w:t>
            </w:r>
          </w:p>
          <w:p w14:paraId="001CFC4D"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Bank Umum; </w:t>
            </w:r>
          </w:p>
          <w:p w14:paraId="7307C2C7"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Bank Perkreditan/Pembiayaan Rakyat; </w:t>
            </w:r>
          </w:p>
          <w:p w14:paraId="0BC83DF7"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Perantara Pedagang Efek; </w:t>
            </w:r>
          </w:p>
          <w:p w14:paraId="1BFDDD5D"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lastRenderedPageBreak/>
              <w:t xml:space="preserve">Manajer Investasi; </w:t>
            </w:r>
          </w:p>
          <w:p w14:paraId="7521E7D6"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Dana Pensiun; </w:t>
            </w:r>
          </w:p>
          <w:p w14:paraId="30C7FFA5"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Asuransi; </w:t>
            </w:r>
          </w:p>
          <w:p w14:paraId="03A71D02"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Reasuransi; </w:t>
            </w:r>
          </w:p>
          <w:p w14:paraId="3D1094D1"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Pembiayaan; </w:t>
            </w:r>
          </w:p>
          <w:p w14:paraId="4029ED84"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Pembiayaan Infrastruktur; </w:t>
            </w:r>
          </w:p>
          <w:p w14:paraId="2389C7C2"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Modal Ventura; </w:t>
            </w:r>
          </w:p>
          <w:p w14:paraId="77C1190B"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Pergadaian Pemerintah; </w:t>
            </w:r>
          </w:p>
          <w:p w14:paraId="45EAA458"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Pergadaian Swasta; </w:t>
            </w:r>
          </w:p>
          <w:p w14:paraId="55AFACCB"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Perusahaan Penjaminan; </w:t>
            </w:r>
          </w:p>
          <w:p w14:paraId="4F84C601"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Lembaga Keuangan Mikro; </w:t>
            </w:r>
          </w:p>
          <w:p w14:paraId="33AD0189"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 xml:space="preserve">Lembaga Pembiayaan Ekspor Indonesia; dan </w:t>
            </w:r>
          </w:p>
          <w:p w14:paraId="0F20B133" w14:textId="77777777" w:rsidR="003922B4" w:rsidRPr="007C3531" w:rsidRDefault="003922B4" w:rsidP="0020519A">
            <w:pPr>
              <w:pStyle w:val="ListParagraph"/>
              <w:numPr>
                <w:ilvl w:val="0"/>
                <w:numId w:val="24"/>
              </w:numPr>
              <w:spacing w:line="276" w:lineRule="auto"/>
              <w:ind w:left="317"/>
              <w:jc w:val="both"/>
              <w:rPr>
                <w:rFonts w:ascii="Bookman Old Style" w:hAnsi="Bookman Old Style"/>
                <w:sz w:val="18"/>
                <w:szCs w:val="18"/>
                <w:lang w:val="id-ID"/>
              </w:rPr>
            </w:pPr>
            <w:r w:rsidRPr="007C3531">
              <w:rPr>
                <w:rFonts w:ascii="Bookman Old Style" w:hAnsi="Bookman Old Style"/>
                <w:sz w:val="18"/>
                <w:szCs w:val="18"/>
                <w:lang w:val="id-ID"/>
              </w:rPr>
              <w:t>Lembaga Jasa Keuangan Lainnya dan/atau pihak yang melakukan kegiatan usaha penghimpunan dana, penyaluran dana, pengelolaan dana di sektor jasa keuangan serta yang dinyatakan diawasi oleh Otoritas Jasa Keuangan, berdasarkan peraturan perundang-undangan,</w:t>
            </w:r>
          </w:p>
          <w:p w14:paraId="1AC1E601" w14:textId="743AAF7D" w:rsidR="003922B4" w:rsidRPr="007C3531" w:rsidRDefault="003922B4" w:rsidP="00E405C6">
            <w:pPr>
              <w:spacing w:line="276" w:lineRule="auto"/>
              <w:ind w:left="-48"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baik yang melaksanakan kegiatan usahanya secara konvensional maupun secara syariah.</w:t>
            </w:r>
          </w:p>
        </w:tc>
        <w:tc>
          <w:tcPr>
            <w:tcW w:w="4394" w:type="dxa"/>
          </w:tcPr>
          <w:p w14:paraId="1E6C22FD" w14:textId="73A2E9E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 xml:space="preserve">Yang dimaksud dengan “Lembaga Jasa Keuangan Lainnya dan/atau pihak yang melakukan kegiatan usaha penghimpunan dana, penyaluran dana, pengelolaan dana di sektor jasa keuangan </w:t>
            </w:r>
            <w:bookmarkStart w:id="1" w:name="_Hlk104372766"/>
            <w:r w:rsidRPr="007C3531">
              <w:rPr>
                <w:rFonts w:ascii="Bookman Old Style" w:hAnsi="Bookman Old Style"/>
                <w:sz w:val="18"/>
                <w:szCs w:val="18"/>
                <w:lang w:val="id-ID"/>
              </w:rPr>
              <w:t xml:space="preserve">serta yang dinyatakan diawasi oleh Otoritas Jasa Keuangan </w:t>
            </w:r>
            <w:r w:rsidRPr="007C3531">
              <w:rPr>
                <w:rFonts w:ascii="Bookman Old Style" w:hAnsi="Bookman Old Style"/>
                <w:sz w:val="18"/>
                <w:szCs w:val="18"/>
                <w:lang w:val="id-ID"/>
              </w:rPr>
              <w:lastRenderedPageBreak/>
              <w:t>berdasarkan peraturan perundang-undangan</w:t>
            </w:r>
            <w:bookmarkEnd w:id="1"/>
            <w:r w:rsidRPr="007C3531">
              <w:rPr>
                <w:rFonts w:ascii="Bookman Old Style" w:hAnsi="Bookman Old Style"/>
                <w:sz w:val="18"/>
                <w:szCs w:val="18"/>
                <w:lang w:val="id-ID"/>
              </w:rPr>
              <w:t>” antara lain Penyelenggara Layanan Pendanaan Bersama Berbasis Teknologi Informasi, PT Permodalan Nasional Madani (Persero), dan Penyelenggara Layanan Urun Dana.</w:t>
            </w:r>
          </w:p>
        </w:tc>
        <w:tc>
          <w:tcPr>
            <w:tcW w:w="3827" w:type="dxa"/>
          </w:tcPr>
          <w:p w14:paraId="35870F9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A2F7B1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8E43475" w14:textId="1A92A163" w:rsidTr="00217FB7">
        <w:tc>
          <w:tcPr>
            <w:tcW w:w="3828" w:type="dxa"/>
          </w:tcPr>
          <w:p w14:paraId="12625ECC" w14:textId="36D9A9C8"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II</w:t>
            </w:r>
          </w:p>
        </w:tc>
        <w:tc>
          <w:tcPr>
            <w:tcW w:w="4394" w:type="dxa"/>
          </w:tcPr>
          <w:p w14:paraId="62DB7F9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9BAA8A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6461FF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FCBA955" w14:textId="4B46229F" w:rsidTr="00217FB7">
        <w:tc>
          <w:tcPr>
            <w:tcW w:w="3828" w:type="dxa"/>
          </w:tcPr>
          <w:p w14:paraId="411E53E1" w14:textId="3AFA17AD"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LITERASI KEUANGAN</w:t>
            </w:r>
          </w:p>
        </w:tc>
        <w:tc>
          <w:tcPr>
            <w:tcW w:w="4394" w:type="dxa"/>
          </w:tcPr>
          <w:p w14:paraId="4384AC1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3C9CD0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CAB155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A4C1A70" w14:textId="2A5D78F4" w:rsidTr="00217FB7">
        <w:tc>
          <w:tcPr>
            <w:tcW w:w="3828" w:type="dxa"/>
          </w:tcPr>
          <w:p w14:paraId="26257B4A" w14:textId="1A37A2AB"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w:t>
            </w:r>
          </w:p>
        </w:tc>
        <w:tc>
          <w:tcPr>
            <w:tcW w:w="4394" w:type="dxa"/>
          </w:tcPr>
          <w:p w14:paraId="06F79A08" w14:textId="2F7BEED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w:t>
            </w:r>
          </w:p>
        </w:tc>
        <w:tc>
          <w:tcPr>
            <w:tcW w:w="3827" w:type="dxa"/>
          </w:tcPr>
          <w:p w14:paraId="63DCD7B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EF5E8C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4827C79" w14:textId="1AF006B7" w:rsidTr="00217FB7">
        <w:tc>
          <w:tcPr>
            <w:tcW w:w="3828" w:type="dxa"/>
          </w:tcPr>
          <w:p w14:paraId="449F12CE" w14:textId="4A96009E"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wajib melaksanakan kegiatan untuk meningkatkan Literasi Keuangan.</w:t>
            </w:r>
          </w:p>
        </w:tc>
        <w:tc>
          <w:tcPr>
            <w:tcW w:w="4394" w:type="dxa"/>
          </w:tcPr>
          <w:p w14:paraId="25A133B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3669FC66" w14:textId="007A588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Kegiatan untuk meningkatkan Literasi Keuangan dilaksanakan oleh PUJK kepada Konsumen dan/atau masyarakat, bukan kepada pegawai PUJK yang bersangkutan atau </w:t>
            </w:r>
            <w:r w:rsidRPr="007C3531">
              <w:rPr>
                <w:rFonts w:ascii="Bookman Old Style" w:hAnsi="Bookman Old Style"/>
                <w:sz w:val="18"/>
                <w:szCs w:val="18"/>
                <w:lang w:val="id-ID"/>
              </w:rPr>
              <w:lastRenderedPageBreak/>
              <w:t>pihak lain sebagai upaya untuk meningkatkan kapasitas penjualan.</w:t>
            </w:r>
          </w:p>
        </w:tc>
        <w:tc>
          <w:tcPr>
            <w:tcW w:w="3827" w:type="dxa"/>
          </w:tcPr>
          <w:p w14:paraId="1DD5F771" w14:textId="65702C54"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53E6DF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A27CDA2" w14:textId="470CEA74" w:rsidTr="00217FB7">
        <w:tc>
          <w:tcPr>
            <w:tcW w:w="3828" w:type="dxa"/>
          </w:tcPr>
          <w:p w14:paraId="0CEE004F" w14:textId="3499EA19"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Kewajiban PUJK atas pelaksanaan kegiatan sebagaimana dimaksud pada ayat (1) dilakukan sebagai program tahunan dan wajib dilakukan paling sedikit 1 (satu) kali dalam 1 (satu) semester.</w:t>
            </w:r>
          </w:p>
        </w:tc>
        <w:tc>
          <w:tcPr>
            <w:tcW w:w="4394" w:type="dxa"/>
          </w:tcPr>
          <w:p w14:paraId="218E7BB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403F6E4F" w14:textId="3EA1700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BF6E7CF"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558B428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95C5322" w14:textId="5A84EFF7" w:rsidTr="00217FB7">
        <w:tc>
          <w:tcPr>
            <w:tcW w:w="3828" w:type="dxa"/>
          </w:tcPr>
          <w:p w14:paraId="78F260DA" w14:textId="2CE28B44"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Kewajiban PUJK atas pelaksanaan kegiatan untuk meningkatkan Literasi Keuangan dilakukan sesuai dengan pedoman di masing-masing PUJK.</w:t>
            </w:r>
          </w:p>
        </w:tc>
        <w:tc>
          <w:tcPr>
            <w:tcW w:w="4394" w:type="dxa"/>
          </w:tcPr>
          <w:p w14:paraId="503D7D0B" w14:textId="3C65145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057A7752" w14:textId="34EBD7E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6403C76"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8F6C147"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BDDCBDE" w14:textId="6D61A5DE" w:rsidTr="00217FB7">
        <w:tc>
          <w:tcPr>
            <w:tcW w:w="3828" w:type="dxa"/>
          </w:tcPr>
          <w:p w14:paraId="48330E1B" w14:textId="77777777" w:rsidR="003922B4" w:rsidRPr="007C3531" w:rsidRDefault="003922B4" w:rsidP="00E405C6">
            <w:pPr>
              <w:pStyle w:val="ListParagraph"/>
              <w:numPr>
                <w:ilvl w:val="0"/>
                <w:numId w:val="4"/>
              </w:numPr>
              <w:spacing w:line="276" w:lineRule="auto"/>
              <w:ind w:left="323"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PUJK yang melanggar ketentuan sebagaimana dimaksud pada ayat (1) dan ayat (2) dapat dikenai sanksi administratif berupa: </w:t>
            </w:r>
          </w:p>
          <w:p w14:paraId="69B0F9B2" w14:textId="77777777" w:rsidR="003922B4" w:rsidRPr="007C3531" w:rsidRDefault="003922B4" w:rsidP="0020519A">
            <w:pPr>
              <w:pStyle w:val="ListParagraph"/>
              <w:numPr>
                <w:ilvl w:val="0"/>
                <w:numId w:val="26"/>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peringatan tertulis;</w:t>
            </w:r>
          </w:p>
          <w:p w14:paraId="45682457" w14:textId="77777777" w:rsidR="003922B4" w:rsidRPr="007C3531" w:rsidRDefault="003922B4" w:rsidP="0020519A">
            <w:pPr>
              <w:pStyle w:val="ListParagraph"/>
              <w:numPr>
                <w:ilvl w:val="0"/>
                <w:numId w:val="26"/>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denda; dan</w:t>
            </w:r>
          </w:p>
          <w:p w14:paraId="68B89EB7" w14:textId="4746EF0D" w:rsidR="003922B4" w:rsidRPr="007C3531" w:rsidRDefault="003922B4" w:rsidP="0020519A">
            <w:pPr>
              <w:pStyle w:val="ListParagraph"/>
              <w:numPr>
                <w:ilvl w:val="0"/>
                <w:numId w:val="26"/>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larangan sebagai pihak utama sesuai dengan Peraturan Otoritas Jasa Keuangan mengenai penilaian kembali bagi pihak utama Lembaga Jasa Keuangan</w:t>
            </w:r>
          </w:p>
        </w:tc>
        <w:tc>
          <w:tcPr>
            <w:tcW w:w="4394" w:type="dxa"/>
          </w:tcPr>
          <w:p w14:paraId="61F300F6" w14:textId="421E94A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(4)</w:t>
            </w:r>
          </w:p>
          <w:p w14:paraId="0DADCF8A" w14:textId="070EFD9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“pihak utama” adalah anggota Direksi dan/atau anggota Dewan Komisaris.</w:t>
            </w:r>
          </w:p>
        </w:tc>
        <w:tc>
          <w:tcPr>
            <w:tcW w:w="3827" w:type="dxa"/>
          </w:tcPr>
          <w:p w14:paraId="5FFF9AA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56253720"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5DE7FDD" w14:textId="6CC09BAB" w:rsidTr="00217FB7">
        <w:tc>
          <w:tcPr>
            <w:tcW w:w="3828" w:type="dxa"/>
          </w:tcPr>
          <w:p w14:paraId="510B18A1" w14:textId="34DE5837"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Sanksi sebagaimana dimaksud pada ayat (4) huruf b dan huruf c dapat dikenakan dengan atau tanpa didahului pengenaan sanksi peringatan tertulis sebagaimana dimaksud pada ayat (4) huruf a.</w:t>
            </w:r>
          </w:p>
        </w:tc>
        <w:tc>
          <w:tcPr>
            <w:tcW w:w="4394" w:type="dxa"/>
          </w:tcPr>
          <w:p w14:paraId="4278C1C5" w14:textId="1DF0CCC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(5)</w:t>
            </w:r>
          </w:p>
          <w:p w14:paraId="31BCB879" w14:textId="27D5CF2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FFDC796"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420CF2E"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1A26C6AD" w14:textId="69B8EC74" w:rsidTr="00217FB7">
        <w:tc>
          <w:tcPr>
            <w:tcW w:w="3828" w:type="dxa"/>
          </w:tcPr>
          <w:p w14:paraId="5A6E3F1D" w14:textId="2EB46830"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Otoritas Jasa Keuangan dapat mengumumkan pengenaan sanksi administratif sebagaimana dimaksud pada ayat (4) kepada masyarakat.</w:t>
            </w:r>
          </w:p>
        </w:tc>
        <w:tc>
          <w:tcPr>
            <w:tcW w:w="4394" w:type="dxa"/>
          </w:tcPr>
          <w:p w14:paraId="2DAE8BB1" w14:textId="42F8F76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(6)</w:t>
            </w:r>
          </w:p>
          <w:p w14:paraId="52781DFD" w14:textId="50794DD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652366AC"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65408B0"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E4E9F60" w14:textId="10DE2D05" w:rsidTr="00217FB7">
        <w:tc>
          <w:tcPr>
            <w:tcW w:w="3828" w:type="dxa"/>
          </w:tcPr>
          <w:p w14:paraId="301D7062" w14:textId="05D35FC0" w:rsidR="003922B4" w:rsidRPr="007C3531" w:rsidRDefault="003922B4" w:rsidP="00E405C6">
            <w:pPr>
              <w:pStyle w:val="ListParagraph"/>
              <w:numPr>
                <w:ilvl w:val="0"/>
                <w:numId w:val="4"/>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Sanksi denda sebagaimana dimaksud pada ayat (4) huruf b dapat</w:t>
            </w:r>
            <w:r w:rsidRPr="007C3531">
              <w:rPr>
                <w:rFonts w:ascii="Bookman Old Style" w:eastAsia="Times New Roman" w:hAnsi="Bookman Old Style"/>
                <w:bCs/>
                <w:sz w:val="18"/>
                <w:szCs w:val="18"/>
                <w:lang w:val="id-ID"/>
              </w:rPr>
              <w:t xml:space="preserve"> dikenakan paling banyak sebesar Rp15.000.000.000,00 (lima belas miliar rupiah).</w:t>
            </w:r>
          </w:p>
        </w:tc>
        <w:tc>
          <w:tcPr>
            <w:tcW w:w="4394" w:type="dxa"/>
          </w:tcPr>
          <w:p w14:paraId="690156E1" w14:textId="6678154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(7)</w:t>
            </w:r>
          </w:p>
          <w:p w14:paraId="746D3C6F" w14:textId="58ABBA7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DB4708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671CDA4"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73182D5" w14:textId="46EAE897" w:rsidTr="00217FB7">
        <w:tc>
          <w:tcPr>
            <w:tcW w:w="3828" w:type="dxa"/>
          </w:tcPr>
          <w:p w14:paraId="1FD3D317" w14:textId="6F60284D"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Kesatu</w:t>
            </w:r>
          </w:p>
        </w:tc>
        <w:tc>
          <w:tcPr>
            <w:tcW w:w="4394" w:type="dxa"/>
          </w:tcPr>
          <w:p w14:paraId="1C55D3E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3AE0CE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CE9C4C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FBADDC5" w14:textId="6F2F74B6" w:rsidTr="00217FB7">
        <w:tc>
          <w:tcPr>
            <w:tcW w:w="3828" w:type="dxa"/>
          </w:tcPr>
          <w:p w14:paraId="7085226F" w14:textId="26A85889"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Ruang Lingkup Kegiatan untuk Meningkatkan Literasi Keuangan</w:t>
            </w:r>
          </w:p>
        </w:tc>
        <w:tc>
          <w:tcPr>
            <w:tcW w:w="4394" w:type="dxa"/>
          </w:tcPr>
          <w:p w14:paraId="3E86F44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A56670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A9D699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44E4645" w14:textId="53E7DED4" w:rsidTr="00217FB7">
        <w:tc>
          <w:tcPr>
            <w:tcW w:w="3828" w:type="dxa"/>
          </w:tcPr>
          <w:p w14:paraId="68B50BE7" w14:textId="7DBA41F1"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4</w:t>
            </w:r>
          </w:p>
        </w:tc>
        <w:tc>
          <w:tcPr>
            <w:tcW w:w="4394" w:type="dxa"/>
          </w:tcPr>
          <w:p w14:paraId="0496916F" w14:textId="4F3632D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4</w:t>
            </w:r>
          </w:p>
        </w:tc>
        <w:tc>
          <w:tcPr>
            <w:tcW w:w="3827" w:type="dxa"/>
          </w:tcPr>
          <w:p w14:paraId="1F56141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15C4E3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1AC85CC" w14:textId="4D31A710" w:rsidTr="00217FB7">
        <w:tc>
          <w:tcPr>
            <w:tcW w:w="3828" w:type="dxa"/>
          </w:tcPr>
          <w:p w14:paraId="66FF5C3B"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Ruang lingkup kegiatan untuk meningkatkan Literasi Keuangan sebagaimana dimaksud dalam Pasal 3 ayat (1) adalah perencanaan dan pelaksanaan atas: </w:t>
            </w:r>
          </w:p>
          <w:p w14:paraId="6D823300" w14:textId="77777777" w:rsidR="003922B4" w:rsidRPr="007C3531" w:rsidRDefault="003922B4" w:rsidP="0020519A">
            <w:pPr>
              <w:numPr>
                <w:ilvl w:val="0"/>
                <w:numId w:val="27"/>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Edukasi Keuangan; dan </w:t>
            </w:r>
          </w:p>
          <w:p w14:paraId="36EB7299" w14:textId="77777777" w:rsidR="003922B4" w:rsidRPr="007C3531" w:rsidRDefault="003922B4" w:rsidP="0020519A">
            <w:pPr>
              <w:numPr>
                <w:ilvl w:val="0"/>
                <w:numId w:val="27"/>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pengembangan infrastruktur yang mendukung Literasi Keuangan bagi Konsumen dan/atau masyarakat.</w:t>
            </w:r>
          </w:p>
          <w:p w14:paraId="6C75EB44"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p>
        </w:tc>
        <w:tc>
          <w:tcPr>
            <w:tcW w:w="4394" w:type="dxa"/>
          </w:tcPr>
          <w:p w14:paraId="6CE9F46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02CF6F17" w14:textId="2677993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AE581A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4E3002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182A893" w14:textId="1389E0B1" w:rsidTr="00217FB7">
        <w:tc>
          <w:tcPr>
            <w:tcW w:w="3828" w:type="dxa"/>
          </w:tcPr>
          <w:p w14:paraId="4408AD19"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5</w:t>
            </w:r>
          </w:p>
        </w:tc>
        <w:tc>
          <w:tcPr>
            <w:tcW w:w="4394" w:type="dxa"/>
          </w:tcPr>
          <w:p w14:paraId="1BE56B7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5</w:t>
            </w:r>
          </w:p>
        </w:tc>
        <w:tc>
          <w:tcPr>
            <w:tcW w:w="3827" w:type="dxa"/>
          </w:tcPr>
          <w:p w14:paraId="4B59078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B7D97D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AECAC44" w14:textId="0C367C55" w:rsidTr="00217FB7">
        <w:tc>
          <w:tcPr>
            <w:tcW w:w="3828" w:type="dxa"/>
          </w:tcPr>
          <w:p w14:paraId="0428F88A" w14:textId="77777777" w:rsidR="003922B4" w:rsidRPr="007C3531" w:rsidRDefault="003922B4" w:rsidP="00E405C6">
            <w:pPr>
              <w:pStyle w:val="ListParagraph"/>
              <w:numPr>
                <w:ilvl w:val="0"/>
                <w:numId w:val="5"/>
              </w:numPr>
              <w:spacing w:line="276" w:lineRule="auto"/>
              <w:ind w:left="360"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Pelaksanaan kegiatan untuk meningkatkan Literasi Keuangan sebagaimana dimaksud dalam Pasal 3 ayat (1) dilakukan berdasarkan prinsip: </w:t>
            </w:r>
          </w:p>
          <w:p w14:paraId="32D3738A" w14:textId="040032B7" w:rsidR="003922B4" w:rsidRPr="007C3531" w:rsidRDefault="003922B4" w:rsidP="0020519A">
            <w:pPr>
              <w:pStyle w:val="ListParagraph"/>
              <w:numPr>
                <w:ilvl w:val="0"/>
                <w:numId w:val="28"/>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terencana dan terukur; </w:t>
            </w:r>
          </w:p>
          <w:p w14:paraId="750451D1" w14:textId="7359EC14" w:rsidR="003922B4" w:rsidRPr="007C3531" w:rsidRDefault="003922B4" w:rsidP="0020519A">
            <w:pPr>
              <w:pStyle w:val="ListParagraph"/>
              <w:numPr>
                <w:ilvl w:val="0"/>
                <w:numId w:val="28"/>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berorientasi pada pencapaian; dan</w:t>
            </w:r>
          </w:p>
          <w:p w14:paraId="7C89E3C5" w14:textId="05FBF474" w:rsidR="003922B4" w:rsidRPr="007C3531" w:rsidRDefault="003922B4" w:rsidP="0020519A">
            <w:pPr>
              <w:pStyle w:val="ListParagraph"/>
              <w:numPr>
                <w:ilvl w:val="0"/>
                <w:numId w:val="28"/>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berkelanjutan.</w:t>
            </w:r>
          </w:p>
        </w:tc>
        <w:tc>
          <w:tcPr>
            <w:tcW w:w="4394" w:type="dxa"/>
          </w:tcPr>
          <w:p w14:paraId="6945306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00CAA74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392D0BE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“terencana dan terukur” adalah kegiatan yang dilakukan memiliki konsep yang sesuai dengan sasaran, strategi, kebijakan otoritas, dan kebijakan PUJK serta memiliki indikator untuk memperoleh informasi peningkatan Literasi Keuangan.</w:t>
            </w:r>
          </w:p>
          <w:p w14:paraId="102E182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5360457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“berorientasi pada pencapaian” adalah kegiatan yang dilakukan mampu mencapai tujuan peningkatan Literasi </w:t>
            </w:r>
            <w:r w:rsidRPr="007C3531">
              <w:rPr>
                <w:rFonts w:ascii="Bookman Old Style" w:hAnsi="Bookman Old Style"/>
                <w:sz w:val="18"/>
                <w:szCs w:val="18"/>
                <w:lang w:val="id-ID"/>
              </w:rPr>
              <w:lastRenderedPageBreak/>
              <w:t>Keuangan dengan mengoptimalkan sumber daya yang ada.</w:t>
            </w:r>
          </w:p>
          <w:p w14:paraId="2F56994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387D429C" w14:textId="28436D4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“berkelanjutan” adalah kegiatan yang dilakukan secara berkesinambungan untuk mencapai tujuan yang direncanakan serta memiliki aspek jangka panjang. Dalam penerapan prinsip berkelanjutan, PUJK perlu mengutamakan pemahaman Konsumen dan/atau masyarakat mengenai materi dan/atau informasi Edukasi Keuangan.</w:t>
            </w:r>
          </w:p>
        </w:tc>
        <w:tc>
          <w:tcPr>
            <w:tcW w:w="3827" w:type="dxa"/>
          </w:tcPr>
          <w:p w14:paraId="38713AE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14C73F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38F992A" w14:textId="0D098F38" w:rsidTr="00217FB7">
        <w:tc>
          <w:tcPr>
            <w:tcW w:w="3828" w:type="dxa"/>
          </w:tcPr>
          <w:p w14:paraId="495C20A7" w14:textId="581C546C" w:rsidR="003922B4" w:rsidRPr="007C3531" w:rsidRDefault="003922B4" w:rsidP="00E405C6">
            <w:pPr>
              <w:pStyle w:val="ListParagraph"/>
              <w:numPr>
                <w:ilvl w:val="0"/>
                <w:numId w:val="5"/>
              </w:numPr>
              <w:spacing w:line="276" w:lineRule="auto"/>
              <w:ind w:left="360"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dapat bekerja sama dengan pihak lain dalam melaksanakan kegiatan untuk meningkatkan Literasi Keuangan.</w:t>
            </w:r>
          </w:p>
        </w:tc>
        <w:tc>
          <w:tcPr>
            <w:tcW w:w="4394" w:type="dxa"/>
          </w:tcPr>
          <w:p w14:paraId="74CDD291" w14:textId="5F15538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6E5D805B" w14:textId="2112E4A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“pihak lain” antara lain otoritas, PUJK lain, asosiasi PUJK, instansi pemerintah, peneliti, akademisi, badan usaha, organisasi, lembaga swadaya masyarakat, dan/atau komunitas, baik yang berasal dari dalam maupun luar negeri.</w:t>
            </w:r>
          </w:p>
        </w:tc>
        <w:tc>
          <w:tcPr>
            <w:tcW w:w="3827" w:type="dxa"/>
          </w:tcPr>
          <w:p w14:paraId="14120D2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2C80B9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7813089" w14:textId="0F70AAAC" w:rsidTr="00217FB7">
        <w:tc>
          <w:tcPr>
            <w:tcW w:w="3828" w:type="dxa"/>
          </w:tcPr>
          <w:p w14:paraId="7DE0CC31" w14:textId="7483351A" w:rsidR="003922B4" w:rsidRPr="007C3531" w:rsidRDefault="003922B4" w:rsidP="00E405C6">
            <w:pPr>
              <w:pStyle w:val="ListParagraph"/>
              <w:numPr>
                <w:ilvl w:val="0"/>
                <w:numId w:val="5"/>
              </w:numPr>
              <w:spacing w:line="276" w:lineRule="auto"/>
              <w:ind w:left="360"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Dalam hal PUJK bekerja sama sebagaimana dimaksud pada ayat (2) dengan PUJK lain, PUJK dapat bekerja sama paling banyak dengan 3 (tiga) PUJK lain.</w:t>
            </w:r>
          </w:p>
        </w:tc>
        <w:tc>
          <w:tcPr>
            <w:tcW w:w="4394" w:type="dxa"/>
          </w:tcPr>
          <w:p w14:paraId="1713F260" w14:textId="4518C4F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34067D98" w14:textId="0DEA76C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80D0B8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05038A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B727728" w14:textId="509AA3BB" w:rsidTr="00217FB7">
        <w:tc>
          <w:tcPr>
            <w:tcW w:w="3828" w:type="dxa"/>
          </w:tcPr>
          <w:p w14:paraId="3C3AACF8"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6</w:t>
            </w:r>
          </w:p>
        </w:tc>
        <w:tc>
          <w:tcPr>
            <w:tcW w:w="4394" w:type="dxa"/>
          </w:tcPr>
          <w:p w14:paraId="320A87B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6</w:t>
            </w:r>
          </w:p>
        </w:tc>
        <w:tc>
          <w:tcPr>
            <w:tcW w:w="3827" w:type="dxa"/>
          </w:tcPr>
          <w:p w14:paraId="5905B80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7880BF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F514EFA" w14:textId="19408E3A" w:rsidTr="00217FB7">
        <w:tc>
          <w:tcPr>
            <w:tcW w:w="3828" w:type="dxa"/>
          </w:tcPr>
          <w:p w14:paraId="05F37DC2"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Pelaksanaan kegiatan untuk meningkatkan Literasi Keuangan sebagaimana dimaksud dalam Pasal 3 ayat (1) dilakukan dengan menghindari: </w:t>
            </w:r>
          </w:p>
          <w:p w14:paraId="692C20B7" w14:textId="77777777" w:rsidR="003922B4" w:rsidRPr="007C3531" w:rsidRDefault="003922B4" w:rsidP="0020519A">
            <w:pPr>
              <w:numPr>
                <w:ilvl w:val="0"/>
                <w:numId w:val="25"/>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penggunaan merek produk dan/atau layanan tertentu; dan/atau </w:t>
            </w:r>
          </w:p>
          <w:p w14:paraId="0264D21E" w14:textId="3D41EF02" w:rsidR="003922B4" w:rsidRPr="007C3531" w:rsidRDefault="003922B4" w:rsidP="0020519A">
            <w:pPr>
              <w:numPr>
                <w:ilvl w:val="0"/>
                <w:numId w:val="25"/>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penjualan merek produk dan/atau layanan tertentu.</w:t>
            </w:r>
          </w:p>
        </w:tc>
        <w:tc>
          <w:tcPr>
            <w:tcW w:w="4394" w:type="dxa"/>
          </w:tcPr>
          <w:p w14:paraId="0F919F0B"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Yang dimaksud dengan “merek produk dan/atau layanan” adalah nama dari produk dan/atau layanan yang disediakan oleh PUJK sebagai tanda pengenal.</w:t>
            </w:r>
          </w:p>
          <w:p w14:paraId="608F2B3B"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Merek produk dan/atau layanan berbeda dengan nama dan logo PUJK.</w:t>
            </w:r>
          </w:p>
          <w:p w14:paraId="7B8645B8" w14:textId="6F7A6626"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Bentuk larangan penggunaan dimaksud antara lain mencantumkan merek produk dan/atau </w:t>
            </w:r>
            <w:r w:rsidRPr="007C3531">
              <w:rPr>
                <w:rFonts w:ascii="Bookman Old Style" w:hAnsi="Bookman Old Style"/>
                <w:sz w:val="18"/>
                <w:szCs w:val="18"/>
                <w:lang w:val="id-ID"/>
              </w:rPr>
              <w:lastRenderedPageBreak/>
              <w:t>layanan dalam materi dan/atau informasi Edukasi Keuangan.</w:t>
            </w:r>
          </w:p>
        </w:tc>
        <w:tc>
          <w:tcPr>
            <w:tcW w:w="3827" w:type="dxa"/>
          </w:tcPr>
          <w:p w14:paraId="300372A1" w14:textId="06A00D0A"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C9D0C1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CA30A6F" w14:textId="0FE54046" w:rsidTr="00217FB7">
        <w:tc>
          <w:tcPr>
            <w:tcW w:w="3828" w:type="dxa"/>
          </w:tcPr>
          <w:p w14:paraId="3D4F810C" w14:textId="3E890BB3"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Kedua</w:t>
            </w:r>
          </w:p>
        </w:tc>
        <w:tc>
          <w:tcPr>
            <w:tcW w:w="4394" w:type="dxa"/>
          </w:tcPr>
          <w:p w14:paraId="2E6C8774" w14:textId="2C776D1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4953F1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8DF6B3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073E066" w14:textId="5E20CFC8" w:rsidTr="00217FB7">
        <w:tc>
          <w:tcPr>
            <w:tcW w:w="3828" w:type="dxa"/>
          </w:tcPr>
          <w:p w14:paraId="7064813D" w14:textId="01C20BE9"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Rencana Kegiatan untuk Meningkatkan Literasi Keuangan</w:t>
            </w:r>
          </w:p>
        </w:tc>
        <w:tc>
          <w:tcPr>
            <w:tcW w:w="4394" w:type="dxa"/>
          </w:tcPr>
          <w:p w14:paraId="5ABEEC7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982228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BD00B5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3578E33" w14:textId="674FE0B8" w:rsidTr="00217FB7">
        <w:tc>
          <w:tcPr>
            <w:tcW w:w="3828" w:type="dxa"/>
          </w:tcPr>
          <w:p w14:paraId="55D4286D"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7</w:t>
            </w:r>
          </w:p>
        </w:tc>
        <w:tc>
          <w:tcPr>
            <w:tcW w:w="4394" w:type="dxa"/>
          </w:tcPr>
          <w:p w14:paraId="471FD13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7</w:t>
            </w:r>
          </w:p>
        </w:tc>
        <w:tc>
          <w:tcPr>
            <w:tcW w:w="3827" w:type="dxa"/>
          </w:tcPr>
          <w:p w14:paraId="2AA9E8D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E6CE40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B411CBE" w14:textId="3275FEE6" w:rsidTr="00217FB7">
        <w:tc>
          <w:tcPr>
            <w:tcW w:w="3828" w:type="dxa"/>
          </w:tcPr>
          <w:p w14:paraId="60F7168A" w14:textId="4F9CCC95" w:rsidR="003922B4" w:rsidRPr="007C3531" w:rsidRDefault="003922B4" w:rsidP="00E405C6">
            <w:pPr>
              <w:pStyle w:val="ListParagraph"/>
              <w:numPr>
                <w:ilvl w:val="0"/>
                <w:numId w:val="6"/>
              </w:numPr>
              <w:spacing w:line="276" w:lineRule="auto"/>
              <w:ind w:left="323"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harus melakukan penyusunan rencana kegiatan untuk meningkatkan Literasi Keuangan.</w:t>
            </w:r>
          </w:p>
        </w:tc>
        <w:tc>
          <w:tcPr>
            <w:tcW w:w="4394" w:type="dxa"/>
          </w:tcPr>
          <w:p w14:paraId="133C1AD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02288813" w14:textId="6953F3D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3FCE5FE1"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3C0834F"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5CFFC4A3" w14:textId="3B7A7206" w:rsidTr="00217FB7">
        <w:tc>
          <w:tcPr>
            <w:tcW w:w="3828" w:type="dxa"/>
          </w:tcPr>
          <w:p w14:paraId="3EC464F8" w14:textId="77777777" w:rsidR="003922B4" w:rsidRPr="007C3531" w:rsidRDefault="003922B4" w:rsidP="00E405C6">
            <w:pPr>
              <w:pStyle w:val="ListParagraph"/>
              <w:numPr>
                <w:ilvl w:val="0"/>
                <w:numId w:val="6"/>
              </w:numPr>
              <w:spacing w:line="276" w:lineRule="auto"/>
              <w:ind w:left="323"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Rencana kegiatan untuk meningkatkan Literasi Keuangan sebagaimana dimaksud pada ayat (1) paling kurang mencantumkan: </w:t>
            </w:r>
          </w:p>
          <w:p w14:paraId="0F6266EC" w14:textId="631A4DF9"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nama kegiatan;  </w:t>
            </w:r>
          </w:p>
          <w:p w14:paraId="4D1323A1" w14:textId="4C39A0AE"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tujuan kegiatan;  </w:t>
            </w:r>
          </w:p>
          <w:p w14:paraId="724AC4A8" w14:textId="2F6AFA13"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bentuk pelaksanaan;  </w:t>
            </w:r>
          </w:p>
          <w:p w14:paraId="396753D2" w14:textId="1AF8A431"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metode pelaksanaan;  </w:t>
            </w:r>
          </w:p>
          <w:p w14:paraId="4C07839E" w14:textId="7728B770"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materi dan/atau informasi;  </w:t>
            </w:r>
          </w:p>
          <w:p w14:paraId="5751268E" w14:textId="28ABF5FA"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sasaran dan jumlah peserta;  </w:t>
            </w:r>
          </w:p>
          <w:p w14:paraId="5F40ED7A" w14:textId="6CDB756B"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jadwal dan wilayah;  </w:t>
            </w:r>
          </w:p>
          <w:p w14:paraId="58E33DA1" w14:textId="30FCA4E6"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frekuensi pelaksanaan;  </w:t>
            </w:r>
          </w:p>
          <w:p w14:paraId="20C0414D" w14:textId="74F06664"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sumber dan jumlah biaya;  </w:t>
            </w:r>
          </w:p>
          <w:p w14:paraId="0A95EB76" w14:textId="70BBB96F"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metode dan sarana pengukuran; dan  </w:t>
            </w:r>
          </w:p>
          <w:p w14:paraId="3BF89557" w14:textId="53029BC6" w:rsidR="003922B4" w:rsidRPr="007C3531" w:rsidRDefault="003922B4" w:rsidP="0020519A">
            <w:pPr>
              <w:pStyle w:val="ListParagraph"/>
              <w:numPr>
                <w:ilvl w:val="0"/>
                <w:numId w:val="3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parameter dan bentuk pemantauan dan/atau evaluasi.</w:t>
            </w:r>
          </w:p>
        </w:tc>
        <w:tc>
          <w:tcPr>
            <w:tcW w:w="4394" w:type="dxa"/>
          </w:tcPr>
          <w:p w14:paraId="7AD4B18B" w14:textId="023C85B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5CA8695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43DDC48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2DCA844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4D40977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41FE9E1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6004DD7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35B0B54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57286F7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4548106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e</w:t>
            </w:r>
          </w:p>
          <w:p w14:paraId="78AAFF4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53107D9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f</w:t>
            </w:r>
          </w:p>
          <w:p w14:paraId="3AAFF80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0BCB186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g</w:t>
            </w:r>
          </w:p>
          <w:p w14:paraId="09733A6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249429E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h</w:t>
            </w:r>
          </w:p>
          <w:p w14:paraId="631779D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16AB57C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i</w:t>
            </w:r>
          </w:p>
          <w:p w14:paraId="46521E4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Cukup jelas.</w:t>
            </w:r>
          </w:p>
          <w:p w14:paraId="575FF56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j</w:t>
            </w:r>
          </w:p>
          <w:p w14:paraId="1756ADC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“metode pengukuran” adalah cara untuk mengetahui keluaran (</w:t>
            </w:r>
            <w:r w:rsidRPr="007C3531">
              <w:rPr>
                <w:rFonts w:ascii="Bookman Old Style" w:hAnsi="Bookman Old Style"/>
                <w:i/>
                <w:iCs/>
                <w:sz w:val="18"/>
                <w:szCs w:val="18"/>
                <w:lang w:val="id-ID"/>
              </w:rPr>
              <w:t>output)</w:t>
            </w:r>
            <w:r w:rsidRPr="007C3531">
              <w:rPr>
                <w:rFonts w:ascii="Bookman Old Style" w:hAnsi="Bookman Old Style"/>
                <w:sz w:val="18"/>
                <w:szCs w:val="18"/>
                <w:lang w:val="id-ID"/>
              </w:rPr>
              <w:t xml:space="preserve"> dan/atau hasil/dampak (</w:t>
            </w:r>
            <w:r w:rsidRPr="007C3531">
              <w:rPr>
                <w:rFonts w:ascii="Bookman Old Style" w:hAnsi="Bookman Old Style"/>
                <w:i/>
                <w:iCs/>
                <w:sz w:val="18"/>
                <w:szCs w:val="18"/>
                <w:lang w:val="id-ID"/>
              </w:rPr>
              <w:t>outcome)</w:t>
            </w:r>
            <w:r w:rsidRPr="007C3531">
              <w:rPr>
                <w:rFonts w:ascii="Bookman Old Style" w:hAnsi="Bookman Old Style"/>
                <w:sz w:val="18"/>
                <w:szCs w:val="18"/>
                <w:lang w:val="id-ID"/>
              </w:rPr>
              <w:t xml:space="preserve"> kegiatan untuk meningkatkan Literasi Keuangan, antara lain melalui:</w:t>
            </w:r>
          </w:p>
          <w:p w14:paraId="7354EBE7" w14:textId="77777777" w:rsidR="003922B4" w:rsidRPr="007C3531" w:rsidRDefault="003922B4" w:rsidP="0020519A">
            <w:pPr>
              <w:pStyle w:val="BodyText"/>
              <w:numPr>
                <w:ilvl w:val="0"/>
                <w:numId w:val="31"/>
              </w:numPr>
              <w:tabs>
                <w:tab w:val="left" w:pos="1800"/>
              </w:tabs>
              <w:spacing w:after="120" w:line="276" w:lineRule="auto"/>
              <w:rPr>
                <w:rFonts w:ascii="Bookman Old Style" w:hAnsi="Bookman Old Style"/>
                <w:sz w:val="18"/>
                <w:szCs w:val="18"/>
                <w:lang w:val="id-ID"/>
              </w:rPr>
            </w:pPr>
            <w:r w:rsidRPr="007C3531">
              <w:rPr>
                <w:rFonts w:ascii="Bookman Old Style" w:hAnsi="Bookman Old Style"/>
                <w:iCs/>
                <w:sz w:val="18"/>
                <w:szCs w:val="18"/>
                <w:lang w:val="id-ID"/>
              </w:rPr>
              <w:t>Tes awal</w:t>
            </w:r>
            <w:r w:rsidRPr="007C3531">
              <w:rPr>
                <w:rFonts w:ascii="Bookman Old Style" w:hAnsi="Bookman Old Style"/>
                <w:i/>
                <w:iCs/>
                <w:sz w:val="18"/>
                <w:szCs w:val="18"/>
                <w:lang w:val="id-ID"/>
              </w:rPr>
              <w:t xml:space="preserve"> (pre-test)</w:t>
            </w:r>
            <w:r w:rsidRPr="007C3531">
              <w:rPr>
                <w:rFonts w:ascii="Bookman Old Style" w:hAnsi="Bookman Old Style"/>
                <w:sz w:val="18"/>
                <w:szCs w:val="18"/>
                <w:lang w:val="id-ID"/>
              </w:rPr>
              <w:t xml:space="preserve"> dan tes akhir (</w:t>
            </w:r>
            <w:r w:rsidRPr="007C3531">
              <w:rPr>
                <w:rFonts w:ascii="Bookman Old Style" w:hAnsi="Bookman Old Style"/>
                <w:i/>
                <w:iCs/>
                <w:sz w:val="18"/>
                <w:szCs w:val="18"/>
                <w:lang w:val="id-ID"/>
              </w:rPr>
              <w:t>post-test)</w:t>
            </w:r>
            <w:r w:rsidRPr="007C3531">
              <w:rPr>
                <w:rFonts w:ascii="Bookman Old Style" w:hAnsi="Bookman Old Style"/>
                <w:sz w:val="18"/>
                <w:szCs w:val="18"/>
                <w:lang w:val="id-ID"/>
              </w:rPr>
              <w:t>, yaitu metode pengukuran yang membandingkan hasil sebelum dengan setelah pelaksanaan kegiatan untuk meningkatkan Literasi Keuangan;</w:t>
            </w:r>
          </w:p>
          <w:p w14:paraId="1BEAE37F" w14:textId="77777777" w:rsidR="003922B4" w:rsidRPr="007C3531" w:rsidRDefault="003922B4" w:rsidP="0020519A">
            <w:pPr>
              <w:pStyle w:val="BodyText"/>
              <w:numPr>
                <w:ilvl w:val="0"/>
                <w:numId w:val="31"/>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jajak pendapat, yaitu metode pengukuran bagi segmen tertentu, khususnya pengguna internet yang dapat dilakukan secara daring melalui laman atau media elektronik lainnya;</w:t>
            </w:r>
          </w:p>
          <w:p w14:paraId="1D264C3E" w14:textId="77777777" w:rsidR="003922B4" w:rsidRPr="007C3531" w:rsidRDefault="003922B4" w:rsidP="0020519A">
            <w:pPr>
              <w:pStyle w:val="BodyText"/>
              <w:numPr>
                <w:ilvl w:val="0"/>
                <w:numId w:val="31"/>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survei yaitu metode pengukuran untuk mengetahui tingkat Literasi Keuangan pada kelompok tertentu.</w:t>
            </w:r>
          </w:p>
          <w:p w14:paraId="6147967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“sarana pengukuran” adalah alat yang digunakan untuk mengetahui </w:t>
            </w:r>
            <w:r w:rsidRPr="007C3531">
              <w:rPr>
                <w:rFonts w:ascii="Bookman Old Style" w:hAnsi="Bookman Old Style"/>
                <w:i/>
                <w:iCs/>
                <w:sz w:val="18"/>
                <w:szCs w:val="18"/>
                <w:lang w:val="id-ID"/>
              </w:rPr>
              <w:t>output</w:t>
            </w:r>
            <w:r w:rsidRPr="007C3531">
              <w:rPr>
                <w:rFonts w:ascii="Bookman Old Style" w:hAnsi="Bookman Old Style"/>
                <w:sz w:val="18"/>
                <w:szCs w:val="18"/>
                <w:lang w:val="id-ID"/>
              </w:rPr>
              <w:t xml:space="preserve"> dan/atau </w:t>
            </w:r>
            <w:r w:rsidRPr="007C3531">
              <w:rPr>
                <w:rFonts w:ascii="Bookman Old Style" w:hAnsi="Bookman Old Style"/>
                <w:i/>
                <w:iCs/>
                <w:sz w:val="18"/>
                <w:szCs w:val="18"/>
                <w:lang w:val="id-ID"/>
              </w:rPr>
              <w:t>outcome</w:t>
            </w:r>
            <w:r w:rsidRPr="007C3531">
              <w:rPr>
                <w:rFonts w:ascii="Bookman Old Style" w:hAnsi="Bookman Old Style"/>
                <w:sz w:val="18"/>
                <w:szCs w:val="18"/>
                <w:lang w:val="id-ID"/>
              </w:rPr>
              <w:t xml:space="preserve"> kegiatan untuk meningkatkan Literasi Keuangan.</w:t>
            </w:r>
          </w:p>
          <w:p w14:paraId="1264A9C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k</w:t>
            </w:r>
          </w:p>
          <w:p w14:paraId="3AD1060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“pemantauan” adalah proses untuk melihat dan memastikan bahwa pelaksanaan kegiatan untuk meningkatkan Literasi Keuangan yang sedang berjalan sesuai dengan rencana yang telah disusun.</w:t>
            </w:r>
          </w:p>
          <w:p w14:paraId="7FE0841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“evaluasi” adalah proses untuk mengetahui dan menilai tingkat </w:t>
            </w:r>
            <w:r w:rsidRPr="007C3531">
              <w:rPr>
                <w:rFonts w:ascii="Bookman Old Style" w:hAnsi="Bookman Old Style"/>
                <w:sz w:val="18"/>
                <w:szCs w:val="18"/>
                <w:lang w:val="id-ID"/>
              </w:rPr>
              <w:lastRenderedPageBreak/>
              <w:t>keberhasilan kegiatan untuk meningkatkan Literasi Keuangan, baik dari sisi materi, infrastruktur dan pelaksanaannya dalam memberikan dampak yang diharapkan dan terlaksana secara efisien.</w:t>
            </w:r>
          </w:p>
          <w:p w14:paraId="4A860F3C" w14:textId="63377E5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Pemantauan dan evaluasi dilakukan terhadap proses maupun dampak dari kegiatan untuk meningkatkan Literasi Keuangan yang dilaksanakan. Hasil pemantauan dan/atau evaluasi dimaksud dapat digunakan sebagai acuan dalam perencanaan dan pelaksanaan kegiatan untuk meningkatkan Literasi Keuangan pada tahun berikutnya.</w:t>
            </w:r>
          </w:p>
        </w:tc>
        <w:tc>
          <w:tcPr>
            <w:tcW w:w="3827" w:type="dxa"/>
          </w:tcPr>
          <w:p w14:paraId="1403487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37521A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96C2D9F" w14:textId="1F97E1FA" w:rsidTr="00217FB7">
        <w:tc>
          <w:tcPr>
            <w:tcW w:w="3828" w:type="dxa"/>
          </w:tcPr>
          <w:p w14:paraId="5B277F06" w14:textId="694631DA" w:rsidR="003922B4" w:rsidRPr="007C3531" w:rsidRDefault="003922B4" w:rsidP="00E405C6">
            <w:pPr>
              <w:pStyle w:val="ListParagraph"/>
              <w:numPr>
                <w:ilvl w:val="0"/>
                <w:numId w:val="6"/>
              </w:numPr>
              <w:spacing w:line="276" w:lineRule="auto"/>
              <w:ind w:left="323"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Pelaksanaan kegiatan untuk meningkatkan Literasi Keuangan yang tercantum dalam rencana sebagaimana dimaksud pada ayat (1) dapat menjadi bagian dari kegiatan tanggung jawab sosial (</w:t>
            </w:r>
            <w:r w:rsidRPr="007C3531">
              <w:rPr>
                <w:rFonts w:ascii="Bookman Old Style" w:hAnsi="Bookman Old Style"/>
                <w:i/>
                <w:sz w:val="18"/>
                <w:szCs w:val="18"/>
                <w:lang w:val="id-ID"/>
              </w:rPr>
              <w:t>corporate social responsibility</w:t>
            </w:r>
            <w:r w:rsidRPr="007C3531">
              <w:rPr>
                <w:rFonts w:ascii="Bookman Old Style" w:hAnsi="Bookman Old Style"/>
                <w:sz w:val="18"/>
                <w:szCs w:val="18"/>
                <w:lang w:val="id-ID"/>
              </w:rPr>
              <w:t>/CSR) PUJK.</w:t>
            </w:r>
          </w:p>
        </w:tc>
        <w:tc>
          <w:tcPr>
            <w:tcW w:w="4394" w:type="dxa"/>
          </w:tcPr>
          <w:p w14:paraId="2278AE6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1540F2E8" w14:textId="02B16D0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Pelaksanaan kegiatan yang dapat menjadi bagian dari tanggung jawab sosial (</w:t>
            </w:r>
            <w:r w:rsidRPr="007C3531">
              <w:rPr>
                <w:rFonts w:ascii="Bookman Old Style" w:hAnsi="Bookman Old Style"/>
                <w:i/>
                <w:sz w:val="18"/>
                <w:szCs w:val="18"/>
                <w:lang w:val="id-ID"/>
              </w:rPr>
              <w:t>corporate social responsibility</w:t>
            </w:r>
            <w:r w:rsidRPr="007C3531">
              <w:rPr>
                <w:rFonts w:ascii="Bookman Old Style" w:hAnsi="Bookman Old Style"/>
                <w:sz w:val="18"/>
                <w:szCs w:val="18"/>
                <w:lang w:val="id-ID"/>
              </w:rPr>
              <w:t>/CSR) PUJK merupakan kegiatan yang ditujukan kepada pihak eksternal PUJK.</w:t>
            </w:r>
          </w:p>
        </w:tc>
        <w:tc>
          <w:tcPr>
            <w:tcW w:w="3827" w:type="dxa"/>
          </w:tcPr>
          <w:p w14:paraId="77B36D1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0C4E80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355197C" w14:textId="3D06DEFD" w:rsidTr="00217FB7">
        <w:tc>
          <w:tcPr>
            <w:tcW w:w="3828" w:type="dxa"/>
          </w:tcPr>
          <w:p w14:paraId="44B606B0" w14:textId="21E2D106"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Ketiga</w:t>
            </w:r>
          </w:p>
        </w:tc>
        <w:tc>
          <w:tcPr>
            <w:tcW w:w="4394" w:type="dxa"/>
          </w:tcPr>
          <w:p w14:paraId="162B727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BD41C7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BA5667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B137624" w14:textId="2358421D" w:rsidTr="00217FB7">
        <w:tc>
          <w:tcPr>
            <w:tcW w:w="3828" w:type="dxa"/>
          </w:tcPr>
          <w:p w14:paraId="23E41A17" w14:textId="1146EB78" w:rsidR="003922B4" w:rsidRPr="007C3531" w:rsidRDefault="003922B4" w:rsidP="0094636F">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Pelaksanaan Kegiatan untuk Meningkatkan Literasi Keuangan</w:t>
            </w:r>
          </w:p>
        </w:tc>
        <w:tc>
          <w:tcPr>
            <w:tcW w:w="4394" w:type="dxa"/>
          </w:tcPr>
          <w:p w14:paraId="00C9992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10655B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BED217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48C842D" w14:textId="2328836E" w:rsidTr="00217FB7">
        <w:tc>
          <w:tcPr>
            <w:tcW w:w="3828" w:type="dxa"/>
          </w:tcPr>
          <w:p w14:paraId="36F648A6" w14:textId="1B9AA924"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Paragraf 1</w:t>
            </w:r>
          </w:p>
        </w:tc>
        <w:tc>
          <w:tcPr>
            <w:tcW w:w="4394" w:type="dxa"/>
          </w:tcPr>
          <w:p w14:paraId="214DE82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4CF6CC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446E03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6F5F209" w14:textId="0E145BE0" w:rsidTr="00217FB7">
        <w:tc>
          <w:tcPr>
            <w:tcW w:w="3828" w:type="dxa"/>
          </w:tcPr>
          <w:p w14:paraId="220719F7" w14:textId="099F9AE9"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Edukasi Keuangan</w:t>
            </w:r>
          </w:p>
        </w:tc>
        <w:tc>
          <w:tcPr>
            <w:tcW w:w="4394" w:type="dxa"/>
          </w:tcPr>
          <w:p w14:paraId="057BCBD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79477F9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E15553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6BDBC81" w14:textId="5372618A" w:rsidTr="00217FB7">
        <w:tc>
          <w:tcPr>
            <w:tcW w:w="3828" w:type="dxa"/>
          </w:tcPr>
          <w:p w14:paraId="061EFDC3"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8</w:t>
            </w:r>
          </w:p>
        </w:tc>
        <w:tc>
          <w:tcPr>
            <w:tcW w:w="4394" w:type="dxa"/>
          </w:tcPr>
          <w:p w14:paraId="6DF9E2E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8</w:t>
            </w:r>
          </w:p>
        </w:tc>
        <w:tc>
          <w:tcPr>
            <w:tcW w:w="3827" w:type="dxa"/>
          </w:tcPr>
          <w:p w14:paraId="1D7042C2" w14:textId="4520F925"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614C71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D75D447" w14:textId="4625D282" w:rsidTr="00217FB7">
        <w:tc>
          <w:tcPr>
            <w:tcW w:w="3828" w:type="dxa"/>
          </w:tcPr>
          <w:p w14:paraId="67F58B42" w14:textId="327194B4" w:rsidR="003922B4" w:rsidRPr="007C3531" w:rsidRDefault="003922B4" w:rsidP="0020519A">
            <w:pPr>
              <w:pStyle w:val="ListParagraph"/>
              <w:numPr>
                <w:ilvl w:val="0"/>
                <w:numId w:val="29"/>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Kewajiban pelaksanaan kegiatan sebagaimana dimaksud dalam Pasal 3 ayat (2) harus memenuhi persyaratan paling sedikit 1 (satu) kali pelaksanaan berupa Edukasi Keuangan.</w:t>
            </w:r>
          </w:p>
        </w:tc>
        <w:tc>
          <w:tcPr>
            <w:tcW w:w="4394" w:type="dxa"/>
          </w:tcPr>
          <w:p w14:paraId="36191E39" w14:textId="29FBDEA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743E3209" w14:textId="2983E68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Apabila PUJK tidak melaksanakan kegiatan Edukasi Keuangan paling sedikit 1 (satu) kali, PUJK dianggap tidak melaksanakan kegiatan untuk meningkatkan Literasi Keuangan.</w:t>
            </w:r>
          </w:p>
        </w:tc>
        <w:tc>
          <w:tcPr>
            <w:tcW w:w="3827" w:type="dxa"/>
          </w:tcPr>
          <w:p w14:paraId="11127DE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4099E5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745CA71" w14:textId="700B6223" w:rsidTr="00217FB7">
        <w:tc>
          <w:tcPr>
            <w:tcW w:w="3828" w:type="dxa"/>
          </w:tcPr>
          <w:p w14:paraId="66FAC444" w14:textId="748B581F" w:rsidR="003922B4" w:rsidRPr="007C3531" w:rsidRDefault="003922B4" w:rsidP="0020519A">
            <w:pPr>
              <w:pStyle w:val="ListParagraph"/>
              <w:numPr>
                <w:ilvl w:val="0"/>
                <w:numId w:val="29"/>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Pelaksanaan Edukasi Keuangan sebagaimana dimaksud dalam Pasal 4 huruf a dilakukan dengan penyampaian materi dan/atau informasi Edukasi Keuangan kepada Konsumen dan/atau masyarakat.</w:t>
            </w:r>
          </w:p>
        </w:tc>
        <w:tc>
          <w:tcPr>
            <w:tcW w:w="4394" w:type="dxa"/>
          </w:tcPr>
          <w:p w14:paraId="434B088A" w14:textId="3B44B32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3D4850C0" w14:textId="44DF815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Materi Edukasi Keuangan disusun mengacu pada standar materi Edukasi Keuangan dengan memperhatikan strategi Literasi Keuangan dan Inklusi Keuangan di sektor jasa keuangan Indonesia yang dikeluarkan oleh Otoritas Jasa Keuangan.</w:t>
            </w:r>
          </w:p>
        </w:tc>
        <w:tc>
          <w:tcPr>
            <w:tcW w:w="3827" w:type="dxa"/>
          </w:tcPr>
          <w:p w14:paraId="1A4EACB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FC0DB5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AECDDB2" w14:textId="24AA7CFB" w:rsidTr="00217FB7">
        <w:tc>
          <w:tcPr>
            <w:tcW w:w="3828" w:type="dxa"/>
          </w:tcPr>
          <w:p w14:paraId="30B25681" w14:textId="77777777" w:rsidR="003922B4" w:rsidRPr="007C3531" w:rsidRDefault="003922B4" w:rsidP="0020519A">
            <w:pPr>
              <w:pStyle w:val="ListParagraph"/>
              <w:numPr>
                <w:ilvl w:val="0"/>
                <w:numId w:val="29"/>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Materi Edukasi Keuangan yang disampaikan oleh PUJK sebagaimana dimaksud dalam Pasal 4 huruf a, paling kurang mencakup: </w:t>
            </w:r>
          </w:p>
          <w:p w14:paraId="44AD644F" w14:textId="77777777" w:rsidR="003922B4" w:rsidRPr="007C3531" w:rsidRDefault="003922B4" w:rsidP="0020519A">
            <w:pPr>
              <w:pStyle w:val="ListParagraph"/>
              <w:numPr>
                <w:ilvl w:val="0"/>
                <w:numId w:val="32"/>
              </w:numPr>
              <w:spacing w:line="276" w:lineRule="auto"/>
              <w:ind w:left="72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karakteristik sektor jasa keuangan;</w:t>
            </w:r>
          </w:p>
          <w:p w14:paraId="4AEE158C" w14:textId="77777777" w:rsidR="003922B4" w:rsidRPr="007C3531" w:rsidRDefault="003922B4" w:rsidP="0020519A">
            <w:pPr>
              <w:pStyle w:val="ListParagraph"/>
              <w:numPr>
                <w:ilvl w:val="0"/>
                <w:numId w:val="32"/>
              </w:numPr>
              <w:spacing w:line="276" w:lineRule="auto"/>
              <w:ind w:left="72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karakteristik produk dan/atau layanan, yang terdiri dari: </w:t>
            </w:r>
          </w:p>
          <w:p w14:paraId="4175E468"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deskripsi; </w:t>
            </w:r>
          </w:p>
          <w:p w14:paraId="62C84052"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manfaat; </w:t>
            </w:r>
          </w:p>
          <w:p w14:paraId="37588220"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risiko; </w:t>
            </w:r>
          </w:p>
          <w:p w14:paraId="5984D486"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biaya; </w:t>
            </w:r>
          </w:p>
          <w:p w14:paraId="57D9FCC8"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hak dan kewajiban; </w:t>
            </w:r>
          </w:p>
          <w:p w14:paraId="60C37845"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cara mengakses; dan </w:t>
            </w:r>
          </w:p>
          <w:p w14:paraId="45E9D352" w14:textId="77777777" w:rsidR="003922B4" w:rsidRPr="007C3531" w:rsidRDefault="003922B4" w:rsidP="0020519A">
            <w:pPr>
              <w:pStyle w:val="ListParagraph"/>
              <w:numPr>
                <w:ilvl w:val="0"/>
                <w:numId w:val="33"/>
              </w:numPr>
              <w:spacing w:line="276" w:lineRule="auto"/>
              <w:ind w:left="108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penanganan pengaduan dan penyelesaian sengketa.</w:t>
            </w:r>
          </w:p>
          <w:p w14:paraId="365CCBFA" w14:textId="77777777" w:rsidR="003922B4" w:rsidRPr="007C3531" w:rsidRDefault="003922B4" w:rsidP="0020519A">
            <w:pPr>
              <w:pStyle w:val="ListParagraph"/>
              <w:numPr>
                <w:ilvl w:val="0"/>
                <w:numId w:val="32"/>
              </w:numPr>
              <w:spacing w:line="276" w:lineRule="auto"/>
              <w:ind w:left="72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pengelolaan keuangan; dan</w:t>
            </w:r>
          </w:p>
          <w:p w14:paraId="24FABC6B" w14:textId="210A11D6" w:rsidR="003922B4" w:rsidRPr="007C3531" w:rsidRDefault="003922B4" w:rsidP="0020519A">
            <w:pPr>
              <w:pStyle w:val="ListParagraph"/>
              <w:numPr>
                <w:ilvl w:val="0"/>
                <w:numId w:val="32"/>
              </w:numPr>
              <w:spacing w:line="276" w:lineRule="auto"/>
              <w:ind w:left="720"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perpajakan terkait produk dan/atau layanan.</w:t>
            </w:r>
          </w:p>
        </w:tc>
        <w:tc>
          <w:tcPr>
            <w:tcW w:w="4394" w:type="dxa"/>
          </w:tcPr>
          <w:p w14:paraId="309364CF" w14:textId="47BD882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2EB3D36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43C2976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Informasi mengenai karakteristik sektor jasa keuangan meliputi:</w:t>
            </w:r>
          </w:p>
          <w:p w14:paraId="1B37E520" w14:textId="4029667E" w:rsidR="003922B4" w:rsidRPr="007C3531" w:rsidRDefault="003922B4" w:rsidP="0020519A">
            <w:pPr>
              <w:pStyle w:val="BodyText"/>
              <w:numPr>
                <w:ilvl w:val="0"/>
                <w:numId w:val="35"/>
              </w:numPr>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sektor perbankan antara lain peran dan fungsi bank, kelembagaan, jenis-jenis bank, dan produk dan/atau layanan sektor perbankan secara umum baik konvensional maupun berdasarkan prinsip syariah;</w:t>
            </w:r>
          </w:p>
          <w:p w14:paraId="64045C98" w14:textId="77777777" w:rsidR="003922B4" w:rsidRPr="007C3531" w:rsidRDefault="003922B4" w:rsidP="00347FBE">
            <w:pPr>
              <w:pStyle w:val="BodyText"/>
              <w:numPr>
                <w:ilvl w:val="0"/>
                <w:numId w:val="35"/>
              </w:numPr>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sektor industri keuangan non bank antara lain lembaga yang terdapat pada sektor industri keuangan non bank, kelembagaan, produk dan/atau layanan sektor industri keuangan non bank secara umum baik konvensional maupun berdasarkan prinsip syariah; dan</w:t>
            </w:r>
          </w:p>
          <w:p w14:paraId="091F7144" w14:textId="4B4F0171" w:rsidR="003922B4" w:rsidRPr="007C3531" w:rsidRDefault="003922B4" w:rsidP="00347FBE">
            <w:pPr>
              <w:pStyle w:val="BodyText"/>
              <w:numPr>
                <w:ilvl w:val="0"/>
                <w:numId w:val="35"/>
              </w:numPr>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sektor pasar modal antara lain kelembagaan, pelaku pada pasar modal, dan produk dan/atau layanan di sektor pasar modal secara umum baik konvensional maupun berdasarkan prinsip syariah.</w:t>
            </w:r>
          </w:p>
          <w:p w14:paraId="1648EAD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0664EE6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1</w:t>
            </w:r>
          </w:p>
          <w:p w14:paraId="6919B74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Cukup jelas.</w:t>
            </w:r>
          </w:p>
          <w:p w14:paraId="1A99404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2</w:t>
            </w:r>
          </w:p>
          <w:p w14:paraId="044334E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2150CD8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3</w:t>
            </w:r>
          </w:p>
          <w:p w14:paraId="33EA289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3924BDB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4</w:t>
            </w:r>
          </w:p>
          <w:p w14:paraId="518EF58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746E83B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5</w:t>
            </w:r>
          </w:p>
          <w:p w14:paraId="4EC0532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4343F90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6</w:t>
            </w:r>
          </w:p>
          <w:p w14:paraId="21B5824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4B536D2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Angka 7</w:t>
            </w:r>
          </w:p>
          <w:p w14:paraId="5A8F541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Informasi secara umum mengenai penanganan pengaduan dan penyelesaian sengketa. Apabila terdapat pengaduan maka Konsumen dapat menyampaikan pengaduan kepada PUJK dan apabila tidak terdapat kesepakatan penyelesaian pengaduan maka penyelesaian sengketa dapat dilakukan melalui pengadilan atau di luar pengadilan.</w:t>
            </w:r>
          </w:p>
          <w:p w14:paraId="47992DC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5A7CF83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Materi pengelolaan keuangan disesuaikan dengan sasaran Edukasi Keuangan. Materi pengelolaan keuangan dimaksud termasuk materi mengenai ketahanan keuangan di saat krisis.</w:t>
            </w:r>
          </w:p>
          <w:p w14:paraId="074B2B2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421B0F3E" w14:textId="086FD1E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324841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B8978D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0A25C23" w14:textId="23ED6071" w:rsidTr="00217FB7">
        <w:tc>
          <w:tcPr>
            <w:tcW w:w="3828" w:type="dxa"/>
          </w:tcPr>
          <w:p w14:paraId="5D18F14F" w14:textId="3FB56E60" w:rsidR="003922B4" w:rsidRPr="007C3531" w:rsidRDefault="003922B4" w:rsidP="0020519A">
            <w:pPr>
              <w:pStyle w:val="ListParagraph"/>
              <w:numPr>
                <w:ilvl w:val="0"/>
                <w:numId w:val="29"/>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Materi Edukasi Keuangan sebagaimana dimaksud pada ayat (2) termasuk mengenai produk dan/atau layanan digital.</w:t>
            </w:r>
          </w:p>
        </w:tc>
        <w:tc>
          <w:tcPr>
            <w:tcW w:w="4394" w:type="dxa"/>
          </w:tcPr>
          <w:p w14:paraId="218F2867" w14:textId="2A7C708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(4)</w:t>
            </w:r>
          </w:p>
          <w:p w14:paraId="2628725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bookmarkStart w:id="2" w:name="_Hlk104383239"/>
            <w:r w:rsidRPr="007C3531">
              <w:rPr>
                <w:rFonts w:ascii="Bookman Old Style" w:hAnsi="Bookman Old Style"/>
                <w:sz w:val="18"/>
                <w:szCs w:val="18"/>
                <w:lang w:val="id-ID"/>
              </w:rPr>
              <w:t>Materi Edukasi Keuangan mengenai produk dan/atau layanan digital, antara lain:</w:t>
            </w:r>
          </w:p>
          <w:p w14:paraId="78B624E0" w14:textId="77777777" w:rsidR="003922B4" w:rsidRPr="007C3531" w:rsidRDefault="003922B4" w:rsidP="0020519A">
            <w:pPr>
              <w:pStyle w:val="BodyText"/>
              <w:numPr>
                <w:ilvl w:val="0"/>
                <w:numId w:val="36"/>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pengetahuan mengenai produk dan/atau layanan keuangan digital;</w:t>
            </w:r>
          </w:p>
          <w:p w14:paraId="7EB19FF4" w14:textId="77777777" w:rsidR="003922B4" w:rsidRPr="007C3531" w:rsidRDefault="003922B4" w:rsidP="0020519A">
            <w:pPr>
              <w:pStyle w:val="BodyText"/>
              <w:numPr>
                <w:ilvl w:val="0"/>
                <w:numId w:val="36"/>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penggunaan produk dan/atau layanan keuangan digital secara bijak;</w:t>
            </w:r>
          </w:p>
          <w:p w14:paraId="7F525A22" w14:textId="77777777" w:rsidR="003922B4" w:rsidRPr="007C3531" w:rsidRDefault="003922B4" w:rsidP="0020519A">
            <w:pPr>
              <w:pStyle w:val="BodyText"/>
              <w:numPr>
                <w:ilvl w:val="0"/>
                <w:numId w:val="36"/>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kesadaran risiko keuangan digital dan cara memitigasinya; dan</w:t>
            </w:r>
          </w:p>
          <w:p w14:paraId="20EE4316" w14:textId="5C3D7E3B" w:rsidR="003922B4" w:rsidRPr="007C3531" w:rsidRDefault="003922B4" w:rsidP="0020519A">
            <w:pPr>
              <w:pStyle w:val="BodyText"/>
              <w:numPr>
                <w:ilvl w:val="0"/>
                <w:numId w:val="36"/>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memahami hak dan prosedur untuk melakukan pengaduan.</w:t>
            </w:r>
            <w:bookmarkEnd w:id="2"/>
          </w:p>
        </w:tc>
        <w:tc>
          <w:tcPr>
            <w:tcW w:w="3827" w:type="dxa"/>
          </w:tcPr>
          <w:p w14:paraId="6F905F3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499997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6048C35" w14:textId="73A0DF23" w:rsidTr="00217FB7">
        <w:tc>
          <w:tcPr>
            <w:tcW w:w="3828" w:type="dxa"/>
          </w:tcPr>
          <w:p w14:paraId="1783853A" w14:textId="77777777" w:rsidR="003922B4" w:rsidRPr="007C3531" w:rsidRDefault="003922B4" w:rsidP="0020519A">
            <w:pPr>
              <w:pStyle w:val="ListParagraph"/>
              <w:numPr>
                <w:ilvl w:val="0"/>
                <w:numId w:val="29"/>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Informasi Edukasi Keuangan yang disampaikan oleh PUJK sebagaimana dimaksud dalam Pasal 4 huruf a, paling kurang mencakup karakteristik produk dan/atau layanan, yang terdiri dari: </w:t>
            </w:r>
          </w:p>
          <w:p w14:paraId="2B9ACFD9" w14:textId="7777777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deskripsi;</w:t>
            </w:r>
          </w:p>
          <w:p w14:paraId="6D248023" w14:textId="7777777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manfaat;</w:t>
            </w:r>
          </w:p>
          <w:p w14:paraId="2C54A36C" w14:textId="7777777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risiko;</w:t>
            </w:r>
          </w:p>
          <w:p w14:paraId="460E1E81" w14:textId="7777777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biaya;</w:t>
            </w:r>
          </w:p>
          <w:p w14:paraId="26B52484" w14:textId="7777777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cara mengakses; dan</w:t>
            </w:r>
          </w:p>
          <w:p w14:paraId="16EB4EA6" w14:textId="0E4693C7" w:rsidR="003922B4" w:rsidRPr="007C3531" w:rsidRDefault="003922B4" w:rsidP="0020519A">
            <w:pPr>
              <w:pStyle w:val="ListParagraph"/>
              <w:numPr>
                <w:ilvl w:val="0"/>
                <w:numId w:val="3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penanganan pengaduan dan penyelesaian sengketa.</w:t>
            </w:r>
          </w:p>
        </w:tc>
        <w:tc>
          <w:tcPr>
            <w:tcW w:w="4394" w:type="dxa"/>
          </w:tcPr>
          <w:p w14:paraId="0C0DAAAC" w14:textId="12C28E0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(5)</w:t>
            </w:r>
          </w:p>
          <w:p w14:paraId="5C34ED00" w14:textId="631CBAD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57509C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D9D466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9755EDF" w14:textId="15A31E5C" w:rsidTr="00217FB7">
        <w:tc>
          <w:tcPr>
            <w:tcW w:w="3828" w:type="dxa"/>
          </w:tcPr>
          <w:p w14:paraId="26CE011C"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9</w:t>
            </w:r>
          </w:p>
        </w:tc>
        <w:tc>
          <w:tcPr>
            <w:tcW w:w="4394" w:type="dxa"/>
          </w:tcPr>
          <w:p w14:paraId="480D509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9</w:t>
            </w:r>
          </w:p>
        </w:tc>
        <w:tc>
          <w:tcPr>
            <w:tcW w:w="3827" w:type="dxa"/>
          </w:tcPr>
          <w:p w14:paraId="41D953E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DD07EC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0666544" w14:textId="329C331E" w:rsidTr="00217FB7">
        <w:tc>
          <w:tcPr>
            <w:tcW w:w="3828" w:type="dxa"/>
          </w:tcPr>
          <w:p w14:paraId="00E78DA2" w14:textId="77777777" w:rsidR="003922B4" w:rsidRPr="007C3531" w:rsidRDefault="003922B4" w:rsidP="00E405C6">
            <w:pPr>
              <w:pStyle w:val="ListParagraph"/>
              <w:numPr>
                <w:ilvl w:val="0"/>
                <w:numId w:val="7"/>
              </w:numPr>
              <w:spacing w:line="276" w:lineRule="auto"/>
              <w:ind w:left="323"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Penyampaian materi Edukasi Keuangan sebagaimana dimaksud dalam Pasal 4 huruf a dapat dilakukan dalam bentuk: </w:t>
            </w:r>
          </w:p>
          <w:p w14:paraId="4E3121F2"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sosialisasi; </w:t>
            </w:r>
          </w:p>
          <w:p w14:paraId="4DF00D31"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i/>
                <w:sz w:val="18"/>
                <w:szCs w:val="18"/>
                <w:lang w:val="id-ID"/>
              </w:rPr>
            </w:pPr>
            <w:r w:rsidRPr="007C3531">
              <w:rPr>
                <w:rFonts w:ascii="Bookman Old Style" w:eastAsia="Times New Roman" w:hAnsi="Bookman Old Style"/>
                <w:i/>
                <w:sz w:val="18"/>
                <w:szCs w:val="18"/>
                <w:lang w:val="id-ID"/>
              </w:rPr>
              <w:t>workshop</w:t>
            </w:r>
            <w:r w:rsidRPr="007C3531">
              <w:rPr>
                <w:rFonts w:ascii="Bookman Old Style" w:eastAsia="Times New Roman" w:hAnsi="Bookman Old Style"/>
                <w:iCs/>
                <w:sz w:val="18"/>
                <w:szCs w:val="18"/>
                <w:lang w:val="id-ID"/>
              </w:rPr>
              <w:t>;</w:t>
            </w:r>
          </w:p>
          <w:p w14:paraId="0D36F2A9"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konsultasi;</w:t>
            </w:r>
          </w:p>
          <w:p w14:paraId="1007F96A"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pendampingan;</w:t>
            </w:r>
          </w:p>
          <w:p w14:paraId="1CF81DF1"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pelatihan komunitas</w:t>
            </w:r>
            <w:r w:rsidRPr="007C3531">
              <w:rPr>
                <w:rFonts w:ascii="Bookman Old Style" w:eastAsia="Times New Roman" w:hAnsi="Bookman Old Style"/>
                <w:i/>
                <w:sz w:val="18"/>
                <w:szCs w:val="18"/>
                <w:lang w:val="id-ID"/>
              </w:rPr>
              <w:t xml:space="preserve"> </w:t>
            </w:r>
            <w:r w:rsidRPr="007C3531">
              <w:rPr>
                <w:rFonts w:ascii="Bookman Old Style" w:eastAsia="Times New Roman" w:hAnsi="Bookman Old Style"/>
                <w:sz w:val="18"/>
                <w:szCs w:val="18"/>
                <w:lang w:val="id-ID"/>
              </w:rPr>
              <w:t>atau</w:t>
            </w:r>
            <w:r w:rsidRPr="007C3531">
              <w:rPr>
                <w:rFonts w:ascii="Bookman Old Style" w:eastAsia="Times New Roman" w:hAnsi="Bookman Old Style"/>
                <w:i/>
                <w:sz w:val="18"/>
                <w:szCs w:val="18"/>
                <w:lang w:val="id-ID"/>
              </w:rPr>
              <w:t xml:space="preserve"> training of community</w:t>
            </w:r>
            <w:r w:rsidRPr="007C3531">
              <w:rPr>
                <w:rFonts w:ascii="Bookman Old Style" w:eastAsia="Times New Roman" w:hAnsi="Bookman Old Style"/>
                <w:sz w:val="18"/>
                <w:szCs w:val="18"/>
                <w:lang w:val="id-ID"/>
              </w:rPr>
              <w:t xml:space="preserve"> (ToC);</w:t>
            </w:r>
          </w:p>
          <w:p w14:paraId="75A1767F"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i/>
                <w:sz w:val="18"/>
                <w:szCs w:val="18"/>
                <w:lang w:val="id-ID"/>
              </w:rPr>
            </w:pPr>
            <w:r w:rsidRPr="007C3531">
              <w:rPr>
                <w:rFonts w:ascii="Bookman Old Style" w:eastAsia="Times New Roman" w:hAnsi="Bookman Old Style"/>
                <w:i/>
                <w:sz w:val="18"/>
                <w:szCs w:val="18"/>
                <w:lang w:val="id-ID"/>
              </w:rPr>
              <w:t>outreach program</w:t>
            </w:r>
            <w:r w:rsidRPr="007C3531">
              <w:rPr>
                <w:rFonts w:ascii="Bookman Old Style" w:eastAsia="Times New Roman" w:hAnsi="Bookman Old Style"/>
                <w:iCs/>
                <w:sz w:val="18"/>
                <w:szCs w:val="18"/>
                <w:lang w:val="id-ID"/>
              </w:rPr>
              <w:t>;</w:t>
            </w:r>
          </w:p>
          <w:p w14:paraId="4E4BDF12" w14:textId="77777777" w:rsidR="003922B4" w:rsidRPr="007C3531" w:rsidRDefault="003922B4" w:rsidP="0020519A">
            <w:pPr>
              <w:pStyle w:val="ListParagraph"/>
              <w:numPr>
                <w:ilvl w:val="0"/>
                <w:numId w:val="37"/>
              </w:numPr>
              <w:spacing w:line="276" w:lineRule="auto"/>
              <w:ind w:right="20"/>
              <w:jc w:val="both"/>
              <w:rPr>
                <w:rFonts w:ascii="Bookman Old Style" w:eastAsia="Times New Roman" w:hAnsi="Bookman Old Style"/>
                <w:bCs/>
                <w:i/>
                <w:iCs/>
                <w:sz w:val="18"/>
                <w:szCs w:val="18"/>
                <w:lang w:val="id-ID"/>
              </w:rPr>
            </w:pPr>
            <w:r w:rsidRPr="007C3531">
              <w:rPr>
                <w:rFonts w:ascii="Bookman Old Style" w:eastAsia="Times New Roman" w:hAnsi="Bookman Old Style"/>
                <w:iCs/>
                <w:sz w:val="18"/>
                <w:szCs w:val="18"/>
                <w:lang w:val="id-ID"/>
              </w:rPr>
              <w:t>permainan (</w:t>
            </w:r>
            <w:r w:rsidRPr="007C3531">
              <w:rPr>
                <w:rFonts w:ascii="Bookman Old Style" w:eastAsia="Times New Roman" w:hAnsi="Bookman Old Style"/>
                <w:bCs/>
                <w:i/>
                <w:iCs/>
                <w:sz w:val="18"/>
                <w:szCs w:val="18"/>
                <w:lang w:val="id-ID"/>
              </w:rPr>
              <w:t>gamification)</w:t>
            </w:r>
            <w:r w:rsidRPr="007C3531">
              <w:rPr>
                <w:rFonts w:ascii="Bookman Old Style" w:eastAsia="Times New Roman" w:hAnsi="Bookman Old Style"/>
                <w:iCs/>
                <w:sz w:val="18"/>
                <w:szCs w:val="18"/>
                <w:lang w:val="id-ID"/>
              </w:rPr>
              <w:t>; dan/atau</w:t>
            </w:r>
          </w:p>
          <w:p w14:paraId="36C57E8F" w14:textId="4FB995F9" w:rsidR="003922B4" w:rsidRPr="007C3531" w:rsidRDefault="003922B4" w:rsidP="0020519A">
            <w:pPr>
              <w:pStyle w:val="ListParagraph"/>
              <w:numPr>
                <w:ilvl w:val="0"/>
                <w:numId w:val="37"/>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bentuk lainnya sesuai dengan karakteristik masing-masing PUJK.</w:t>
            </w:r>
          </w:p>
        </w:tc>
        <w:tc>
          <w:tcPr>
            <w:tcW w:w="4394" w:type="dxa"/>
          </w:tcPr>
          <w:p w14:paraId="00356D88" w14:textId="0241633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(1)</w:t>
            </w:r>
          </w:p>
          <w:p w14:paraId="73D3B51F" w14:textId="3FF39F5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1BD8677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Sosialisasi adalah kegiatan untuk menyebarluaskan informasi sehingga dapat diketahui dan dipahami oleh Konsumen dan/atau masyarakat.</w:t>
            </w:r>
          </w:p>
          <w:p w14:paraId="5805133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Huruf b</w:t>
            </w:r>
          </w:p>
          <w:p w14:paraId="55BF3BE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1C49F3">
              <w:rPr>
                <w:rFonts w:ascii="Bookman Old Style" w:hAnsi="Bookman Old Style"/>
                <w:i/>
                <w:iCs/>
                <w:sz w:val="18"/>
                <w:szCs w:val="18"/>
                <w:lang w:val="id-ID"/>
              </w:rPr>
              <w:t>Workshop</w:t>
            </w:r>
            <w:r w:rsidRPr="007C3531">
              <w:rPr>
                <w:rFonts w:ascii="Bookman Old Style" w:hAnsi="Bookman Old Style"/>
                <w:sz w:val="18"/>
                <w:szCs w:val="18"/>
                <w:lang w:val="id-ID"/>
              </w:rPr>
              <w:t xml:space="preserve"> adalah kegiatan untuk memberikan pemahaman dalam bentuk pelatihan.</w:t>
            </w:r>
          </w:p>
          <w:p w14:paraId="2469469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75C4C6A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Konsultasi adalah kegiatan bertukar pikiran antara PUJK dengan Konsumen dan/atau masyarakat yang bebas biaya untuk mendapatkan saran dan rekomendasi. Konsultasi dalam hal ini antara lain dapat dilakukan mengenai pengelolaan keuangan serta produk dan/atau layanan yang sesuai dengan kebutuhan dan kemampuan Konsumen.</w:t>
            </w:r>
          </w:p>
          <w:p w14:paraId="19059AF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07167BF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Pendampingan adalah proses, cara, perbuatan mendampingi Konsumen untuk meningkatkan keterampilan. Pendampingan dalam hal ini terkait dengan pengelolaan keuangan dan penggunaan produk dan/atau layanan.</w:t>
            </w:r>
          </w:p>
          <w:p w14:paraId="049DF60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e</w:t>
            </w:r>
          </w:p>
          <w:p w14:paraId="3AF4B28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Pelatihan komunitas atau </w:t>
            </w:r>
            <w:r w:rsidRPr="001C49F3">
              <w:rPr>
                <w:rFonts w:ascii="Bookman Old Style" w:hAnsi="Bookman Old Style"/>
                <w:i/>
                <w:iCs/>
                <w:sz w:val="18"/>
                <w:szCs w:val="18"/>
                <w:lang w:val="id-ID"/>
              </w:rPr>
              <w:t>training of community</w:t>
            </w:r>
            <w:r w:rsidRPr="007C3531">
              <w:rPr>
                <w:rFonts w:ascii="Bookman Old Style" w:hAnsi="Bookman Old Style"/>
                <w:sz w:val="18"/>
                <w:szCs w:val="18"/>
                <w:lang w:val="id-ID"/>
              </w:rPr>
              <w:t xml:space="preserve"> (ToC) adalah kegiatan untuk meningkatkan pemahaman masyarakat dalam suatu komunitas tertentu mengenai pengelolaan keuangan, produk dan jasa keuangan serta Lembaga Jasa Keuangan.</w:t>
            </w:r>
          </w:p>
          <w:p w14:paraId="5871B72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f</w:t>
            </w:r>
          </w:p>
          <w:p w14:paraId="1D8CA31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i/>
                <w:iCs/>
                <w:sz w:val="18"/>
                <w:szCs w:val="18"/>
                <w:lang w:val="id-ID"/>
              </w:rPr>
              <w:t>Outreach program</w:t>
            </w:r>
            <w:r w:rsidRPr="007C3531">
              <w:rPr>
                <w:rFonts w:ascii="Bookman Old Style" w:hAnsi="Bookman Old Style"/>
                <w:sz w:val="18"/>
                <w:szCs w:val="18"/>
                <w:lang w:val="id-ID"/>
              </w:rPr>
              <w:t xml:space="preserve"> adalah rangkaian kegiatan dengan berbagai kombinasi bentuk Edukasi Keuangan yang dilakukan secara berkesinambungan dalam periode jangka waktu tertentu sejak masyarakat belum </w:t>
            </w:r>
            <w:r w:rsidRPr="007C3531">
              <w:rPr>
                <w:rFonts w:ascii="Bookman Old Style" w:hAnsi="Bookman Old Style"/>
                <w:sz w:val="18"/>
                <w:szCs w:val="18"/>
                <w:lang w:val="id-ID"/>
              </w:rPr>
              <w:lastRenderedPageBreak/>
              <w:t>mendapatkan akses terhadap informasi maupun lembaga, produk, dan/atau layanan jasa keuangan hingga masyarakat menjadi Konsumen di sektor jasa keuangan.</w:t>
            </w:r>
          </w:p>
          <w:p w14:paraId="0618412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g</w:t>
            </w:r>
          </w:p>
          <w:p w14:paraId="6B876C3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Permainan (</w:t>
            </w:r>
            <w:r w:rsidRPr="001C49F3">
              <w:rPr>
                <w:rFonts w:ascii="Bookman Old Style" w:hAnsi="Bookman Old Style"/>
                <w:i/>
                <w:iCs/>
                <w:sz w:val="18"/>
                <w:szCs w:val="18"/>
                <w:lang w:val="id-ID"/>
              </w:rPr>
              <w:t>gamification</w:t>
            </w:r>
            <w:r w:rsidRPr="007C3531">
              <w:rPr>
                <w:rFonts w:ascii="Bookman Old Style" w:hAnsi="Bookman Old Style"/>
                <w:sz w:val="18"/>
                <w:szCs w:val="18"/>
                <w:lang w:val="id-ID"/>
              </w:rPr>
              <w:t>) adalah rangkaian kegiatan yang dikemas dan didesain dalam bentuk permainan.</w:t>
            </w:r>
          </w:p>
          <w:p w14:paraId="454EB8D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h</w:t>
            </w:r>
          </w:p>
          <w:p w14:paraId="197F0029" w14:textId="7816FC7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008E5D8" w14:textId="1D02E958"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D61E0C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F10D87E" w14:textId="1EF96586" w:rsidTr="00217FB7">
        <w:tc>
          <w:tcPr>
            <w:tcW w:w="3828" w:type="dxa"/>
          </w:tcPr>
          <w:p w14:paraId="4347945B" w14:textId="375D41AC" w:rsidR="003922B4" w:rsidRPr="007C3531" w:rsidRDefault="003922B4" w:rsidP="00E405C6">
            <w:pPr>
              <w:pStyle w:val="ListParagraph"/>
              <w:numPr>
                <w:ilvl w:val="0"/>
                <w:numId w:val="7"/>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 xml:space="preserve">Penyampaian informasi Edukasi Keuangan sebagaimana dimaksud dalam Pasal 4 huruf a dapat dilakukan dalam bentuk </w:t>
            </w:r>
            <w:r w:rsidRPr="007C3531">
              <w:rPr>
                <w:rFonts w:ascii="Bookman Old Style" w:eastAsia="Times New Roman" w:hAnsi="Bookman Old Style"/>
                <w:i/>
                <w:sz w:val="18"/>
                <w:szCs w:val="18"/>
                <w:lang w:val="id-ID"/>
              </w:rPr>
              <w:t>leaflet</w:t>
            </w:r>
            <w:r w:rsidRPr="007C3531">
              <w:rPr>
                <w:rFonts w:ascii="Bookman Old Style" w:eastAsia="Times New Roman" w:hAnsi="Bookman Old Style"/>
                <w:sz w:val="18"/>
                <w:szCs w:val="18"/>
                <w:lang w:val="id-ID"/>
              </w:rPr>
              <w:t>, brosur, dan/atau bentuk lainnya sesuai dengan kemampuan masing-masing PUJK.</w:t>
            </w:r>
          </w:p>
        </w:tc>
        <w:tc>
          <w:tcPr>
            <w:tcW w:w="4394" w:type="dxa"/>
          </w:tcPr>
          <w:p w14:paraId="07CFD8B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78771731" w14:textId="5B6FE6F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EA15A45" w14:textId="13BE93D6"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0B88BB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8CA11CB" w14:textId="22D5A522" w:rsidTr="00217FB7">
        <w:tc>
          <w:tcPr>
            <w:tcW w:w="3828" w:type="dxa"/>
          </w:tcPr>
          <w:p w14:paraId="344E21EE" w14:textId="5966A30F" w:rsidR="003922B4" w:rsidRPr="007C3531" w:rsidRDefault="003922B4" w:rsidP="00E405C6">
            <w:pPr>
              <w:pStyle w:val="ListParagraph"/>
              <w:numPr>
                <w:ilvl w:val="0"/>
                <w:numId w:val="7"/>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dapat mencantumkan simulasi pada bentuk pelaksanaan Edukasi Keuangan sebagaimana dimaksud pada ayat (1) dan ayat (2).</w:t>
            </w:r>
          </w:p>
        </w:tc>
        <w:tc>
          <w:tcPr>
            <w:tcW w:w="4394" w:type="dxa"/>
          </w:tcPr>
          <w:p w14:paraId="59854D7C" w14:textId="7F70D2F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5A12E49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“simulasi” adalah metode peragaan dalam bentuk tiruan yang mirip dengan keadaan yang sesungguhnya.</w:t>
            </w:r>
          </w:p>
          <w:p w14:paraId="0D8F5DF3" w14:textId="2A84AE3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Simulasi dapat dilakukan dengan cara menyediakan sarana untuk memberikan gambaran mengenai praktik penggunaan produk dan/atau layanan sehingga dapat meningkatkan pengetahuan dan keterampilan Konsumen dan/atau masyarakat dalam memahami kebutuhan dan kemampuan keuangan.</w:t>
            </w:r>
          </w:p>
        </w:tc>
        <w:tc>
          <w:tcPr>
            <w:tcW w:w="3827" w:type="dxa"/>
          </w:tcPr>
          <w:p w14:paraId="5013F5D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92CCA2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E3636EC" w14:textId="46548BAB" w:rsidTr="00217FB7">
        <w:tc>
          <w:tcPr>
            <w:tcW w:w="3828" w:type="dxa"/>
          </w:tcPr>
          <w:p w14:paraId="5F943D79" w14:textId="63D225A1" w:rsidR="003922B4" w:rsidRPr="007C3531" w:rsidRDefault="003922B4" w:rsidP="00E405C6">
            <w:pPr>
              <w:pStyle w:val="ListParagraph"/>
              <w:numPr>
                <w:ilvl w:val="0"/>
                <w:numId w:val="7"/>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Dalam hal PUJK mencantumkan simulasi sebagaimana dimaksud ayat (3), PUJK wajib mencantumkan rumus perhitungan dan </w:t>
            </w:r>
            <w:r w:rsidRPr="007C3531">
              <w:rPr>
                <w:rFonts w:ascii="Bookman Old Style" w:eastAsia="Times New Roman" w:hAnsi="Bookman Old Style"/>
                <w:sz w:val="18"/>
                <w:szCs w:val="18"/>
                <w:lang w:val="id-ID"/>
              </w:rPr>
              <w:lastRenderedPageBreak/>
              <w:t>penyangkalan yang menyatakan bahwa kegiatan tersebut hanya merupakan simulasi.</w:t>
            </w:r>
          </w:p>
        </w:tc>
        <w:tc>
          <w:tcPr>
            <w:tcW w:w="4394" w:type="dxa"/>
          </w:tcPr>
          <w:p w14:paraId="69FA8482" w14:textId="7F95586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(4)</w:t>
            </w:r>
          </w:p>
          <w:p w14:paraId="550728FE" w14:textId="0E90CCE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0EBC708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47EF3D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72C3134" w14:textId="055E4FD6" w:rsidTr="00217FB7">
        <w:tc>
          <w:tcPr>
            <w:tcW w:w="3828" w:type="dxa"/>
          </w:tcPr>
          <w:p w14:paraId="57C28CDF" w14:textId="77777777" w:rsidR="003922B4" w:rsidRPr="007C3531" w:rsidRDefault="003922B4" w:rsidP="00E405C6">
            <w:pPr>
              <w:pStyle w:val="ListParagraph"/>
              <w:numPr>
                <w:ilvl w:val="0"/>
                <w:numId w:val="7"/>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Pelaksanaan Edukasi Keuangan dapat dilakukan dengan metode:</w:t>
            </w:r>
          </w:p>
          <w:p w14:paraId="6482D0ED" w14:textId="77777777" w:rsidR="003922B4" w:rsidRPr="007C3531" w:rsidRDefault="003922B4" w:rsidP="0020519A">
            <w:pPr>
              <w:pStyle w:val="ListParagraph"/>
              <w:numPr>
                <w:ilvl w:val="0"/>
                <w:numId w:val="38"/>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tatap muka; dan/atau </w:t>
            </w:r>
          </w:p>
          <w:p w14:paraId="61F168F7" w14:textId="237505CE" w:rsidR="003922B4" w:rsidRPr="007C3531" w:rsidRDefault="003922B4" w:rsidP="0020519A">
            <w:pPr>
              <w:pStyle w:val="ListParagraph"/>
              <w:numPr>
                <w:ilvl w:val="0"/>
                <w:numId w:val="38"/>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tanpa tatap muka.</w:t>
            </w:r>
          </w:p>
        </w:tc>
        <w:tc>
          <w:tcPr>
            <w:tcW w:w="4394" w:type="dxa"/>
          </w:tcPr>
          <w:p w14:paraId="4ABA4FBC" w14:textId="51B7891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(5)</w:t>
            </w:r>
          </w:p>
          <w:p w14:paraId="60465CE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0667C27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Pelaksanaan kegiatan Edukasi Keuangan dengan metode tatap muka adalah kegiatan yang memerlukan kehadiran fisik.</w:t>
            </w:r>
          </w:p>
          <w:p w14:paraId="559B5AC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0554B9A7" w14:textId="43F6ED3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pelaksanaan kegiatan Edukasi Keuangan dengan metode tanpa tatap muka antara lain dengan memanfaatkan perangkat teknologi, informasi, dan komunikasi seperti platform rapat daring (</w:t>
            </w:r>
            <w:r w:rsidRPr="007C3531">
              <w:rPr>
                <w:rFonts w:ascii="Bookman Old Style" w:hAnsi="Bookman Old Style"/>
                <w:i/>
                <w:iCs/>
                <w:sz w:val="18"/>
                <w:szCs w:val="18"/>
                <w:lang w:val="id-ID"/>
              </w:rPr>
              <w:t>online meeting platform)</w:t>
            </w:r>
            <w:r w:rsidRPr="007C3531">
              <w:rPr>
                <w:rFonts w:ascii="Bookman Old Style" w:hAnsi="Bookman Old Style"/>
                <w:sz w:val="18"/>
                <w:szCs w:val="18"/>
                <w:lang w:val="id-ID"/>
              </w:rPr>
              <w:t xml:space="preserve"> dan media sosial dengan kegiatan secara langsung (</w:t>
            </w:r>
            <w:r w:rsidRPr="007C3531">
              <w:rPr>
                <w:rFonts w:ascii="Bookman Old Style" w:hAnsi="Bookman Old Style"/>
                <w:i/>
                <w:iCs/>
                <w:sz w:val="18"/>
                <w:szCs w:val="18"/>
                <w:lang w:val="id-ID"/>
              </w:rPr>
              <w:t>live</w:t>
            </w:r>
            <w:r w:rsidRPr="007C3531">
              <w:rPr>
                <w:rFonts w:ascii="Bookman Old Style" w:hAnsi="Bookman Old Style"/>
                <w:sz w:val="18"/>
                <w:szCs w:val="18"/>
                <w:lang w:val="id-ID"/>
              </w:rPr>
              <w:t>).</w:t>
            </w:r>
          </w:p>
        </w:tc>
        <w:tc>
          <w:tcPr>
            <w:tcW w:w="3827" w:type="dxa"/>
          </w:tcPr>
          <w:p w14:paraId="1E63010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E29837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1F45B12" w14:textId="69A4FA9D" w:rsidTr="00217FB7">
        <w:tc>
          <w:tcPr>
            <w:tcW w:w="3828" w:type="dxa"/>
          </w:tcPr>
          <w:p w14:paraId="4588E12C" w14:textId="29227CC1" w:rsidR="003922B4" w:rsidRPr="007C3531" w:rsidRDefault="003922B4" w:rsidP="00E405C6">
            <w:pPr>
              <w:pStyle w:val="ListParagraph"/>
              <w:numPr>
                <w:ilvl w:val="0"/>
                <w:numId w:val="7"/>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yang melanggar ketentuan sebagaimana dimaksud pada ayat (4) dikenai sanksi administratif berupa peringatan tertulis.</w:t>
            </w:r>
          </w:p>
        </w:tc>
        <w:tc>
          <w:tcPr>
            <w:tcW w:w="4394" w:type="dxa"/>
          </w:tcPr>
          <w:p w14:paraId="6891B756" w14:textId="53E80412"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(6)</w:t>
            </w:r>
          </w:p>
          <w:p w14:paraId="2F33242F" w14:textId="7014F54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7FFF8B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92F547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DB9B9BF" w14:textId="27C7531C" w:rsidTr="00217FB7">
        <w:tc>
          <w:tcPr>
            <w:tcW w:w="3828" w:type="dxa"/>
          </w:tcPr>
          <w:p w14:paraId="6B195B6E"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10</w:t>
            </w:r>
          </w:p>
        </w:tc>
        <w:tc>
          <w:tcPr>
            <w:tcW w:w="4394" w:type="dxa"/>
          </w:tcPr>
          <w:p w14:paraId="46D57E2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10</w:t>
            </w:r>
          </w:p>
        </w:tc>
        <w:tc>
          <w:tcPr>
            <w:tcW w:w="3827" w:type="dxa"/>
          </w:tcPr>
          <w:p w14:paraId="0754728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4CC2DE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CDD6760" w14:textId="480A548E" w:rsidTr="00217FB7">
        <w:tc>
          <w:tcPr>
            <w:tcW w:w="3828" w:type="dxa"/>
          </w:tcPr>
          <w:p w14:paraId="4B5465C2" w14:textId="77777777" w:rsidR="003922B4" w:rsidRPr="007C3531" w:rsidRDefault="003922B4" w:rsidP="0020519A">
            <w:pPr>
              <w:pStyle w:val="ListParagraph"/>
              <w:numPr>
                <w:ilvl w:val="0"/>
                <w:numId w:val="39"/>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Dalam hal PUJK melaksanakan penyampaian materi Edukasi Keuangan yang berbentuk pendampingan sebagaimana dimaksud dalam Pasal 9 ayat (1) huruf d kepada Konsumen yang memiliki usaha mikro atau kecil, PUJK wajib paling kurang: </w:t>
            </w:r>
          </w:p>
          <w:p w14:paraId="7FD099F1" w14:textId="77777777" w:rsidR="003922B4" w:rsidRPr="007C3531" w:rsidRDefault="003922B4" w:rsidP="0020519A">
            <w:pPr>
              <w:pStyle w:val="ListParagraph"/>
              <w:numPr>
                <w:ilvl w:val="0"/>
                <w:numId w:val="40"/>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memastikan Konsumen menggunakan produk dan/atau layanan yang diperoleh untuk kegiatan usahanya; </w:t>
            </w:r>
          </w:p>
          <w:p w14:paraId="00AEA3EC" w14:textId="77777777" w:rsidR="003922B4" w:rsidRPr="007C3531" w:rsidRDefault="003922B4" w:rsidP="0020519A">
            <w:pPr>
              <w:pStyle w:val="ListParagraph"/>
              <w:numPr>
                <w:ilvl w:val="0"/>
                <w:numId w:val="40"/>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lastRenderedPageBreak/>
              <w:t>membantu Konsumen dalam meningkatkan kemampuan pengelolaan kegiatan usahanya; dan</w:t>
            </w:r>
          </w:p>
          <w:p w14:paraId="6917AA07" w14:textId="46D34177" w:rsidR="003922B4" w:rsidRPr="007C3531" w:rsidRDefault="003922B4" w:rsidP="0020519A">
            <w:pPr>
              <w:pStyle w:val="ListParagraph"/>
              <w:numPr>
                <w:ilvl w:val="0"/>
                <w:numId w:val="4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mendukung kelancaran dan kesinambungan akses keuangan Konsumen.</w:t>
            </w:r>
          </w:p>
        </w:tc>
        <w:tc>
          <w:tcPr>
            <w:tcW w:w="4394" w:type="dxa"/>
          </w:tcPr>
          <w:p w14:paraId="15E47E8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Yang dimaksud dengan “usaha mikro atau kecil” berdasarkan ketentuan peraturan perundang-undangan.</w:t>
            </w:r>
          </w:p>
          <w:p w14:paraId="4BE2BFFC" w14:textId="79D7AAB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Pendampingan dapat dilakukan dengan cara melatih tata cara pencatatan transaksi usaha, memberikan informasi mengenai prosedur pengajuan pinjaman modal usaha dan/atau pelatihan metode penghitungan bunga.</w:t>
            </w:r>
          </w:p>
        </w:tc>
        <w:tc>
          <w:tcPr>
            <w:tcW w:w="3827" w:type="dxa"/>
          </w:tcPr>
          <w:p w14:paraId="54EC008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F5AB0A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FE3F7FA" w14:textId="653844DE" w:rsidTr="00217FB7">
        <w:tc>
          <w:tcPr>
            <w:tcW w:w="3828" w:type="dxa"/>
          </w:tcPr>
          <w:p w14:paraId="60948353" w14:textId="07AD012C" w:rsidR="003922B4" w:rsidRPr="007C3531" w:rsidRDefault="003922B4" w:rsidP="0020519A">
            <w:pPr>
              <w:pStyle w:val="ListParagraph"/>
              <w:numPr>
                <w:ilvl w:val="0"/>
                <w:numId w:val="39"/>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PUJK yang melanggar ketentuan sebagaimana dimaksud pada ayat (1) dikenai sanksi administratif berupa peringatan tertulis.</w:t>
            </w:r>
          </w:p>
        </w:tc>
        <w:tc>
          <w:tcPr>
            <w:tcW w:w="4394" w:type="dxa"/>
          </w:tcPr>
          <w:p w14:paraId="40645F9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3C7EE137" w14:textId="695A185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6A92E18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AB6F40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F48F63A" w14:textId="17BD9D26" w:rsidTr="00217FB7">
        <w:tc>
          <w:tcPr>
            <w:tcW w:w="3828" w:type="dxa"/>
          </w:tcPr>
          <w:p w14:paraId="275E1085" w14:textId="168B4D0C"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Paragraf 2</w:t>
            </w:r>
          </w:p>
        </w:tc>
        <w:tc>
          <w:tcPr>
            <w:tcW w:w="4394" w:type="dxa"/>
          </w:tcPr>
          <w:p w14:paraId="5EAC87B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BE0848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042690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D9652CE" w14:textId="6EC45AE1" w:rsidTr="00217FB7">
        <w:tc>
          <w:tcPr>
            <w:tcW w:w="3828" w:type="dxa"/>
          </w:tcPr>
          <w:p w14:paraId="22AED78A" w14:textId="4E5174C3"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Pengembangan Infr</w:t>
            </w:r>
            <w:r w:rsidR="00711830" w:rsidRPr="007C3531">
              <w:rPr>
                <w:rFonts w:ascii="Bookman Old Style" w:hAnsi="Bookman Old Style"/>
                <w:sz w:val="18"/>
                <w:szCs w:val="18"/>
                <w:lang w:val="id-ID"/>
              </w:rPr>
              <w:t>a</w:t>
            </w:r>
            <w:r w:rsidRPr="007C3531">
              <w:rPr>
                <w:rFonts w:ascii="Bookman Old Style" w:hAnsi="Bookman Old Style"/>
                <w:sz w:val="18"/>
                <w:szCs w:val="18"/>
                <w:lang w:val="id-ID"/>
              </w:rPr>
              <w:t>struktur</w:t>
            </w:r>
          </w:p>
        </w:tc>
        <w:tc>
          <w:tcPr>
            <w:tcW w:w="4394" w:type="dxa"/>
          </w:tcPr>
          <w:p w14:paraId="288F8AB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5C8A60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DDF570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17DF45D" w14:textId="7C1BB4E2" w:rsidTr="00217FB7">
        <w:tc>
          <w:tcPr>
            <w:tcW w:w="3828" w:type="dxa"/>
          </w:tcPr>
          <w:p w14:paraId="54D3C562"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11</w:t>
            </w:r>
          </w:p>
        </w:tc>
        <w:tc>
          <w:tcPr>
            <w:tcW w:w="4394" w:type="dxa"/>
          </w:tcPr>
          <w:p w14:paraId="5B48360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11</w:t>
            </w:r>
          </w:p>
        </w:tc>
        <w:tc>
          <w:tcPr>
            <w:tcW w:w="3827" w:type="dxa"/>
          </w:tcPr>
          <w:p w14:paraId="7C4D032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DF74B9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438D8BE" w14:textId="231BEC0C" w:rsidTr="00217FB7">
        <w:tc>
          <w:tcPr>
            <w:tcW w:w="3828" w:type="dxa"/>
          </w:tcPr>
          <w:p w14:paraId="7D9C0313" w14:textId="36F7F53B" w:rsidR="003922B4" w:rsidRPr="007C3531" w:rsidRDefault="003922B4" w:rsidP="0020519A">
            <w:pPr>
              <w:pStyle w:val="ListParagraph"/>
              <w:numPr>
                <w:ilvl w:val="0"/>
                <w:numId w:val="41"/>
              </w:numPr>
              <w:spacing w:line="276" w:lineRule="auto"/>
              <w:ind w:right="20"/>
              <w:jc w:val="both"/>
              <w:rPr>
                <w:rFonts w:ascii="Bookman Old Style" w:eastAsia="Times New Roman" w:hAnsi="Bookman Old Style"/>
                <w:sz w:val="18"/>
                <w:szCs w:val="18"/>
                <w:lang w:val="id-ID"/>
              </w:rPr>
            </w:pPr>
            <w:r w:rsidRPr="007C3531">
              <w:rPr>
                <w:rFonts w:ascii="Bookman Old Style" w:hAnsi="Bookman Old Style"/>
                <w:sz w:val="18"/>
                <w:szCs w:val="18"/>
                <w:lang w:val="id-ID"/>
              </w:rPr>
              <w:t>Pelaksanaan</w:t>
            </w:r>
            <w:r w:rsidRPr="007C3531">
              <w:rPr>
                <w:rFonts w:ascii="Bookman Old Style" w:eastAsia="Times New Roman" w:hAnsi="Bookman Old Style"/>
                <w:sz w:val="18"/>
                <w:szCs w:val="18"/>
                <w:lang w:val="id-ID"/>
              </w:rPr>
              <w:t xml:space="preserve"> pengembangan infrastruktur sebagaimana dimaksud dalam Pasal 4 huruf b dilakukan dengan membangun dan mengembangkan sarana yang dapat mendukung upaya peningkatan Literasi Keuangan.</w:t>
            </w:r>
          </w:p>
        </w:tc>
        <w:tc>
          <w:tcPr>
            <w:tcW w:w="4394" w:type="dxa"/>
          </w:tcPr>
          <w:p w14:paraId="38CB493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652EF652" w14:textId="249E09C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Pengembangan infrastruktur dilakukan dengan mempertimbangkan kebutuhan dan kemampuan PUJK.</w:t>
            </w:r>
          </w:p>
        </w:tc>
        <w:tc>
          <w:tcPr>
            <w:tcW w:w="3827" w:type="dxa"/>
          </w:tcPr>
          <w:p w14:paraId="5AF215BD" w14:textId="113A3B6E"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13B5C6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9F94E3D" w14:textId="5D55BA28" w:rsidTr="00217FB7">
        <w:tc>
          <w:tcPr>
            <w:tcW w:w="3828" w:type="dxa"/>
          </w:tcPr>
          <w:p w14:paraId="003E5005" w14:textId="77777777" w:rsidR="003922B4" w:rsidRPr="007C3531" w:rsidRDefault="003922B4" w:rsidP="0020519A">
            <w:pPr>
              <w:pStyle w:val="ListParagraph"/>
              <w:numPr>
                <w:ilvl w:val="0"/>
                <w:numId w:val="41"/>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Pengembangan infrastruktur sebagaimana dimaksud dalam Pasal 4 huruf b dapat berbentuk: </w:t>
            </w:r>
          </w:p>
          <w:p w14:paraId="7190878F" w14:textId="77777777" w:rsidR="003922B4" w:rsidRPr="007C3531" w:rsidRDefault="003922B4" w:rsidP="0020519A">
            <w:pPr>
              <w:pStyle w:val="ListParagraph"/>
              <w:numPr>
                <w:ilvl w:val="0"/>
                <w:numId w:val="42"/>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pembangunan atau pengembangan sarana dan media untuk mengakses materi dan/atau informasi Edukasi Keuangan; </w:t>
            </w:r>
          </w:p>
          <w:p w14:paraId="50AD7E8C" w14:textId="77777777" w:rsidR="003922B4" w:rsidRPr="007C3531" w:rsidRDefault="003922B4" w:rsidP="0020519A">
            <w:pPr>
              <w:pStyle w:val="ListParagraph"/>
              <w:numPr>
                <w:ilvl w:val="0"/>
                <w:numId w:val="42"/>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penyediaan materi Edukasi Keuangan yang dapat diakses oleh Konsumen dan/atau masyarakat; </w:t>
            </w:r>
          </w:p>
          <w:p w14:paraId="2ADCA3FE" w14:textId="77777777" w:rsidR="003922B4" w:rsidRPr="007C3531" w:rsidRDefault="003922B4" w:rsidP="0020519A">
            <w:pPr>
              <w:pStyle w:val="ListParagraph"/>
              <w:numPr>
                <w:ilvl w:val="0"/>
                <w:numId w:val="42"/>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lastRenderedPageBreak/>
              <w:t>penyediaan dan/atau pelatihan sumber daya manusia; dan/atau</w:t>
            </w:r>
          </w:p>
          <w:p w14:paraId="6AFD1D49" w14:textId="6D8C06A9" w:rsidR="003922B4" w:rsidRPr="007C3531" w:rsidRDefault="003922B4" w:rsidP="0020519A">
            <w:pPr>
              <w:pStyle w:val="ListParagraph"/>
              <w:numPr>
                <w:ilvl w:val="0"/>
                <w:numId w:val="42"/>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bentuk lainnya sesuai dengan karakteristik masing-masing PUJK.</w:t>
            </w:r>
          </w:p>
        </w:tc>
        <w:tc>
          <w:tcPr>
            <w:tcW w:w="4394" w:type="dxa"/>
          </w:tcPr>
          <w:p w14:paraId="5DEA86B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(2)</w:t>
            </w:r>
          </w:p>
          <w:p w14:paraId="093DF4E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00875A8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Pembangunan atau pengembangan dimaksud termasuk penggunaan teknologi informasi dan komunikasi.</w:t>
            </w:r>
          </w:p>
          <w:p w14:paraId="646BD2E5" w14:textId="7EC665C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Contoh bentuk pengembangan </w:t>
            </w:r>
            <w:r w:rsidR="00711830" w:rsidRPr="007C3531">
              <w:rPr>
                <w:rFonts w:ascii="Bookman Old Style" w:hAnsi="Bookman Old Style"/>
                <w:sz w:val="18"/>
                <w:szCs w:val="18"/>
                <w:lang w:val="id-ID"/>
              </w:rPr>
              <w:t>infrastruktur</w:t>
            </w:r>
            <w:r w:rsidRPr="007C3531">
              <w:rPr>
                <w:rFonts w:ascii="Bookman Old Style" w:hAnsi="Bookman Old Style"/>
                <w:sz w:val="18"/>
                <w:szCs w:val="18"/>
                <w:lang w:val="id-ID"/>
              </w:rPr>
              <w:t xml:space="preserve"> terkait sarana dan media antara lain pembelajaran elektronik (</w:t>
            </w:r>
            <w:r w:rsidRPr="007C3531">
              <w:rPr>
                <w:rFonts w:ascii="Bookman Old Style" w:hAnsi="Bookman Old Style"/>
                <w:i/>
                <w:sz w:val="18"/>
                <w:szCs w:val="18"/>
                <w:lang w:val="id-ID"/>
              </w:rPr>
              <w:t>e-learning)</w:t>
            </w:r>
            <w:r w:rsidRPr="007C3531">
              <w:rPr>
                <w:rFonts w:ascii="Bookman Old Style" w:hAnsi="Bookman Old Style"/>
                <w:sz w:val="18"/>
                <w:szCs w:val="18"/>
                <w:lang w:val="id-ID"/>
              </w:rPr>
              <w:t>, situs web (</w:t>
            </w:r>
            <w:r w:rsidRPr="007C3531">
              <w:rPr>
                <w:rFonts w:ascii="Bookman Old Style" w:hAnsi="Bookman Old Style"/>
                <w:i/>
                <w:sz w:val="18"/>
                <w:szCs w:val="18"/>
                <w:lang w:val="id-ID"/>
              </w:rPr>
              <w:t>website)</w:t>
            </w:r>
            <w:r w:rsidRPr="007C3531">
              <w:rPr>
                <w:rFonts w:ascii="Bookman Old Style" w:hAnsi="Bookman Old Style"/>
                <w:sz w:val="18"/>
                <w:szCs w:val="18"/>
                <w:lang w:val="id-ID"/>
              </w:rPr>
              <w:t>, aplikasi seluler (</w:t>
            </w:r>
            <w:r w:rsidRPr="007C3531">
              <w:rPr>
                <w:rFonts w:ascii="Bookman Old Style" w:hAnsi="Bookman Old Style"/>
                <w:i/>
                <w:sz w:val="18"/>
                <w:szCs w:val="18"/>
                <w:lang w:val="id-ID"/>
              </w:rPr>
              <w:t>mobile application)</w:t>
            </w:r>
            <w:r w:rsidRPr="007C3531">
              <w:rPr>
                <w:rFonts w:ascii="Bookman Old Style" w:hAnsi="Bookman Old Style"/>
                <w:sz w:val="18"/>
                <w:szCs w:val="18"/>
                <w:lang w:val="id-ID"/>
              </w:rPr>
              <w:t>, serta media sosial.</w:t>
            </w:r>
          </w:p>
          <w:p w14:paraId="3935BE4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5DD258E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Materi Edukasi Keuangan dapat berbentuk cetak atau non cetak. Contoh materi Edukasi Keuangan antara lain buku seri Literasi Keuangan dan buku saku pengelolaan keuangan.</w:t>
            </w:r>
          </w:p>
          <w:p w14:paraId="69A87F7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002EB5E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penyediaan sumber daya manusia antara lain melakukan perekrutan sumber daya manusia yang kompeten untuk pelaksanaan kegiatan Edukasi Keuangan.</w:t>
            </w:r>
          </w:p>
          <w:p w14:paraId="1B04FED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pelatihan sumber daya manusia antara lain pelaksanaan pelatihan kepada pihak internal dan/atau eksternal PUJK melalui pelaksanaan pelatihan untuk pelatih (</w:t>
            </w:r>
            <w:r w:rsidRPr="007C3531">
              <w:rPr>
                <w:rFonts w:ascii="Bookman Old Style" w:hAnsi="Bookman Old Style"/>
                <w:i/>
                <w:sz w:val="18"/>
                <w:szCs w:val="18"/>
                <w:lang w:val="id-ID"/>
              </w:rPr>
              <w:t>training of trainer</w:t>
            </w:r>
            <w:r w:rsidRPr="007C3531">
              <w:rPr>
                <w:rFonts w:ascii="Bookman Old Style" w:hAnsi="Bookman Old Style"/>
                <w:sz w:val="18"/>
                <w:szCs w:val="18"/>
                <w:lang w:val="id-ID"/>
              </w:rPr>
              <w:t>/ToT) dan pelatihan untuk fasilitator (</w:t>
            </w:r>
            <w:r w:rsidRPr="007C3531">
              <w:rPr>
                <w:rFonts w:ascii="Bookman Old Style" w:hAnsi="Bookman Old Style"/>
                <w:i/>
                <w:sz w:val="18"/>
                <w:szCs w:val="18"/>
                <w:lang w:val="id-ID"/>
              </w:rPr>
              <w:t>training of facilitator</w:t>
            </w:r>
            <w:r w:rsidRPr="007C3531">
              <w:rPr>
                <w:rFonts w:ascii="Bookman Old Style" w:hAnsi="Bookman Old Style"/>
                <w:sz w:val="18"/>
                <w:szCs w:val="18"/>
                <w:lang w:val="id-ID"/>
              </w:rPr>
              <w:t xml:space="preserve">/ToF). </w:t>
            </w:r>
          </w:p>
          <w:p w14:paraId="29B1401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i/>
                <w:sz w:val="18"/>
                <w:szCs w:val="18"/>
                <w:lang w:val="id-ID"/>
              </w:rPr>
              <w:t>Training of trainer</w:t>
            </w:r>
            <w:r w:rsidRPr="007C3531">
              <w:rPr>
                <w:rFonts w:ascii="Bookman Old Style" w:hAnsi="Bookman Old Style"/>
                <w:sz w:val="18"/>
                <w:szCs w:val="18"/>
                <w:lang w:val="id-ID"/>
              </w:rPr>
              <w:t xml:space="preserve"> (ToT) adalah kegiatan bagi calon </w:t>
            </w:r>
            <w:r w:rsidRPr="007C3531">
              <w:rPr>
                <w:rFonts w:ascii="Bookman Old Style" w:hAnsi="Bookman Old Style"/>
                <w:i/>
                <w:iCs/>
                <w:sz w:val="18"/>
                <w:szCs w:val="18"/>
                <w:lang w:val="id-ID"/>
              </w:rPr>
              <w:t>trainer</w:t>
            </w:r>
            <w:r w:rsidRPr="007C3531">
              <w:rPr>
                <w:rFonts w:ascii="Bookman Old Style" w:hAnsi="Bookman Old Style"/>
                <w:sz w:val="18"/>
                <w:szCs w:val="18"/>
                <w:lang w:val="id-ID"/>
              </w:rPr>
              <w:t xml:space="preserve"> agar mampu menyajikan materi yang didapatkan selama pelatihan kepada komunitasnya atau masyarakat luas.</w:t>
            </w:r>
          </w:p>
          <w:p w14:paraId="0FF5A81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i/>
                <w:sz w:val="18"/>
                <w:szCs w:val="18"/>
                <w:lang w:val="id-ID"/>
              </w:rPr>
              <w:t>Training of facilitator</w:t>
            </w:r>
            <w:r w:rsidRPr="007C3531">
              <w:rPr>
                <w:rFonts w:ascii="Bookman Old Style" w:hAnsi="Bookman Old Style"/>
                <w:sz w:val="18"/>
                <w:szCs w:val="18"/>
                <w:lang w:val="id-ID"/>
              </w:rPr>
              <w:t xml:space="preserve"> (ToF) adalah kegiatan bagi calon fasilitator agar mampu menyajikan materi yang didapatkan selama pelatihan kepada komunitasnya atau masyarakat luas.</w:t>
            </w:r>
          </w:p>
          <w:p w14:paraId="5E3EA1D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0B5967BE" w14:textId="23D2CDD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FED9EF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CD3745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FA0C58C" w14:textId="1722EA73" w:rsidTr="00217FB7">
        <w:tc>
          <w:tcPr>
            <w:tcW w:w="3828" w:type="dxa"/>
          </w:tcPr>
          <w:p w14:paraId="63DFA5C5"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12</w:t>
            </w:r>
          </w:p>
        </w:tc>
        <w:tc>
          <w:tcPr>
            <w:tcW w:w="4394" w:type="dxa"/>
          </w:tcPr>
          <w:p w14:paraId="15E771F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12</w:t>
            </w:r>
          </w:p>
        </w:tc>
        <w:tc>
          <w:tcPr>
            <w:tcW w:w="3827" w:type="dxa"/>
          </w:tcPr>
          <w:p w14:paraId="6B0C3D8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189042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E00EC98" w14:textId="70707BB1" w:rsidTr="00217FB7">
        <w:tc>
          <w:tcPr>
            <w:tcW w:w="3828" w:type="dxa"/>
          </w:tcPr>
          <w:p w14:paraId="65C7688B" w14:textId="343A834D"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lebih lanjut mengenai pelaksanaan kegiatan untuk meningkatkan Literasi Keuangan ditetapkan oleh Otoritas Jasa Keuangan.</w:t>
            </w:r>
          </w:p>
        </w:tc>
        <w:tc>
          <w:tcPr>
            <w:tcW w:w="4394" w:type="dxa"/>
          </w:tcPr>
          <w:p w14:paraId="2E0290C9" w14:textId="6B93F9D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77C7E2A" w14:textId="0206B7C4"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646325C"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9DC207E" w14:textId="6E06AD0A" w:rsidTr="00217FB7">
        <w:tc>
          <w:tcPr>
            <w:tcW w:w="3828" w:type="dxa"/>
          </w:tcPr>
          <w:p w14:paraId="64816D2A" w14:textId="26D5E01C"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III</w:t>
            </w:r>
          </w:p>
        </w:tc>
        <w:tc>
          <w:tcPr>
            <w:tcW w:w="4394" w:type="dxa"/>
          </w:tcPr>
          <w:p w14:paraId="5445DE5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76E9F2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1294CA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CEEAB1A" w14:textId="786D507E" w:rsidTr="00217FB7">
        <w:tc>
          <w:tcPr>
            <w:tcW w:w="3828" w:type="dxa"/>
          </w:tcPr>
          <w:p w14:paraId="5CD73147" w14:textId="7AE7D3C5"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INKLUSI KEUANGAN</w:t>
            </w:r>
          </w:p>
        </w:tc>
        <w:tc>
          <w:tcPr>
            <w:tcW w:w="4394" w:type="dxa"/>
          </w:tcPr>
          <w:p w14:paraId="468A50C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349AFE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4B5DEB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3573263" w14:textId="202E16E2" w:rsidTr="00217FB7">
        <w:tc>
          <w:tcPr>
            <w:tcW w:w="3828" w:type="dxa"/>
          </w:tcPr>
          <w:p w14:paraId="6B26F164"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13</w:t>
            </w:r>
          </w:p>
        </w:tc>
        <w:tc>
          <w:tcPr>
            <w:tcW w:w="4394" w:type="dxa"/>
          </w:tcPr>
          <w:p w14:paraId="5007675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13</w:t>
            </w:r>
          </w:p>
        </w:tc>
        <w:tc>
          <w:tcPr>
            <w:tcW w:w="3827" w:type="dxa"/>
          </w:tcPr>
          <w:p w14:paraId="4715332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3308E0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91D40BD" w14:textId="18C49528" w:rsidTr="00217FB7">
        <w:tc>
          <w:tcPr>
            <w:tcW w:w="3828" w:type="dxa"/>
          </w:tcPr>
          <w:p w14:paraId="1334B8B0" w14:textId="715BAA05" w:rsidR="003922B4" w:rsidRPr="007C3531" w:rsidRDefault="003922B4" w:rsidP="00E405C6">
            <w:pPr>
              <w:pStyle w:val="ListParagraph"/>
              <w:numPr>
                <w:ilvl w:val="0"/>
                <w:numId w:val="8"/>
              </w:numPr>
              <w:spacing w:line="276" w:lineRule="auto"/>
              <w:ind w:left="32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wajib melaksanakan kegiatan untuk meningkatkan Inklusi Keuangan.</w:t>
            </w:r>
          </w:p>
        </w:tc>
        <w:tc>
          <w:tcPr>
            <w:tcW w:w="4394" w:type="dxa"/>
          </w:tcPr>
          <w:p w14:paraId="1DD80509" w14:textId="4BA7F24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3BF9E00" w14:textId="56C494A5"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489ADC5F"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83F15ED" w14:textId="7805153B" w:rsidTr="00217FB7">
        <w:tc>
          <w:tcPr>
            <w:tcW w:w="3828" w:type="dxa"/>
          </w:tcPr>
          <w:p w14:paraId="62496B39" w14:textId="297B8C4B"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Kewajiban PUJK atas pelaksanaan kegiatan sebagaimana dimaksud pada ayat (1) dilakukan sebagai program tahunan dan wajib dilakukan paling sedikit 1 (satu) kali dalam 1 (satu) semester.</w:t>
            </w:r>
          </w:p>
        </w:tc>
        <w:tc>
          <w:tcPr>
            <w:tcW w:w="4394" w:type="dxa"/>
          </w:tcPr>
          <w:p w14:paraId="5768353B" w14:textId="185EBB9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3CF06A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60C67C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7E76B97" w14:textId="54F61422" w:rsidTr="00217FB7">
        <w:tc>
          <w:tcPr>
            <w:tcW w:w="3828" w:type="dxa"/>
          </w:tcPr>
          <w:p w14:paraId="186B6D7A" w14:textId="6CF396EC"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Kewajiban PUJK atas pelaksanaan kegiatan untuk meningkatkan Inklusi Keuangan dilakukan sesuai dengan pedoman di masing-masing PUJK.</w:t>
            </w:r>
          </w:p>
        </w:tc>
        <w:tc>
          <w:tcPr>
            <w:tcW w:w="4394" w:type="dxa"/>
          </w:tcPr>
          <w:p w14:paraId="6C53AD2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1265DC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F6F4A4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E255FB7" w14:textId="6B8124D0" w:rsidTr="00217FB7">
        <w:tc>
          <w:tcPr>
            <w:tcW w:w="3828" w:type="dxa"/>
          </w:tcPr>
          <w:p w14:paraId="304E9FA7" w14:textId="77777777"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PUJK yang melanggar ketentuan sebagaimana dimaksud pada ayat (1) dan ayat (2) dapat dikenakan sanksi administratif berupa: </w:t>
            </w:r>
          </w:p>
          <w:p w14:paraId="534F9412" w14:textId="77777777" w:rsidR="003922B4" w:rsidRPr="007C3531" w:rsidRDefault="003922B4" w:rsidP="0020519A">
            <w:pPr>
              <w:pStyle w:val="ListParagraph"/>
              <w:numPr>
                <w:ilvl w:val="0"/>
                <w:numId w:val="43"/>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peringatan tertulis;</w:t>
            </w:r>
          </w:p>
          <w:p w14:paraId="2EF05E8A" w14:textId="77777777" w:rsidR="003922B4" w:rsidRPr="007C3531" w:rsidRDefault="003922B4" w:rsidP="0020519A">
            <w:pPr>
              <w:pStyle w:val="ListParagraph"/>
              <w:numPr>
                <w:ilvl w:val="0"/>
                <w:numId w:val="43"/>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denda; dan</w:t>
            </w:r>
          </w:p>
          <w:p w14:paraId="4ED719BC" w14:textId="5667B277" w:rsidR="003922B4" w:rsidRPr="007C3531" w:rsidRDefault="003922B4" w:rsidP="0020519A">
            <w:pPr>
              <w:pStyle w:val="ListParagraph"/>
              <w:numPr>
                <w:ilvl w:val="0"/>
                <w:numId w:val="43"/>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larangan sebagai pihak utama sesuai dengan Peraturan Otoritas Jasa Keuangan mengenai penilaian kembali bagi pihak utama Lembaga Jasa Keuangan.</w:t>
            </w:r>
          </w:p>
        </w:tc>
        <w:tc>
          <w:tcPr>
            <w:tcW w:w="4394" w:type="dxa"/>
          </w:tcPr>
          <w:p w14:paraId="2D03210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C17F52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46E213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80402FE" w14:textId="1FFC48B8" w:rsidTr="00217FB7">
        <w:tc>
          <w:tcPr>
            <w:tcW w:w="3828" w:type="dxa"/>
          </w:tcPr>
          <w:p w14:paraId="7E09D4C1" w14:textId="1BC2D480"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Sanksi sebagaimana dimaksud pada ayat (4) huruf b dan huruf c dapat dikenakan dengan atau tanpa didahului pengenaan sanksi peringatan tertulis sebagaimana dimaksud pada ayat (4) huruf a.</w:t>
            </w:r>
          </w:p>
        </w:tc>
        <w:tc>
          <w:tcPr>
            <w:tcW w:w="4394" w:type="dxa"/>
          </w:tcPr>
          <w:p w14:paraId="5A33E17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35DFEC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C7E6E3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DFFD5E0" w14:textId="09583198" w:rsidTr="00217FB7">
        <w:tc>
          <w:tcPr>
            <w:tcW w:w="3828" w:type="dxa"/>
          </w:tcPr>
          <w:p w14:paraId="512A7411" w14:textId="5BAEC027"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Otoritas Jasa Keuangan dapat mengumumkan pengenaan sanksi administratif sebagaimana dimaksud pada ayat (4) kepada masyarakat.</w:t>
            </w:r>
          </w:p>
        </w:tc>
        <w:tc>
          <w:tcPr>
            <w:tcW w:w="4394" w:type="dxa"/>
          </w:tcPr>
          <w:p w14:paraId="64B388B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691AF5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7734B5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C1D2B8A" w14:textId="3D1F2300" w:rsidTr="00217FB7">
        <w:tc>
          <w:tcPr>
            <w:tcW w:w="3828" w:type="dxa"/>
          </w:tcPr>
          <w:p w14:paraId="18A0AE61" w14:textId="31E68C04" w:rsidR="003922B4" w:rsidRPr="007C3531" w:rsidRDefault="003922B4" w:rsidP="00E405C6">
            <w:pPr>
              <w:pStyle w:val="ListParagraph"/>
              <w:numPr>
                <w:ilvl w:val="0"/>
                <w:numId w:val="9"/>
              </w:numPr>
              <w:spacing w:line="276" w:lineRule="auto"/>
              <w:ind w:left="323"/>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Sanksi denda sebagaimana dimaksud pada ayat (4) huruf b dapat</w:t>
            </w:r>
            <w:r w:rsidRPr="007C3531">
              <w:rPr>
                <w:rFonts w:ascii="Bookman Old Style" w:eastAsia="Times New Roman" w:hAnsi="Bookman Old Style"/>
                <w:bCs/>
                <w:sz w:val="18"/>
                <w:szCs w:val="18"/>
                <w:lang w:val="id-ID"/>
              </w:rPr>
              <w:t xml:space="preserve"> dikenakan paling banyak sebesar Rp15.000.000.000,00 (lima belas miliar rupiah).</w:t>
            </w:r>
          </w:p>
        </w:tc>
        <w:tc>
          <w:tcPr>
            <w:tcW w:w="4394" w:type="dxa"/>
          </w:tcPr>
          <w:p w14:paraId="674E848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A3FC95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E8E864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0FC9264" w14:textId="6CC20C03" w:rsidTr="00217FB7">
        <w:tc>
          <w:tcPr>
            <w:tcW w:w="3828" w:type="dxa"/>
          </w:tcPr>
          <w:p w14:paraId="52432770" w14:textId="7234D11E"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Kesatu</w:t>
            </w:r>
          </w:p>
        </w:tc>
        <w:tc>
          <w:tcPr>
            <w:tcW w:w="4394" w:type="dxa"/>
          </w:tcPr>
          <w:p w14:paraId="754CC5B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D4A932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B53AE2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42A4C33" w14:textId="044DBB29" w:rsidTr="00217FB7">
        <w:tc>
          <w:tcPr>
            <w:tcW w:w="3828" w:type="dxa"/>
          </w:tcPr>
          <w:p w14:paraId="1FC8549A" w14:textId="76C996CF"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Ruang Lingkup Kegiatan untuk Meningkatkan Inklusi Keuangan</w:t>
            </w:r>
          </w:p>
        </w:tc>
        <w:tc>
          <w:tcPr>
            <w:tcW w:w="4394" w:type="dxa"/>
          </w:tcPr>
          <w:p w14:paraId="63626B4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1B9E8F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511BA0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C18BE5C" w14:textId="041AB035" w:rsidTr="00217FB7">
        <w:tc>
          <w:tcPr>
            <w:tcW w:w="3828" w:type="dxa"/>
          </w:tcPr>
          <w:p w14:paraId="3738F619"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14</w:t>
            </w:r>
          </w:p>
        </w:tc>
        <w:tc>
          <w:tcPr>
            <w:tcW w:w="4394" w:type="dxa"/>
          </w:tcPr>
          <w:p w14:paraId="1F45DE1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14</w:t>
            </w:r>
          </w:p>
        </w:tc>
        <w:tc>
          <w:tcPr>
            <w:tcW w:w="3827" w:type="dxa"/>
          </w:tcPr>
          <w:p w14:paraId="5667183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EE698E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9D6A48C" w14:textId="3F85945D" w:rsidTr="00217FB7">
        <w:tc>
          <w:tcPr>
            <w:tcW w:w="3828" w:type="dxa"/>
          </w:tcPr>
          <w:p w14:paraId="52FD6210" w14:textId="77777777" w:rsidR="003922B4" w:rsidRPr="007C3531" w:rsidRDefault="003922B4" w:rsidP="0020519A">
            <w:pPr>
              <w:pStyle w:val="ListParagraph"/>
              <w:numPr>
                <w:ilvl w:val="0"/>
                <w:numId w:val="20"/>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Ruang lingkup kegiatan untuk meningkatkan Inklusi Keuangan sebagaimana dimaksud dalam Pasal 13 ayat (1) adalah perencanaan dan pelaksanaan atas: </w:t>
            </w:r>
          </w:p>
          <w:p w14:paraId="5DA7DEF8" w14:textId="77777777" w:rsidR="003922B4" w:rsidRPr="007C3531" w:rsidRDefault="003922B4" w:rsidP="0020519A">
            <w:pPr>
              <w:pStyle w:val="ListParagraph"/>
              <w:numPr>
                <w:ilvl w:val="0"/>
                <w:numId w:val="44"/>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perluasan akses terhadap lembaga, produk, dan/atau layanan kepada target Konsumen;  </w:t>
            </w:r>
          </w:p>
          <w:p w14:paraId="0C21C429" w14:textId="77777777" w:rsidR="003922B4" w:rsidRPr="007C3531" w:rsidRDefault="003922B4" w:rsidP="0020519A">
            <w:pPr>
              <w:pStyle w:val="ListParagraph"/>
              <w:numPr>
                <w:ilvl w:val="0"/>
                <w:numId w:val="44"/>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penyediaan produk dan/atau layanan; dan/atau </w:t>
            </w:r>
          </w:p>
          <w:p w14:paraId="066F1A3C" w14:textId="77777777" w:rsidR="003922B4" w:rsidRPr="007C3531" w:rsidRDefault="003922B4" w:rsidP="0020519A">
            <w:pPr>
              <w:pStyle w:val="ListParagraph"/>
              <w:numPr>
                <w:ilvl w:val="0"/>
                <w:numId w:val="44"/>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keberlangsungan: </w:t>
            </w:r>
          </w:p>
          <w:p w14:paraId="6F4E3241" w14:textId="77777777" w:rsidR="003922B4" w:rsidRPr="007C3531" w:rsidRDefault="003922B4" w:rsidP="0094636F">
            <w:pPr>
              <w:pStyle w:val="ListParagraph"/>
              <w:numPr>
                <w:ilvl w:val="0"/>
                <w:numId w:val="72"/>
              </w:numPr>
              <w:spacing w:line="276" w:lineRule="auto"/>
              <w:ind w:left="1024"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akses terhadap lembaga, produk, dan/atau layanan; dan/atau</w:t>
            </w:r>
          </w:p>
          <w:p w14:paraId="25EAEC3D" w14:textId="77777777" w:rsidR="003922B4" w:rsidRPr="007C3531" w:rsidRDefault="003922B4" w:rsidP="0094636F">
            <w:pPr>
              <w:pStyle w:val="ListParagraph"/>
              <w:numPr>
                <w:ilvl w:val="0"/>
                <w:numId w:val="72"/>
              </w:numPr>
              <w:spacing w:line="276" w:lineRule="auto"/>
              <w:ind w:left="1024"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produk dan/atau layanan,</w:t>
            </w:r>
          </w:p>
          <w:p w14:paraId="6C4BBB17" w14:textId="4075A71E" w:rsidR="003922B4" w:rsidRPr="007C3531" w:rsidRDefault="003922B4" w:rsidP="006716F0">
            <w:pPr>
              <w:spacing w:line="276" w:lineRule="auto"/>
              <w:ind w:left="36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yang telah dimiliki atau disediakan oleh PUJK untuk tetap dapat dimanfaatkan oleh Konsumen dan/atau masyarakat.</w:t>
            </w:r>
          </w:p>
        </w:tc>
        <w:tc>
          <w:tcPr>
            <w:tcW w:w="4394" w:type="dxa"/>
          </w:tcPr>
          <w:p w14:paraId="17BA5517" w14:textId="26476E1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2C2034A1" w14:textId="0045FAF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6A8FDF6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“target Konsumen” adalah calon Konsumen dan/atau Konsumen yang merupakan sasaran PUJK dalam melakukan perluasan akses terhadap lembaga, produk, dan/atau layanan.</w:t>
            </w:r>
          </w:p>
          <w:p w14:paraId="2C794C6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4473EB4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2E16961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56A65B75" w14:textId="3388647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0D510FC5" w14:textId="4E8771DB"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2998C9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8978CC4" w14:textId="57B2C69B" w:rsidTr="00217FB7">
        <w:tc>
          <w:tcPr>
            <w:tcW w:w="3828" w:type="dxa"/>
          </w:tcPr>
          <w:p w14:paraId="3A73809A" w14:textId="4C4A7197" w:rsidR="003922B4" w:rsidRPr="007C3531" w:rsidRDefault="003922B4" w:rsidP="0020519A">
            <w:pPr>
              <w:pStyle w:val="ListParagraph"/>
              <w:numPr>
                <w:ilvl w:val="0"/>
                <w:numId w:val="20"/>
              </w:numPr>
              <w:spacing w:line="276" w:lineRule="auto"/>
              <w:ind w:left="312"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Ruang lingkup kegiatan untuk meningkatkan Inklusi Keuangan sebagaimana dimaksud pada ayat (1) </w:t>
            </w:r>
            <w:r w:rsidRPr="007C3531">
              <w:rPr>
                <w:rFonts w:ascii="Bookman Old Style" w:eastAsia="Times New Roman" w:hAnsi="Bookman Old Style"/>
                <w:sz w:val="18"/>
                <w:szCs w:val="18"/>
                <w:lang w:val="id-ID"/>
              </w:rPr>
              <w:lastRenderedPageBreak/>
              <w:t>huruf a dan huruf b dilakukan dalam bentuk fisik atau digital.</w:t>
            </w:r>
          </w:p>
        </w:tc>
        <w:tc>
          <w:tcPr>
            <w:tcW w:w="4394" w:type="dxa"/>
          </w:tcPr>
          <w:p w14:paraId="62868488" w14:textId="57F6E39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(2)</w:t>
            </w:r>
          </w:p>
          <w:p w14:paraId="750E9B47" w14:textId="0646BB2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C67E3B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07A150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E170182" w14:textId="6685B3E3" w:rsidTr="00217FB7">
        <w:tc>
          <w:tcPr>
            <w:tcW w:w="3828" w:type="dxa"/>
          </w:tcPr>
          <w:p w14:paraId="64FB7F05"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15</w:t>
            </w:r>
          </w:p>
        </w:tc>
        <w:tc>
          <w:tcPr>
            <w:tcW w:w="4394" w:type="dxa"/>
          </w:tcPr>
          <w:p w14:paraId="1F44D21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15</w:t>
            </w:r>
          </w:p>
        </w:tc>
        <w:tc>
          <w:tcPr>
            <w:tcW w:w="3827" w:type="dxa"/>
          </w:tcPr>
          <w:p w14:paraId="2E3C65B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252FF7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69D6B82" w14:textId="351EF157" w:rsidTr="00217FB7">
        <w:tc>
          <w:tcPr>
            <w:tcW w:w="3828" w:type="dxa"/>
          </w:tcPr>
          <w:p w14:paraId="0F430FAD" w14:textId="77777777" w:rsidR="003922B4" w:rsidRPr="007C3531" w:rsidRDefault="003922B4" w:rsidP="0020519A">
            <w:pPr>
              <w:numPr>
                <w:ilvl w:val="0"/>
                <w:numId w:val="46"/>
              </w:numPr>
              <w:spacing w:line="276" w:lineRule="auto"/>
              <w:ind w:left="36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Pelaksanaan kegiatan untuk meningkatkan Inklusi Keuangan sebagaimana dimaksud dalam Pasal 13 ayat (1) dilakukan berdasarkan prinsip: </w:t>
            </w:r>
          </w:p>
          <w:p w14:paraId="1ABD0CF5" w14:textId="77777777" w:rsidR="003922B4" w:rsidRPr="007C3531" w:rsidRDefault="003922B4" w:rsidP="0020519A">
            <w:pPr>
              <w:numPr>
                <w:ilvl w:val="0"/>
                <w:numId w:val="45"/>
              </w:numPr>
              <w:spacing w:line="276" w:lineRule="auto"/>
              <w:ind w:left="72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terukur; </w:t>
            </w:r>
          </w:p>
          <w:p w14:paraId="61A6D3D1" w14:textId="77777777" w:rsidR="003922B4" w:rsidRPr="007C3531" w:rsidRDefault="003922B4" w:rsidP="0020519A">
            <w:pPr>
              <w:numPr>
                <w:ilvl w:val="0"/>
                <w:numId w:val="45"/>
              </w:numPr>
              <w:spacing w:line="276" w:lineRule="auto"/>
              <w:ind w:left="72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terjangkau; </w:t>
            </w:r>
          </w:p>
          <w:p w14:paraId="5818D756" w14:textId="29A72A6F" w:rsidR="003922B4" w:rsidRPr="007C3531" w:rsidRDefault="003922B4" w:rsidP="0020519A">
            <w:pPr>
              <w:numPr>
                <w:ilvl w:val="0"/>
                <w:numId w:val="45"/>
              </w:numPr>
              <w:spacing w:line="276" w:lineRule="auto"/>
              <w:ind w:left="720" w:right="20"/>
              <w:contextualSpacing/>
              <w:jc w:val="both"/>
              <w:rPr>
                <w:rFonts w:ascii="Bookman Old Style" w:hAnsi="Bookman Old Style"/>
                <w:sz w:val="18"/>
                <w:szCs w:val="18"/>
                <w:u w:val="single"/>
                <w:lang w:val="id-ID"/>
              </w:rPr>
            </w:pPr>
            <w:r w:rsidRPr="007C3531">
              <w:rPr>
                <w:rFonts w:ascii="Bookman Old Style" w:hAnsi="Bookman Old Style"/>
                <w:sz w:val="18"/>
                <w:szCs w:val="18"/>
                <w:lang w:val="id-ID"/>
              </w:rPr>
              <w:t>tepat sasaran; dan</w:t>
            </w:r>
          </w:p>
          <w:p w14:paraId="67384129" w14:textId="4162CBA8" w:rsidR="003922B4" w:rsidRPr="007C3531" w:rsidRDefault="003922B4" w:rsidP="0020519A">
            <w:pPr>
              <w:numPr>
                <w:ilvl w:val="0"/>
                <w:numId w:val="45"/>
              </w:numPr>
              <w:spacing w:line="276" w:lineRule="auto"/>
              <w:ind w:left="72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berkelanjutan.</w:t>
            </w:r>
          </w:p>
        </w:tc>
        <w:tc>
          <w:tcPr>
            <w:tcW w:w="4394" w:type="dxa"/>
          </w:tcPr>
          <w:p w14:paraId="472792E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543C5AF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2A7AEA3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“terukur” adalah perencanaan dan pelaksanaan kegiatan untuk meningkatkan Inklusi Keuangan mempertimbangkan jangkauan wilayah, biaya, waktu, sistem teknologi, dan memiliki mitigasi terhadap potensi risiko yang timbul dari transaksi produk dan/atau layanan sehingga akses yang disediakan dan produk dan/atau layanan yang dikembangkan memiliki karakteristik yang sesuai dengan sasaran dari kegiatan untuk meningkatkan Inklusi Keuangan.</w:t>
            </w:r>
          </w:p>
          <w:p w14:paraId="4878C93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5CCC903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“terjangkau” adalah pelaksanaan kegiatan untuk meningkatkan Inklusi Keuangan dapat diakses oleh Konsumen dan/atau masyarakat dengan biaya murah atau tanpa biaya, serta pemanfaatan teknologi.</w:t>
            </w:r>
          </w:p>
          <w:p w14:paraId="2EC52EC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5DA1376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“tepat sasaran” adalah pelaksanaan kegiatan untuk meningkatkan Inklusi Keuangan sesuai dengan kebutuhan dan kemampuan Konsumen dan/atau masyarakat yang menjadi sasaran.</w:t>
            </w:r>
          </w:p>
          <w:p w14:paraId="0CD653F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00A151DF" w14:textId="155FE86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Yang dimaksud dengan “berkelanjutan” adalah pelaksanaan kegiatan untuk meningkatkan Inklusi Keuangan dilakukan secara berkesinambungan untuk mencapai target yang direncanakan serta memiliki aspek jangka panjang yang mengutamakan kebutuhan dan kemampuan Konsumen dan/atau masyarakat.</w:t>
            </w:r>
          </w:p>
        </w:tc>
        <w:tc>
          <w:tcPr>
            <w:tcW w:w="3827" w:type="dxa"/>
          </w:tcPr>
          <w:p w14:paraId="51CB12CF" w14:textId="3B498B2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F1D552B"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C390983" w14:textId="2359462A" w:rsidTr="00217FB7">
        <w:tc>
          <w:tcPr>
            <w:tcW w:w="3828" w:type="dxa"/>
          </w:tcPr>
          <w:p w14:paraId="13A747FB" w14:textId="29F22BE1" w:rsidR="003922B4" w:rsidRPr="007C3531" w:rsidRDefault="003922B4" w:rsidP="0020519A">
            <w:pPr>
              <w:numPr>
                <w:ilvl w:val="0"/>
                <w:numId w:val="46"/>
              </w:numPr>
              <w:spacing w:line="276" w:lineRule="auto"/>
              <w:ind w:left="36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dapat bekerja sama dengan pihak lain dalam pelaksanaan kegiatan untuk meningkatkan Inklusi Keuangan.</w:t>
            </w:r>
          </w:p>
        </w:tc>
        <w:tc>
          <w:tcPr>
            <w:tcW w:w="4394" w:type="dxa"/>
          </w:tcPr>
          <w:p w14:paraId="2FCD34B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13812C26" w14:textId="6E6B531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“pihak lain” antara lain otoritas, PUJK lain, instansi pemerintah, akademisi, badan usaha, organisasi, agen perorangan, baik yang berasal dari dalam maupun luar negeri.</w:t>
            </w:r>
          </w:p>
        </w:tc>
        <w:tc>
          <w:tcPr>
            <w:tcW w:w="3827" w:type="dxa"/>
          </w:tcPr>
          <w:p w14:paraId="5D87579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2E57055"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7F5DDD0" w14:textId="271333C3" w:rsidTr="00217FB7">
        <w:tc>
          <w:tcPr>
            <w:tcW w:w="3828" w:type="dxa"/>
          </w:tcPr>
          <w:p w14:paraId="7F8DFB16" w14:textId="560E8975"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Kedua</w:t>
            </w:r>
          </w:p>
        </w:tc>
        <w:tc>
          <w:tcPr>
            <w:tcW w:w="4394" w:type="dxa"/>
          </w:tcPr>
          <w:p w14:paraId="04E677E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892849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6B5933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43CEC50" w14:textId="1EDE4502" w:rsidTr="00217FB7">
        <w:tc>
          <w:tcPr>
            <w:tcW w:w="3828" w:type="dxa"/>
          </w:tcPr>
          <w:p w14:paraId="3E4B548C" w14:textId="690042C0"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Rencana Kegiatan untuk Meningkatkan Inklusi Keuangan</w:t>
            </w:r>
          </w:p>
        </w:tc>
        <w:tc>
          <w:tcPr>
            <w:tcW w:w="4394" w:type="dxa"/>
          </w:tcPr>
          <w:p w14:paraId="6AF74C7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C3E11C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00A19E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7759FEA" w14:textId="2E903A90" w:rsidTr="00217FB7">
        <w:tc>
          <w:tcPr>
            <w:tcW w:w="3828" w:type="dxa"/>
          </w:tcPr>
          <w:p w14:paraId="10429DEB"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16</w:t>
            </w:r>
          </w:p>
        </w:tc>
        <w:tc>
          <w:tcPr>
            <w:tcW w:w="4394" w:type="dxa"/>
          </w:tcPr>
          <w:p w14:paraId="66B1069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16</w:t>
            </w:r>
          </w:p>
        </w:tc>
        <w:tc>
          <w:tcPr>
            <w:tcW w:w="3827" w:type="dxa"/>
          </w:tcPr>
          <w:p w14:paraId="30563D2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E236E0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FEA52F9" w14:textId="60408923" w:rsidTr="00217FB7">
        <w:tc>
          <w:tcPr>
            <w:tcW w:w="3828" w:type="dxa"/>
          </w:tcPr>
          <w:p w14:paraId="7A85BBA1" w14:textId="0631B8F6" w:rsidR="003922B4" w:rsidRPr="007C3531" w:rsidRDefault="003922B4" w:rsidP="0020519A">
            <w:pPr>
              <w:pStyle w:val="ListParagraph"/>
              <w:numPr>
                <w:ilvl w:val="0"/>
                <w:numId w:val="21"/>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PUJK harus melakukan penyusunan rencana kegiatan untuk meningkatkan Inklusi Keuangan. </w:t>
            </w:r>
          </w:p>
        </w:tc>
        <w:tc>
          <w:tcPr>
            <w:tcW w:w="4394" w:type="dxa"/>
          </w:tcPr>
          <w:p w14:paraId="18CAFA1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6CF450BC" w14:textId="50026A3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3CA389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6D9DCF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7204A20" w14:textId="0EFE634C" w:rsidTr="00217FB7">
        <w:tc>
          <w:tcPr>
            <w:tcW w:w="3828" w:type="dxa"/>
          </w:tcPr>
          <w:p w14:paraId="4FC15DF7" w14:textId="77777777" w:rsidR="003922B4" w:rsidRPr="007C3531" w:rsidRDefault="003922B4" w:rsidP="0020519A">
            <w:pPr>
              <w:pStyle w:val="ListParagraph"/>
              <w:numPr>
                <w:ilvl w:val="0"/>
                <w:numId w:val="21"/>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Rencana kegiatan untuk meningkatkan Inklusi Keuangan sebagaimana dimaksud pada ayat (1) paling kurang mencantumkan: </w:t>
            </w:r>
          </w:p>
          <w:p w14:paraId="483EB5EE" w14:textId="77777777" w:rsidR="003922B4" w:rsidRPr="007C3531" w:rsidRDefault="003922B4" w:rsidP="0020519A">
            <w:pPr>
              <w:pStyle w:val="ListParagraph"/>
              <w:numPr>
                <w:ilvl w:val="0"/>
                <w:numId w:val="47"/>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ruang lingkup kegiatan yang akan dilakukan sebagaimana dimaksud dalam Pasal 14;</w:t>
            </w:r>
          </w:p>
          <w:p w14:paraId="28D64633" w14:textId="77777777" w:rsidR="003922B4" w:rsidRPr="007C3531" w:rsidRDefault="003922B4" w:rsidP="0020519A">
            <w:pPr>
              <w:pStyle w:val="ListParagraph"/>
              <w:numPr>
                <w:ilvl w:val="0"/>
                <w:numId w:val="47"/>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sasaran kegiatan untuk meningkatkan Inklusi Keuangan; </w:t>
            </w:r>
          </w:p>
          <w:p w14:paraId="3F4FEB18" w14:textId="77777777" w:rsidR="003922B4" w:rsidRPr="007C3531" w:rsidRDefault="003922B4" w:rsidP="0020519A">
            <w:pPr>
              <w:pStyle w:val="ListParagraph"/>
              <w:numPr>
                <w:ilvl w:val="0"/>
                <w:numId w:val="47"/>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target pengguna produk dan/atau layanan; </w:t>
            </w:r>
          </w:p>
          <w:p w14:paraId="77FAC604" w14:textId="77777777" w:rsidR="003922B4" w:rsidRPr="007C3531" w:rsidRDefault="003922B4" w:rsidP="0020519A">
            <w:pPr>
              <w:pStyle w:val="ListParagraph"/>
              <w:numPr>
                <w:ilvl w:val="0"/>
                <w:numId w:val="47"/>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 xml:space="preserve">jadwal dan wilayah pelaksanaan kegiatan untuk meningkatkan Inklusi Keuangan; dan </w:t>
            </w:r>
          </w:p>
          <w:p w14:paraId="6BEB8528" w14:textId="6A8B8089" w:rsidR="003922B4" w:rsidRPr="007C3531" w:rsidRDefault="003922B4" w:rsidP="0020519A">
            <w:pPr>
              <w:pStyle w:val="ListParagraph"/>
              <w:numPr>
                <w:ilvl w:val="0"/>
                <w:numId w:val="47"/>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parameter dan bentuk pemantauan dan/atau evaluasi pelaksanaan kegiatan untuk meningkatkan Inklusi Keuangan.</w:t>
            </w:r>
          </w:p>
        </w:tc>
        <w:tc>
          <w:tcPr>
            <w:tcW w:w="4394" w:type="dxa"/>
          </w:tcPr>
          <w:p w14:paraId="6F4CF29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(2)</w:t>
            </w:r>
          </w:p>
          <w:p w14:paraId="7603BA6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08133E7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Dalam hal PUJK melakukan perluasan akses yang dimuat dalam rencana kegiatan, maka PUJK mencantumkan bentuk dan sarana dalam melakukan perluasan akses.</w:t>
            </w:r>
          </w:p>
          <w:p w14:paraId="6550197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Dalam hal PUJK melakukan pengembangan produk dan/atau layanan yang dimuat dalam rencana kegiatan, maka PUJK mencantumkan produk dan/atau layanan jasa keuangan yang akan dikembangkan atau dikelola.</w:t>
            </w:r>
          </w:p>
          <w:p w14:paraId="4CEEF4C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06324A3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Yang dimaksud dengan “sasaran kegiatan” adalah kelompok atau segmen masyarakat tertentu yang menjadi tujuan dari pelaksanaan kegiatan untuk meningkatkan Inklusi Keuangan.</w:t>
            </w:r>
          </w:p>
          <w:p w14:paraId="52570A5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7034489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“target pengguna” adalah jumlah pengguna produk dan/atau layanan yang ditetapkan akan dicapai melalui pelaksanaan kegiatan untuk meningkatkan Inklusi Keuangan.</w:t>
            </w:r>
          </w:p>
          <w:p w14:paraId="20D2211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384C9E5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“jadwal” adalah waktu atau periode pelaksanaan kegiatan untuk meningkatkan Inklusi Keuangan.</w:t>
            </w:r>
          </w:p>
          <w:p w14:paraId="6E6241E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“wilayah” adalah lokasi pelaksanaan kegiatan untuk meningkatkan Inklusi Keuangan.</w:t>
            </w:r>
          </w:p>
          <w:p w14:paraId="4A87D2E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e</w:t>
            </w:r>
          </w:p>
          <w:p w14:paraId="57B39FF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“pemantauan” adalah proses untuk melihat dan memastikan bahwa pelaksanaan kegiatan untuk meningkatkan Inklusi Keuangan yang sedang berjalan sesuai dengan rencana yang telah disusun.</w:t>
            </w:r>
          </w:p>
          <w:p w14:paraId="456037E8" w14:textId="210DC192"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“evaluasi” adalah proses untuk mengetahui dan menilai tingkat keberhasilan kegiatan untuk meningkatkan Inklusi Keuangan yang telah terlaksana sesuai dengan target pengguna produk dan/atau layanan, dan berkualitas.</w:t>
            </w:r>
          </w:p>
        </w:tc>
        <w:tc>
          <w:tcPr>
            <w:tcW w:w="3827" w:type="dxa"/>
          </w:tcPr>
          <w:p w14:paraId="174D9A2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034083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386BA8B" w14:textId="772CFDC0" w:rsidTr="00217FB7">
        <w:tc>
          <w:tcPr>
            <w:tcW w:w="3828" w:type="dxa"/>
          </w:tcPr>
          <w:p w14:paraId="37CDD75B" w14:textId="5AFE4F58"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Ketiga</w:t>
            </w:r>
          </w:p>
        </w:tc>
        <w:tc>
          <w:tcPr>
            <w:tcW w:w="4394" w:type="dxa"/>
          </w:tcPr>
          <w:p w14:paraId="6ECB953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327A8E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40F96A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B43C748" w14:textId="3514424A" w:rsidTr="00217FB7">
        <w:tc>
          <w:tcPr>
            <w:tcW w:w="3828" w:type="dxa"/>
          </w:tcPr>
          <w:p w14:paraId="0E930F58" w14:textId="742420CD"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Pelaksanaan Kegiatan untuk Meningkatkan Inklusi Keuangan</w:t>
            </w:r>
          </w:p>
        </w:tc>
        <w:tc>
          <w:tcPr>
            <w:tcW w:w="4394" w:type="dxa"/>
          </w:tcPr>
          <w:p w14:paraId="3AC04D9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7E6DF45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53FE9B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82B87F2" w14:textId="5FF72E8F" w:rsidTr="00217FB7">
        <w:tc>
          <w:tcPr>
            <w:tcW w:w="3828" w:type="dxa"/>
          </w:tcPr>
          <w:p w14:paraId="4B7DEB01"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17</w:t>
            </w:r>
          </w:p>
        </w:tc>
        <w:tc>
          <w:tcPr>
            <w:tcW w:w="4394" w:type="dxa"/>
          </w:tcPr>
          <w:p w14:paraId="38AD695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17</w:t>
            </w:r>
          </w:p>
        </w:tc>
        <w:tc>
          <w:tcPr>
            <w:tcW w:w="3827" w:type="dxa"/>
          </w:tcPr>
          <w:p w14:paraId="6FAE2E1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8C20C8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671853F" w14:textId="37684694" w:rsidTr="00217FB7">
        <w:tc>
          <w:tcPr>
            <w:tcW w:w="3828" w:type="dxa"/>
          </w:tcPr>
          <w:p w14:paraId="155CE62D" w14:textId="77777777" w:rsidR="003922B4" w:rsidRPr="007C3531" w:rsidRDefault="003922B4" w:rsidP="0020519A">
            <w:pPr>
              <w:pStyle w:val="ListParagraph"/>
              <w:numPr>
                <w:ilvl w:val="0"/>
                <w:numId w:val="10"/>
              </w:numPr>
              <w:spacing w:line="276" w:lineRule="auto"/>
              <w:ind w:left="316"/>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Perluasan akses sebagaimana dimaksud dalam Pasal 14 ayat (1) huruf a adalah penyediaan infrastruktur oleh PUJK sehingga target Konsumen dapat menjangkau:</w:t>
            </w:r>
          </w:p>
          <w:p w14:paraId="4A878167" w14:textId="77777777" w:rsidR="003922B4" w:rsidRPr="007C3531" w:rsidRDefault="003922B4" w:rsidP="0020519A">
            <w:pPr>
              <w:pStyle w:val="ListParagraph"/>
              <w:numPr>
                <w:ilvl w:val="0"/>
                <w:numId w:val="48"/>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dan/atau</w:t>
            </w:r>
          </w:p>
          <w:p w14:paraId="090B02FE" w14:textId="4B7C334B" w:rsidR="003922B4" w:rsidRPr="007C3531" w:rsidRDefault="003922B4" w:rsidP="0020519A">
            <w:pPr>
              <w:pStyle w:val="ListParagraph"/>
              <w:numPr>
                <w:ilvl w:val="0"/>
                <w:numId w:val="48"/>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produk dan/atau layanan yang berizin dan diawasi oleh Otoritas Jasa Keuangan.</w:t>
            </w:r>
          </w:p>
        </w:tc>
        <w:tc>
          <w:tcPr>
            <w:tcW w:w="4394" w:type="dxa"/>
          </w:tcPr>
          <w:p w14:paraId="5EDB5AD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2038DD7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4096207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5A691C9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3F0C9084" w14:textId="0D7AF47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“berizin” adalah produk dan/atau layanan yang memperoleh izin usaha, persetujuan, pendaftaran, pengesahan, pernyataan efektif, atau tercatat dari Otoritas Jasa Keuangan.</w:t>
            </w:r>
          </w:p>
        </w:tc>
        <w:tc>
          <w:tcPr>
            <w:tcW w:w="3827" w:type="dxa"/>
          </w:tcPr>
          <w:p w14:paraId="1978B2D6" w14:textId="454D63A4"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6686EF0"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578DE257" w14:textId="5F74B87D" w:rsidTr="00217FB7">
        <w:tc>
          <w:tcPr>
            <w:tcW w:w="3828" w:type="dxa"/>
          </w:tcPr>
          <w:p w14:paraId="15E981F0" w14:textId="77777777" w:rsidR="003922B4" w:rsidRPr="007C3531" w:rsidRDefault="003922B4" w:rsidP="0020519A">
            <w:pPr>
              <w:pStyle w:val="ListParagraph"/>
              <w:numPr>
                <w:ilvl w:val="0"/>
                <w:numId w:val="10"/>
              </w:numPr>
              <w:spacing w:line="276" w:lineRule="auto"/>
              <w:ind w:left="316"/>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Penyediaan infrastruktur sebagaimana dimaksud pada ayat (1) dapat dilakukan dalam bentuk:  </w:t>
            </w:r>
          </w:p>
          <w:p w14:paraId="3A2A9740" w14:textId="77777777"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penambahan jaringan kantor; </w:t>
            </w:r>
          </w:p>
          <w:p w14:paraId="0EF93B88" w14:textId="77777777"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penambahan kerja sama dengan pihak lain; </w:t>
            </w:r>
          </w:p>
          <w:p w14:paraId="0A6D9C9D" w14:textId="77777777"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pengembangan saluran distribusi atau </w:t>
            </w:r>
            <w:r w:rsidRPr="007C3531">
              <w:rPr>
                <w:rFonts w:ascii="Bookman Old Style" w:eastAsia="Times New Roman" w:hAnsi="Bookman Old Style"/>
                <w:i/>
                <w:sz w:val="18"/>
                <w:szCs w:val="18"/>
                <w:lang w:val="id-ID"/>
              </w:rPr>
              <w:t>delivery channel</w:t>
            </w:r>
            <w:r w:rsidRPr="007C3531">
              <w:rPr>
                <w:rFonts w:ascii="Bookman Old Style" w:eastAsia="Times New Roman" w:hAnsi="Bookman Old Style"/>
                <w:sz w:val="18"/>
                <w:szCs w:val="18"/>
                <w:lang w:val="id-ID"/>
              </w:rPr>
              <w:t xml:space="preserve"> produk dan/atau layanan; </w:t>
            </w:r>
          </w:p>
          <w:p w14:paraId="2A1DDC19" w14:textId="77777777"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penyediaan sarana khusus kepada Konsumen dan/atau masyarakat penyandang disabilitas dan lanjut usia;</w:t>
            </w:r>
          </w:p>
          <w:p w14:paraId="5691733D" w14:textId="77777777"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dukungan terhadap program pemerintah atau otoritas untuk meningkatkan Inklusi Keuangan; dan/atau</w:t>
            </w:r>
          </w:p>
          <w:p w14:paraId="0C11A2FF" w14:textId="24FEC1EE" w:rsidR="003922B4" w:rsidRPr="007C3531" w:rsidRDefault="003922B4" w:rsidP="0020519A">
            <w:pPr>
              <w:pStyle w:val="ListParagraph"/>
              <w:numPr>
                <w:ilvl w:val="0"/>
                <w:numId w:val="49"/>
              </w:numPr>
              <w:spacing w:line="276" w:lineRule="auto"/>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infrastruktur lainnya, yang dapat memperluas akses keuangan masyarakat terhadap produk dan/atau layanan yang akan digunakan.</w:t>
            </w:r>
          </w:p>
        </w:tc>
        <w:tc>
          <w:tcPr>
            <w:tcW w:w="4394" w:type="dxa"/>
          </w:tcPr>
          <w:p w14:paraId="55DCA70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0D01BB9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1686AB8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477051A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3AF9898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Cukup jelas. </w:t>
            </w:r>
          </w:p>
          <w:p w14:paraId="121DBE5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1A1AB45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Contoh pengembangan saluran distribusi atau </w:t>
            </w:r>
            <w:r w:rsidRPr="007C3531">
              <w:rPr>
                <w:rFonts w:ascii="Bookman Old Style" w:hAnsi="Bookman Old Style"/>
                <w:i/>
                <w:iCs/>
                <w:sz w:val="18"/>
                <w:szCs w:val="18"/>
                <w:lang w:val="id-ID"/>
              </w:rPr>
              <w:t>delivery channel</w:t>
            </w:r>
            <w:r w:rsidRPr="007C3531">
              <w:rPr>
                <w:rFonts w:ascii="Bookman Old Style" w:hAnsi="Bookman Old Style"/>
                <w:sz w:val="18"/>
                <w:szCs w:val="18"/>
                <w:lang w:val="id-ID"/>
              </w:rPr>
              <w:t xml:space="preserve"> produk dan/atau layanan antara lain anjungan tunai mandiri (</w:t>
            </w:r>
            <w:r w:rsidRPr="007C3531">
              <w:rPr>
                <w:rFonts w:ascii="Bookman Old Style" w:hAnsi="Bookman Old Style"/>
                <w:i/>
                <w:iCs/>
                <w:sz w:val="18"/>
                <w:szCs w:val="18"/>
                <w:lang w:val="id-ID"/>
              </w:rPr>
              <w:t>automated teller machine</w:t>
            </w:r>
            <w:r w:rsidRPr="007C3531">
              <w:rPr>
                <w:rFonts w:ascii="Bookman Old Style" w:hAnsi="Bookman Old Style"/>
                <w:sz w:val="18"/>
                <w:szCs w:val="18"/>
                <w:lang w:val="id-ID"/>
              </w:rPr>
              <w:t>/ATM), dan penggunaan mesin pengambilan data secara elektronik (</w:t>
            </w:r>
            <w:r w:rsidRPr="007C3531">
              <w:rPr>
                <w:rFonts w:ascii="Bookman Old Style" w:hAnsi="Bookman Old Style"/>
                <w:i/>
                <w:iCs/>
                <w:sz w:val="18"/>
                <w:szCs w:val="18"/>
                <w:lang w:val="id-ID"/>
              </w:rPr>
              <w:t>electronic data capture</w:t>
            </w:r>
            <w:r w:rsidRPr="007C3531">
              <w:rPr>
                <w:rFonts w:ascii="Bookman Old Style" w:hAnsi="Bookman Old Style"/>
                <w:sz w:val="18"/>
                <w:szCs w:val="18"/>
                <w:lang w:val="id-ID"/>
              </w:rPr>
              <w:t>/EDC).</w:t>
            </w:r>
          </w:p>
          <w:p w14:paraId="0D86418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728DC26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“sarana khusus” antara lain:</w:t>
            </w:r>
          </w:p>
          <w:p w14:paraId="4367866A" w14:textId="1A4397F1" w:rsidR="003922B4" w:rsidRPr="007C3531" w:rsidRDefault="003922B4" w:rsidP="0020519A">
            <w:pPr>
              <w:pStyle w:val="BodyText"/>
              <w:numPr>
                <w:ilvl w:val="0"/>
                <w:numId w:val="50"/>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 xml:space="preserve">memberikan formulir yang menggunakan huruf braille dan fitur aplikasi penyedia layanan; </w:t>
            </w:r>
          </w:p>
          <w:p w14:paraId="759C75BC" w14:textId="2E28B89E" w:rsidR="003922B4" w:rsidRPr="007C3531" w:rsidRDefault="003922B4" w:rsidP="0020519A">
            <w:pPr>
              <w:pStyle w:val="BodyText"/>
              <w:numPr>
                <w:ilvl w:val="0"/>
                <w:numId w:val="50"/>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menyediakan jalur landai;</w:t>
            </w:r>
          </w:p>
          <w:p w14:paraId="0E5D965A" w14:textId="6B3F447C" w:rsidR="003922B4" w:rsidRPr="007C3531" w:rsidRDefault="003922B4" w:rsidP="0020519A">
            <w:pPr>
              <w:pStyle w:val="BodyText"/>
              <w:numPr>
                <w:ilvl w:val="0"/>
                <w:numId w:val="50"/>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menyediakan pegawai terlatih untuk melayani Konsumen penyandang disabilitas; </w:t>
            </w:r>
          </w:p>
          <w:p w14:paraId="375DA149" w14:textId="75334700" w:rsidR="003922B4" w:rsidRPr="007C3531" w:rsidRDefault="003922B4" w:rsidP="0020519A">
            <w:pPr>
              <w:pStyle w:val="BodyText"/>
              <w:numPr>
                <w:ilvl w:val="0"/>
                <w:numId w:val="50"/>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adanya ATM khusus penyandang disabilitas; atau</w:t>
            </w:r>
          </w:p>
          <w:p w14:paraId="1E0135E7" w14:textId="4B37B1E0" w:rsidR="003922B4" w:rsidRPr="007C3531" w:rsidRDefault="003922B4" w:rsidP="0020519A">
            <w:pPr>
              <w:pStyle w:val="BodyText"/>
              <w:numPr>
                <w:ilvl w:val="0"/>
                <w:numId w:val="50"/>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menyediakan media informasi yang memperhatikan Konsumen penyandang disabilitas dan memudahkan para penyandang disabilitas untuk memperoleh produk dan/atau layanan yang disediakan secara digital.</w:t>
            </w:r>
          </w:p>
          <w:p w14:paraId="2F7DA43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“penyandang disabilitas” adalah sebagaimana diatur dalam ketentuan peraturan perundang-undangan.</w:t>
            </w:r>
          </w:p>
          <w:p w14:paraId="02121F9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e</w:t>
            </w:r>
          </w:p>
          <w:p w14:paraId="0C52812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dukungan terhadap program pemerintah atau otoritas antara lain program layanan keuangan tanpa kantor dalam rangka keuangan inklusif.</w:t>
            </w:r>
          </w:p>
          <w:p w14:paraId="54318FD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f</w:t>
            </w:r>
          </w:p>
          <w:p w14:paraId="6A14434E" w14:textId="0C67C6F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666F9E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BD6824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F18C773" w14:textId="0F51BD96" w:rsidTr="00217FB7">
        <w:tc>
          <w:tcPr>
            <w:tcW w:w="3828" w:type="dxa"/>
          </w:tcPr>
          <w:p w14:paraId="69DDD9B2"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18</w:t>
            </w:r>
          </w:p>
        </w:tc>
        <w:tc>
          <w:tcPr>
            <w:tcW w:w="4394" w:type="dxa"/>
          </w:tcPr>
          <w:p w14:paraId="7EF578D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18</w:t>
            </w:r>
          </w:p>
        </w:tc>
        <w:tc>
          <w:tcPr>
            <w:tcW w:w="3827" w:type="dxa"/>
          </w:tcPr>
          <w:p w14:paraId="2A2B02D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DE2CF6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B5FAC08" w14:textId="113B66D5" w:rsidTr="00217FB7">
        <w:tc>
          <w:tcPr>
            <w:tcW w:w="3828" w:type="dxa"/>
          </w:tcPr>
          <w:p w14:paraId="75AF0F75" w14:textId="77777777" w:rsidR="003922B4" w:rsidRPr="007C3531" w:rsidRDefault="003922B4" w:rsidP="0020519A">
            <w:pPr>
              <w:pStyle w:val="ListParagraph"/>
              <w:numPr>
                <w:ilvl w:val="0"/>
                <w:numId w:val="11"/>
              </w:numPr>
              <w:spacing w:line="276" w:lineRule="auto"/>
              <w:ind w:left="316"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Penyediaan produk dan/atau layanan sebagaimana dimaksud dalam Pasal 14 ayat (1) huruf b meliputi:</w:t>
            </w:r>
          </w:p>
          <w:p w14:paraId="57F0F76F" w14:textId="77777777" w:rsidR="003922B4" w:rsidRPr="007C3531" w:rsidRDefault="003922B4" w:rsidP="0020519A">
            <w:pPr>
              <w:pStyle w:val="ListParagraph"/>
              <w:numPr>
                <w:ilvl w:val="0"/>
                <w:numId w:val="51"/>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penciptaan skema; atau </w:t>
            </w:r>
          </w:p>
          <w:p w14:paraId="525147F2" w14:textId="77777777" w:rsidR="003922B4" w:rsidRPr="007C3531" w:rsidRDefault="003922B4" w:rsidP="0020519A">
            <w:pPr>
              <w:pStyle w:val="ListParagraph"/>
              <w:numPr>
                <w:ilvl w:val="0"/>
                <w:numId w:val="51"/>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lastRenderedPageBreak/>
              <w:t xml:space="preserve">pengembangan produk dan/atau layanan, </w:t>
            </w:r>
          </w:p>
          <w:p w14:paraId="04A85C59" w14:textId="3F43E835" w:rsidR="003922B4" w:rsidRPr="004A02F2" w:rsidRDefault="003922B4" w:rsidP="006716F0">
            <w:pPr>
              <w:spacing w:line="276" w:lineRule="auto"/>
              <w:ind w:left="360" w:right="20"/>
              <w:contextualSpacing/>
              <w:jc w:val="both"/>
              <w:rPr>
                <w:rFonts w:ascii="Bookman Old Style" w:hAnsi="Bookman Old Style"/>
                <w:sz w:val="18"/>
                <w:szCs w:val="18"/>
              </w:rPr>
            </w:pPr>
            <w:r w:rsidRPr="007C3531">
              <w:rPr>
                <w:rFonts w:ascii="Bookman Old Style" w:hAnsi="Bookman Old Style"/>
                <w:sz w:val="18"/>
                <w:szCs w:val="18"/>
                <w:lang w:val="id-ID"/>
              </w:rPr>
              <w:t xml:space="preserve">yang sesuai dengan kebutuhan dan </w:t>
            </w:r>
            <w:r w:rsidRPr="0066591F">
              <w:rPr>
                <w:rFonts w:ascii="Bookman Old Style" w:hAnsi="Bookman Old Style"/>
                <w:sz w:val="18"/>
                <w:szCs w:val="18"/>
                <w:lang w:val="id-ID"/>
              </w:rPr>
              <w:t>kemampuan Konsumen dan/atau masyarakat</w:t>
            </w:r>
            <w:r w:rsidR="004A02F2" w:rsidRPr="0066591F">
              <w:rPr>
                <w:rFonts w:ascii="Bookman Old Style" w:hAnsi="Bookman Old Style"/>
                <w:sz w:val="18"/>
                <w:szCs w:val="18"/>
              </w:rPr>
              <w:t>.</w:t>
            </w:r>
          </w:p>
        </w:tc>
        <w:tc>
          <w:tcPr>
            <w:tcW w:w="4394" w:type="dxa"/>
          </w:tcPr>
          <w:p w14:paraId="224E9BD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(1)</w:t>
            </w:r>
          </w:p>
          <w:p w14:paraId="3CBC7CF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“penciptaan skema” adalah PUJK menciptakan skema produk </w:t>
            </w:r>
            <w:r w:rsidRPr="007C3531">
              <w:rPr>
                <w:rFonts w:ascii="Bookman Old Style" w:hAnsi="Bookman Old Style"/>
                <w:sz w:val="18"/>
                <w:szCs w:val="18"/>
                <w:lang w:val="id-ID"/>
              </w:rPr>
              <w:lastRenderedPageBreak/>
              <w:t>dan/atau layanan yang dapat dijangkau oleh Konsumen dan/atau masyarakat.</w:t>
            </w:r>
          </w:p>
          <w:p w14:paraId="6B917B29" w14:textId="2611DF2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“pengembangan produk dan/atau layanan” adalah PUJK melakukan pengembangan atas produk dan/atau layanan yang telah diterbitkan. Pengembangan dilakukan agar Konsumen dan/atau masyarakat semakin mudah untuk memanfaatkan produk dan/atau layanan. Pengembangan produk dan/atau layanan antara lain dilakukan dengan penambahan fitur atas produk dan/atau layanan yang telah diterbitkan.</w:t>
            </w:r>
          </w:p>
        </w:tc>
        <w:tc>
          <w:tcPr>
            <w:tcW w:w="3827" w:type="dxa"/>
          </w:tcPr>
          <w:p w14:paraId="0F8278C4" w14:textId="1E529979"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EE4A6A3"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B4069F2" w14:textId="14D989F8" w:rsidTr="00217FB7">
        <w:tc>
          <w:tcPr>
            <w:tcW w:w="3828" w:type="dxa"/>
          </w:tcPr>
          <w:p w14:paraId="4057648E" w14:textId="0EF50823" w:rsidR="003922B4" w:rsidRPr="007C3531" w:rsidRDefault="003922B4" w:rsidP="0020519A">
            <w:pPr>
              <w:pStyle w:val="ListParagraph"/>
              <w:numPr>
                <w:ilvl w:val="0"/>
                <w:numId w:val="11"/>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Penciptaan skema atau pengembangan produk dan/atau layanan sebagaimana dimaksud pada ayat (1) dilakukan sesuai dengan kemampuan, karakteristik produk dan/atau layanan serta industri masing-masing PUJK.</w:t>
            </w:r>
          </w:p>
        </w:tc>
        <w:tc>
          <w:tcPr>
            <w:tcW w:w="4394" w:type="dxa"/>
          </w:tcPr>
          <w:p w14:paraId="4270FE3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6B29CD8B" w14:textId="03D49C6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3DBF342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88E9EE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CE4E9A3" w14:textId="1272B30D" w:rsidTr="00217FB7">
        <w:tc>
          <w:tcPr>
            <w:tcW w:w="3828" w:type="dxa"/>
          </w:tcPr>
          <w:p w14:paraId="2CB04328" w14:textId="77777777" w:rsidR="003922B4" w:rsidRPr="007C3531" w:rsidRDefault="003922B4" w:rsidP="0020519A">
            <w:pPr>
              <w:pStyle w:val="ListParagraph"/>
              <w:numPr>
                <w:ilvl w:val="0"/>
                <w:numId w:val="11"/>
              </w:numPr>
              <w:spacing w:line="276" w:lineRule="auto"/>
              <w:ind w:left="316"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Penciptaan skema sebagaimana dimaksud pada ayat (1) huruf a dapat dilakukan dalam bentuk: </w:t>
            </w:r>
          </w:p>
          <w:p w14:paraId="010D1F0A" w14:textId="77777777" w:rsidR="003922B4" w:rsidRPr="007C3531" w:rsidRDefault="003922B4" w:rsidP="0020519A">
            <w:pPr>
              <w:pStyle w:val="ListParagraph"/>
              <w:numPr>
                <w:ilvl w:val="0"/>
                <w:numId w:val="52"/>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mendesain atau menciptakan produk dan/atau layanan yang bersifat umum;</w:t>
            </w:r>
          </w:p>
          <w:p w14:paraId="6F6C7D60" w14:textId="77777777" w:rsidR="003922B4" w:rsidRPr="007C3531" w:rsidRDefault="003922B4" w:rsidP="0020519A">
            <w:pPr>
              <w:pStyle w:val="ListParagraph"/>
              <w:numPr>
                <w:ilvl w:val="0"/>
                <w:numId w:val="52"/>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mendesain atau menciptakan produk dan/atau layanan sederhana;</w:t>
            </w:r>
          </w:p>
          <w:p w14:paraId="3012B54D" w14:textId="77777777" w:rsidR="003922B4" w:rsidRPr="007C3531" w:rsidRDefault="003922B4" w:rsidP="0020519A">
            <w:pPr>
              <w:pStyle w:val="ListParagraph"/>
              <w:numPr>
                <w:ilvl w:val="0"/>
                <w:numId w:val="52"/>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mendesain atau menciptakan produk dan/atau layanan tematik; dan/atau</w:t>
            </w:r>
          </w:p>
          <w:p w14:paraId="73A9220B" w14:textId="58C21FDD" w:rsidR="003922B4" w:rsidRPr="007C3531" w:rsidRDefault="003922B4" w:rsidP="0020519A">
            <w:pPr>
              <w:pStyle w:val="ListParagraph"/>
              <w:numPr>
                <w:ilvl w:val="0"/>
                <w:numId w:val="52"/>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melaksanakan </w:t>
            </w:r>
            <w:bookmarkStart w:id="3" w:name="_Hlk100739761"/>
            <w:r w:rsidRPr="007C3531">
              <w:rPr>
                <w:rFonts w:ascii="Bookman Old Style" w:eastAsia="Times New Roman" w:hAnsi="Bookman Old Style"/>
                <w:sz w:val="18"/>
                <w:szCs w:val="18"/>
                <w:lang w:val="id-ID"/>
              </w:rPr>
              <w:t>program pemerintah atau otoritas untuk meningkatkan Inklusi Keuangan</w:t>
            </w:r>
            <w:bookmarkEnd w:id="3"/>
            <w:r w:rsidRPr="007C3531">
              <w:rPr>
                <w:rFonts w:ascii="Bookman Old Style" w:eastAsia="Times New Roman" w:hAnsi="Bookman Old Style"/>
                <w:sz w:val="18"/>
                <w:szCs w:val="18"/>
                <w:lang w:val="id-ID"/>
              </w:rPr>
              <w:t>.</w:t>
            </w:r>
          </w:p>
        </w:tc>
        <w:tc>
          <w:tcPr>
            <w:tcW w:w="4394" w:type="dxa"/>
          </w:tcPr>
          <w:p w14:paraId="177FCA7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1C86123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5E76948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“produk dan/atau layanan yang bersifat umum” adalah produk dan/atau layanan yang dapat digunakan oleh Konsumen dan/atau masyarakat.</w:t>
            </w:r>
          </w:p>
          <w:p w14:paraId="062DB40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225F9D86" w14:textId="2F45B4A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“produk dan/atau layanan sederhana” adalah produk dan/atau layanan dengan fitur dan persyaratan yang mudah dan dapat dijangkau oleh berbagai golongan Konsumen dan/atau masyarakat yang diinisiasi oleh </w:t>
            </w:r>
            <w:r w:rsidRPr="0066591F">
              <w:rPr>
                <w:rFonts w:ascii="Bookman Old Style" w:hAnsi="Bookman Old Style"/>
                <w:sz w:val="18"/>
                <w:szCs w:val="18"/>
                <w:lang w:val="id-ID"/>
              </w:rPr>
              <w:t>PUJK</w:t>
            </w:r>
            <w:r w:rsidR="00611F1E" w:rsidRPr="0066591F">
              <w:rPr>
                <w:rFonts w:ascii="Bookman Old Style" w:hAnsi="Bookman Old Style"/>
                <w:sz w:val="18"/>
                <w:szCs w:val="18"/>
              </w:rPr>
              <w:t>,</w:t>
            </w:r>
            <w:r w:rsidRPr="0066591F">
              <w:rPr>
                <w:rFonts w:ascii="Bookman Old Style" w:hAnsi="Bookman Old Style"/>
                <w:sz w:val="18"/>
                <w:szCs w:val="18"/>
                <w:lang w:val="id-ID"/>
              </w:rPr>
              <w:t xml:space="preserve"> </w:t>
            </w:r>
            <w:r w:rsidR="00611F1E" w:rsidRPr="0066591F">
              <w:rPr>
                <w:rFonts w:ascii="Bookman Old Style" w:hAnsi="Bookman Old Style"/>
                <w:sz w:val="18"/>
                <w:szCs w:val="18"/>
              </w:rPr>
              <w:t>c</w:t>
            </w:r>
            <w:r w:rsidRPr="0066591F">
              <w:rPr>
                <w:rFonts w:ascii="Bookman Old Style" w:hAnsi="Bookman Old Style"/>
                <w:sz w:val="18"/>
                <w:szCs w:val="18"/>
                <w:lang w:val="id-ID"/>
              </w:rPr>
              <w:t>ontohnya</w:t>
            </w:r>
            <w:r w:rsidRPr="007C3531">
              <w:rPr>
                <w:rFonts w:ascii="Bookman Old Style" w:hAnsi="Bookman Old Style"/>
                <w:sz w:val="18"/>
                <w:szCs w:val="18"/>
                <w:lang w:val="id-ID"/>
              </w:rPr>
              <w:t xml:space="preserve"> antara lain tabungan dengan karakteristik rekening </w:t>
            </w:r>
            <w:r w:rsidRPr="007C3531">
              <w:rPr>
                <w:rFonts w:ascii="Bookman Old Style" w:hAnsi="Bookman Old Style"/>
                <w:sz w:val="18"/>
                <w:szCs w:val="18"/>
                <w:lang w:val="id-ID"/>
              </w:rPr>
              <w:lastRenderedPageBreak/>
              <w:t>tabungan dasar (</w:t>
            </w:r>
            <w:r w:rsidRPr="007C3531">
              <w:rPr>
                <w:rFonts w:ascii="Bookman Old Style" w:hAnsi="Bookman Old Style"/>
                <w:i/>
                <w:iCs/>
                <w:sz w:val="18"/>
                <w:szCs w:val="18"/>
                <w:lang w:val="id-ID"/>
              </w:rPr>
              <w:t>basic saving account</w:t>
            </w:r>
            <w:r w:rsidRPr="007C3531">
              <w:rPr>
                <w:rFonts w:ascii="Bookman Old Style" w:hAnsi="Bookman Old Style"/>
                <w:sz w:val="18"/>
                <w:szCs w:val="18"/>
                <w:lang w:val="id-ID"/>
              </w:rPr>
              <w:t>), asuransi mikro, dan/atau kredit UMKM.</w:t>
            </w:r>
          </w:p>
          <w:p w14:paraId="492AEDA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c</w:t>
            </w:r>
          </w:p>
          <w:p w14:paraId="0EEB0C10" w14:textId="40C6309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“produk dan/atau layanan tematik” adalah produk dan/atau layanan dengan fitur yang spesifik dan disesuaikan dengan karakteristik Konsumen dan/atau masyarakat yang diinisiasi oleh </w:t>
            </w:r>
            <w:r w:rsidRPr="0066591F">
              <w:rPr>
                <w:rFonts w:ascii="Bookman Old Style" w:hAnsi="Bookman Old Style"/>
                <w:sz w:val="18"/>
                <w:szCs w:val="18"/>
                <w:lang w:val="id-ID"/>
              </w:rPr>
              <w:t>PUJK</w:t>
            </w:r>
            <w:r w:rsidR="00611F1E" w:rsidRPr="0066591F">
              <w:rPr>
                <w:rFonts w:ascii="Bookman Old Style" w:hAnsi="Bookman Old Style"/>
                <w:sz w:val="18"/>
                <w:szCs w:val="18"/>
              </w:rPr>
              <w:t>, c</w:t>
            </w:r>
            <w:r w:rsidRPr="0066591F">
              <w:rPr>
                <w:rFonts w:ascii="Bookman Old Style" w:hAnsi="Bookman Old Style"/>
                <w:sz w:val="18"/>
                <w:szCs w:val="18"/>
                <w:lang w:val="id-ID"/>
              </w:rPr>
              <w:t>ontohnya</w:t>
            </w:r>
            <w:r w:rsidRPr="007C3531">
              <w:rPr>
                <w:rFonts w:ascii="Bookman Old Style" w:hAnsi="Bookman Old Style"/>
                <w:sz w:val="18"/>
                <w:szCs w:val="18"/>
                <w:lang w:val="id-ID"/>
              </w:rPr>
              <w:t xml:space="preserve"> antara lain tabungan siswa untuk kalangan pelajar, kredit pembiayaan mesin kapal untuk kelompok nelayan, dan/atau asuransi gagal panen untuk kelompok petani.</w:t>
            </w:r>
          </w:p>
          <w:p w14:paraId="6A3A7BB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d</w:t>
            </w:r>
          </w:p>
          <w:p w14:paraId="3A8BFABB" w14:textId="60A99E6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“program pemerintah atau otoritas” adalah program yang diinisiasi oleh pemerintah atau otoritas, contohnya antara lain asuransi usaha tani padi, asuransi usaha ternak sapi, produk Simpanan Pelajar (SimPel), dan Simpanan Mahasiswa dan Pemuda (SiMuda).</w:t>
            </w:r>
          </w:p>
        </w:tc>
        <w:tc>
          <w:tcPr>
            <w:tcW w:w="3827" w:type="dxa"/>
          </w:tcPr>
          <w:p w14:paraId="271E9FC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54BB6F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F163278" w14:textId="54B5FE63" w:rsidTr="00217FB7">
        <w:tc>
          <w:tcPr>
            <w:tcW w:w="3828" w:type="dxa"/>
          </w:tcPr>
          <w:p w14:paraId="30B798AA" w14:textId="77777777" w:rsidR="003922B4" w:rsidRPr="007C3531" w:rsidRDefault="003922B4" w:rsidP="0020519A">
            <w:pPr>
              <w:pStyle w:val="ListParagraph"/>
              <w:numPr>
                <w:ilvl w:val="0"/>
                <w:numId w:val="11"/>
              </w:numPr>
              <w:spacing w:line="276" w:lineRule="auto"/>
              <w:ind w:left="316"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Pengembangan produk sebagaimana dimaksud pada ayat (1) huruf b dapat dilakukan dalam bentuk: </w:t>
            </w:r>
          </w:p>
          <w:p w14:paraId="0E688FA5" w14:textId="77777777" w:rsidR="003922B4" w:rsidRPr="007C3531" w:rsidRDefault="003922B4" w:rsidP="0020519A">
            <w:pPr>
              <w:pStyle w:val="ListParagraph"/>
              <w:numPr>
                <w:ilvl w:val="0"/>
                <w:numId w:val="53"/>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mengembangkan produk dan/atau layanan yang bersifat umum;</w:t>
            </w:r>
          </w:p>
          <w:p w14:paraId="5C5B7745" w14:textId="77777777" w:rsidR="003922B4" w:rsidRPr="007C3531" w:rsidRDefault="003922B4" w:rsidP="0020519A">
            <w:pPr>
              <w:pStyle w:val="ListParagraph"/>
              <w:numPr>
                <w:ilvl w:val="0"/>
                <w:numId w:val="53"/>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mengembangkan produk dan/atau layanan sederhana; </w:t>
            </w:r>
          </w:p>
          <w:p w14:paraId="3BFB7319" w14:textId="77777777" w:rsidR="003922B4" w:rsidRPr="007C3531" w:rsidRDefault="003922B4" w:rsidP="0020519A">
            <w:pPr>
              <w:pStyle w:val="ListParagraph"/>
              <w:numPr>
                <w:ilvl w:val="0"/>
                <w:numId w:val="53"/>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mengembangkan produk dan/atau layanan tematik; dan/atau</w:t>
            </w:r>
          </w:p>
          <w:p w14:paraId="5A0937C3" w14:textId="387B688A" w:rsidR="003922B4" w:rsidRPr="007C3531" w:rsidRDefault="003922B4" w:rsidP="0020519A">
            <w:pPr>
              <w:pStyle w:val="ListParagraph"/>
              <w:numPr>
                <w:ilvl w:val="0"/>
                <w:numId w:val="53"/>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melaksanakan program pemerintah atau otoritas untuk </w:t>
            </w:r>
            <w:r w:rsidRPr="007C3531">
              <w:rPr>
                <w:rFonts w:ascii="Bookman Old Style" w:eastAsia="Times New Roman" w:hAnsi="Bookman Old Style"/>
                <w:sz w:val="18"/>
                <w:szCs w:val="18"/>
                <w:lang w:val="id-ID"/>
              </w:rPr>
              <w:lastRenderedPageBreak/>
              <w:t>meningkatkan Inklusi Keuangan.</w:t>
            </w:r>
          </w:p>
        </w:tc>
        <w:tc>
          <w:tcPr>
            <w:tcW w:w="4394" w:type="dxa"/>
          </w:tcPr>
          <w:p w14:paraId="0FA46F6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(4)</w:t>
            </w:r>
          </w:p>
          <w:p w14:paraId="2EAD1F83" w14:textId="3252F25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29EBF1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4ECF6B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0C7BB25" w14:textId="71C12FF4" w:rsidTr="00217FB7">
        <w:tc>
          <w:tcPr>
            <w:tcW w:w="3828" w:type="dxa"/>
          </w:tcPr>
          <w:p w14:paraId="212D6872"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19</w:t>
            </w:r>
          </w:p>
        </w:tc>
        <w:tc>
          <w:tcPr>
            <w:tcW w:w="4394" w:type="dxa"/>
          </w:tcPr>
          <w:p w14:paraId="660C96E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19</w:t>
            </w:r>
          </w:p>
        </w:tc>
        <w:tc>
          <w:tcPr>
            <w:tcW w:w="3827" w:type="dxa"/>
          </w:tcPr>
          <w:p w14:paraId="0C05422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B59984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5B67B05" w14:textId="5734BB21" w:rsidTr="00217FB7">
        <w:tc>
          <w:tcPr>
            <w:tcW w:w="3828" w:type="dxa"/>
          </w:tcPr>
          <w:p w14:paraId="086D619C" w14:textId="77777777" w:rsidR="003922B4" w:rsidRPr="007C3531" w:rsidRDefault="003922B4" w:rsidP="0020519A">
            <w:pPr>
              <w:pStyle w:val="ListParagraph"/>
              <w:numPr>
                <w:ilvl w:val="0"/>
                <w:numId w:val="12"/>
              </w:numPr>
              <w:spacing w:line="276" w:lineRule="auto"/>
              <w:ind w:left="316"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Dalam hal PUJK memiliki produk dan/atau layanan sederhana yang merupakan program pemerintah atau otoritas, PUJK wajib: </w:t>
            </w:r>
          </w:p>
          <w:p w14:paraId="67465C29" w14:textId="77777777" w:rsidR="003922B4" w:rsidRPr="007C3531" w:rsidRDefault="003922B4" w:rsidP="0020519A">
            <w:pPr>
              <w:pStyle w:val="ListParagraph"/>
              <w:numPr>
                <w:ilvl w:val="0"/>
                <w:numId w:val="5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menyampaikan informasi mengenai produk dan/atau layanan tersebut kepada calon Konsumen sesuai dengan segmentasi dan target yang ditetapkan; dan</w:t>
            </w:r>
          </w:p>
          <w:p w14:paraId="49634046" w14:textId="114A7D78" w:rsidR="003922B4" w:rsidRPr="007C3531" w:rsidRDefault="003922B4" w:rsidP="0020519A">
            <w:pPr>
              <w:pStyle w:val="ListParagraph"/>
              <w:numPr>
                <w:ilvl w:val="0"/>
                <w:numId w:val="54"/>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menerima dan melakukan proses penelaahan terhadap kelayakan calon Konsumen atas pengajuan pemanfaatan produk dan/atau layanan tersebut dengan memerhatikan ketentuan peraturan perundang-undangan.</w:t>
            </w:r>
          </w:p>
        </w:tc>
        <w:tc>
          <w:tcPr>
            <w:tcW w:w="4394" w:type="dxa"/>
          </w:tcPr>
          <w:p w14:paraId="1CF8631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3084F0BF" w14:textId="58BE70C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produk dan/atau layanan sederhana yang merupakan program pemerintah atau otoritas antara lain Produk Laku Pandai, Kredit Usaha Rakyat (KUR), Simpanan Pelajar (SimPel/SimPel iB/ SimPel BSA), Simpanan Mahasiswa dan Pemuda (SiMuda), dan/atau Kredit/Pembiayaan Melawan Rentenir (K/PMR).</w:t>
            </w:r>
          </w:p>
          <w:p w14:paraId="7714907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a</w:t>
            </w:r>
          </w:p>
          <w:p w14:paraId="6AF8526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Penyampaian informasi dapat dilakukan antara lain dengan cara menempelkan stiker berupa informasi mengenai produk dan/atau layanan sederhana pada kantor PUJK yang menyediakan produk dan/atau layanan tersebut.</w:t>
            </w:r>
          </w:p>
          <w:p w14:paraId="537EBD7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Huruf b</w:t>
            </w:r>
          </w:p>
          <w:p w14:paraId="7FA5A25B" w14:textId="403876E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052709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CFBD62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600A394" w14:textId="0454597D" w:rsidTr="00217FB7">
        <w:tc>
          <w:tcPr>
            <w:tcW w:w="3828" w:type="dxa"/>
          </w:tcPr>
          <w:p w14:paraId="049A35B4" w14:textId="26C52BCC" w:rsidR="003922B4" w:rsidRPr="007C3531" w:rsidRDefault="003922B4" w:rsidP="0020519A">
            <w:pPr>
              <w:pStyle w:val="ListParagraph"/>
              <w:numPr>
                <w:ilvl w:val="0"/>
                <w:numId w:val="12"/>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yang melanggar ketentuan sebagaimana dimaksud pada ayat (1) dikenai sanksi administratif berupa peringatan tertulis.</w:t>
            </w:r>
          </w:p>
        </w:tc>
        <w:tc>
          <w:tcPr>
            <w:tcW w:w="4394" w:type="dxa"/>
          </w:tcPr>
          <w:p w14:paraId="3BBA1101" w14:textId="728FF65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2B0AE76D" w14:textId="50D0A5C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C5CFA71" w14:textId="77777777" w:rsidR="003922B4" w:rsidRPr="007C3531" w:rsidRDefault="003922B4" w:rsidP="001502ED">
            <w:pPr>
              <w:pStyle w:val="BodyText"/>
              <w:tabs>
                <w:tab w:val="left" w:pos="1800"/>
              </w:tabs>
              <w:spacing w:after="120" w:line="276" w:lineRule="auto"/>
              <w:rPr>
                <w:rFonts w:ascii="Bookman Old Style" w:hAnsi="Bookman Old Style"/>
                <w:strike/>
                <w:sz w:val="18"/>
                <w:szCs w:val="18"/>
                <w:lang w:val="id-ID"/>
              </w:rPr>
            </w:pPr>
          </w:p>
        </w:tc>
        <w:tc>
          <w:tcPr>
            <w:tcW w:w="3702" w:type="dxa"/>
          </w:tcPr>
          <w:p w14:paraId="32F9BB6C" w14:textId="77777777" w:rsidR="003922B4" w:rsidRPr="007C3531" w:rsidRDefault="003922B4" w:rsidP="001502ED">
            <w:pPr>
              <w:pStyle w:val="BodyText"/>
              <w:tabs>
                <w:tab w:val="left" w:pos="1800"/>
              </w:tabs>
              <w:spacing w:after="120" w:line="276" w:lineRule="auto"/>
              <w:rPr>
                <w:rFonts w:ascii="Bookman Old Style" w:hAnsi="Bookman Old Style"/>
                <w:strike/>
                <w:sz w:val="18"/>
                <w:szCs w:val="18"/>
                <w:lang w:val="id-ID"/>
              </w:rPr>
            </w:pPr>
          </w:p>
        </w:tc>
      </w:tr>
      <w:tr w:rsidR="003922B4" w:rsidRPr="007C3531" w14:paraId="7BED5D16" w14:textId="3197DBC0" w:rsidTr="00217FB7">
        <w:tc>
          <w:tcPr>
            <w:tcW w:w="3828" w:type="dxa"/>
          </w:tcPr>
          <w:p w14:paraId="2B8CB270"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20</w:t>
            </w:r>
          </w:p>
        </w:tc>
        <w:tc>
          <w:tcPr>
            <w:tcW w:w="4394" w:type="dxa"/>
          </w:tcPr>
          <w:p w14:paraId="4FA6304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20</w:t>
            </w:r>
          </w:p>
        </w:tc>
        <w:tc>
          <w:tcPr>
            <w:tcW w:w="3827" w:type="dxa"/>
          </w:tcPr>
          <w:p w14:paraId="3596F97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9D6337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F617B7A" w14:textId="19810020" w:rsidTr="00217FB7">
        <w:tc>
          <w:tcPr>
            <w:tcW w:w="3828" w:type="dxa"/>
          </w:tcPr>
          <w:p w14:paraId="66B04A20" w14:textId="5BEF9928"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lebih lanjut mengenai pelaksanaan kegiatan untuk meningkatkan Inklusi Keuangan ditetapkan oleh Otoritas Jasa Keuangan.</w:t>
            </w:r>
          </w:p>
        </w:tc>
        <w:tc>
          <w:tcPr>
            <w:tcW w:w="4394" w:type="dxa"/>
          </w:tcPr>
          <w:p w14:paraId="141B8033" w14:textId="6A20286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E11E3E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4EE7F5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AA9382B" w14:textId="4C9779BB" w:rsidTr="00217FB7">
        <w:tc>
          <w:tcPr>
            <w:tcW w:w="3828" w:type="dxa"/>
          </w:tcPr>
          <w:p w14:paraId="754F67E5" w14:textId="35408E9F"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IV</w:t>
            </w:r>
          </w:p>
        </w:tc>
        <w:tc>
          <w:tcPr>
            <w:tcW w:w="4394" w:type="dxa"/>
          </w:tcPr>
          <w:p w14:paraId="0251BCF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14CC3F6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A25C7F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A180304" w14:textId="4674F7B7" w:rsidTr="00217FB7">
        <w:tc>
          <w:tcPr>
            <w:tcW w:w="3828" w:type="dxa"/>
          </w:tcPr>
          <w:p w14:paraId="40E9F080" w14:textId="08AC4734"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INFRASTRUKTUR PENINGKATAN LITERASI KEUANGAN DAN INKLUSI KEUANGAN</w:t>
            </w:r>
          </w:p>
        </w:tc>
        <w:tc>
          <w:tcPr>
            <w:tcW w:w="4394" w:type="dxa"/>
          </w:tcPr>
          <w:p w14:paraId="69BC3A8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751D8F8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0500F0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00D6B0B" w14:textId="6A5D80CB" w:rsidTr="00217FB7">
        <w:tc>
          <w:tcPr>
            <w:tcW w:w="3828" w:type="dxa"/>
          </w:tcPr>
          <w:p w14:paraId="67170575" w14:textId="580BDBD4"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Kesatu</w:t>
            </w:r>
          </w:p>
        </w:tc>
        <w:tc>
          <w:tcPr>
            <w:tcW w:w="4394" w:type="dxa"/>
          </w:tcPr>
          <w:p w14:paraId="7939543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7616FD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022D24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5A49BDA" w14:textId="72E8A74E" w:rsidTr="00217FB7">
        <w:tc>
          <w:tcPr>
            <w:tcW w:w="3828" w:type="dxa"/>
          </w:tcPr>
          <w:p w14:paraId="6011C6E2" w14:textId="0750AB4F"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Fungsi atau Unit Literasi Keuangan dan Inklusi Keuangan</w:t>
            </w:r>
          </w:p>
        </w:tc>
        <w:tc>
          <w:tcPr>
            <w:tcW w:w="4394" w:type="dxa"/>
          </w:tcPr>
          <w:p w14:paraId="2507C1A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359D7BD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267552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AD70405" w14:textId="313B39F3" w:rsidTr="00217FB7">
        <w:tc>
          <w:tcPr>
            <w:tcW w:w="3828" w:type="dxa"/>
          </w:tcPr>
          <w:p w14:paraId="43B1DE2B"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21</w:t>
            </w:r>
          </w:p>
        </w:tc>
        <w:tc>
          <w:tcPr>
            <w:tcW w:w="4394" w:type="dxa"/>
          </w:tcPr>
          <w:p w14:paraId="19A4EF1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21</w:t>
            </w:r>
          </w:p>
        </w:tc>
        <w:tc>
          <w:tcPr>
            <w:tcW w:w="3827" w:type="dxa"/>
          </w:tcPr>
          <w:p w14:paraId="677411A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82AE54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D4526D2" w14:textId="30AA07D8" w:rsidTr="00217FB7">
        <w:tc>
          <w:tcPr>
            <w:tcW w:w="3828" w:type="dxa"/>
          </w:tcPr>
          <w:p w14:paraId="55C21C6A" w14:textId="24916A60"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wajib memiliki fungsi atau unit untuk pelaksanaan ketentuan Peraturan Otoritas Jasa Keuangan ini.</w:t>
            </w:r>
          </w:p>
        </w:tc>
        <w:tc>
          <w:tcPr>
            <w:tcW w:w="4394" w:type="dxa"/>
          </w:tcPr>
          <w:p w14:paraId="4C306C7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43CDCA3E" w14:textId="294B5B5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10D7B6F" w14:textId="61D67A51"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5FBAE68"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9F599DB" w14:textId="235E8374" w:rsidTr="00217FB7">
        <w:tc>
          <w:tcPr>
            <w:tcW w:w="3828" w:type="dxa"/>
          </w:tcPr>
          <w:p w14:paraId="6B903911" w14:textId="79AAA8B8"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Fungsi atau unit sebagaimana dimaksud pada ayat (1) dapat dirangkap oleh fungsi atau unit lain.</w:t>
            </w:r>
          </w:p>
        </w:tc>
        <w:tc>
          <w:tcPr>
            <w:tcW w:w="4394" w:type="dxa"/>
          </w:tcPr>
          <w:p w14:paraId="3919F8C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346AB9E6" w14:textId="54777C9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16EA305F" w14:textId="4CEBCD72"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314E7545"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BE5D167"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76E35CE6" w14:textId="3A9F5B92" w:rsidTr="00217FB7">
        <w:tc>
          <w:tcPr>
            <w:tcW w:w="3828" w:type="dxa"/>
          </w:tcPr>
          <w:p w14:paraId="5DD0D7A8" w14:textId="12378041"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Perangkapan fungsi atau unit sebagaimana dimaksud pada ayat (2) mengikuti ketentuan yang mengatur mengenai perangkapan fungsi atau unit pada masing-masing PUJK.</w:t>
            </w:r>
          </w:p>
        </w:tc>
        <w:tc>
          <w:tcPr>
            <w:tcW w:w="4394" w:type="dxa"/>
          </w:tcPr>
          <w:p w14:paraId="4405348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16BE14A3" w14:textId="698C8293"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p w14:paraId="2FEE23F8" w14:textId="68AE4C8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DE6B610"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E88D353"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860A3DF" w14:textId="321FBE1E" w:rsidTr="00217FB7">
        <w:tc>
          <w:tcPr>
            <w:tcW w:w="3828" w:type="dxa"/>
          </w:tcPr>
          <w:p w14:paraId="18B98B5A" w14:textId="2A88CA10"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Dalam hal tidak terdapat ketentuan mengenai perangkapan fungsi atau unit, PUJK dapat melakukan perangkapan fungsi atau unit sesuai kebutuhan.</w:t>
            </w:r>
          </w:p>
        </w:tc>
        <w:tc>
          <w:tcPr>
            <w:tcW w:w="4394" w:type="dxa"/>
          </w:tcPr>
          <w:p w14:paraId="0A3BE42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(4)</w:t>
            </w:r>
          </w:p>
          <w:p w14:paraId="2123AF8C" w14:textId="36ACAF8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71125C02"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6CD49C3"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9E57BD8" w14:textId="0C936E8C" w:rsidTr="00217FB7">
        <w:tc>
          <w:tcPr>
            <w:tcW w:w="3828" w:type="dxa"/>
          </w:tcPr>
          <w:p w14:paraId="667F44B8" w14:textId="26DB08C6"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Perangkapan fungsi atau unit sebagaimana dimaksud pada ayat (2) dilakukan dengan menghindari benturan kepentingan pada pegawai PUJK.</w:t>
            </w:r>
          </w:p>
        </w:tc>
        <w:tc>
          <w:tcPr>
            <w:tcW w:w="4394" w:type="dxa"/>
          </w:tcPr>
          <w:p w14:paraId="5FA57E2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(5)</w:t>
            </w:r>
          </w:p>
          <w:p w14:paraId="3B7C2F5F" w14:textId="4D6259D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menghindari benturan kepentingan pada pegawai PUJK antara lain pegawai PUJK yang melakukan audit internal terhadap kegiatan untuk meningkatkan Literasi Keuangan dan Inklusi Keuangan tidak diperbolehkan merencanakan dan melaksanakan kegiatan untuk meningkatkan Literasi Keuangan dan Inklusi Keuangan.</w:t>
            </w:r>
          </w:p>
        </w:tc>
        <w:tc>
          <w:tcPr>
            <w:tcW w:w="3827" w:type="dxa"/>
          </w:tcPr>
          <w:p w14:paraId="263211E6"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F04A6E3"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32FCDB1" w14:textId="40830484" w:rsidTr="00217FB7">
        <w:tc>
          <w:tcPr>
            <w:tcW w:w="3828" w:type="dxa"/>
          </w:tcPr>
          <w:p w14:paraId="36D3E632" w14:textId="77777777" w:rsidR="003922B4" w:rsidRPr="007C3531" w:rsidRDefault="003922B4" w:rsidP="0020519A">
            <w:pPr>
              <w:pStyle w:val="ListParagraph"/>
              <w:numPr>
                <w:ilvl w:val="0"/>
                <w:numId w:val="13"/>
              </w:numPr>
              <w:spacing w:line="276" w:lineRule="auto"/>
              <w:ind w:left="316" w:right="20"/>
              <w:jc w:val="both"/>
              <w:rPr>
                <w:rFonts w:ascii="Bookman Old Style" w:hAnsi="Bookman Old Style"/>
                <w:sz w:val="18"/>
                <w:szCs w:val="18"/>
                <w:lang w:val="id-ID"/>
              </w:rPr>
            </w:pPr>
            <w:r w:rsidRPr="007C3531">
              <w:rPr>
                <w:rFonts w:ascii="Bookman Old Style" w:hAnsi="Bookman Old Style"/>
                <w:sz w:val="18"/>
                <w:szCs w:val="18"/>
                <w:lang w:val="id-ID"/>
              </w:rPr>
              <w:lastRenderedPageBreak/>
              <w:t xml:space="preserve">Dalam memiliki fungsi atau unit sebagaimana dimaksud pada ayat (1), PUJK mempertimbangkan: </w:t>
            </w:r>
          </w:p>
          <w:p w14:paraId="7A32DFB5" w14:textId="77777777" w:rsidR="003922B4" w:rsidRPr="007C3531" w:rsidRDefault="003922B4" w:rsidP="0020519A">
            <w:pPr>
              <w:pStyle w:val="ListParagraph"/>
              <w:numPr>
                <w:ilvl w:val="0"/>
                <w:numId w:val="55"/>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jumlah aset; </w:t>
            </w:r>
          </w:p>
          <w:p w14:paraId="0CBD10E7" w14:textId="77777777" w:rsidR="003922B4" w:rsidRPr="007C3531" w:rsidRDefault="003922B4" w:rsidP="0020519A">
            <w:pPr>
              <w:pStyle w:val="ListParagraph"/>
              <w:numPr>
                <w:ilvl w:val="0"/>
                <w:numId w:val="55"/>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jumlah kantor; </w:t>
            </w:r>
          </w:p>
          <w:p w14:paraId="4C3E21FE" w14:textId="77777777" w:rsidR="003922B4" w:rsidRPr="007C3531" w:rsidRDefault="003922B4" w:rsidP="0020519A">
            <w:pPr>
              <w:pStyle w:val="ListParagraph"/>
              <w:numPr>
                <w:ilvl w:val="0"/>
                <w:numId w:val="55"/>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jumlah dan kompleksitas produk dan/atau layanan; </w:t>
            </w:r>
          </w:p>
          <w:p w14:paraId="06AAF055" w14:textId="77777777" w:rsidR="003922B4" w:rsidRPr="007C3531" w:rsidRDefault="003922B4" w:rsidP="0020519A">
            <w:pPr>
              <w:pStyle w:val="ListParagraph"/>
              <w:numPr>
                <w:ilvl w:val="0"/>
                <w:numId w:val="55"/>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jumlah klasifikasi Konsumen; dan/atau </w:t>
            </w:r>
          </w:p>
          <w:p w14:paraId="004E879D" w14:textId="66D2A54C" w:rsidR="003922B4" w:rsidRPr="007C3531" w:rsidRDefault="003922B4" w:rsidP="0020519A">
            <w:pPr>
              <w:pStyle w:val="ListParagraph"/>
              <w:numPr>
                <w:ilvl w:val="0"/>
                <w:numId w:val="55"/>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jumlah sumber daya manusia PUJK.</w:t>
            </w:r>
          </w:p>
        </w:tc>
        <w:tc>
          <w:tcPr>
            <w:tcW w:w="4394" w:type="dxa"/>
          </w:tcPr>
          <w:p w14:paraId="511E5BF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(6)</w:t>
            </w:r>
          </w:p>
          <w:p w14:paraId="5FB541B0" w14:textId="14BABCB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7A5EADC"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D5122A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7BC002A1" w14:textId="2CAC482D" w:rsidTr="00217FB7">
        <w:tc>
          <w:tcPr>
            <w:tcW w:w="3828" w:type="dxa"/>
          </w:tcPr>
          <w:p w14:paraId="418F8102" w14:textId="305A30D0"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Dalam hal PUJK merupakan Konglomerasi Keuangan maka pembentukan fungsi atau unit Literasi Keuangan dan Inklusi Keuangan dapat dilakukan secara terintegrasi pada entitas utama.</w:t>
            </w:r>
          </w:p>
        </w:tc>
        <w:tc>
          <w:tcPr>
            <w:tcW w:w="4394" w:type="dxa"/>
          </w:tcPr>
          <w:p w14:paraId="31907F3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(7)</w:t>
            </w:r>
          </w:p>
          <w:p w14:paraId="0F6DB2C8" w14:textId="64C6193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“terintegrasi” adalah penggabungan dalam pembentukan unit Literasi Keuangan dan Inklusi </w:t>
            </w:r>
            <w:r w:rsidRPr="0066591F">
              <w:rPr>
                <w:rFonts w:ascii="Bookman Old Style" w:hAnsi="Bookman Old Style"/>
                <w:sz w:val="18"/>
                <w:szCs w:val="18"/>
                <w:lang w:val="id-ID"/>
              </w:rPr>
              <w:t>Keuangan</w:t>
            </w:r>
            <w:r w:rsidR="00611F1E" w:rsidRPr="0066591F">
              <w:rPr>
                <w:rFonts w:ascii="Bookman Old Style" w:hAnsi="Bookman Old Style"/>
                <w:sz w:val="18"/>
                <w:szCs w:val="18"/>
              </w:rPr>
              <w:t>,</w:t>
            </w:r>
            <w:r w:rsidRPr="0066591F">
              <w:rPr>
                <w:rFonts w:ascii="Bookman Old Style" w:hAnsi="Bookman Old Style"/>
                <w:sz w:val="18"/>
                <w:szCs w:val="18"/>
                <w:lang w:val="id-ID"/>
              </w:rPr>
              <w:t xml:space="preserve"> </w:t>
            </w:r>
            <w:r w:rsidR="00611F1E" w:rsidRPr="0066591F">
              <w:rPr>
                <w:rFonts w:ascii="Bookman Old Style" w:hAnsi="Bookman Old Style"/>
                <w:sz w:val="18"/>
                <w:szCs w:val="18"/>
              </w:rPr>
              <w:t>m</w:t>
            </w:r>
            <w:r w:rsidRPr="0066591F">
              <w:rPr>
                <w:rFonts w:ascii="Bookman Old Style" w:hAnsi="Bookman Old Style"/>
                <w:sz w:val="18"/>
                <w:szCs w:val="18"/>
                <w:lang w:val="id-ID"/>
              </w:rPr>
              <w:t>isalnya PT Bank ABC sebagai Konglome</w:t>
            </w:r>
            <w:r w:rsidRPr="007C3531">
              <w:rPr>
                <w:rFonts w:ascii="Bookman Old Style" w:hAnsi="Bookman Old Style"/>
                <w:sz w:val="18"/>
                <w:szCs w:val="18"/>
                <w:lang w:val="id-ID"/>
              </w:rPr>
              <w:t xml:space="preserve">rasi Keuangan, memiliki anak perusahaan yang bergerak di bidang </w:t>
            </w:r>
            <w:r w:rsidR="007C3531" w:rsidRPr="007C3531">
              <w:rPr>
                <w:rFonts w:ascii="Bookman Old Style" w:hAnsi="Bookman Old Style"/>
                <w:sz w:val="18"/>
                <w:szCs w:val="18"/>
                <w:lang w:val="id-ID"/>
              </w:rPr>
              <w:t>perasuransian</w:t>
            </w:r>
            <w:r w:rsidRPr="007C3531">
              <w:rPr>
                <w:rFonts w:ascii="Bookman Old Style" w:hAnsi="Bookman Old Style"/>
                <w:sz w:val="18"/>
                <w:szCs w:val="18"/>
                <w:lang w:val="id-ID"/>
              </w:rPr>
              <w:t xml:space="preserve"> dan pasar modal, maka Konglomerasi Keuangan tersebut dapat membentuk 1 (satu) unit Literasi Keuangan dan Inklusi Keuangan pada entitas utama untuk seluruh PUJK yang terdapat di dalam Konglomerasi Keuangan tersebut.</w:t>
            </w:r>
          </w:p>
          <w:p w14:paraId="7E706CE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“entitas utama” adalah Lembaga Jasa Keuangan induk dari Konglomerasi Keuangan atau Lembaga Jasa Keuangan yang ditunjuk oleh pemegang saham pengendali Konglomerasi Keuangan, sebagaimana diatur dalam peraturan yang mengatur mengenai penerapan tata kelola terintegrasi bagi Konglomerasi Keuangan.</w:t>
            </w:r>
          </w:p>
          <w:p w14:paraId="3955091C" w14:textId="3CEBB16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Dalam hal Lembaga Jasa Keuangan induk tersebut bukan merupakan PUJK sebagaimana dimaksud dalam Peraturan Otoritas Jasa Keuangan ini, maka entitas utama </w:t>
            </w:r>
            <w:r w:rsidRPr="007C3531">
              <w:rPr>
                <w:rFonts w:ascii="Bookman Old Style" w:hAnsi="Bookman Old Style"/>
                <w:sz w:val="18"/>
                <w:szCs w:val="18"/>
                <w:lang w:val="id-ID"/>
              </w:rPr>
              <w:lastRenderedPageBreak/>
              <w:t>Konglomerasi Keuangan adalah PUJK yang ditunjuk sesuai dengan kesepakatan Konglomerasi Keuangan.</w:t>
            </w:r>
          </w:p>
        </w:tc>
        <w:tc>
          <w:tcPr>
            <w:tcW w:w="3827" w:type="dxa"/>
          </w:tcPr>
          <w:p w14:paraId="0E4B59C8"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6859AD9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CE9EBEA" w14:textId="5365E32E" w:rsidTr="00217FB7">
        <w:tc>
          <w:tcPr>
            <w:tcW w:w="3828" w:type="dxa"/>
          </w:tcPr>
          <w:p w14:paraId="40F7A80E" w14:textId="4FB140E6" w:rsidR="003922B4" w:rsidRPr="007C3531" w:rsidRDefault="003922B4" w:rsidP="0020519A">
            <w:pPr>
              <w:pStyle w:val="ListParagraph"/>
              <w:numPr>
                <w:ilvl w:val="0"/>
                <w:numId w:val="13"/>
              </w:numPr>
              <w:spacing w:line="276" w:lineRule="auto"/>
              <w:ind w:left="316"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yang melanggar ketentuan sebagaimana dimaksud pada ayat (1) dikenai sanksi administratif berupa peringatan tertulis.</w:t>
            </w:r>
          </w:p>
        </w:tc>
        <w:tc>
          <w:tcPr>
            <w:tcW w:w="4394" w:type="dxa"/>
          </w:tcPr>
          <w:p w14:paraId="3901437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(8)</w:t>
            </w:r>
          </w:p>
          <w:p w14:paraId="77F6E93D" w14:textId="0085E28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65EC64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6C94DAE"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3F9B220" w14:textId="73B5CA40" w:rsidTr="00217FB7">
        <w:tc>
          <w:tcPr>
            <w:tcW w:w="3828" w:type="dxa"/>
          </w:tcPr>
          <w:p w14:paraId="00EF036F"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22</w:t>
            </w:r>
          </w:p>
        </w:tc>
        <w:tc>
          <w:tcPr>
            <w:tcW w:w="4394" w:type="dxa"/>
          </w:tcPr>
          <w:p w14:paraId="6C63753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22</w:t>
            </w:r>
          </w:p>
        </w:tc>
        <w:tc>
          <w:tcPr>
            <w:tcW w:w="3827" w:type="dxa"/>
          </w:tcPr>
          <w:p w14:paraId="3E93B7A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01CE26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66AA82D" w14:textId="0F2550B9" w:rsidTr="00217FB7">
        <w:tc>
          <w:tcPr>
            <w:tcW w:w="3828" w:type="dxa"/>
          </w:tcPr>
          <w:p w14:paraId="022C6490" w14:textId="77777777" w:rsidR="003922B4" w:rsidRPr="007C3531" w:rsidRDefault="003922B4" w:rsidP="0020519A">
            <w:pPr>
              <w:pStyle w:val="ListParagraph"/>
              <w:numPr>
                <w:ilvl w:val="0"/>
                <w:numId w:val="56"/>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Fungsi atau unit Literasi Keuangan memiliki tugas, paling kurang: </w:t>
            </w:r>
          </w:p>
          <w:p w14:paraId="7C1A8741" w14:textId="77777777" w:rsidR="003922B4" w:rsidRPr="007C3531" w:rsidRDefault="003922B4" w:rsidP="0020519A">
            <w:pPr>
              <w:pStyle w:val="ListParagraph"/>
              <w:numPr>
                <w:ilvl w:val="0"/>
                <w:numId w:val="5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merencanakan dan melaksanakan kegiatan untuk meningkatkan Literasi Keuangan; </w:t>
            </w:r>
          </w:p>
          <w:p w14:paraId="20C3C97F" w14:textId="77777777" w:rsidR="003922B4" w:rsidRPr="007C3531" w:rsidRDefault="003922B4" w:rsidP="0020519A">
            <w:pPr>
              <w:pStyle w:val="ListParagraph"/>
              <w:numPr>
                <w:ilvl w:val="0"/>
                <w:numId w:val="5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melakukan pemantauan dan evaluasi atas pelaksanaan kegiatan untuk meningkatkan Literasi Keuangan yang telah dilaksanakan oleh PUJK; </w:t>
            </w:r>
          </w:p>
          <w:p w14:paraId="1215C184" w14:textId="77777777" w:rsidR="003922B4" w:rsidRPr="007C3531" w:rsidRDefault="003922B4" w:rsidP="0020519A">
            <w:pPr>
              <w:pStyle w:val="ListParagraph"/>
              <w:numPr>
                <w:ilvl w:val="0"/>
                <w:numId w:val="5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melaporkan kepada Direksi mengenai implementasi kegiatan dan memberikan rekomendasi untuk perbaikan dan pengembangan kegiatan untuk meningkatkan Literasi Keuangan; </w:t>
            </w:r>
          </w:p>
          <w:p w14:paraId="67AD9727" w14:textId="77777777" w:rsidR="003922B4" w:rsidRPr="007C3531" w:rsidRDefault="003922B4" w:rsidP="0020519A">
            <w:pPr>
              <w:pStyle w:val="ListParagraph"/>
              <w:numPr>
                <w:ilvl w:val="0"/>
                <w:numId w:val="57"/>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mengoordinasikan penyusunan dan penyampaian laporan terkait kegiatan untuk meningkatkan Literasi Keuangan sesuai dengan ketentuan peraturan perundang-undangan; dan </w:t>
            </w:r>
          </w:p>
          <w:p w14:paraId="5D334665" w14:textId="098CA7D6" w:rsidR="003922B4" w:rsidRPr="007C3531" w:rsidRDefault="003922B4" w:rsidP="0020519A">
            <w:pPr>
              <w:pStyle w:val="ListParagraph"/>
              <w:numPr>
                <w:ilvl w:val="0"/>
                <w:numId w:val="57"/>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memberikan masukan kepada unit bisnis yang melakukan riset dan pengembangan produk </w:t>
            </w:r>
            <w:r w:rsidRPr="007C3531">
              <w:rPr>
                <w:rFonts w:ascii="Bookman Old Style" w:eastAsia="Times New Roman" w:hAnsi="Bookman Old Style"/>
                <w:sz w:val="18"/>
                <w:szCs w:val="18"/>
                <w:lang w:val="id-ID"/>
              </w:rPr>
              <w:lastRenderedPageBreak/>
              <w:t>dan/atau layanan untuk mengembangkan produk dan/atau layanan yang sesuai dengan kebutuhan dan kemampuan Konsumen dan/atau masyarakat berdasarkan hasil kegiatan untuk meningkatkan Literasi Keuangan.</w:t>
            </w:r>
          </w:p>
        </w:tc>
        <w:tc>
          <w:tcPr>
            <w:tcW w:w="4394" w:type="dxa"/>
          </w:tcPr>
          <w:p w14:paraId="0C8B4435" w14:textId="08C89D7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Cukup jelas.</w:t>
            </w:r>
          </w:p>
        </w:tc>
        <w:tc>
          <w:tcPr>
            <w:tcW w:w="3827" w:type="dxa"/>
          </w:tcPr>
          <w:p w14:paraId="55C44A7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596868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0D2567F" w14:textId="1AB2A64F" w:rsidTr="00217FB7">
        <w:tc>
          <w:tcPr>
            <w:tcW w:w="3828" w:type="dxa"/>
          </w:tcPr>
          <w:p w14:paraId="3EDC7D0C" w14:textId="77777777" w:rsidR="003922B4" w:rsidRPr="007C3531" w:rsidRDefault="003922B4" w:rsidP="0020519A">
            <w:pPr>
              <w:pStyle w:val="ListParagraph"/>
              <w:numPr>
                <w:ilvl w:val="0"/>
                <w:numId w:val="56"/>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Fungsi atau unit Inklusi Keuangan memiliki tugas, paling kurang: </w:t>
            </w:r>
          </w:p>
          <w:p w14:paraId="2BB617BE" w14:textId="77777777"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merencanakan dan melaksanakan kegiatan untuk meningkatkan Inklusi Keuangan; </w:t>
            </w:r>
          </w:p>
          <w:p w14:paraId="03B99A76" w14:textId="77777777"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melakukan pemantauan dan evaluasi atas kegiatan untuk meningkatkan Inklusi Keuangan yang telah dilaksanakan oleh PUJK; </w:t>
            </w:r>
          </w:p>
          <w:p w14:paraId="02674A75" w14:textId="77777777"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memberikan masukan kepada unit bisnis yang melakukan riset dan pengembangan produk dan/atau layanan untuk menciptakan skema dan mengembangkan produk dan/atau layanan yang sesuai dengan kebutuhan dan kemampuan Konsumen dan/atau masyarakat; </w:t>
            </w:r>
          </w:p>
          <w:p w14:paraId="4FA016B6" w14:textId="2EC7310C"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 xml:space="preserve">memberikan </w:t>
            </w:r>
            <w:bookmarkStart w:id="4" w:name="_Hlk101876509"/>
            <w:r w:rsidRPr="007C3531">
              <w:rPr>
                <w:rFonts w:ascii="Bookman Old Style" w:hAnsi="Bookman Old Style"/>
                <w:sz w:val="18"/>
                <w:szCs w:val="18"/>
                <w:lang w:val="id-ID"/>
              </w:rPr>
              <w:t>masukan</w:t>
            </w:r>
            <w:bookmarkEnd w:id="4"/>
            <w:r w:rsidRPr="007C3531">
              <w:rPr>
                <w:rFonts w:ascii="Bookman Old Style" w:hAnsi="Bookman Old Style"/>
                <w:sz w:val="18"/>
                <w:szCs w:val="18"/>
                <w:lang w:val="id-ID"/>
              </w:rPr>
              <w:t xml:space="preserve"> kepada fungsi atau unit Literasi Keuangan untuk penyusunan materi Edukasi Keuangan terkait perluasan akses dan penyediaan produk dan/atau layanan</w:t>
            </w:r>
            <w:r w:rsidR="000A60E2">
              <w:rPr>
                <w:rFonts w:ascii="Bookman Old Style" w:hAnsi="Bookman Old Style"/>
                <w:sz w:val="18"/>
                <w:szCs w:val="18"/>
              </w:rPr>
              <w:t>;</w:t>
            </w:r>
          </w:p>
          <w:p w14:paraId="4B942467" w14:textId="77777777"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lastRenderedPageBreak/>
              <w:t xml:space="preserve">melaporkan kepada Direksi mengenai implementasi kegiatan dan memberikan rekomendasi untuk perbaikan dan pengembangan kegiatan untuk meningkatkan Inklusi Keuangan; dan </w:t>
            </w:r>
          </w:p>
          <w:p w14:paraId="154AD25C" w14:textId="0D455D8F" w:rsidR="003922B4" w:rsidRPr="007C3531" w:rsidRDefault="003922B4" w:rsidP="0020519A">
            <w:pPr>
              <w:pStyle w:val="ListParagraph"/>
              <w:numPr>
                <w:ilvl w:val="0"/>
                <w:numId w:val="58"/>
              </w:numPr>
              <w:spacing w:line="276" w:lineRule="auto"/>
              <w:ind w:right="20"/>
              <w:jc w:val="both"/>
              <w:rPr>
                <w:rFonts w:ascii="Bookman Old Style" w:hAnsi="Bookman Old Style"/>
                <w:sz w:val="18"/>
                <w:szCs w:val="18"/>
                <w:lang w:val="id-ID"/>
              </w:rPr>
            </w:pPr>
            <w:r w:rsidRPr="007C3531">
              <w:rPr>
                <w:rFonts w:ascii="Bookman Old Style" w:hAnsi="Bookman Old Style"/>
                <w:sz w:val="18"/>
                <w:szCs w:val="18"/>
                <w:lang w:val="id-ID"/>
              </w:rPr>
              <w:t>mengoordinasikan penyusunan dan penyampaian laporan terkait kegiatan untuk meningkatkan Inklusi Keuangan sesuai dengan ketentuan peraturan perundang-undangan.</w:t>
            </w:r>
          </w:p>
        </w:tc>
        <w:tc>
          <w:tcPr>
            <w:tcW w:w="4394" w:type="dxa"/>
          </w:tcPr>
          <w:p w14:paraId="35699893" w14:textId="41A4374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F0F162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2A2D4F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A53AC48" w14:textId="4BD06D95" w:rsidTr="00217FB7">
        <w:tc>
          <w:tcPr>
            <w:tcW w:w="3828" w:type="dxa"/>
          </w:tcPr>
          <w:p w14:paraId="4A7583DE" w14:textId="65120B34"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Bagian Kedua</w:t>
            </w:r>
          </w:p>
        </w:tc>
        <w:tc>
          <w:tcPr>
            <w:tcW w:w="4394" w:type="dxa"/>
          </w:tcPr>
          <w:p w14:paraId="1950B75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8972AD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608B7E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E192488" w14:textId="678423C2" w:rsidTr="00217FB7">
        <w:tc>
          <w:tcPr>
            <w:tcW w:w="3828" w:type="dxa"/>
          </w:tcPr>
          <w:p w14:paraId="17AC50AC" w14:textId="626355AF"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Organisasi PUJK</w:t>
            </w:r>
          </w:p>
        </w:tc>
        <w:tc>
          <w:tcPr>
            <w:tcW w:w="4394" w:type="dxa"/>
          </w:tcPr>
          <w:p w14:paraId="489F9AB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E00571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35CB99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2A3243D" w14:textId="2747E5B1" w:rsidTr="00217FB7">
        <w:tc>
          <w:tcPr>
            <w:tcW w:w="3828" w:type="dxa"/>
          </w:tcPr>
          <w:p w14:paraId="504D2F09"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23</w:t>
            </w:r>
          </w:p>
        </w:tc>
        <w:tc>
          <w:tcPr>
            <w:tcW w:w="4394" w:type="dxa"/>
          </w:tcPr>
          <w:p w14:paraId="3C12518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23</w:t>
            </w:r>
          </w:p>
        </w:tc>
        <w:tc>
          <w:tcPr>
            <w:tcW w:w="3827" w:type="dxa"/>
          </w:tcPr>
          <w:p w14:paraId="25CD5E3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C436E0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79D46C3" w14:textId="11DFC068" w:rsidTr="00217FB7">
        <w:tc>
          <w:tcPr>
            <w:tcW w:w="3828" w:type="dxa"/>
          </w:tcPr>
          <w:p w14:paraId="258326B5" w14:textId="68D5BDE7" w:rsidR="003922B4" w:rsidRPr="007C3531" w:rsidRDefault="003922B4" w:rsidP="0020519A">
            <w:pPr>
              <w:pStyle w:val="ListParagraph"/>
              <w:numPr>
                <w:ilvl w:val="0"/>
                <w:numId w:val="14"/>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Direksi wajib bertanggung jawab atas kepatuhan pelaksanaan ketentuan Peraturan Otoritas Jasa Keuangan ini.</w:t>
            </w:r>
          </w:p>
        </w:tc>
        <w:tc>
          <w:tcPr>
            <w:tcW w:w="4394" w:type="dxa"/>
          </w:tcPr>
          <w:p w14:paraId="06613E05" w14:textId="266C5FC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6FF791B2" w14:textId="7C1F5A93" w:rsidR="003922B4" w:rsidRPr="007C3531" w:rsidRDefault="003922B4" w:rsidP="0020519A">
            <w:pPr>
              <w:pStyle w:val="BodyText"/>
              <w:numPr>
                <w:ilvl w:val="0"/>
                <w:numId w:val="23"/>
              </w:numPr>
              <w:tabs>
                <w:tab w:val="left" w:pos="1800"/>
              </w:tabs>
              <w:spacing w:after="120" w:line="276" w:lineRule="auto"/>
              <w:ind w:left="181" w:hanging="181"/>
              <w:rPr>
                <w:rFonts w:ascii="Bookman Old Style" w:hAnsi="Bookman Old Style"/>
                <w:b/>
                <w:bCs/>
                <w:sz w:val="18"/>
                <w:szCs w:val="18"/>
                <w:lang w:val="id-ID"/>
              </w:rPr>
            </w:pPr>
          </w:p>
        </w:tc>
        <w:tc>
          <w:tcPr>
            <w:tcW w:w="3702" w:type="dxa"/>
          </w:tcPr>
          <w:p w14:paraId="4FE5176B" w14:textId="77777777" w:rsidR="003922B4" w:rsidRPr="007C3531" w:rsidRDefault="003922B4" w:rsidP="0020519A">
            <w:pPr>
              <w:pStyle w:val="BodyText"/>
              <w:numPr>
                <w:ilvl w:val="0"/>
                <w:numId w:val="23"/>
              </w:numPr>
              <w:tabs>
                <w:tab w:val="left" w:pos="1800"/>
              </w:tabs>
              <w:spacing w:after="120" w:line="276" w:lineRule="auto"/>
              <w:ind w:left="181" w:hanging="181"/>
              <w:rPr>
                <w:rFonts w:ascii="Bookman Old Style" w:hAnsi="Bookman Old Style"/>
                <w:b/>
                <w:bCs/>
                <w:sz w:val="18"/>
                <w:szCs w:val="18"/>
                <w:lang w:val="id-ID"/>
              </w:rPr>
            </w:pPr>
          </w:p>
        </w:tc>
      </w:tr>
      <w:tr w:rsidR="003922B4" w:rsidRPr="007C3531" w14:paraId="41DFC78A" w14:textId="22C04235" w:rsidTr="00217FB7">
        <w:tc>
          <w:tcPr>
            <w:tcW w:w="3828" w:type="dxa"/>
          </w:tcPr>
          <w:p w14:paraId="37B06C4D" w14:textId="1085BA69" w:rsidR="003922B4" w:rsidRPr="007C3531" w:rsidRDefault="003922B4" w:rsidP="0020519A">
            <w:pPr>
              <w:pStyle w:val="ListParagraph"/>
              <w:numPr>
                <w:ilvl w:val="0"/>
                <w:numId w:val="14"/>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Dewan Komisaris wajib melakukan pengawasan atas pelaksanaan tanggung jawab Direksi terhadap kepatuhan pelaksanaan ketentuan Peraturan Otoritas Jasa Keuangan ini.</w:t>
            </w:r>
          </w:p>
        </w:tc>
        <w:tc>
          <w:tcPr>
            <w:tcW w:w="4394" w:type="dxa"/>
          </w:tcPr>
          <w:p w14:paraId="077C77DA" w14:textId="17E910B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D0E8A6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4B8B90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66500B1" w14:textId="7D9F3035" w:rsidTr="00217FB7">
        <w:tc>
          <w:tcPr>
            <w:tcW w:w="3828" w:type="dxa"/>
          </w:tcPr>
          <w:p w14:paraId="4FF8B216" w14:textId="0E3376F6" w:rsidR="003922B4" w:rsidRPr="007C3531" w:rsidRDefault="003922B4" w:rsidP="0020519A">
            <w:pPr>
              <w:pStyle w:val="ListParagraph"/>
              <w:numPr>
                <w:ilvl w:val="0"/>
                <w:numId w:val="14"/>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Direksi dan/atau Dewan Komisaris yang melanggar ketentuan sebagaimana dimaksud pada ayat (1) dan ayat (2) dapat dikenai sanksi administratif berupa peringatan tertulis.</w:t>
            </w:r>
          </w:p>
        </w:tc>
        <w:tc>
          <w:tcPr>
            <w:tcW w:w="4394" w:type="dxa"/>
          </w:tcPr>
          <w:p w14:paraId="12D4E81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CD9462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F096C5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E31ED6E" w14:textId="078D646D" w:rsidTr="00217FB7">
        <w:tc>
          <w:tcPr>
            <w:tcW w:w="3828" w:type="dxa"/>
          </w:tcPr>
          <w:p w14:paraId="772AF497" w14:textId="58D7141C"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V</w:t>
            </w:r>
          </w:p>
        </w:tc>
        <w:tc>
          <w:tcPr>
            <w:tcW w:w="4394" w:type="dxa"/>
          </w:tcPr>
          <w:p w14:paraId="45F62A4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FC1F07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6526CE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E0ED6C9" w14:textId="3327F84A" w:rsidTr="00217FB7">
        <w:tc>
          <w:tcPr>
            <w:tcW w:w="3828" w:type="dxa"/>
          </w:tcPr>
          <w:p w14:paraId="4380F4CC" w14:textId="4E2B64FE"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LAPORAN LITERASI KEUANGAN DAN INKLUSI KEUANGAN</w:t>
            </w:r>
          </w:p>
        </w:tc>
        <w:tc>
          <w:tcPr>
            <w:tcW w:w="4394" w:type="dxa"/>
          </w:tcPr>
          <w:p w14:paraId="453C06F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AE3BE7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F6CEEB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A253853" w14:textId="310EFFC2" w:rsidTr="00217FB7">
        <w:tc>
          <w:tcPr>
            <w:tcW w:w="3828" w:type="dxa"/>
          </w:tcPr>
          <w:p w14:paraId="40F6CF3A"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24</w:t>
            </w:r>
          </w:p>
        </w:tc>
        <w:tc>
          <w:tcPr>
            <w:tcW w:w="4394" w:type="dxa"/>
          </w:tcPr>
          <w:p w14:paraId="5778B29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24</w:t>
            </w:r>
          </w:p>
        </w:tc>
        <w:tc>
          <w:tcPr>
            <w:tcW w:w="3827" w:type="dxa"/>
          </w:tcPr>
          <w:p w14:paraId="4C6858D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776731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8B3A921" w14:textId="062938DB" w:rsidTr="00217FB7">
        <w:tc>
          <w:tcPr>
            <w:tcW w:w="3828" w:type="dxa"/>
          </w:tcPr>
          <w:p w14:paraId="1F1579A4" w14:textId="77777777" w:rsidR="003922B4" w:rsidRPr="007C3531" w:rsidRDefault="003922B4" w:rsidP="0020519A">
            <w:pPr>
              <w:pStyle w:val="ListParagraph"/>
              <w:numPr>
                <w:ilvl w:val="0"/>
                <w:numId w:val="15"/>
              </w:numPr>
              <w:spacing w:line="276" w:lineRule="auto"/>
              <w:ind w:left="316"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PUJK wajib menyusun dan menyampaikan: </w:t>
            </w:r>
          </w:p>
          <w:p w14:paraId="15E83BFB" w14:textId="77777777" w:rsidR="003922B4" w:rsidRPr="007C3531" w:rsidRDefault="003922B4" w:rsidP="0020519A">
            <w:pPr>
              <w:pStyle w:val="ListParagraph"/>
              <w:numPr>
                <w:ilvl w:val="0"/>
                <w:numId w:val="59"/>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laporan Literasi Keuangan; dan </w:t>
            </w:r>
          </w:p>
          <w:p w14:paraId="60EEAA88" w14:textId="6805C9F8" w:rsidR="003922B4" w:rsidRPr="007C3531" w:rsidRDefault="003922B4" w:rsidP="0020519A">
            <w:pPr>
              <w:pStyle w:val="ListParagraph"/>
              <w:numPr>
                <w:ilvl w:val="0"/>
                <w:numId w:val="59"/>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laporan Inklusi Keuangan</w:t>
            </w:r>
            <w:r w:rsidR="0094636F">
              <w:rPr>
                <w:rFonts w:ascii="Bookman Old Style" w:eastAsia="Times New Roman" w:hAnsi="Bookman Old Style"/>
                <w:sz w:val="18"/>
                <w:szCs w:val="18"/>
              </w:rPr>
              <w:t>.</w:t>
            </w:r>
          </w:p>
        </w:tc>
        <w:tc>
          <w:tcPr>
            <w:tcW w:w="4394" w:type="dxa"/>
          </w:tcPr>
          <w:p w14:paraId="4C880BD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0CA76AD8" w14:textId="44674F26"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0DBA8CA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676EFB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D1D4BE6" w14:textId="4BD633BD" w:rsidTr="00217FB7">
        <w:tc>
          <w:tcPr>
            <w:tcW w:w="3828" w:type="dxa"/>
          </w:tcPr>
          <w:p w14:paraId="2F6C407D" w14:textId="6ADA95BA" w:rsidR="003922B4" w:rsidRPr="007C3531" w:rsidRDefault="003922B4" w:rsidP="0020519A">
            <w:pPr>
              <w:pStyle w:val="ListParagraph"/>
              <w:numPr>
                <w:ilvl w:val="0"/>
                <w:numId w:val="15"/>
              </w:numPr>
              <w:spacing w:line="276" w:lineRule="auto"/>
              <w:ind w:left="315"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Laporan Literasi Keuangan sebagaimana dimaksud pada ayat (1) huruf a terdiri dari laporan rencana dan laporan realisasi kegiatan sebagaimana dimaksud dalam Pasal 3.</w:t>
            </w:r>
          </w:p>
        </w:tc>
        <w:tc>
          <w:tcPr>
            <w:tcW w:w="4394" w:type="dxa"/>
          </w:tcPr>
          <w:p w14:paraId="4A54336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1B44E50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Laporan realisasi Literasi Keuangan memiliki komponen laporan yang sama dengan laporan rencana dengan disertai evaluasi atas pelaksanaan kegiatan.</w:t>
            </w:r>
          </w:p>
          <w:p w14:paraId="0B7BDA7B" w14:textId="2F41700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9794A1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38BBCC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580DB6C" w14:textId="52D67722" w:rsidTr="00217FB7">
        <w:tc>
          <w:tcPr>
            <w:tcW w:w="3828" w:type="dxa"/>
          </w:tcPr>
          <w:p w14:paraId="57F578B7" w14:textId="2AA2D970" w:rsidR="003922B4" w:rsidRPr="007C3531" w:rsidRDefault="003922B4" w:rsidP="0020519A">
            <w:pPr>
              <w:pStyle w:val="ListParagraph"/>
              <w:numPr>
                <w:ilvl w:val="0"/>
                <w:numId w:val="15"/>
              </w:numPr>
              <w:spacing w:line="276" w:lineRule="auto"/>
              <w:ind w:left="315"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Laporan Inklusi Keuangan sebagaimana dimaksud pada ayat (1) huruf b terdiri dari laporan rencana dan laporan realisasi kegiatan sebagaimana dimaksud dalam Pasal 13.</w:t>
            </w:r>
          </w:p>
        </w:tc>
        <w:tc>
          <w:tcPr>
            <w:tcW w:w="4394" w:type="dxa"/>
          </w:tcPr>
          <w:p w14:paraId="28AAFEA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46ADC7BA" w14:textId="2BB822BE"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Laporan realisasi Inklusi Keuangan memiliki komponen laporan yang sama dengan laporan rencana dengan disertai evaluasi atas pelaksanaan kegiatan.</w:t>
            </w:r>
          </w:p>
        </w:tc>
        <w:tc>
          <w:tcPr>
            <w:tcW w:w="3827" w:type="dxa"/>
          </w:tcPr>
          <w:p w14:paraId="13D3F59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8A546F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4524203" w14:textId="47A055FC" w:rsidTr="00217FB7">
        <w:tc>
          <w:tcPr>
            <w:tcW w:w="3828" w:type="dxa"/>
          </w:tcPr>
          <w:p w14:paraId="152D267B" w14:textId="39E6539E" w:rsidR="003922B4" w:rsidRPr="007C3531" w:rsidRDefault="003922B4" w:rsidP="0020519A">
            <w:pPr>
              <w:pStyle w:val="ListParagraph"/>
              <w:numPr>
                <w:ilvl w:val="0"/>
                <w:numId w:val="15"/>
              </w:numPr>
              <w:spacing w:line="276" w:lineRule="auto"/>
              <w:ind w:left="315"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Dalam hal PUJK merupakan Konglomerasi Keuangan, masing-masing PUJK wajib menyampaikan laporan rencana dan laporan realisasi kepada Otoritas Jasa Keuangan atas kegiatan sebagaimana dimaksud pada ayat (1).</w:t>
            </w:r>
          </w:p>
        </w:tc>
        <w:tc>
          <w:tcPr>
            <w:tcW w:w="4394" w:type="dxa"/>
          </w:tcPr>
          <w:p w14:paraId="17E7474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(4)</w:t>
            </w:r>
          </w:p>
          <w:p w14:paraId="65A9D2A6" w14:textId="1EA71D22" w:rsidR="003922B4" w:rsidRPr="007C3531" w:rsidRDefault="003922B4" w:rsidP="00E405C6">
            <w:pPr>
              <w:pStyle w:val="BodyText"/>
              <w:tabs>
                <w:tab w:val="left" w:pos="1800"/>
              </w:tabs>
              <w:spacing w:after="120" w:line="276" w:lineRule="auto"/>
              <w:rPr>
                <w:rFonts w:ascii="Bookman Old Style" w:hAnsi="Bookman Old Style"/>
                <w:sz w:val="18"/>
                <w:szCs w:val="18"/>
                <w:highlight w:val="yellow"/>
                <w:lang w:val="id-ID"/>
              </w:rPr>
            </w:pPr>
            <w:r w:rsidRPr="007C3531">
              <w:rPr>
                <w:rFonts w:ascii="Bookman Old Style" w:hAnsi="Bookman Old Style"/>
                <w:sz w:val="18"/>
                <w:szCs w:val="18"/>
                <w:lang w:val="id-ID"/>
              </w:rPr>
              <w:t>Cukup jelas.</w:t>
            </w:r>
          </w:p>
        </w:tc>
        <w:tc>
          <w:tcPr>
            <w:tcW w:w="3827" w:type="dxa"/>
          </w:tcPr>
          <w:p w14:paraId="3F03153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D0F7FB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FC39E45" w14:textId="06A42B50" w:rsidTr="00217FB7">
        <w:tc>
          <w:tcPr>
            <w:tcW w:w="3828" w:type="dxa"/>
          </w:tcPr>
          <w:p w14:paraId="311358F3"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25</w:t>
            </w:r>
          </w:p>
        </w:tc>
        <w:tc>
          <w:tcPr>
            <w:tcW w:w="4394" w:type="dxa"/>
          </w:tcPr>
          <w:p w14:paraId="4E483EF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25</w:t>
            </w:r>
          </w:p>
        </w:tc>
        <w:tc>
          <w:tcPr>
            <w:tcW w:w="3827" w:type="dxa"/>
          </w:tcPr>
          <w:p w14:paraId="44A457A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31E51A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C388221" w14:textId="1D2EAF30" w:rsidTr="00217FB7">
        <w:tc>
          <w:tcPr>
            <w:tcW w:w="3828" w:type="dxa"/>
          </w:tcPr>
          <w:p w14:paraId="3E9BBFE4" w14:textId="40801F9D" w:rsidR="003922B4" w:rsidRPr="007C3531" w:rsidRDefault="003922B4" w:rsidP="0020519A">
            <w:pPr>
              <w:pStyle w:val="ListParagraph"/>
              <w:numPr>
                <w:ilvl w:val="0"/>
                <w:numId w:val="6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wajib menyampaikan laporan rencana sebagaimana dimaksud dalam Pasal 24 kepada Otoritas Jasa Keuangan paling lambat pada tanggal 30 bulan November sebelum tahun kegiatan dilaksanakan.</w:t>
            </w:r>
          </w:p>
        </w:tc>
        <w:tc>
          <w:tcPr>
            <w:tcW w:w="4394" w:type="dxa"/>
          </w:tcPr>
          <w:p w14:paraId="3C8F96A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1BF952F7" w14:textId="6B936C0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85C6918" w14:textId="6B3372D4"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303772B"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5ED4255E" w14:textId="56FF5EF9" w:rsidTr="00217FB7">
        <w:tc>
          <w:tcPr>
            <w:tcW w:w="3828" w:type="dxa"/>
          </w:tcPr>
          <w:p w14:paraId="71DC2D85" w14:textId="78D343CC" w:rsidR="003922B4" w:rsidRPr="007C3531" w:rsidRDefault="003922B4" w:rsidP="0020519A">
            <w:pPr>
              <w:pStyle w:val="ListParagraph"/>
              <w:numPr>
                <w:ilvl w:val="0"/>
                <w:numId w:val="6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 xml:space="preserve">Dalam hal tanggal 30 bulan November jatuh pada </w:t>
            </w:r>
            <w:r w:rsidRPr="007C3531">
              <w:rPr>
                <w:rFonts w:ascii="Bookman Old Style" w:hAnsi="Bookman Old Style"/>
                <w:bCs/>
                <w:sz w:val="18"/>
                <w:szCs w:val="18"/>
                <w:lang w:val="id-ID"/>
              </w:rPr>
              <w:t>hari Sabtu, hari Minggu, atau</w:t>
            </w:r>
            <w:r w:rsidRPr="007C3531">
              <w:rPr>
                <w:rFonts w:ascii="Bookman Old Style" w:hAnsi="Bookman Old Style"/>
                <w:sz w:val="18"/>
                <w:szCs w:val="18"/>
                <w:lang w:val="id-ID"/>
              </w:rPr>
              <w:t xml:space="preserve"> hari libur, laporan rencana sebagaimana dimaksud pada ayat (1) disampaikan pada 1 (satu) hari kerja berikutnya.</w:t>
            </w:r>
          </w:p>
        </w:tc>
        <w:tc>
          <w:tcPr>
            <w:tcW w:w="4394" w:type="dxa"/>
          </w:tcPr>
          <w:p w14:paraId="0915D72B"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26CB32EA" w14:textId="25EC4B4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“hari libur” adalah hari libur nasional yang ditetapkan oleh pemerintah pusat dan/atau hari libur lokal yang ditetapkan oleh pemerintah daerah setempat.</w:t>
            </w:r>
          </w:p>
        </w:tc>
        <w:tc>
          <w:tcPr>
            <w:tcW w:w="3827" w:type="dxa"/>
          </w:tcPr>
          <w:p w14:paraId="5C6D0E8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1DEB52B2"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03191E2" w14:textId="67D04124" w:rsidTr="00217FB7">
        <w:tc>
          <w:tcPr>
            <w:tcW w:w="3828" w:type="dxa"/>
          </w:tcPr>
          <w:p w14:paraId="0C97A9C3" w14:textId="3BF50175" w:rsidR="003922B4" w:rsidRPr="007C3531" w:rsidRDefault="003922B4" w:rsidP="0020519A">
            <w:pPr>
              <w:pStyle w:val="ListParagraph"/>
              <w:numPr>
                <w:ilvl w:val="0"/>
                <w:numId w:val="60"/>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lebih lanjut mengenai penyusunan dan penyampaian laporan rencana ditetapkan oleh Otoritas Jasa Keuangan.</w:t>
            </w:r>
          </w:p>
        </w:tc>
        <w:tc>
          <w:tcPr>
            <w:tcW w:w="4394" w:type="dxa"/>
          </w:tcPr>
          <w:p w14:paraId="049C154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31585477" w14:textId="72EA2E1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24AD1CAB"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B5FF10C"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931F7EA" w14:textId="6AAF3392" w:rsidTr="00217FB7">
        <w:tc>
          <w:tcPr>
            <w:tcW w:w="3828" w:type="dxa"/>
          </w:tcPr>
          <w:p w14:paraId="0EE4FF9D"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26</w:t>
            </w:r>
          </w:p>
        </w:tc>
        <w:tc>
          <w:tcPr>
            <w:tcW w:w="4394" w:type="dxa"/>
          </w:tcPr>
          <w:p w14:paraId="022ED26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26</w:t>
            </w:r>
          </w:p>
        </w:tc>
        <w:tc>
          <w:tcPr>
            <w:tcW w:w="3827" w:type="dxa"/>
          </w:tcPr>
          <w:p w14:paraId="594B4F6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E5A5C8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BF5316E" w14:textId="4B9D785F" w:rsidTr="00217FB7">
        <w:tc>
          <w:tcPr>
            <w:tcW w:w="3828" w:type="dxa"/>
          </w:tcPr>
          <w:p w14:paraId="4D00A027" w14:textId="2A0A6356" w:rsidR="003922B4" w:rsidRPr="007C3531" w:rsidRDefault="003922B4" w:rsidP="0020519A">
            <w:pPr>
              <w:pStyle w:val="ListParagraph"/>
              <w:numPr>
                <w:ilvl w:val="0"/>
                <w:numId w:val="61"/>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wajib menyampaikan laporan realisasi sebagaimana dimaksud dalam Pasal 24 kepada Otoritas Jasa Keuangan secara semesteran.</w:t>
            </w:r>
          </w:p>
        </w:tc>
        <w:tc>
          <w:tcPr>
            <w:tcW w:w="4394" w:type="dxa"/>
          </w:tcPr>
          <w:p w14:paraId="592B3BB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2C0CD156" w14:textId="6A9E2F1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Yang dimaksud dengan “semesteran” adalah posisi akhir bulan Juni dan Desember.</w:t>
            </w:r>
          </w:p>
        </w:tc>
        <w:tc>
          <w:tcPr>
            <w:tcW w:w="3827" w:type="dxa"/>
          </w:tcPr>
          <w:p w14:paraId="02C7899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31FA49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175657D" w14:textId="1FFAD52F" w:rsidTr="00217FB7">
        <w:tc>
          <w:tcPr>
            <w:tcW w:w="3828" w:type="dxa"/>
          </w:tcPr>
          <w:p w14:paraId="487613D1" w14:textId="4D09DFB3" w:rsidR="003922B4" w:rsidRPr="007C3531" w:rsidRDefault="003922B4" w:rsidP="0020519A">
            <w:pPr>
              <w:pStyle w:val="ListParagraph"/>
              <w:numPr>
                <w:ilvl w:val="0"/>
                <w:numId w:val="61"/>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Penyampaian laporan realisasi sebagaimana dimaksud pada ayat (1) dilakukan paling lambat pada 1 (satu) bulan setelah semester dimaksud berakhir.</w:t>
            </w:r>
          </w:p>
        </w:tc>
        <w:tc>
          <w:tcPr>
            <w:tcW w:w="4394" w:type="dxa"/>
          </w:tcPr>
          <w:p w14:paraId="2AD796C6" w14:textId="4710A6C5"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74E31502" w14:textId="2BBFF47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6A9F6F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4D11DC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33ADE21" w14:textId="156F3900" w:rsidTr="00217FB7">
        <w:tc>
          <w:tcPr>
            <w:tcW w:w="3828" w:type="dxa"/>
          </w:tcPr>
          <w:p w14:paraId="0FC31F84" w14:textId="0758B31A" w:rsidR="003922B4" w:rsidRPr="007C3531" w:rsidRDefault="003922B4" w:rsidP="0020519A">
            <w:pPr>
              <w:pStyle w:val="ListParagraph"/>
              <w:numPr>
                <w:ilvl w:val="0"/>
                <w:numId w:val="61"/>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Dalam hal batas akhir penyampaian laporan realisasi sebagaimana dimaksud pada ayat (2) jatuh pada hari Sabtu, hari Minggu, atau hari libur, laporan realisasi sebagaimana dimaksud pada ayat (1) disampaikan pada 1 (satu) hari kerja berikutnya.</w:t>
            </w:r>
          </w:p>
        </w:tc>
        <w:tc>
          <w:tcPr>
            <w:tcW w:w="4394" w:type="dxa"/>
          </w:tcPr>
          <w:p w14:paraId="7E13089E" w14:textId="339487F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(3)</w:t>
            </w:r>
          </w:p>
          <w:p w14:paraId="4B9CB9C9" w14:textId="3B3E91D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690272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6EA7E5A"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4482129" w14:textId="4CFE3C3B" w:rsidTr="00217FB7">
        <w:tc>
          <w:tcPr>
            <w:tcW w:w="3828" w:type="dxa"/>
          </w:tcPr>
          <w:p w14:paraId="055D6327" w14:textId="41B847B7" w:rsidR="003922B4" w:rsidRPr="007C3531" w:rsidRDefault="003922B4" w:rsidP="0020519A">
            <w:pPr>
              <w:pStyle w:val="ListParagraph"/>
              <w:numPr>
                <w:ilvl w:val="0"/>
                <w:numId w:val="61"/>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lebih lanjut mengenai penyusunan dan penyampaian laporan realisasi ditetapkan oleh Otoritas Jasa Keuangan.</w:t>
            </w:r>
          </w:p>
        </w:tc>
        <w:tc>
          <w:tcPr>
            <w:tcW w:w="4394" w:type="dxa"/>
          </w:tcPr>
          <w:p w14:paraId="6A6E4D28" w14:textId="3359B2D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(4)</w:t>
            </w:r>
          </w:p>
          <w:p w14:paraId="6AB17BF9" w14:textId="2492E62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35EDF12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0596EB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54193C3" w14:textId="11FA1132" w:rsidTr="00217FB7">
        <w:tc>
          <w:tcPr>
            <w:tcW w:w="3828" w:type="dxa"/>
          </w:tcPr>
          <w:p w14:paraId="34688576"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27</w:t>
            </w:r>
          </w:p>
        </w:tc>
        <w:tc>
          <w:tcPr>
            <w:tcW w:w="4394" w:type="dxa"/>
          </w:tcPr>
          <w:p w14:paraId="28D4C1E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27</w:t>
            </w:r>
          </w:p>
        </w:tc>
        <w:tc>
          <w:tcPr>
            <w:tcW w:w="3827" w:type="dxa"/>
          </w:tcPr>
          <w:p w14:paraId="051EAF8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172580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E98E511" w14:textId="5AA896A1" w:rsidTr="00217FB7">
        <w:tc>
          <w:tcPr>
            <w:tcW w:w="3828" w:type="dxa"/>
          </w:tcPr>
          <w:p w14:paraId="3FCE43A8" w14:textId="14B6394A" w:rsidR="003922B4" w:rsidRPr="007C3531" w:rsidRDefault="003922B4" w:rsidP="0020519A">
            <w:pPr>
              <w:pStyle w:val="ListParagraph"/>
              <w:numPr>
                <w:ilvl w:val="0"/>
                <w:numId w:val="62"/>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PUJK dapat melakukan penyesuaian atau perubahan laporan rencana </w:t>
            </w:r>
            <w:r w:rsidRPr="007C3531">
              <w:rPr>
                <w:rFonts w:ascii="Bookman Old Style" w:hAnsi="Bookman Old Style"/>
                <w:sz w:val="18"/>
                <w:szCs w:val="18"/>
                <w:lang w:val="id-ID"/>
              </w:rPr>
              <w:lastRenderedPageBreak/>
              <w:t>Literasi Keuangan dan Inklusi Keuangan</w:t>
            </w:r>
          </w:p>
        </w:tc>
        <w:tc>
          <w:tcPr>
            <w:tcW w:w="4394" w:type="dxa"/>
          </w:tcPr>
          <w:p w14:paraId="79495152" w14:textId="0BABDA5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Cukup jelas.</w:t>
            </w:r>
          </w:p>
        </w:tc>
        <w:tc>
          <w:tcPr>
            <w:tcW w:w="3827" w:type="dxa"/>
          </w:tcPr>
          <w:p w14:paraId="521584E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10A78944"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EFCB9DD" w14:textId="0649A2F7" w:rsidTr="00217FB7">
        <w:tc>
          <w:tcPr>
            <w:tcW w:w="3828" w:type="dxa"/>
          </w:tcPr>
          <w:p w14:paraId="27BE2298" w14:textId="77777777" w:rsidR="003922B4" w:rsidRPr="007C3531" w:rsidRDefault="003922B4" w:rsidP="0020519A">
            <w:pPr>
              <w:pStyle w:val="ListParagraph"/>
              <w:numPr>
                <w:ilvl w:val="0"/>
                <w:numId w:val="62"/>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Penyesuaian atau perubahan laporan rencana sebagaimana dimaksud pada ayat (1) dapat dilakukan berdasarkan:</w:t>
            </w:r>
          </w:p>
          <w:p w14:paraId="4441EDB8" w14:textId="77777777" w:rsidR="003922B4" w:rsidRPr="007C3531" w:rsidRDefault="003922B4" w:rsidP="0020519A">
            <w:pPr>
              <w:pStyle w:val="ListParagraph"/>
              <w:numPr>
                <w:ilvl w:val="0"/>
                <w:numId w:val="63"/>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permintaan Otoritas Jasa Keuangan; dan/atau</w:t>
            </w:r>
          </w:p>
          <w:p w14:paraId="19BAD7AA" w14:textId="43B17498" w:rsidR="003922B4" w:rsidRPr="007C3531" w:rsidRDefault="003922B4" w:rsidP="0020519A">
            <w:pPr>
              <w:pStyle w:val="ListParagraph"/>
              <w:numPr>
                <w:ilvl w:val="0"/>
                <w:numId w:val="63"/>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inisiatif PUJK</w:t>
            </w:r>
            <w:r w:rsidR="0019046C">
              <w:rPr>
                <w:rFonts w:ascii="Bookman Old Style" w:hAnsi="Bookman Old Style"/>
                <w:sz w:val="18"/>
                <w:szCs w:val="18"/>
              </w:rPr>
              <w:t>.</w:t>
            </w:r>
          </w:p>
        </w:tc>
        <w:tc>
          <w:tcPr>
            <w:tcW w:w="4394" w:type="dxa"/>
          </w:tcPr>
          <w:p w14:paraId="2FF04C6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30B0F03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51FD861E"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8027204" w14:textId="060F0312" w:rsidTr="00217FB7">
        <w:tc>
          <w:tcPr>
            <w:tcW w:w="3828" w:type="dxa"/>
          </w:tcPr>
          <w:p w14:paraId="10E30434" w14:textId="5574CBDD" w:rsidR="003922B4" w:rsidRPr="007C3531" w:rsidRDefault="003922B4" w:rsidP="0020519A">
            <w:pPr>
              <w:pStyle w:val="ListParagraph"/>
              <w:numPr>
                <w:ilvl w:val="0"/>
                <w:numId w:val="62"/>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wajib menyampaikan penyesuaian laporan rencana sebagaimana dimaksud pada ayat (2) huruf a paling lambat 20 (dua puluh) hari kerja setelah tanggal surat permintaan penyesuaian Otoritas Jasa Keuangan.</w:t>
            </w:r>
          </w:p>
        </w:tc>
        <w:tc>
          <w:tcPr>
            <w:tcW w:w="4394" w:type="dxa"/>
          </w:tcPr>
          <w:p w14:paraId="7024F5A9"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54F14C21"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08F578AC"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E80FB57" w14:textId="4C231BA0" w:rsidTr="00217FB7">
        <w:tc>
          <w:tcPr>
            <w:tcW w:w="3828" w:type="dxa"/>
          </w:tcPr>
          <w:p w14:paraId="2C03C8F6" w14:textId="612F2994" w:rsidR="003922B4" w:rsidRPr="007C3531" w:rsidRDefault="003922B4" w:rsidP="0020519A">
            <w:pPr>
              <w:pStyle w:val="ListParagraph"/>
              <w:numPr>
                <w:ilvl w:val="0"/>
                <w:numId w:val="62"/>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dapat menyampaikan perubahan laporan rencana sebagaimana dimaksud pada ayat (2) huruf b paling lambat 20 (dua puluh) hari kerja sebelum pelaksanaan kegiatan.</w:t>
            </w:r>
          </w:p>
        </w:tc>
        <w:tc>
          <w:tcPr>
            <w:tcW w:w="4394" w:type="dxa"/>
          </w:tcPr>
          <w:p w14:paraId="28414F8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C9580F4"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9E7AB5A"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96AE8E1" w14:textId="47A5A0EB" w:rsidTr="00217FB7">
        <w:tc>
          <w:tcPr>
            <w:tcW w:w="3828" w:type="dxa"/>
          </w:tcPr>
          <w:p w14:paraId="6E2E43E1" w14:textId="2B01CC13" w:rsidR="003922B4" w:rsidRPr="007C3531" w:rsidRDefault="003922B4" w:rsidP="0020519A">
            <w:pPr>
              <w:pStyle w:val="ListParagraph"/>
              <w:numPr>
                <w:ilvl w:val="0"/>
                <w:numId w:val="62"/>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PUJK dapat melakukan perubahan terhadap laporan rencana sebagaimana dimaksud pada ayat (2) huruf b paling banyak 1 (satu) kali untuk 1 (satu) semester.</w:t>
            </w:r>
          </w:p>
        </w:tc>
        <w:tc>
          <w:tcPr>
            <w:tcW w:w="4394" w:type="dxa"/>
          </w:tcPr>
          <w:p w14:paraId="7FEEFE9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EAA617E"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81B2FB6"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291608F" w14:textId="060238E1" w:rsidTr="00217FB7">
        <w:tc>
          <w:tcPr>
            <w:tcW w:w="3828" w:type="dxa"/>
          </w:tcPr>
          <w:p w14:paraId="6A9891C4"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28</w:t>
            </w:r>
          </w:p>
        </w:tc>
        <w:tc>
          <w:tcPr>
            <w:tcW w:w="4394" w:type="dxa"/>
          </w:tcPr>
          <w:p w14:paraId="7A1D0F2D"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28</w:t>
            </w:r>
          </w:p>
        </w:tc>
        <w:tc>
          <w:tcPr>
            <w:tcW w:w="3827" w:type="dxa"/>
          </w:tcPr>
          <w:p w14:paraId="47DC1EA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E4CC87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81963C1" w14:textId="02B31D9B" w:rsidTr="00217FB7">
        <w:tc>
          <w:tcPr>
            <w:tcW w:w="3828" w:type="dxa"/>
          </w:tcPr>
          <w:p w14:paraId="7E323100" w14:textId="4170477E" w:rsidR="003922B4" w:rsidRPr="007C3531" w:rsidRDefault="003922B4" w:rsidP="0020519A">
            <w:pPr>
              <w:pStyle w:val="ListParagraph"/>
              <w:numPr>
                <w:ilvl w:val="0"/>
                <w:numId w:val="22"/>
              </w:numPr>
              <w:spacing w:line="276" w:lineRule="auto"/>
              <w:ind w:left="312"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Penyampaian laporan rencana, laporan realisasi, penyesuaian laporan, dan perubahan laporan dilakukan melalui sistem pelaporan elektronik yang disediakan oleh Otoritas Jasa Keuangan.</w:t>
            </w:r>
          </w:p>
        </w:tc>
        <w:tc>
          <w:tcPr>
            <w:tcW w:w="4394" w:type="dxa"/>
          </w:tcPr>
          <w:p w14:paraId="0C983558" w14:textId="34BDE229"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6431F6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C83626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B971710" w14:textId="4762F1DF" w:rsidTr="00217FB7">
        <w:tc>
          <w:tcPr>
            <w:tcW w:w="3828" w:type="dxa"/>
          </w:tcPr>
          <w:p w14:paraId="21149DB6" w14:textId="264548EF" w:rsidR="003922B4" w:rsidRPr="007C3531" w:rsidRDefault="003922B4" w:rsidP="0020519A">
            <w:pPr>
              <w:pStyle w:val="ListParagraph"/>
              <w:numPr>
                <w:ilvl w:val="0"/>
                <w:numId w:val="22"/>
              </w:numPr>
              <w:spacing w:line="276" w:lineRule="auto"/>
              <w:ind w:left="312"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Dalam hal Otoritas Jasa Keuangan menyatakan sistem pelaporan </w:t>
            </w:r>
            <w:r w:rsidRPr="007C3531">
              <w:rPr>
                <w:rFonts w:ascii="Bookman Old Style" w:eastAsia="Times New Roman" w:hAnsi="Bookman Old Style"/>
                <w:sz w:val="18"/>
                <w:szCs w:val="18"/>
                <w:lang w:val="id-ID"/>
              </w:rPr>
              <w:lastRenderedPageBreak/>
              <w:t>elektronik sebagaimana dimaksud pada ayat (1) tidak dapat diakses karena mengalami gangguan, penyampaian laporan dilakukan melalui surat kepada satuan kerja yang melaksanakan fungsi edukasi dan perlindungan Konsumen.</w:t>
            </w:r>
          </w:p>
        </w:tc>
        <w:tc>
          <w:tcPr>
            <w:tcW w:w="4394" w:type="dxa"/>
          </w:tcPr>
          <w:p w14:paraId="3BF6900C" w14:textId="646A395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6C9ED08" w14:textId="2FC9166B"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39E5CA6F"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44713067" w14:textId="3F93D6AC" w:rsidTr="00217FB7">
        <w:tc>
          <w:tcPr>
            <w:tcW w:w="3828" w:type="dxa"/>
          </w:tcPr>
          <w:p w14:paraId="5098C9C6"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29</w:t>
            </w:r>
          </w:p>
        </w:tc>
        <w:tc>
          <w:tcPr>
            <w:tcW w:w="4394" w:type="dxa"/>
          </w:tcPr>
          <w:p w14:paraId="108191F7" w14:textId="41A53CBC"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29</w:t>
            </w:r>
          </w:p>
        </w:tc>
        <w:tc>
          <w:tcPr>
            <w:tcW w:w="3827" w:type="dxa"/>
          </w:tcPr>
          <w:p w14:paraId="685C9FF4" w14:textId="506DD3D2"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59F4FDD"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3B7953B" w14:textId="6BC7A0C8" w:rsidTr="00217FB7">
        <w:tc>
          <w:tcPr>
            <w:tcW w:w="3828" w:type="dxa"/>
          </w:tcPr>
          <w:p w14:paraId="455AB450" w14:textId="494B1F43" w:rsidR="003922B4" w:rsidRPr="007C3531" w:rsidRDefault="003922B4" w:rsidP="0020519A">
            <w:pPr>
              <w:pStyle w:val="ListParagraph"/>
              <w:numPr>
                <w:ilvl w:val="0"/>
                <w:numId w:val="16"/>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Dalam hal PUJK bekerja sama dengan pihak lain sebagaimana dimaksud dalam Pasal 5 ayat (2) dan Pasal 15 ayat (2), PUJK wajib mencantumkan peran serta pihak lain tersebut pada laporan rencana kegiatan serta laporan realisasi kegiatan untuk meningkatkan Literasi Keuangan dan Inklusi Keuangan.</w:t>
            </w:r>
          </w:p>
        </w:tc>
        <w:tc>
          <w:tcPr>
            <w:tcW w:w="4394" w:type="dxa"/>
          </w:tcPr>
          <w:p w14:paraId="58EC6EE9" w14:textId="0CB14762"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0167BC8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4700E2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173F0DA" w14:textId="39DB7417" w:rsidTr="00217FB7">
        <w:tc>
          <w:tcPr>
            <w:tcW w:w="3828" w:type="dxa"/>
          </w:tcPr>
          <w:p w14:paraId="34E4AF49" w14:textId="6AD90597" w:rsidR="003922B4" w:rsidRPr="007C3531" w:rsidRDefault="003922B4" w:rsidP="0020519A">
            <w:pPr>
              <w:pStyle w:val="ListParagraph"/>
              <w:numPr>
                <w:ilvl w:val="0"/>
                <w:numId w:val="16"/>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yang melanggar ketentuan sebagaimana dimaksud pada ayat (1) dikenai sanksi administratif berupa peringatan tertulis.</w:t>
            </w:r>
          </w:p>
        </w:tc>
        <w:tc>
          <w:tcPr>
            <w:tcW w:w="4394" w:type="dxa"/>
          </w:tcPr>
          <w:p w14:paraId="643B3709" w14:textId="5BDBF3F3"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EBB45D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301573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C91D097" w14:textId="557CCAE7" w:rsidTr="00217FB7">
        <w:tc>
          <w:tcPr>
            <w:tcW w:w="3828" w:type="dxa"/>
          </w:tcPr>
          <w:p w14:paraId="7B37D64F"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30</w:t>
            </w:r>
          </w:p>
        </w:tc>
        <w:tc>
          <w:tcPr>
            <w:tcW w:w="4394" w:type="dxa"/>
          </w:tcPr>
          <w:p w14:paraId="28258ED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30</w:t>
            </w:r>
          </w:p>
        </w:tc>
        <w:tc>
          <w:tcPr>
            <w:tcW w:w="3827" w:type="dxa"/>
          </w:tcPr>
          <w:p w14:paraId="6B051209"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2F80D08B"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2AAD62F9" w14:textId="7BCD290D" w:rsidTr="00217FB7">
        <w:tc>
          <w:tcPr>
            <w:tcW w:w="3828" w:type="dxa"/>
          </w:tcPr>
          <w:p w14:paraId="28E7997B" w14:textId="77777777" w:rsidR="003922B4" w:rsidRPr="007C3531" w:rsidRDefault="003922B4" w:rsidP="0020519A">
            <w:pPr>
              <w:pStyle w:val="ListParagraph"/>
              <w:numPr>
                <w:ilvl w:val="0"/>
                <w:numId w:val="17"/>
              </w:numPr>
              <w:spacing w:line="276" w:lineRule="auto"/>
              <w:ind w:left="313"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yang melanggar ketentuan sebagaimana dimaksud dalam Pasal 24 ayat (1) dan ayat (4), Pasal 25 ayat (1), Pasal 26 ayat (1), dan Pasal 27 ayat (3) dikenai sanksi administratif berupa denda yaitu kewajiban membayar sejumlah uang dengan rincian sebagai berikut:</w:t>
            </w:r>
          </w:p>
          <w:p w14:paraId="57F7D1E8" w14:textId="77777777" w:rsidR="003922B4" w:rsidRPr="007C3531" w:rsidRDefault="003922B4" w:rsidP="0020519A">
            <w:pPr>
              <w:pStyle w:val="ListParagraph"/>
              <w:numPr>
                <w:ilvl w:val="0"/>
                <w:numId w:val="64"/>
              </w:numPr>
              <w:spacing w:line="276" w:lineRule="auto"/>
              <w:ind w:right="20"/>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sebesar Rp100.000,00 (seratus ribu rupiah) per hari keterlambatan dan paling banyak sebesar Rp10.000.000,00 (sepuluh juta </w:t>
            </w:r>
            <w:r w:rsidRPr="007C3531">
              <w:rPr>
                <w:rFonts w:ascii="Bookman Old Style" w:eastAsia="Times New Roman" w:hAnsi="Bookman Old Style"/>
                <w:sz w:val="18"/>
                <w:szCs w:val="18"/>
                <w:lang w:val="id-ID"/>
              </w:rPr>
              <w:lastRenderedPageBreak/>
              <w:t>rupiah) bagi PUJK berupa Bank Umum, Perantara Pedagang Efek, Manajer Investasi, Dana Pensiun, Perusahaan Asuransi, Perusahaan Pergadaian Pemerintah, Lembaga Pembiayaan Ekspor Indonesia, Penyelenggara Layanan Pendanaan Bersama Berbasis Teknologi Informasi, PT Permodalan Nasional Madani (Persero), dan Penyelenggara Layanan Urun Dana, atau</w:t>
            </w:r>
          </w:p>
          <w:p w14:paraId="40FC0B4B" w14:textId="593CA365" w:rsidR="003922B4" w:rsidRPr="007C3531" w:rsidRDefault="003922B4" w:rsidP="0020519A">
            <w:pPr>
              <w:pStyle w:val="ListParagraph"/>
              <w:numPr>
                <w:ilvl w:val="0"/>
                <w:numId w:val="64"/>
              </w:numPr>
              <w:spacing w:line="276" w:lineRule="auto"/>
              <w:ind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sebesar Rp50.000,00 (lima puluh ribu rupiah) per hari keterlambatan dan paling banyak sebesar Rp5.000.000,00 (lima juta rupiah) bagi PUJK berupa Bank Perkreditan/Pembiayaan Rakyat, Perusahaan Pembiayaan, Perusahaan Modal Ventura, dan Perusahaan Penjaminan.</w:t>
            </w:r>
          </w:p>
        </w:tc>
        <w:tc>
          <w:tcPr>
            <w:tcW w:w="4394" w:type="dxa"/>
          </w:tcPr>
          <w:p w14:paraId="2CD8463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(1)</w:t>
            </w:r>
          </w:p>
          <w:p w14:paraId="569FABC2" w14:textId="000A0EEA"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468D02B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8ACDFA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B8DA165" w14:textId="6B0C8399" w:rsidTr="00217FB7">
        <w:tc>
          <w:tcPr>
            <w:tcW w:w="3828" w:type="dxa"/>
          </w:tcPr>
          <w:p w14:paraId="58BAAB0B" w14:textId="694839E6" w:rsidR="003922B4" w:rsidRPr="007C3531" w:rsidRDefault="003922B4" w:rsidP="0020519A">
            <w:pPr>
              <w:pStyle w:val="ListParagraph"/>
              <w:numPr>
                <w:ilvl w:val="0"/>
                <w:numId w:val="17"/>
              </w:numPr>
              <w:spacing w:line="276" w:lineRule="auto"/>
              <w:ind w:left="31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Pergadaian Swasta, Lembaga Jasa Keuangan lainnya dan/atau pihak yang melakukan kegiatan usaha penghimpunan dana, penyaluran dana, dan/atau pengelolaan dana di sektor jasa keuangan serta yang dinyatakan diawasi oleh Otoritas Jasa Keuangan, berdasarkan peraturan perundang-undangan, yang melanggar ketentuan sebagaimana dimaksud dalam Pasal 24 ayat (1) dan ayat (4), Pasal 25 ayat (1), Pasal 26 ayat (1), dan Pasal 27 </w:t>
            </w:r>
            <w:r w:rsidRPr="007C3531">
              <w:rPr>
                <w:rFonts w:ascii="Bookman Old Style" w:eastAsia="Times New Roman" w:hAnsi="Bookman Old Style"/>
                <w:sz w:val="18"/>
                <w:szCs w:val="18"/>
                <w:lang w:val="id-ID"/>
              </w:rPr>
              <w:lastRenderedPageBreak/>
              <w:t>ayat (3) dikenai sanksi administratif berupa peringatan tertulis.</w:t>
            </w:r>
          </w:p>
        </w:tc>
        <w:tc>
          <w:tcPr>
            <w:tcW w:w="4394" w:type="dxa"/>
          </w:tcPr>
          <w:p w14:paraId="36A76AB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(2)</w:t>
            </w:r>
          </w:p>
          <w:p w14:paraId="29676365" w14:textId="4FB62EBF"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Yang dimaksud dengan “Lembaga Jasa Keuangan lainnya dan/atau pihak yang melakukan kegiatan usaha penghimpunan dana, penyaluran dana, dan/atau pengelolaan dana di sektor jasa keuangan” adalah Lembaga Jasa Keuangan lainnya dan/atau pihak yang melakukan kegiatan usaha penghimpunan dana, penyaluran dana, dan/atau pengelolaan dana di sektor jasa keuangan di luar Penyelenggara Layanan Pendanaan Bersama Berbasis Teknologi Informasi, PT Permodalan </w:t>
            </w:r>
            <w:r w:rsidRPr="007C3531">
              <w:rPr>
                <w:rFonts w:ascii="Bookman Old Style" w:hAnsi="Bookman Old Style"/>
                <w:sz w:val="18"/>
                <w:szCs w:val="18"/>
                <w:lang w:val="id-ID"/>
              </w:rPr>
              <w:lastRenderedPageBreak/>
              <w:t>Nasional Madani (Persero), dan Penyelenggara Layanan Urun Dana.</w:t>
            </w:r>
          </w:p>
        </w:tc>
        <w:tc>
          <w:tcPr>
            <w:tcW w:w="3827" w:type="dxa"/>
          </w:tcPr>
          <w:p w14:paraId="7E5CDCC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A21696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18103DE" w14:textId="4ED6B40B" w:rsidTr="00217FB7">
        <w:tc>
          <w:tcPr>
            <w:tcW w:w="3828" w:type="dxa"/>
          </w:tcPr>
          <w:p w14:paraId="5EB73770" w14:textId="3748F0E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VI</w:t>
            </w:r>
          </w:p>
        </w:tc>
        <w:tc>
          <w:tcPr>
            <w:tcW w:w="4394" w:type="dxa"/>
          </w:tcPr>
          <w:p w14:paraId="35D6B9A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99C0539"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1DC5F958"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CE4F9FB" w14:textId="4EFB554C" w:rsidTr="00217FB7">
        <w:tc>
          <w:tcPr>
            <w:tcW w:w="3828" w:type="dxa"/>
          </w:tcPr>
          <w:p w14:paraId="3C882597" w14:textId="3BBD19BF"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STRATEGI DAN PROGRAM PENINGKATAN LITERASI KEUANGAN DAN INKLUSI KEUANGAN BAGI KONSUMEN DAN MASYARAKAT</w:t>
            </w:r>
          </w:p>
        </w:tc>
        <w:tc>
          <w:tcPr>
            <w:tcW w:w="4394" w:type="dxa"/>
          </w:tcPr>
          <w:p w14:paraId="4E16F0F0"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61261448"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1B042485"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62553F95" w14:textId="08F9C8FA" w:rsidTr="00217FB7">
        <w:tc>
          <w:tcPr>
            <w:tcW w:w="3828" w:type="dxa"/>
          </w:tcPr>
          <w:p w14:paraId="71452562"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31</w:t>
            </w:r>
          </w:p>
        </w:tc>
        <w:tc>
          <w:tcPr>
            <w:tcW w:w="4394" w:type="dxa"/>
          </w:tcPr>
          <w:p w14:paraId="04B80862"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31</w:t>
            </w:r>
          </w:p>
        </w:tc>
        <w:tc>
          <w:tcPr>
            <w:tcW w:w="3827" w:type="dxa"/>
          </w:tcPr>
          <w:p w14:paraId="731406C9" w14:textId="397B3494"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19FDD4F"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3F0990B9" w14:textId="1CFA0C46" w:rsidTr="00217FB7">
        <w:tc>
          <w:tcPr>
            <w:tcW w:w="3828" w:type="dxa"/>
          </w:tcPr>
          <w:p w14:paraId="4E2CAAB3" w14:textId="14BFA727" w:rsidR="003922B4" w:rsidRPr="007C3531" w:rsidRDefault="003922B4" w:rsidP="0020519A">
            <w:pPr>
              <w:pStyle w:val="ListParagraph"/>
              <w:numPr>
                <w:ilvl w:val="0"/>
                <w:numId w:val="18"/>
              </w:numPr>
              <w:spacing w:line="276" w:lineRule="auto"/>
              <w:ind w:left="31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Otoritas Jasa Keuangan dapat menyusun strategi dan/atau program untuk peningkatan Literasi Keuangan dan Inklusi Keuangan.</w:t>
            </w:r>
          </w:p>
        </w:tc>
        <w:tc>
          <w:tcPr>
            <w:tcW w:w="4394" w:type="dxa"/>
          </w:tcPr>
          <w:p w14:paraId="136CBFA7"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(1)</w:t>
            </w:r>
          </w:p>
          <w:p w14:paraId="4E0112E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Strategi dan/atau program adalah pedoman bagi PUJK dan pihak lain dalam upaya peningkatan Literasi Keuangan sehingga lebih terarah dan terukur.</w:t>
            </w:r>
          </w:p>
          <w:p w14:paraId="1A3E17D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strategi untuk peningkatan Literasi Keuangan dan Inklusi Keuangan antara lain Strategi Nasional Literasi Keuangan Indonesia (SNLKI).</w:t>
            </w:r>
          </w:p>
          <w:p w14:paraId="5EEB68C8" w14:textId="5B2514E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Contoh program untuk peningkatan Literasi Keuangan dan Inklusi Keuangan antara lain program Satu Rekening Satu Pelajar, Bulan Inklusi Keuangan, dan Tim Percepatan Akses Keuangan Daerah (TPAKD).</w:t>
            </w:r>
          </w:p>
        </w:tc>
        <w:tc>
          <w:tcPr>
            <w:tcW w:w="3827" w:type="dxa"/>
          </w:tcPr>
          <w:p w14:paraId="081F97A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FB5948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3E67C82" w14:textId="3410A4C3" w:rsidTr="00217FB7">
        <w:tc>
          <w:tcPr>
            <w:tcW w:w="3828" w:type="dxa"/>
          </w:tcPr>
          <w:p w14:paraId="6D01E5BE" w14:textId="61A05AE4" w:rsidR="003922B4" w:rsidRPr="007C3531" w:rsidRDefault="003922B4" w:rsidP="0020519A">
            <w:pPr>
              <w:pStyle w:val="ListParagraph"/>
              <w:numPr>
                <w:ilvl w:val="0"/>
                <w:numId w:val="18"/>
              </w:numPr>
              <w:spacing w:line="276" w:lineRule="auto"/>
              <w:ind w:left="313"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PUJK harus mendukung strategi dan/atau program sebagaimana dimaksud pada ayat (1) melalui kegiatan untuk meningkatkan Literasi Keuangan dan Inklusi Keuangan.</w:t>
            </w:r>
          </w:p>
        </w:tc>
        <w:tc>
          <w:tcPr>
            <w:tcW w:w="4394" w:type="dxa"/>
          </w:tcPr>
          <w:p w14:paraId="443E845A" w14:textId="16592BED"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74CA9182" w14:textId="5537EAB8"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Bentuk dukungan PUJK dapat berupa pelaksanaan kegiatan untuk meningkatkan Literasi Keuangan dan Inklusi Keuangan sesuai sasaran dan program yang ditetapkan pada strategi dan/atau program yang disusun oleh Otoritas Jasa Keuangan.</w:t>
            </w:r>
          </w:p>
        </w:tc>
        <w:tc>
          <w:tcPr>
            <w:tcW w:w="3827" w:type="dxa"/>
          </w:tcPr>
          <w:p w14:paraId="1A3D11F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D8DA7E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BA9DF7F" w14:textId="3E6E30D0" w:rsidTr="00217FB7">
        <w:tc>
          <w:tcPr>
            <w:tcW w:w="3828" w:type="dxa"/>
          </w:tcPr>
          <w:p w14:paraId="3DA2B926"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32</w:t>
            </w:r>
          </w:p>
        </w:tc>
        <w:tc>
          <w:tcPr>
            <w:tcW w:w="4394" w:type="dxa"/>
          </w:tcPr>
          <w:p w14:paraId="26A5AC0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32</w:t>
            </w:r>
          </w:p>
        </w:tc>
        <w:tc>
          <w:tcPr>
            <w:tcW w:w="3827" w:type="dxa"/>
          </w:tcPr>
          <w:p w14:paraId="3CC5CF2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4537FE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9A5243D" w14:textId="325E2FFC" w:rsidTr="00217FB7">
        <w:tc>
          <w:tcPr>
            <w:tcW w:w="3828" w:type="dxa"/>
          </w:tcPr>
          <w:p w14:paraId="0EEFBF11" w14:textId="5F831B4F" w:rsidR="003922B4" w:rsidRPr="007C3531" w:rsidRDefault="003922B4" w:rsidP="0020519A">
            <w:pPr>
              <w:pStyle w:val="ListParagraph"/>
              <w:numPr>
                <w:ilvl w:val="0"/>
                <w:numId w:val="19"/>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 xml:space="preserve">Otoritas Jasa Keuangan dapat menyediakan sistem manajemen </w:t>
            </w:r>
            <w:r w:rsidRPr="007C3531">
              <w:rPr>
                <w:rFonts w:ascii="Bookman Old Style" w:eastAsia="Times New Roman" w:hAnsi="Bookman Old Style"/>
                <w:sz w:val="18"/>
                <w:szCs w:val="18"/>
                <w:lang w:val="id-ID"/>
              </w:rPr>
              <w:lastRenderedPageBreak/>
              <w:t xml:space="preserve">pembelajaran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eastAsia="Times New Roman" w:hAnsi="Bookman Old Style"/>
                <w:i/>
                <w:sz w:val="18"/>
                <w:szCs w:val="18"/>
                <w:lang w:val="id-ID"/>
              </w:rPr>
              <w:t xml:space="preserve"> </w:t>
            </w:r>
            <w:r w:rsidRPr="0066591F">
              <w:rPr>
                <w:rFonts w:ascii="Bookman Old Style" w:eastAsia="Times New Roman" w:hAnsi="Bookman Old Style"/>
                <w:sz w:val="18"/>
                <w:szCs w:val="18"/>
                <w:lang w:val="id-ID"/>
              </w:rPr>
              <w:t>yang dapat dimanfaatkan</w:t>
            </w:r>
            <w:r w:rsidRPr="007C3531">
              <w:rPr>
                <w:rFonts w:ascii="Bookman Old Style" w:eastAsia="Times New Roman" w:hAnsi="Bookman Old Style"/>
                <w:sz w:val="18"/>
                <w:szCs w:val="18"/>
                <w:lang w:val="id-ID"/>
              </w:rPr>
              <w:t xml:space="preserve"> oleh Konsumen dan/atau masyarakat untuk meningkatkan Literasi Keuangan.</w:t>
            </w:r>
          </w:p>
        </w:tc>
        <w:tc>
          <w:tcPr>
            <w:tcW w:w="4394" w:type="dxa"/>
          </w:tcPr>
          <w:p w14:paraId="44E1CBEE"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Ayat (1)</w:t>
            </w:r>
          </w:p>
          <w:p w14:paraId="40AF95F9" w14:textId="2FE9D0FA" w:rsidR="003922B4" w:rsidRPr="0066591F"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 xml:space="preserve">Yang dimaksud dengan “sistem manajemen </w:t>
            </w:r>
            <w:r w:rsidRPr="0066591F">
              <w:rPr>
                <w:rFonts w:ascii="Bookman Old Style" w:hAnsi="Bookman Old Style"/>
                <w:sz w:val="18"/>
                <w:szCs w:val="18"/>
                <w:lang w:val="id-ID"/>
              </w:rPr>
              <w:t>pembelajaran</w:t>
            </w:r>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hAnsi="Bookman Old Style"/>
                <w:sz w:val="18"/>
                <w:szCs w:val="18"/>
                <w:lang w:val="id-ID"/>
              </w:rPr>
              <w:t>” adalah mekanisme dan perangkat yang dikelola oleh Otoritas Jasa Keuangan untuk meningkatkan Literasi Keuangan Konsumen dan/atau masyarakat.</w:t>
            </w:r>
          </w:p>
          <w:p w14:paraId="2B1955CA" w14:textId="4C2B198E" w:rsidR="003922B4" w:rsidRPr="0066591F" w:rsidRDefault="003922B4" w:rsidP="00E405C6">
            <w:pPr>
              <w:pStyle w:val="BodyText"/>
              <w:tabs>
                <w:tab w:val="left" w:pos="1800"/>
              </w:tabs>
              <w:spacing w:after="120" w:line="276" w:lineRule="auto"/>
              <w:rPr>
                <w:rFonts w:ascii="Bookman Old Style" w:hAnsi="Bookman Old Style"/>
                <w:sz w:val="18"/>
                <w:szCs w:val="18"/>
                <w:lang w:val="id-ID"/>
              </w:rPr>
            </w:pPr>
            <w:r w:rsidRPr="0066591F">
              <w:rPr>
                <w:rFonts w:ascii="Bookman Old Style" w:hAnsi="Bookman Old Style"/>
                <w:sz w:val="18"/>
                <w:szCs w:val="18"/>
                <w:lang w:val="id-ID"/>
              </w:rPr>
              <w:t xml:space="preserve">Bentuk pemanfaatan sistem manajemen pembelajaran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00315DB7" w:rsidRPr="0066591F">
              <w:rPr>
                <w:rFonts w:ascii="Bookman Old Style" w:hAnsi="Bookman Old Style"/>
                <w:sz w:val="18"/>
                <w:szCs w:val="18"/>
                <w:lang w:val="id-ID"/>
              </w:rPr>
              <w:t xml:space="preserve"> </w:t>
            </w:r>
            <w:r w:rsidRPr="0066591F">
              <w:rPr>
                <w:rFonts w:ascii="Bookman Old Style" w:hAnsi="Bookman Old Style"/>
                <w:sz w:val="18"/>
                <w:szCs w:val="18"/>
                <w:lang w:val="id-ID"/>
              </w:rPr>
              <w:t>oleh Konsumen dan/atau masyarakat antara lain:</w:t>
            </w:r>
          </w:p>
          <w:p w14:paraId="05FCE22E" w14:textId="0611558A" w:rsidR="003922B4" w:rsidRPr="0066591F" w:rsidRDefault="003922B4" w:rsidP="0020519A">
            <w:pPr>
              <w:pStyle w:val="BodyText"/>
              <w:numPr>
                <w:ilvl w:val="0"/>
                <w:numId w:val="65"/>
              </w:numPr>
              <w:tabs>
                <w:tab w:val="left" w:pos="1800"/>
              </w:tabs>
              <w:spacing w:after="120" w:line="276" w:lineRule="auto"/>
              <w:rPr>
                <w:rFonts w:ascii="Bookman Old Style" w:hAnsi="Bookman Old Style"/>
                <w:sz w:val="18"/>
                <w:szCs w:val="18"/>
                <w:lang w:val="id-ID"/>
              </w:rPr>
            </w:pPr>
            <w:r w:rsidRPr="0066591F">
              <w:rPr>
                <w:rFonts w:ascii="Bookman Old Style" w:hAnsi="Bookman Old Style"/>
                <w:sz w:val="18"/>
                <w:szCs w:val="18"/>
                <w:lang w:val="id-ID"/>
              </w:rPr>
              <w:t>materi pembelajaran untuk meningkatkan Literasi Keuangan;</w:t>
            </w:r>
          </w:p>
          <w:p w14:paraId="517DB03D" w14:textId="0DC4C407" w:rsidR="003922B4" w:rsidRPr="007C3531" w:rsidRDefault="003922B4" w:rsidP="0020519A">
            <w:pPr>
              <w:pStyle w:val="BodyText"/>
              <w:numPr>
                <w:ilvl w:val="0"/>
                <w:numId w:val="65"/>
              </w:numPr>
              <w:tabs>
                <w:tab w:val="left" w:pos="1800"/>
              </w:tabs>
              <w:spacing w:after="120" w:line="276" w:lineRule="auto"/>
              <w:rPr>
                <w:rFonts w:ascii="Bookman Old Style" w:hAnsi="Bookman Old Style"/>
                <w:sz w:val="18"/>
                <w:szCs w:val="18"/>
                <w:lang w:val="id-ID"/>
              </w:rPr>
            </w:pPr>
            <w:r w:rsidRPr="0066591F">
              <w:rPr>
                <w:rFonts w:ascii="Bookman Old Style" w:hAnsi="Bookman Old Style"/>
                <w:sz w:val="18"/>
                <w:szCs w:val="18"/>
                <w:lang w:val="id-ID"/>
              </w:rPr>
              <w:t>menggunakan materi ajar dari sistem manajemen pembelajaran</w:t>
            </w:r>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hAnsi="Bookman Old Style"/>
                <w:sz w:val="18"/>
                <w:szCs w:val="18"/>
                <w:lang w:val="id-ID"/>
              </w:rPr>
              <w:t xml:space="preserve"> sebagai sarana untuk meningkatkan Literasi Keuangan</w:t>
            </w:r>
            <w:r w:rsidRPr="007C3531">
              <w:rPr>
                <w:rFonts w:ascii="Bookman Old Style" w:hAnsi="Bookman Old Style"/>
                <w:sz w:val="18"/>
                <w:szCs w:val="18"/>
                <w:lang w:val="id-ID"/>
              </w:rPr>
              <w:t>; dan</w:t>
            </w:r>
          </w:p>
          <w:p w14:paraId="6D949A7C" w14:textId="2188ECC2" w:rsidR="003922B4" w:rsidRPr="007C3531" w:rsidRDefault="003922B4" w:rsidP="0020519A">
            <w:pPr>
              <w:pStyle w:val="BodyText"/>
              <w:numPr>
                <w:ilvl w:val="0"/>
                <w:numId w:val="65"/>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media penilaian atas pemahaman terkait peningkatan Literasi Keuangan</w:t>
            </w:r>
            <w:r w:rsidR="001C49F3">
              <w:rPr>
                <w:rFonts w:ascii="Bookman Old Style" w:hAnsi="Bookman Old Style"/>
                <w:sz w:val="18"/>
                <w:szCs w:val="18"/>
              </w:rPr>
              <w:t>.</w:t>
            </w:r>
          </w:p>
        </w:tc>
        <w:tc>
          <w:tcPr>
            <w:tcW w:w="3827" w:type="dxa"/>
          </w:tcPr>
          <w:p w14:paraId="78F77DE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263AE70"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A18C336" w14:textId="2527DB00" w:rsidTr="00217FB7">
        <w:tc>
          <w:tcPr>
            <w:tcW w:w="3828" w:type="dxa"/>
          </w:tcPr>
          <w:p w14:paraId="375EAD54" w14:textId="6C3FFD6C" w:rsidR="003922B4" w:rsidRPr="007C3531" w:rsidRDefault="003922B4" w:rsidP="0020519A">
            <w:pPr>
              <w:pStyle w:val="ListParagraph"/>
              <w:numPr>
                <w:ilvl w:val="0"/>
                <w:numId w:val="19"/>
              </w:numPr>
              <w:spacing w:line="276" w:lineRule="auto"/>
              <w:ind w:left="316" w:right="20"/>
              <w:contextualSpacing/>
              <w:jc w:val="both"/>
              <w:rPr>
                <w:rFonts w:ascii="Bookman Old Style" w:eastAsia="Times New Roman" w:hAnsi="Bookman Old Style"/>
                <w:sz w:val="18"/>
                <w:szCs w:val="18"/>
                <w:lang w:val="id-ID"/>
              </w:rPr>
            </w:pPr>
            <w:r w:rsidRPr="007C3531">
              <w:rPr>
                <w:rFonts w:ascii="Bookman Old Style" w:eastAsia="Times New Roman" w:hAnsi="Bookman Old Style"/>
                <w:sz w:val="18"/>
                <w:szCs w:val="18"/>
                <w:lang w:val="id-ID"/>
              </w:rPr>
              <w:t>Dalam melaksanakan kewajiban kegiatan untuk meningkatkan Literasi Keuangan</w:t>
            </w:r>
            <w:r w:rsidRPr="0066591F">
              <w:rPr>
                <w:rFonts w:ascii="Bookman Old Style" w:eastAsia="Times New Roman" w:hAnsi="Bookman Old Style"/>
                <w:sz w:val="18"/>
                <w:szCs w:val="18"/>
                <w:lang w:val="id-ID"/>
              </w:rPr>
              <w:t>, PUJK dapat memanfaatkan sistem manajemen pembelajaran</w:t>
            </w:r>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eastAsia="Times New Roman" w:hAnsi="Bookman Old Style"/>
                <w:sz w:val="18"/>
                <w:szCs w:val="18"/>
                <w:lang w:val="id-ID"/>
              </w:rPr>
              <w:t xml:space="preserve"> sebagaimana dimaksud pada ayat</w:t>
            </w:r>
            <w:r w:rsidRPr="007C3531">
              <w:rPr>
                <w:rFonts w:ascii="Bookman Old Style" w:eastAsia="Times New Roman" w:hAnsi="Bookman Old Style"/>
                <w:sz w:val="18"/>
                <w:szCs w:val="18"/>
                <w:lang w:val="id-ID"/>
              </w:rPr>
              <w:t xml:space="preserve"> (1).</w:t>
            </w:r>
          </w:p>
        </w:tc>
        <w:tc>
          <w:tcPr>
            <w:tcW w:w="4394" w:type="dxa"/>
          </w:tcPr>
          <w:p w14:paraId="2847A05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Ayat (2)</w:t>
            </w:r>
          </w:p>
          <w:p w14:paraId="5EDE79A6" w14:textId="4C78937F" w:rsidR="003922B4" w:rsidRPr="0066591F"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Pemanfaatan sistem manajemen pembelajaran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00315DB7" w:rsidRPr="0066591F">
              <w:rPr>
                <w:rFonts w:ascii="Bookman Old Style" w:hAnsi="Bookman Old Style"/>
                <w:sz w:val="18"/>
                <w:szCs w:val="18"/>
                <w:lang w:val="id-ID"/>
              </w:rPr>
              <w:t xml:space="preserve"> </w:t>
            </w:r>
            <w:r w:rsidRPr="0066591F">
              <w:rPr>
                <w:rFonts w:ascii="Bookman Old Style" w:hAnsi="Bookman Old Style"/>
                <w:sz w:val="18"/>
                <w:szCs w:val="18"/>
                <w:lang w:val="id-ID"/>
              </w:rPr>
              <w:t>tidak termasuk dalam kegiatan untuk meningkatkan Literasi Keuangan sebagaimana dimaksud dalam Pasal 3 ayat (1).</w:t>
            </w:r>
          </w:p>
          <w:p w14:paraId="17EDCBEB" w14:textId="6A4D4391" w:rsidR="003922B4" w:rsidRPr="0066591F" w:rsidRDefault="003922B4" w:rsidP="00E405C6">
            <w:pPr>
              <w:pStyle w:val="BodyText"/>
              <w:tabs>
                <w:tab w:val="left" w:pos="1800"/>
              </w:tabs>
              <w:spacing w:after="120" w:line="276" w:lineRule="auto"/>
              <w:rPr>
                <w:rFonts w:ascii="Bookman Old Style" w:hAnsi="Bookman Old Style"/>
                <w:sz w:val="18"/>
                <w:szCs w:val="18"/>
                <w:lang w:val="id-ID"/>
              </w:rPr>
            </w:pPr>
            <w:r w:rsidRPr="0066591F">
              <w:rPr>
                <w:rFonts w:ascii="Bookman Old Style" w:hAnsi="Bookman Old Style"/>
                <w:sz w:val="18"/>
                <w:szCs w:val="18"/>
                <w:lang w:val="id-ID"/>
              </w:rPr>
              <w:t>Bentuk pemanfaatan sistem manajemen pembelajaran</w:t>
            </w:r>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hAnsi="Bookman Old Style"/>
                <w:sz w:val="18"/>
                <w:szCs w:val="18"/>
                <w:lang w:val="id-ID"/>
              </w:rPr>
              <w:t xml:space="preserve"> oleh PUJK antara lain berupa penggunaan sistem manajemen pembelajaran</w:t>
            </w:r>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edukasi</w:t>
            </w:r>
            <w:proofErr w:type="spellEnd"/>
            <w:r w:rsidR="00315DB7" w:rsidRPr="0066591F">
              <w:rPr>
                <w:rFonts w:ascii="Bookman Old Style" w:hAnsi="Bookman Old Style"/>
                <w:sz w:val="18"/>
                <w:szCs w:val="18"/>
              </w:rPr>
              <w:t xml:space="preserve"> </w:t>
            </w:r>
            <w:proofErr w:type="spellStart"/>
            <w:r w:rsidR="00315DB7" w:rsidRPr="0066591F">
              <w:rPr>
                <w:rFonts w:ascii="Bookman Old Style" w:hAnsi="Bookman Old Style"/>
                <w:sz w:val="18"/>
                <w:szCs w:val="18"/>
              </w:rPr>
              <w:t>keuangan</w:t>
            </w:r>
            <w:proofErr w:type="spellEnd"/>
            <w:r w:rsidRPr="0066591F">
              <w:rPr>
                <w:rFonts w:ascii="Bookman Old Style" w:hAnsi="Bookman Old Style"/>
                <w:sz w:val="18"/>
                <w:szCs w:val="18"/>
                <w:lang w:val="id-ID"/>
              </w:rPr>
              <w:t xml:space="preserve"> sebagai:</w:t>
            </w:r>
          </w:p>
          <w:p w14:paraId="18B4BE74" w14:textId="1CEB4DC7" w:rsidR="003922B4" w:rsidRPr="0066591F" w:rsidRDefault="003922B4" w:rsidP="0020519A">
            <w:pPr>
              <w:pStyle w:val="BodyText"/>
              <w:numPr>
                <w:ilvl w:val="0"/>
                <w:numId w:val="66"/>
              </w:numPr>
              <w:tabs>
                <w:tab w:val="left" w:pos="1800"/>
              </w:tabs>
              <w:spacing w:after="120" w:line="276" w:lineRule="auto"/>
              <w:rPr>
                <w:rFonts w:ascii="Bookman Old Style" w:hAnsi="Bookman Old Style"/>
                <w:sz w:val="18"/>
                <w:szCs w:val="18"/>
                <w:lang w:val="id-ID"/>
              </w:rPr>
            </w:pPr>
            <w:r w:rsidRPr="0066591F">
              <w:rPr>
                <w:rFonts w:ascii="Bookman Old Style" w:hAnsi="Bookman Old Style"/>
                <w:sz w:val="18"/>
                <w:szCs w:val="18"/>
                <w:lang w:val="id-ID"/>
              </w:rPr>
              <w:t>materi ajar bagi Konsumen dari PUJK; dan</w:t>
            </w:r>
          </w:p>
          <w:p w14:paraId="2CF58EFF" w14:textId="5BD189E0" w:rsidR="003922B4" w:rsidRPr="007C3531" w:rsidRDefault="003922B4" w:rsidP="0020519A">
            <w:pPr>
              <w:pStyle w:val="BodyText"/>
              <w:numPr>
                <w:ilvl w:val="0"/>
                <w:numId w:val="66"/>
              </w:numPr>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menilai tingkat pemahaman Konsumen terhadap karakteristik produk dan/atau layanan tertentu.</w:t>
            </w:r>
          </w:p>
        </w:tc>
        <w:tc>
          <w:tcPr>
            <w:tcW w:w="3827" w:type="dxa"/>
          </w:tcPr>
          <w:p w14:paraId="637BA93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509607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5CCA577D" w14:textId="53C5E043" w:rsidTr="00217FB7">
        <w:tc>
          <w:tcPr>
            <w:tcW w:w="3828" w:type="dxa"/>
          </w:tcPr>
          <w:p w14:paraId="4305A29E" w14:textId="0E2BA450"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BAB VII</w:t>
            </w:r>
          </w:p>
        </w:tc>
        <w:tc>
          <w:tcPr>
            <w:tcW w:w="4394" w:type="dxa"/>
          </w:tcPr>
          <w:p w14:paraId="4A3C637C"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9C16EF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93944ED"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7D99BD7" w14:textId="55162917" w:rsidTr="00217FB7">
        <w:tc>
          <w:tcPr>
            <w:tcW w:w="3828" w:type="dxa"/>
          </w:tcPr>
          <w:p w14:paraId="598B2FE0" w14:textId="078103C9"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LAIN-LAIN</w:t>
            </w:r>
          </w:p>
        </w:tc>
        <w:tc>
          <w:tcPr>
            <w:tcW w:w="4394" w:type="dxa"/>
          </w:tcPr>
          <w:p w14:paraId="4BB8799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7F1C9DA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E332DE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23CD23F" w14:textId="1C74A287" w:rsidTr="00217FB7">
        <w:tc>
          <w:tcPr>
            <w:tcW w:w="3828" w:type="dxa"/>
          </w:tcPr>
          <w:p w14:paraId="423C3E2E"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33</w:t>
            </w:r>
          </w:p>
        </w:tc>
        <w:tc>
          <w:tcPr>
            <w:tcW w:w="4394" w:type="dxa"/>
          </w:tcPr>
          <w:p w14:paraId="1C2A319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33</w:t>
            </w:r>
          </w:p>
        </w:tc>
        <w:tc>
          <w:tcPr>
            <w:tcW w:w="3827" w:type="dxa"/>
          </w:tcPr>
          <w:p w14:paraId="19BD679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18BE3F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1916A6D" w14:textId="2EB478A8" w:rsidTr="00217FB7">
        <w:tc>
          <w:tcPr>
            <w:tcW w:w="3828" w:type="dxa"/>
          </w:tcPr>
          <w:p w14:paraId="425A770E" w14:textId="14C52DB2" w:rsidR="003922B4" w:rsidRPr="007C3531" w:rsidRDefault="003922B4" w:rsidP="00E405C6">
            <w:pPr>
              <w:spacing w:line="276" w:lineRule="auto"/>
              <w:ind w:left="-47"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Penyampaian informasi Edukasi Keuangan dengan bentuk sebagaimana dimaksud dalam Pasal 9 ayat (2) hanya untuk Pergadaian Swasta.</w:t>
            </w:r>
          </w:p>
        </w:tc>
        <w:tc>
          <w:tcPr>
            <w:tcW w:w="4394" w:type="dxa"/>
          </w:tcPr>
          <w:p w14:paraId="529AD836" w14:textId="08F97DA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 xml:space="preserve">Apabila PUJK selain Pergadaian Swasta menggunakan </w:t>
            </w:r>
            <w:r w:rsidRPr="007C3531">
              <w:rPr>
                <w:rFonts w:ascii="Bookman Old Style" w:hAnsi="Bookman Old Style"/>
                <w:i/>
                <w:sz w:val="18"/>
                <w:szCs w:val="18"/>
                <w:lang w:val="id-ID"/>
              </w:rPr>
              <w:t>leaflet</w:t>
            </w:r>
            <w:r w:rsidRPr="007C3531">
              <w:rPr>
                <w:rFonts w:ascii="Bookman Old Style" w:hAnsi="Bookman Old Style"/>
                <w:sz w:val="18"/>
                <w:szCs w:val="18"/>
                <w:lang w:val="id-ID"/>
              </w:rPr>
              <w:t xml:space="preserve"> dan brosur dalam penyampaian materi Edukasi Keuangan, tidak diperhitungkan sebagai pelaksanaan kegiatan untuk meningkatkan Literasi Keuangan.</w:t>
            </w:r>
          </w:p>
        </w:tc>
        <w:tc>
          <w:tcPr>
            <w:tcW w:w="3827" w:type="dxa"/>
          </w:tcPr>
          <w:p w14:paraId="196562F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C85924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0312EF9" w14:textId="0B49B86A" w:rsidTr="00217FB7">
        <w:tc>
          <w:tcPr>
            <w:tcW w:w="3828" w:type="dxa"/>
          </w:tcPr>
          <w:p w14:paraId="37DAF0B1"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34</w:t>
            </w:r>
          </w:p>
        </w:tc>
        <w:tc>
          <w:tcPr>
            <w:tcW w:w="4394" w:type="dxa"/>
          </w:tcPr>
          <w:p w14:paraId="6550763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34</w:t>
            </w:r>
          </w:p>
        </w:tc>
        <w:tc>
          <w:tcPr>
            <w:tcW w:w="3827" w:type="dxa"/>
          </w:tcPr>
          <w:p w14:paraId="5AD3F37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6346F5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E76A652" w14:textId="449FEBE4" w:rsidTr="00217FB7">
        <w:tc>
          <w:tcPr>
            <w:tcW w:w="3828" w:type="dxa"/>
          </w:tcPr>
          <w:p w14:paraId="49E3C625" w14:textId="780FEE9F" w:rsidR="003922B4" w:rsidRPr="007C3531" w:rsidRDefault="003922B4" w:rsidP="0020519A">
            <w:pPr>
              <w:pStyle w:val="ListParagraph"/>
              <w:numPr>
                <w:ilvl w:val="0"/>
                <w:numId w:val="67"/>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Untuk Pergadaian Swasta, Lembaga Pembiayaan Ekspor Indonesia, dan Lembaga Jasa Keuangan Lainnya dan/atau pihak yang melakukan kegiatan usaha penghimpunan dana, penyaluran dana, dan/atau pengelolaan dana di sektor jasa keuangan serta yang dinyatakan diawasi oleh Otoritas Jasa Keuangan, berdasarkan peraturan perundang-undangan, kewajiban memiliki fungsi atau unit sebagaimana dimaksud dalam Pasal 21 ayat (1) mulai berlaku 6 (enam) bulan setelah Peraturan Otoritas Jasa Keuangan ini diundangkan.</w:t>
            </w:r>
          </w:p>
        </w:tc>
        <w:tc>
          <w:tcPr>
            <w:tcW w:w="4394" w:type="dxa"/>
          </w:tcPr>
          <w:p w14:paraId="4235626B" w14:textId="3181C750"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50D68B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462965C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86FA5A9" w14:textId="3D31E52C" w:rsidTr="00217FB7">
        <w:tc>
          <w:tcPr>
            <w:tcW w:w="3828" w:type="dxa"/>
          </w:tcPr>
          <w:p w14:paraId="03867BD9" w14:textId="6E332CC5" w:rsidR="003922B4" w:rsidRPr="007C3531" w:rsidRDefault="003922B4" w:rsidP="0020519A">
            <w:pPr>
              <w:pStyle w:val="ListParagraph"/>
              <w:numPr>
                <w:ilvl w:val="0"/>
                <w:numId w:val="67"/>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Peraturan Otoritas Jasa Keuangan ini dikecualikan dari Perusahaan Reasuransi, Perusahaan Pembiayaan Infrastruktur, Dana Pensiun Pemberi Kerja, dan Lembaga Keuangan Mikro.</w:t>
            </w:r>
          </w:p>
        </w:tc>
        <w:tc>
          <w:tcPr>
            <w:tcW w:w="4394" w:type="dxa"/>
          </w:tcPr>
          <w:p w14:paraId="5949DD31"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1B784D6"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E31A21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C33DE68" w14:textId="11238B9F" w:rsidTr="00217FB7">
        <w:tc>
          <w:tcPr>
            <w:tcW w:w="3828" w:type="dxa"/>
          </w:tcPr>
          <w:p w14:paraId="481366C5" w14:textId="1818095E"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VIII</w:t>
            </w:r>
          </w:p>
        </w:tc>
        <w:tc>
          <w:tcPr>
            <w:tcW w:w="4394" w:type="dxa"/>
          </w:tcPr>
          <w:p w14:paraId="2B5A7666"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487CF0EF"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BB008A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95C30E0" w14:textId="4B481FB1" w:rsidTr="00217FB7">
        <w:tc>
          <w:tcPr>
            <w:tcW w:w="3828" w:type="dxa"/>
          </w:tcPr>
          <w:p w14:paraId="495129CF" w14:textId="4DCBA6C6"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PERALIHAN</w:t>
            </w:r>
          </w:p>
        </w:tc>
        <w:tc>
          <w:tcPr>
            <w:tcW w:w="4394" w:type="dxa"/>
          </w:tcPr>
          <w:p w14:paraId="49BDB79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E395AC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8F4B84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397A497A" w14:textId="4F4E0948" w:rsidTr="00217FB7">
        <w:tc>
          <w:tcPr>
            <w:tcW w:w="3828" w:type="dxa"/>
          </w:tcPr>
          <w:p w14:paraId="68D764F7"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lastRenderedPageBreak/>
              <w:t>Pasal 35</w:t>
            </w:r>
          </w:p>
        </w:tc>
        <w:tc>
          <w:tcPr>
            <w:tcW w:w="4394" w:type="dxa"/>
          </w:tcPr>
          <w:p w14:paraId="2A493505"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35</w:t>
            </w:r>
          </w:p>
        </w:tc>
        <w:tc>
          <w:tcPr>
            <w:tcW w:w="3827" w:type="dxa"/>
          </w:tcPr>
          <w:p w14:paraId="5583B9C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7FC6DD4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0B94B694" w14:textId="0B24E47D" w:rsidTr="00217FB7">
        <w:tc>
          <w:tcPr>
            <w:tcW w:w="3828" w:type="dxa"/>
          </w:tcPr>
          <w:p w14:paraId="2361ACC8" w14:textId="655AD3D6" w:rsidR="003922B4" w:rsidRPr="007C3531" w:rsidRDefault="003922B4" w:rsidP="0020519A">
            <w:pPr>
              <w:pStyle w:val="ListParagraph"/>
              <w:numPr>
                <w:ilvl w:val="0"/>
                <w:numId w:val="68"/>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mengenai bentuk laporan rencana dan realisasi kegiatan dalam rangka meningkatkan Literasi Keuangan dan Inklusi Keuangan sebelum ditetapkannya peraturan pelaksanaan atas Peraturan Otoritas Jasa Keuangan ini, tetap mengacu pada Surat Edaran Otoritas Jasa Keuangan Nomor 30/SEOJK.07/2017 tentang Pelaksanaan Kegiatan Literasi Sektor Jasa Keuangan bagi Konsumen dan/atau Masyarakat dan Surat Edaran Otoritas Jasa Keuangan Nomor 31/SEOJK.07/2017 tentang Pelaksanaan Kegiatan Inklusi Keuangan Sektor Jasa Keuangan bagi Konsumen dan/atau Masyarakat.</w:t>
            </w:r>
          </w:p>
        </w:tc>
        <w:tc>
          <w:tcPr>
            <w:tcW w:w="4394" w:type="dxa"/>
          </w:tcPr>
          <w:p w14:paraId="752E37DD" w14:textId="31D75B6B"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2596C19" w14:textId="0D2149D2"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215E394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4135100" w14:textId="36C8E0B1" w:rsidTr="00217FB7">
        <w:tc>
          <w:tcPr>
            <w:tcW w:w="3828" w:type="dxa"/>
          </w:tcPr>
          <w:p w14:paraId="3B01DDE9" w14:textId="141720A1" w:rsidR="003922B4" w:rsidRPr="007C3531" w:rsidRDefault="003922B4" w:rsidP="0020519A">
            <w:pPr>
              <w:pStyle w:val="ListParagraph"/>
              <w:numPr>
                <w:ilvl w:val="0"/>
                <w:numId w:val="68"/>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Ketentuan mengenai penyusunan laporan rencana dan realisasi kegiatan dalam rangka meningkatkan Literasi Keuangan dan Inklusi Keuangan bagi Pergadaian Swasta, Lembaga Pembiayaan Ekspor Indonesia, dan Lembaga Jasa Keuangan Lainnya dan/atau pihak yang melakukan kegiatan usaha penghimpunan dana, penyaluran dana, dan/atau pengelolaan dana di sektor jasa keuangan serta yang dinyatakan diawasi oleh Otoritas Jasa Keuangan, berdasarkan peraturan </w:t>
            </w:r>
            <w:r w:rsidRPr="007C3531">
              <w:rPr>
                <w:rFonts w:ascii="Bookman Old Style" w:hAnsi="Bookman Old Style"/>
                <w:sz w:val="18"/>
                <w:szCs w:val="18"/>
                <w:lang w:val="id-ID"/>
              </w:rPr>
              <w:lastRenderedPageBreak/>
              <w:t>perundang-undangan, ditetapkan lebih lanjut oleh Otoritas Jasa Keuangan.</w:t>
            </w:r>
          </w:p>
        </w:tc>
        <w:tc>
          <w:tcPr>
            <w:tcW w:w="4394" w:type="dxa"/>
          </w:tcPr>
          <w:p w14:paraId="51AB082A"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296508E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5360B619"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0772F4D" w14:textId="4036C814" w:rsidTr="00217FB7">
        <w:tc>
          <w:tcPr>
            <w:tcW w:w="3828" w:type="dxa"/>
          </w:tcPr>
          <w:p w14:paraId="1C0C17A1" w14:textId="26989FFE"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BAB IX</w:t>
            </w:r>
          </w:p>
        </w:tc>
        <w:tc>
          <w:tcPr>
            <w:tcW w:w="4394" w:type="dxa"/>
          </w:tcPr>
          <w:p w14:paraId="16F343D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0D7F8753"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0A68FC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4BF22380" w14:textId="60E72122" w:rsidTr="00217FB7">
        <w:tc>
          <w:tcPr>
            <w:tcW w:w="3828" w:type="dxa"/>
          </w:tcPr>
          <w:p w14:paraId="275E86FF" w14:textId="4F88FA89"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PENUTUP</w:t>
            </w:r>
          </w:p>
        </w:tc>
        <w:tc>
          <w:tcPr>
            <w:tcW w:w="4394" w:type="dxa"/>
          </w:tcPr>
          <w:p w14:paraId="706DBF5F"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p>
        </w:tc>
        <w:tc>
          <w:tcPr>
            <w:tcW w:w="3827" w:type="dxa"/>
          </w:tcPr>
          <w:p w14:paraId="3D539E7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1DEEECA5"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2D8C5EEE" w14:textId="71F940DE" w:rsidTr="00217FB7">
        <w:tc>
          <w:tcPr>
            <w:tcW w:w="3828" w:type="dxa"/>
          </w:tcPr>
          <w:p w14:paraId="632D07C8"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36</w:t>
            </w:r>
          </w:p>
        </w:tc>
        <w:tc>
          <w:tcPr>
            <w:tcW w:w="4394" w:type="dxa"/>
          </w:tcPr>
          <w:p w14:paraId="51907074"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36</w:t>
            </w:r>
          </w:p>
        </w:tc>
        <w:tc>
          <w:tcPr>
            <w:tcW w:w="3827" w:type="dxa"/>
          </w:tcPr>
          <w:p w14:paraId="2D36E21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23A7711"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63C0278E" w14:textId="17F688BE" w:rsidTr="00217FB7">
        <w:tc>
          <w:tcPr>
            <w:tcW w:w="3828" w:type="dxa"/>
          </w:tcPr>
          <w:p w14:paraId="4D41144E"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Pada saat Peraturan Otoritas Jasa Keuangan ini mulai berlaku:</w:t>
            </w:r>
          </w:p>
          <w:p w14:paraId="54B4C508" w14:textId="77777777" w:rsidR="003922B4" w:rsidRPr="007C3531" w:rsidRDefault="003922B4" w:rsidP="0020519A">
            <w:pPr>
              <w:numPr>
                <w:ilvl w:val="0"/>
                <w:numId w:val="69"/>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Surat Edaran Otoritas Jasa Keuangan Nomor 30/SEOJK.07/2017 tentang Pelaksanaan Kegiatan Literasi Sektor Jasa Keuangan bagi Konsumen dan/atau Masyarakat; dan</w:t>
            </w:r>
          </w:p>
          <w:p w14:paraId="35F7B5CC" w14:textId="77777777" w:rsidR="003922B4" w:rsidRPr="007C3531" w:rsidRDefault="003922B4" w:rsidP="0020519A">
            <w:pPr>
              <w:numPr>
                <w:ilvl w:val="0"/>
                <w:numId w:val="69"/>
              </w:num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Surat Edaran Otoritas Jasa Keuangan Nomor 31/SEOJK.07/2017 tentang Pelaksanaan Kegiatan Inklusi Keuangan Sektor Jasa Keuangan bagi Konsumen dan/atau Masyarakat,</w:t>
            </w:r>
          </w:p>
          <w:p w14:paraId="7D228A61" w14:textId="7B06308B"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dinyatakan tetap berlaku sepanjang tidak bertentangan dengan Peraturan Otoritas Jasa Keuangan ini.</w:t>
            </w:r>
          </w:p>
        </w:tc>
        <w:tc>
          <w:tcPr>
            <w:tcW w:w="4394" w:type="dxa"/>
          </w:tcPr>
          <w:p w14:paraId="312394BD" w14:textId="2DDAE2F3"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140D77F8" w14:textId="5119B19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7E89207"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12F35DB2" w14:textId="6036FF71" w:rsidTr="00217FB7">
        <w:tc>
          <w:tcPr>
            <w:tcW w:w="3828" w:type="dxa"/>
          </w:tcPr>
          <w:p w14:paraId="5DBA50D8"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37</w:t>
            </w:r>
          </w:p>
        </w:tc>
        <w:tc>
          <w:tcPr>
            <w:tcW w:w="4394" w:type="dxa"/>
          </w:tcPr>
          <w:p w14:paraId="4FBC5BA3"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37</w:t>
            </w:r>
          </w:p>
        </w:tc>
        <w:tc>
          <w:tcPr>
            <w:tcW w:w="3827" w:type="dxa"/>
          </w:tcPr>
          <w:p w14:paraId="08146F02"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38F27748"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2FEC30B" w14:textId="48D6C7D8" w:rsidTr="00217FB7">
        <w:tc>
          <w:tcPr>
            <w:tcW w:w="3828" w:type="dxa"/>
          </w:tcPr>
          <w:p w14:paraId="3DF32C55" w14:textId="77777777"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Pada saat Peraturan Otoritas Jasa Keuangan ini mulai berlaku:</w:t>
            </w:r>
          </w:p>
          <w:p w14:paraId="34F89112" w14:textId="77777777" w:rsidR="003922B4" w:rsidRPr="007C3531" w:rsidRDefault="003922B4" w:rsidP="0020519A">
            <w:pPr>
              <w:numPr>
                <w:ilvl w:val="0"/>
                <w:numId w:val="70"/>
              </w:numPr>
              <w:spacing w:line="276" w:lineRule="auto"/>
              <w:ind w:left="36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Peraturan Otoritas Jasa Keuangan Nomor 76/POJK.07/2016 tentang Peningkatan Literasi dan Inklusi Keuangan di Sektor Jasa Keuangan Bagi Konsumen dan/atau Masyarakat (Lembaran Negara Republik Indonesia Tahun 2016 </w:t>
            </w:r>
            <w:r w:rsidRPr="007C3531">
              <w:rPr>
                <w:rFonts w:ascii="Bookman Old Style" w:hAnsi="Bookman Old Style"/>
                <w:sz w:val="18"/>
                <w:szCs w:val="18"/>
                <w:lang w:val="id-ID"/>
              </w:rPr>
              <w:lastRenderedPageBreak/>
              <w:t>Nomor 315, Tambahan Lembaran Negara Republik Indonesia Nomor 6003); dan</w:t>
            </w:r>
          </w:p>
          <w:p w14:paraId="3EE2315C" w14:textId="7ED3A316" w:rsidR="003922B4" w:rsidRPr="007C3531" w:rsidRDefault="003922B4" w:rsidP="0020519A">
            <w:pPr>
              <w:numPr>
                <w:ilvl w:val="0"/>
                <w:numId w:val="70"/>
              </w:numPr>
              <w:spacing w:line="276" w:lineRule="auto"/>
              <w:ind w:left="360" w:right="20"/>
              <w:contextualSpacing/>
              <w:jc w:val="both"/>
              <w:rPr>
                <w:rFonts w:ascii="Bookman Old Style" w:hAnsi="Bookman Old Style"/>
                <w:sz w:val="18"/>
                <w:szCs w:val="18"/>
                <w:lang w:val="id-ID"/>
              </w:rPr>
            </w:pPr>
            <w:r w:rsidRPr="007C3531">
              <w:rPr>
                <w:rFonts w:ascii="Bookman Old Style" w:hAnsi="Bookman Old Style"/>
                <w:sz w:val="18"/>
                <w:szCs w:val="18"/>
                <w:lang w:val="id-ID"/>
              </w:rPr>
              <w:t>ketentuan yang mengatur penyampaian rencana kegiatan untuk meningkatkan Literasi Keuangan dan Inklusi Keuangan dalam laporan rencana bisnis dan realisasi rencana bisnis PUJK, yaitu:</w:t>
            </w:r>
          </w:p>
          <w:p w14:paraId="068C7DC0" w14:textId="7405EB93"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Pasal 7 ayat (1) huruf d angka 8 Peraturan Otoritas Jasa Keuangan Nomor 24/POJK.05/2019 tentang Rencana Bisnis Lembaga Jasa Keuangan Nonbank (Lembaran Negara Republik Indonesia Tahun 2019 Nomor 175, Tambahan Lembaran Negara Republik Indonesia Nomor 6392)</w:t>
            </w:r>
            <w:r w:rsidR="00DA35F6">
              <w:rPr>
                <w:rFonts w:ascii="Bookman Old Style" w:hAnsi="Bookman Old Style"/>
                <w:sz w:val="18"/>
                <w:szCs w:val="18"/>
              </w:rPr>
              <w:t>;</w:t>
            </w:r>
          </w:p>
          <w:p w14:paraId="56C0F4BB"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II angka 1 huruf d angka 7 Surat Edaran Otoritas Jasa Keuangan Nomor 23/SEOJK.05/2019 tentang Rencana Bisnis Perusahaan Pembiayaan dan Perusahaan Pembiayaan Syariah;</w:t>
            </w:r>
          </w:p>
          <w:p w14:paraId="43799CCC"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Romawi II angka 1 huruf d angka 7 Surat Edaran Otoritas Jasa Keuangan Nomor 4/SEOJK.05/2020 tentang Rencana Bisnis Lembaga Penjamin; </w:t>
            </w:r>
          </w:p>
          <w:p w14:paraId="2B812969"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 xml:space="preserve">Romawi II angka 1 huruf d angka 7 Surat Edaran Otoritas Jasa Keuangan Nomor 13/SEOJK.05/2020 tentang </w:t>
            </w:r>
            <w:r w:rsidRPr="007C3531">
              <w:rPr>
                <w:rFonts w:ascii="Bookman Old Style" w:hAnsi="Bookman Old Style"/>
                <w:sz w:val="18"/>
                <w:szCs w:val="18"/>
                <w:lang w:val="id-ID"/>
              </w:rPr>
              <w:lastRenderedPageBreak/>
              <w:t>Rencana Bisnis Perusahaan Modal Ventura dan Perusahaan Modal Ventura Syariah;</w:t>
            </w:r>
          </w:p>
          <w:p w14:paraId="151E58D2"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II angka 1 huruf d angka 7 Surat Edaran Otoritas Jasa Keuangan Nomor 16 /SEOJK.05/2020 tentang Rencana Bisnis Perusahaan Pergadaian;</w:t>
            </w:r>
          </w:p>
          <w:p w14:paraId="48422231"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 angka 13 huruf d angka 3 Lampiran Surat Edaran Otoritas Jasa Keuangan Nomor 12/SEOJK.03/2021 tentang Rencana Bisnis Bank Umum;</w:t>
            </w:r>
          </w:p>
          <w:p w14:paraId="2C268A98"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 angka 13 huruf d angka 3 Lampiran Surat Edaran Otoritas Jasa Keuangan Nomor 14/SEOJK.03/2021 tentang Rencana Bisnis Bank Umum Syariah dan Unit Usaha Syariah;</w:t>
            </w:r>
          </w:p>
          <w:p w14:paraId="5D9FA60F"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 angka 11 huruf a Lampiran Surat Edaran Otoritas Jasa Keuangan Nomor 28 /SEOJK.03/2021 tentang Rencana Bisnis Bank Perkreditan Rakyat; dan</w:t>
            </w:r>
          </w:p>
          <w:p w14:paraId="50B27A2B" w14:textId="77777777" w:rsidR="003922B4" w:rsidRPr="007C3531" w:rsidRDefault="003922B4" w:rsidP="0020519A">
            <w:pPr>
              <w:numPr>
                <w:ilvl w:val="0"/>
                <w:numId w:val="71"/>
              </w:numPr>
              <w:spacing w:line="276" w:lineRule="auto"/>
              <w:ind w:left="819" w:right="20"/>
              <w:contextualSpacing/>
              <w:jc w:val="both"/>
              <w:rPr>
                <w:rFonts w:ascii="Bookman Old Style" w:hAnsi="Bookman Old Style"/>
                <w:sz w:val="18"/>
                <w:szCs w:val="18"/>
                <w:lang w:val="id-ID"/>
              </w:rPr>
            </w:pPr>
            <w:r w:rsidRPr="007C3531">
              <w:rPr>
                <w:rFonts w:ascii="Bookman Old Style" w:hAnsi="Bookman Old Style"/>
                <w:sz w:val="18"/>
                <w:szCs w:val="18"/>
                <w:lang w:val="id-ID"/>
              </w:rPr>
              <w:t>Romawi I angka 11 huruf a Lampiran Surat Edaran Otoritas Jasa Keuangan Nomor 30/SEOJK.03/2021 tentang Rencana Bisnis Bank Pembiayaan Rakyat Syariah,</w:t>
            </w:r>
          </w:p>
          <w:p w14:paraId="1D5E3176" w14:textId="6A05B2F6"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dicabut dan dinyatakan tidak berlaku.</w:t>
            </w:r>
          </w:p>
        </w:tc>
        <w:tc>
          <w:tcPr>
            <w:tcW w:w="4394" w:type="dxa"/>
          </w:tcPr>
          <w:p w14:paraId="419C2D65" w14:textId="41415E44"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lastRenderedPageBreak/>
              <w:t>Cukup jelas.</w:t>
            </w:r>
          </w:p>
        </w:tc>
        <w:tc>
          <w:tcPr>
            <w:tcW w:w="3827" w:type="dxa"/>
          </w:tcPr>
          <w:p w14:paraId="7FEAEFCF" w14:textId="61BEBF73"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c>
          <w:tcPr>
            <w:tcW w:w="3702" w:type="dxa"/>
          </w:tcPr>
          <w:p w14:paraId="72BD7644" w14:textId="77777777" w:rsidR="003922B4" w:rsidRPr="007C3531" w:rsidRDefault="003922B4" w:rsidP="001502ED">
            <w:pPr>
              <w:pStyle w:val="BodyText"/>
              <w:tabs>
                <w:tab w:val="left" w:pos="1800"/>
              </w:tabs>
              <w:spacing w:after="120" w:line="276" w:lineRule="auto"/>
              <w:rPr>
                <w:rFonts w:ascii="Bookman Old Style" w:hAnsi="Bookman Old Style"/>
                <w:b/>
                <w:bCs/>
                <w:sz w:val="18"/>
                <w:szCs w:val="18"/>
                <w:lang w:val="id-ID"/>
              </w:rPr>
            </w:pPr>
          </w:p>
        </w:tc>
      </w:tr>
      <w:tr w:rsidR="003922B4" w:rsidRPr="007C3531" w14:paraId="07A3B213" w14:textId="696F15DF" w:rsidTr="00217FB7">
        <w:tc>
          <w:tcPr>
            <w:tcW w:w="3828" w:type="dxa"/>
          </w:tcPr>
          <w:p w14:paraId="328D7E19" w14:textId="07DF3D3A" w:rsidR="003922B4" w:rsidRPr="007C3531" w:rsidRDefault="003922B4" w:rsidP="00E405C6">
            <w:pPr>
              <w:spacing w:line="276" w:lineRule="auto"/>
              <w:ind w:right="20"/>
              <w:contextualSpacing/>
              <w:jc w:val="both"/>
              <w:rPr>
                <w:rFonts w:ascii="Bookman Old Style" w:hAnsi="Bookman Old Style"/>
                <w:bCs/>
                <w:sz w:val="18"/>
                <w:szCs w:val="18"/>
                <w:lang w:val="id-ID"/>
              </w:rPr>
            </w:pPr>
            <w:bookmarkStart w:id="5" w:name="_Toc53051835"/>
            <w:bookmarkStart w:id="6" w:name="_Toc59419536"/>
            <w:bookmarkStart w:id="7" w:name="_Toc59531140"/>
            <w:bookmarkStart w:id="8" w:name="_Toc59531338"/>
            <w:r w:rsidRPr="007C3531">
              <w:rPr>
                <w:rFonts w:ascii="Bookman Old Style" w:hAnsi="Bookman Old Style"/>
                <w:bCs/>
                <w:sz w:val="18"/>
                <w:szCs w:val="18"/>
                <w:lang w:val="id-ID"/>
              </w:rPr>
              <w:lastRenderedPageBreak/>
              <w:t>Pasal 3</w:t>
            </w:r>
            <w:bookmarkEnd w:id="5"/>
            <w:bookmarkEnd w:id="6"/>
            <w:bookmarkEnd w:id="7"/>
            <w:bookmarkEnd w:id="8"/>
            <w:r w:rsidRPr="007C3531">
              <w:rPr>
                <w:rFonts w:ascii="Bookman Old Style" w:hAnsi="Bookman Old Style"/>
                <w:bCs/>
                <w:sz w:val="18"/>
                <w:szCs w:val="18"/>
                <w:lang w:val="id-ID"/>
              </w:rPr>
              <w:t>8</w:t>
            </w:r>
          </w:p>
        </w:tc>
        <w:tc>
          <w:tcPr>
            <w:tcW w:w="4394" w:type="dxa"/>
          </w:tcPr>
          <w:p w14:paraId="792B5DB8" w14:textId="77777777"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Pasal 38</w:t>
            </w:r>
          </w:p>
        </w:tc>
        <w:tc>
          <w:tcPr>
            <w:tcW w:w="3827" w:type="dxa"/>
          </w:tcPr>
          <w:p w14:paraId="0FB7577B"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65A6FFEC"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3922B4" w:rsidRPr="007C3531" w14:paraId="7AC0B98E" w14:textId="52B500DC" w:rsidTr="00217FB7">
        <w:tc>
          <w:tcPr>
            <w:tcW w:w="3828" w:type="dxa"/>
          </w:tcPr>
          <w:p w14:paraId="2DF332B5" w14:textId="699E5420" w:rsidR="003922B4" w:rsidRPr="007C3531" w:rsidRDefault="003922B4" w:rsidP="00E405C6">
            <w:pPr>
              <w:spacing w:line="276" w:lineRule="auto"/>
              <w:ind w:right="20"/>
              <w:contextualSpacing/>
              <w:jc w:val="both"/>
              <w:rPr>
                <w:rFonts w:ascii="Bookman Old Style" w:hAnsi="Bookman Old Style"/>
                <w:sz w:val="18"/>
                <w:szCs w:val="18"/>
                <w:lang w:val="id-ID"/>
              </w:rPr>
            </w:pPr>
            <w:r w:rsidRPr="007C3531">
              <w:rPr>
                <w:rFonts w:ascii="Bookman Old Style" w:hAnsi="Bookman Old Style"/>
                <w:sz w:val="18"/>
                <w:szCs w:val="18"/>
                <w:lang w:val="id-ID"/>
              </w:rPr>
              <w:t>Peraturan Otoritas Jasa Keuangan ini mulai berlaku pada tanggal diundangkan.</w:t>
            </w:r>
          </w:p>
        </w:tc>
        <w:tc>
          <w:tcPr>
            <w:tcW w:w="4394" w:type="dxa"/>
          </w:tcPr>
          <w:p w14:paraId="65ED1F3F" w14:textId="03CA3651" w:rsidR="003922B4" w:rsidRPr="007C3531" w:rsidRDefault="003922B4" w:rsidP="00E405C6">
            <w:pPr>
              <w:pStyle w:val="BodyText"/>
              <w:tabs>
                <w:tab w:val="left" w:pos="1800"/>
              </w:tabs>
              <w:spacing w:after="120" w:line="276" w:lineRule="auto"/>
              <w:rPr>
                <w:rFonts w:ascii="Bookman Old Style" w:hAnsi="Bookman Old Style"/>
                <w:sz w:val="18"/>
                <w:szCs w:val="18"/>
                <w:lang w:val="id-ID"/>
              </w:rPr>
            </w:pPr>
            <w:r w:rsidRPr="007C3531">
              <w:rPr>
                <w:rFonts w:ascii="Bookman Old Style" w:hAnsi="Bookman Old Style"/>
                <w:sz w:val="18"/>
                <w:szCs w:val="18"/>
                <w:lang w:val="id-ID"/>
              </w:rPr>
              <w:t>Cukup jelas.</w:t>
            </w:r>
          </w:p>
        </w:tc>
        <w:tc>
          <w:tcPr>
            <w:tcW w:w="3827" w:type="dxa"/>
          </w:tcPr>
          <w:p w14:paraId="54D49764"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c>
          <w:tcPr>
            <w:tcW w:w="3702" w:type="dxa"/>
          </w:tcPr>
          <w:p w14:paraId="04EEE8FE" w14:textId="77777777" w:rsidR="003922B4" w:rsidRPr="007C3531" w:rsidRDefault="003922B4" w:rsidP="001502ED">
            <w:pPr>
              <w:pStyle w:val="BodyText"/>
              <w:tabs>
                <w:tab w:val="left" w:pos="1800"/>
              </w:tabs>
              <w:spacing w:after="120" w:line="276" w:lineRule="auto"/>
              <w:rPr>
                <w:rFonts w:ascii="Bookman Old Style" w:hAnsi="Bookman Old Style"/>
                <w:sz w:val="18"/>
                <w:szCs w:val="18"/>
                <w:lang w:val="id-ID"/>
              </w:rPr>
            </w:pPr>
          </w:p>
        </w:tc>
      </w:tr>
      <w:tr w:rsidR="00DA35F6" w:rsidRPr="007C3531" w14:paraId="637740D3" w14:textId="77777777" w:rsidTr="00217FB7">
        <w:tc>
          <w:tcPr>
            <w:tcW w:w="3828" w:type="dxa"/>
          </w:tcPr>
          <w:p w14:paraId="29DD0CAC" w14:textId="1F9A76D3" w:rsidR="00DA35F6" w:rsidRPr="007C3531" w:rsidRDefault="00DA35F6" w:rsidP="00E405C6">
            <w:pPr>
              <w:spacing w:line="276" w:lineRule="auto"/>
              <w:ind w:right="20"/>
              <w:contextualSpacing/>
              <w:jc w:val="both"/>
              <w:rPr>
                <w:rFonts w:ascii="Bookman Old Style" w:hAnsi="Bookman Old Style"/>
                <w:sz w:val="18"/>
                <w:szCs w:val="18"/>
              </w:rPr>
            </w:pPr>
            <w:r w:rsidRPr="00DA35F6">
              <w:rPr>
                <w:rFonts w:ascii="Bookman Old Style" w:hAnsi="Bookman Old Style"/>
                <w:sz w:val="18"/>
                <w:szCs w:val="18"/>
              </w:rPr>
              <w:t xml:space="preserve">Agar </w:t>
            </w:r>
            <w:proofErr w:type="spellStart"/>
            <w:r w:rsidRPr="00DA35F6">
              <w:rPr>
                <w:rFonts w:ascii="Bookman Old Style" w:hAnsi="Bookman Old Style"/>
                <w:sz w:val="18"/>
                <w:szCs w:val="18"/>
              </w:rPr>
              <w:t>setiap</w:t>
            </w:r>
            <w:proofErr w:type="spellEnd"/>
            <w:r w:rsidRPr="00DA35F6">
              <w:rPr>
                <w:rFonts w:ascii="Bookman Old Style" w:hAnsi="Bookman Old Style"/>
                <w:sz w:val="18"/>
                <w:szCs w:val="18"/>
              </w:rPr>
              <w:t xml:space="preserve"> orang </w:t>
            </w:r>
            <w:proofErr w:type="spellStart"/>
            <w:r w:rsidRPr="00DA35F6">
              <w:rPr>
                <w:rFonts w:ascii="Bookman Old Style" w:hAnsi="Bookman Old Style"/>
                <w:sz w:val="18"/>
                <w:szCs w:val="18"/>
              </w:rPr>
              <w:t>mengetahuinya</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memerintahkan</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pengundangan</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Peraturan</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Otoritas</w:t>
            </w:r>
            <w:proofErr w:type="spellEnd"/>
            <w:r w:rsidRPr="00DA35F6">
              <w:rPr>
                <w:rFonts w:ascii="Bookman Old Style" w:hAnsi="Bookman Old Style"/>
                <w:sz w:val="18"/>
                <w:szCs w:val="18"/>
              </w:rPr>
              <w:t xml:space="preserve"> Jasa </w:t>
            </w:r>
            <w:proofErr w:type="spellStart"/>
            <w:r w:rsidRPr="00DA35F6">
              <w:rPr>
                <w:rFonts w:ascii="Bookman Old Style" w:hAnsi="Bookman Old Style"/>
                <w:sz w:val="18"/>
                <w:szCs w:val="18"/>
              </w:rPr>
              <w:t>Keuangan</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ini</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dengan</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penempatannya</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dalam</w:t>
            </w:r>
            <w:proofErr w:type="spellEnd"/>
            <w:r w:rsidRPr="00DA35F6">
              <w:rPr>
                <w:rFonts w:ascii="Bookman Old Style" w:hAnsi="Bookman Old Style"/>
                <w:sz w:val="18"/>
                <w:szCs w:val="18"/>
              </w:rPr>
              <w:t xml:space="preserve"> </w:t>
            </w:r>
            <w:proofErr w:type="spellStart"/>
            <w:r w:rsidRPr="00DA35F6">
              <w:rPr>
                <w:rFonts w:ascii="Bookman Old Style" w:hAnsi="Bookman Old Style"/>
                <w:sz w:val="18"/>
                <w:szCs w:val="18"/>
              </w:rPr>
              <w:t>Lembaran</w:t>
            </w:r>
            <w:proofErr w:type="spellEnd"/>
            <w:r w:rsidRPr="00DA35F6">
              <w:rPr>
                <w:rFonts w:ascii="Bookman Old Style" w:hAnsi="Bookman Old Style"/>
                <w:sz w:val="18"/>
                <w:szCs w:val="18"/>
              </w:rPr>
              <w:t xml:space="preserve"> Negara </w:t>
            </w:r>
            <w:proofErr w:type="spellStart"/>
            <w:r w:rsidRPr="00DA35F6">
              <w:rPr>
                <w:rFonts w:ascii="Bookman Old Style" w:hAnsi="Bookman Old Style"/>
                <w:sz w:val="18"/>
                <w:szCs w:val="18"/>
              </w:rPr>
              <w:t>Republik</w:t>
            </w:r>
            <w:proofErr w:type="spellEnd"/>
            <w:r w:rsidRPr="00DA35F6">
              <w:rPr>
                <w:rFonts w:ascii="Bookman Old Style" w:hAnsi="Bookman Old Style"/>
                <w:sz w:val="18"/>
                <w:szCs w:val="18"/>
              </w:rPr>
              <w:t xml:space="preserve"> Indonesia.</w:t>
            </w:r>
          </w:p>
        </w:tc>
        <w:tc>
          <w:tcPr>
            <w:tcW w:w="4394" w:type="dxa"/>
          </w:tcPr>
          <w:p w14:paraId="203BF34C" w14:textId="77777777" w:rsidR="00DA35F6" w:rsidRPr="007C3531" w:rsidRDefault="00DA35F6" w:rsidP="00E405C6">
            <w:pPr>
              <w:pStyle w:val="BodyText"/>
              <w:tabs>
                <w:tab w:val="left" w:pos="1800"/>
              </w:tabs>
              <w:spacing w:after="120" w:line="276" w:lineRule="auto"/>
              <w:rPr>
                <w:rFonts w:ascii="Bookman Old Style" w:hAnsi="Bookman Old Style"/>
                <w:sz w:val="18"/>
                <w:szCs w:val="18"/>
              </w:rPr>
            </w:pPr>
          </w:p>
        </w:tc>
        <w:tc>
          <w:tcPr>
            <w:tcW w:w="3827" w:type="dxa"/>
          </w:tcPr>
          <w:p w14:paraId="36F16D69" w14:textId="77777777" w:rsidR="00DA35F6" w:rsidRPr="007C3531" w:rsidRDefault="00DA35F6" w:rsidP="001502ED">
            <w:pPr>
              <w:pStyle w:val="BodyText"/>
              <w:tabs>
                <w:tab w:val="left" w:pos="1800"/>
              </w:tabs>
              <w:spacing w:after="120" w:line="276" w:lineRule="auto"/>
              <w:rPr>
                <w:rFonts w:ascii="Bookman Old Style" w:hAnsi="Bookman Old Style"/>
                <w:sz w:val="18"/>
                <w:szCs w:val="18"/>
              </w:rPr>
            </w:pPr>
          </w:p>
        </w:tc>
        <w:tc>
          <w:tcPr>
            <w:tcW w:w="3702" w:type="dxa"/>
          </w:tcPr>
          <w:p w14:paraId="66FF1937" w14:textId="77777777" w:rsidR="00DA35F6" w:rsidRPr="007C3531" w:rsidRDefault="00DA35F6" w:rsidP="001502ED">
            <w:pPr>
              <w:pStyle w:val="BodyText"/>
              <w:tabs>
                <w:tab w:val="left" w:pos="1800"/>
              </w:tabs>
              <w:spacing w:after="120" w:line="276" w:lineRule="auto"/>
              <w:rPr>
                <w:rFonts w:ascii="Bookman Old Style" w:hAnsi="Bookman Old Style"/>
                <w:sz w:val="18"/>
                <w:szCs w:val="18"/>
              </w:rPr>
            </w:pPr>
          </w:p>
        </w:tc>
      </w:tr>
    </w:tbl>
    <w:p w14:paraId="3FE62DCC" w14:textId="77777777" w:rsidR="00CB56E3" w:rsidRPr="007C3531" w:rsidRDefault="00CB56E3" w:rsidP="007E4C46">
      <w:pPr>
        <w:spacing w:line="240" w:lineRule="auto"/>
      </w:pPr>
      <w:bookmarkStart w:id="9" w:name="page6"/>
      <w:bookmarkEnd w:id="9"/>
    </w:p>
    <w:sectPr w:rsidR="00CB56E3" w:rsidRPr="007C3531" w:rsidSect="00CB56E3">
      <w:headerReference w:type="default" r:id="rId9"/>
      <w:pgSz w:w="18739" w:h="12242"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FE62" w14:textId="77777777" w:rsidR="00B762C5" w:rsidRDefault="00B762C5" w:rsidP="00CB56E3">
      <w:pPr>
        <w:spacing w:after="0" w:line="240" w:lineRule="auto"/>
      </w:pPr>
      <w:r>
        <w:separator/>
      </w:r>
    </w:p>
  </w:endnote>
  <w:endnote w:type="continuationSeparator" w:id="0">
    <w:p w14:paraId="0EE6E953" w14:textId="77777777" w:rsidR="00B762C5" w:rsidRDefault="00B762C5" w:rsidP="00CB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2C6A" w14:textId="77777777" w:rsidR="00B762C5" w:rsidRDefault="00B762C5" w:rsidP="00CB56E3">
      <w:pPr>
        <w:spacing w:after="0" w:line="240" w:lineRule="auto"/>
      </w:pPr>
      <w:r>
        <w:separator/>
      </w:r>
    </w:p>
  </w:footnote>
  <w:footnote w:type="continuationSeparator" w:id="0">
    <w:p w14:paraId="3623DCE7" w14:textId="77777777" w:rsidR="00B762C5" w:rsidRDefault="00B762C5" w:rsidP="00CB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319277"/>
      <w:docPartObj>
        <w:docPartGallery w:val="Page Numbers (Top of Page)"/>
        <w:docPartUnique/>
      </w:docPartObj>
    </w:sdtPr>
    <w:sdtEndPr>
      <w:rPr>
        <w:noProof/>
      </w:rPr>
    </w:sdtEndPr>
    <w:sdtContent>
      <w:p w14:paraId="2C761243" w14:textId="77777777" w:rsidR="00870C21" w:rsidRDefault="00854D37">
        <w:pPr>
          <w:pStyle w:val="Header"/>
          <w:jc w:val="center"/>
        </w:pPr>
        <w:r>
          <w:fldChar w:fldCharType="begin"/>
        </w:r>
        <w:r>
          <w:instrText xml:space="preserve"> PAGE   \* MERGEFORMAT </w:instrText>
        </w:r>
        <w:r>
          <w:fldChar w:fldCharType="separate"/>
        </w:r>
        <w:r w:rsidR="006A47D7">
          <w:rPr>
            <w:noProof/>
          </w:rPr>
          <w:t>50</w:t>
        </w:r>
        <w:r>
          <w:rPr>
            <w:noProof/>
          </w:rPr>
          <w:fldChar w:fldCharType="end"/>
        </w:r>
      </w:p>
    </w:sdtContent>
  </w:sdt>
  <w:p w14:paraId="48A74D83" w14:textId="77777777" w:rsidR="00870C21" w:rsidRDefault="0087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42D"/>
    <w:multiLevelType w:val="hybridMultilevel"/>
    <w:tmpl w:val="111EEAD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85D3D"/>
    <w:multiLevelType w:val="hybridMultilevel"/>
    <w:tmpl w:val="39FE1D6C"/>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7A3BC4"/>
    <w:multiLevelType w:val="hybridMultilevel"/>
    <w:tmpl w:val="362CBAD0"/>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86033C"/>
    <w:multiLevelType w:val="hybridMultilevel"/>
    <w:tmpl w:val="620A7E8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4926D8"/>
    <w:multiLevelType w:val="hybridMultilevel"/>
    <w:tmpl w:val="C8727682"/>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AA400D"/>
    <w:multiLevelType w:val="hybridMultilevel"/>
    <w:tmpl w:val="DFB0ED34"/>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8D503B"/>
    <w:multiLevelType w:val="hybridMultilevel"/>
    <w:tmpl w:val="873A20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91C38BC"/>
    <w:multiLevelType w:val="hybridMultilevel"/>
    <w:tmpl w:val="579A1EB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5238E1"/>
    <w:multiLevelType w:val="hybridMultilevel"/>
    <w:tmpl w:val="7444EB68"/>
    <w:lvl w:ilvl="0" w:tplc="07663820">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15:restartNumberingAfterBreak="0">
    <w:nsid w:val="0AB15F23"/>
    <w:multiLevelType w:val="hybridMultilevel"/>
    <w:tmpl w:val="92C049D0"/>
    <w:lvl w:ilvl="0" w:tplc="4D8A0B5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3D471A"/>
    <w:multiLevelType w:val="hybridMultilevel"/>
    <w:tmpl w:val="53E03300"/>
    <w:lvl w:ilvl="0" w:tplc="3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C755FF"/>
    <w:multiLevelType w:val="hybridMultilevel"/>
    <w:tmpl w:val="0AFCCB86"/>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5232414"/>
    <w:multiLevelType w:val="hybridMultilevel"/>
    <w:tmpl w:val="6C1028F4"/>
    <w:lvl w:ilvl="0" w:tplc="C6B23AF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17B65ED3"/>
    <w:multiLevelType w:val="hybridMultilevel"/>
    <w:tmpl w:val="FC3649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9F56F40"/>
    <w:multiLevelType w:val="hybridMultilevel"/>
    <w:tmpl w:val="8A8244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A21142E"/>
    <w:multiLevelType w:val="hybridMultilevel"/>
    <w:tmpl w:val="4A202072"/>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B276326"/>
    <w:multiLevelType w:val="hybridMultilevel"/>
    <w:tmpl w:val="660EB54C"/>
    <w:lvl w:ilvl="0" w:tplc="CFEE6208">
      <w:start w:val="1"/>
      <w:numFmt w:val="decimal"/>
      <w:lvlText w:val="%1."/>
      <w:lvlJc w:val="left"/>
      <w:pPr>
        <w:ind w:left="360" w:hanging="360"/>
      </w:pPr>
      <w:rPr>
        <w:rFonts w:cs="Times New Roman"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CEC3533"/>
    <w:multiLevelType w:val="hybridMultilevel"/>
    <w:tmpl w:val="41CEE3E4"/>
    <w:lvl w:ilvl="0" w:tplc="10921C44">
      <w:start w:val="1"/>
      <w:numFmt w:val="lowerLetter"/>
      <w:lvlText w:val="%1."/>
      <w:lvlJc w:val="left"/>
      <w:pPr>
        <w:ind w:left="360" w:hanging="360"/>
      </w:pPr>
      <w:rPr>
        <w:rFonts w:ascii="Bookman Old Style" w:eastAsia="Calibri"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CA5519"/>
    <w:multiLevelType w:val="hybridMultilevel"/>
    <w:tmpl w:val="B20E3C38"/>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38B33C4"/>
    <w:multiLevelType w:val="hybridMultilevel"/>
    <w:tmpl w:val="3D348228"/>
    <w:lvl w:ilvl="0" w:tplc="72DE242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3F809BE"/>
    <w:multiLevelType w:val="hybridMultilevel"/>
    <w:tmpl w:val="4A1A3F00"/>
    <w:lvl w:ilvl="0" w:tplc="3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DE5ABA"/>
    <w:multiLevelType w:val="hybridMultilevel"/>
    <w:tmpl w:val="AD9CEFB8"/>
    <w:lvl w:ilvl="0" w:tplc="3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4025CB"/>
    <w:multiLevelType w:val="hybridMultilevel"/>
    <w:tmpl w:val="2B5A8DDA"/>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BE122AC"/>
    <w:multiLevelType w:val="hybridMultilevel"/>
    <w:tmpl w:val="275C81A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3A3E71"/>
    <w:multiLevelType w:val="hybridMultilevel"/>
    <w:tmpl w:val="3FB67E9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D01D27"/>
    <w:multiLevelType w:val="hybridMultilevel"/>
    <w:tmpl w:val="7FE2827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CB38EB"/>
    <w:multiLevelType w:val="hybridMultilevel"/>
    <w:tmpl w:val="CD0E44E4"/>
    <w:lvl w:ilvl="0" w:tplc="C6B23A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54D1A05"/>
    <w:multiLevelType w:val="hybridMultilevel"/>
    <w:tmpl w:val="4A2020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9441968"/>
    <w:multiLevelType w:val="hybridMultilevel"/>
    <w:tmpl w:val="E5AC9C6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0E1884"/>
    <w:multiLevelType w:val="hybridMultilevel"/>
    <w:tmpl w:val="8BA6E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C6778E6"/>
    <w:multiLevelType w:val="hybridMultilevel"/>
    <w:tmpl w:val="E1F2859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3CD509E8"/>
    <w:multiLevelType w:val="hybridMultilevel"/>
    <w:tmpl w:val="3B5CBC6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26297D"/>
    <w:multiLevelType w:val="hybridMultilevel"/>
    <w:tmpl w:val="A2FAFD1C"/>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404854EE"/>
    <w:multiLevelType w:val="hybridMultilevel"/>
    <w:tmpl w:val="0DBA113E"/>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408B525F"/>
    <w:multiLevelType w:val="hybridMultilevel"/>
    <w:tmpl w:val="512A512C"/>
    <w:lvl w:ilvl="0" w:tplc="6BA4F5E8">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C5114D"/>
    <w:multiLevelType w:val="hybridMultilevel"/>
    <w:tmpl w:val="BF4C58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15D6022"/>
    <w:multiLevelType w:val="hybridMultilevel"/>
    <w:tmpl w:val="7AAE048E"/>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304256C"/>
    <w:multiLevelType w:val="hybridMultilevel"/>
    <w:tmpl w:val="D6F65090"/>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7B0D43"/>
    <w:multiLevelType w:val="hybridMultilevel"/>
    <w:tmpl w:val="8646CB80"/>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262027"/>
    <w:multiLevelType w:val="hybridMultilevel"/>
    <w:tmpl w:val="7D6056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49A013C"/>
    <w:multiLevelType w:val="hybridMultilevel"/>
    <w:tmpl w:val="2FB82136"/>
    <w:lvl w:ilvl="0" w:tplc="9A7C031C">
      <w:numFmt w:val="bullet"/>
      <w:lvlText w:val="-"/>
      <w:lvlJc w:val="left"/>
      <w:pPr>
        <w:ind w:left="720" w:hanging="360"/>
      </w:pPr>
      <w:rPr>
        <w:rFonts w:ascii="Bookman Old Style" w:eastAsia="Times New Roman" w:hAnsi="Bookman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459C34F4"/>
    <w:multiLevelType w:val="hybridMultilevel"/>
    <w:tmpl w:val="AB381A44"/>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7BC2CDB"/>
    <w:multiLevelType w:val="hybridMultilevel"/>
    <w:tmpl w:val="FC364992"/>
    <w:lvl w:ilvl="0" w:tplc="1BD0759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47FC5E2A"/>
    <w:multiLevelType w:val="hybridMultilevel"/>
    <w:tmpl w:val="873A20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BBE72EE"/>
    <w:multiLevelType w:val="hybridMultilevel"/>
    <w:tmpl w:val="0B923652"/>
    <w:lvl w:ilvl="0" w:tplc="E7A432F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5" w15:restartNumberingAfterBreak="0">
    <w:nsid w:val="4C9A6696"/>
    <w:multiLevelType w:val="hybridMultilevel"/>
    <w:tmpl w:val="EE76AF9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976568"/>
    <w:multiLevelType w:val="hybridMultilevel"/>
    <w:tmpl w:val="4A2020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0CB33DC"/>
    <w:multiLevelType w:val="hybridMultilevel"/>
    <w:tmpl w:val="8000130E"/>
    <w:lvl w:ilvl="0" w:tplc="C6B23AF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53965FCC"/>
    <w:multiLevelType w:val="hybridMultilevel"/>
    <w:tmpl w:val="6942685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4592B58"/>
    <w:multiLevelType w:val="hybridMultilevel"/>
    <w:tmpl w:val="0BB2096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806EA1"/>
    <w:multiLevelType w:val="hybridMultilevel"/>
    <w:tmpl w:val="4EDCD702"/>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4D5ABD"/>
    <w:multiLevelType w:val="hybridMultilevel"/>
    <w:tmpl w:val="BD04BFCC"/>
    <w:lvl w:ilvl="0" w:tplc="8D92B79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5B3A013A"/>
    <w:multiLevelType w:val="hybridMultilevel"/>
    <w:tmpl w:val="8B187B28"/>
    <w:lvl w:ilvl="0" w:tplc="D140FCA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15:restartNumberingAfterBreak="0">
    <w:nsid w:val="5CC112BD"/>
    <w:multiLevelType w:val="hybridMultilevel"/>
    <w:tmpl w:val="CD0E44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F632D13"/>
    <w:multiLevelType w:val="hybridMultilevel"/>
    <w:tmpl w:val="4A2020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04D42EB"/>
    <w:multiLevelType w:val="hybridMultilevel"/>
    <w:tmpl w:val="8B468EE4"/>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0CE0729"/>
    <w:multiLevelType w:val="hybridMultilevel"/>
    <w:tmpl w:val="DD827462"/>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1135406"/>
    <w:multiLevelType w:val="hybridMultilevel"/>
    <w:tmpl w:val="275C3B9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B27FF3"/>
    <w:multiLevelType w:val="hybridMultilevel"/>
    <w:tmpl w:val="CD0E44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4950409"/>
    <w:multiLevelType w:val="hybridMultilevel"/>
    <w:tmpl w:val="5A306F0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1D57E3"/>
    <w:multiLevelType w:val="hybridMultilevel"/>
    <w:tmpl w:val="762038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15:restartNumberingAfterBreak="0">
    <w:nsid w:val="6C6B023C"/>
    <w:multiLevelType w:val="hybridMultilevel"/>
    <w:tmpl w:val="362CBA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D0B1851"/>
    <w:multiLevelType w:val="hybridMultilevel"/>
    <w:tmpl w:val="2172590E"/>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F3C1514"/>
    <w:multiLevelType w:val="hybridMultilevel"/>
    <w:tmpl w:val="D0027FA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30E1F6D"/>
    <w:multiLevelType w:val="hybridMultilevel"/>
    <w:tmpl w:val="B8E82B06"/>
    <w:lvl w:ilvl="0" w:tplc="CFEE6208">
      <w:start w:val="1"/>
      <w:numFmt w:val="decimal"/>
      <w:lvlText w:val="%1."/>
      <w:lvlJc w:val="left"/>
      <w:pPr>
        <w:ind w:left="720" w:hanging="360"/>
      </w:pPr>
      <w:rPr>
        <w:rFonts w:cs="Times New Roman"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45D7376"/>
    <w:multiLevelType w:val="hybridMultilevel"/>
    <w:tmpl w:val="6964C2B8"/>
    <w:lvl w:ilvl="0" w:tplc="10921C44">
      <w:start w:val="1"/>
      <w:numFmt w:val="lowerLetter"/>
      <w:lvlText w:val="%1."/>
      <w:lvlJc w:val="left"/>
      <w:pPr>
        <w:ind w:left="2061" w:hanging="360"/>
      </w:pPr>
      <w:rPr>
        <w:rFonts w:ascii="Bookman Old Style" w:eastAsia="Calibri" w:hAnsi="Bookman Old Style"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6" w15:restartNumberingAfterBreak="0">
    <w:nsid w:val="77053EF3"/>
    <w:multiLevelType w:val="hybridMultilevel"/>
    <w:tmpl w:val="EBA48740"/>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9ED45F6"/>
    <w:multiLevelType w:val="hybridMultilevel"/>
    <w:tmpl w:val="873A2066"/>
    <w:lvl w:ilvl="0" w:tplc="C6B23A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AE02D58"/>
    <w:multiLevelType w:val="hybridMultilevel"/>
    <w:tmpl w:val="6DE0B48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B4729A7"/>
    <w:multiLevelType w:val="hybridMultilevel"/>
    <w:tmpl w:val="47F87E36"/>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0" w15:restartNumberingAfterBreak="0">
    <w:nsid w:val="7C8F58D9"/>
    <w:multiLevelType w:val="hybridMultilevel"/>
    <w:tmpl w:val="69CC319C"/>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1477BE"/>
    <w:multiLevelType w:val="hybridMultilevel"/>
    <w:tmpl w:val="00C859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05333964">
    <w:abstractNumId w:val="14"/>
  </w:num>
  <w:num w:numId="2" w16cid:durableId="1386371349">
    <w:abstractNumId w:val="9"/>
  </w:num>
  <w:num w:numId="3" w16cid:durableId="204413294">
    <w:abstractNumId w:val="16"/>
  </w:num>
  <w:num w:numId="4" w16cid:durableId="1253780395">
    <w:abstractNumId w:val="41"/>
  </w:num>
  <w:num w:numId="5" w16cid:durableId="205917019">
    <w:abstractNumId w:val="55"/>
  </w:num>
  <w:num w:numId="6" w16cid:durableId="2085564240">
    <w:abstractNumId w:val="11"/>
  </w:num>
  <w:num w:numId="7" w16cid:durableId="977763777">
    <w:abstractNumId w:val="26"/>
  </w:num>
  <w:num w:numId="8" w16cid:durableId="983388000">
    <w:abstractNumId w:val="36"/>
  </w:num>
  <w:num w:numId="9" w16cid:durableId="351805441">
    <w:abstractNumId w:val="19"/>
  </w:num>
  <w:num w:numId="10" w16cid:durableId="1259950363">
    <w:abstractNumId w:val="4"/>
  </w:num>
  <w:num w:numId="11" w16cid:durableId="927738952">
    <w:abstractNumId w:val="66"/>
  </w:num>
  <w:num w:numId="12" w16cid:durableId="977954447">
    <w:abstractNumId w:val="1"/>
  </w:num>
  <w:num w:numId="13" w16cid:durableId="294869245">
    <w:abstractNumId w:val="2"/>
  </w:num>
  <w:num w:numId="14" w16cid:durableId="1528370753">
    <w:abstractNumId w:val="56"/>
  </w:num>
  <w:num w:numId="15" w16cid:durableId="382101602">
    <w:abstractNumId w:val="15"/>
  </w:num>
  <w:num w:numId="16" w16cid:durableId="1608610617">
    <w:abstractNumId w:val="62"/>
  </w:num>
  <w:num w:numId="17" w16cid:durableId="808132232">
    <w:abstractNumId w:val="18"/>
  </w:num>
  <w:num w:numId="18" w16cid:durableId="1194348803">
    <w:abstractNumId w:val="5"/>
  </w:num>
  <w:num w:numId="19" w16cid:durableId="629240965">
    <w:abstractNumId w:val="67"/>
  </w:num>
  <w:num w:numId="20" w16cid:durableId="611085505">
    <w:abstractNumId w:val="47"/>
  </w:num>
  <w:num w:numId="21" w16cid:durableId="1368680079">
    <w:abstractNumId w:val="12"/>
  </w:num>
  <w:num w:numId="22" w16cid:durableId="1428766296">
    <w:abstractNumId w:val="22"/>
  </w:num>
  <w:num w:numId="23" w16cid:durableId="1418750795">
    <w:abstractNumId w:val="40"/>
  </w:num>
  <w:num w:numId="24" w16cid:durableId="354577447">
    <w:abstractNumId w:val="29"/>
  </w:num>
  <w:num w:numId="25" w16cid:durableId="775057359">
    <w:abstractNumId w:val="52"/>
  </w:num>
  <w:num w:numId="26" w16cid:durableId="1199127383">
    <w:abstractNumId w:val="68"/>
  </w:num>
  <w:num w:numId="27" w16cid:durableId="2144344159">
    <w:abstractNumId w:val="51"/>
  </w:num>
  <w:num w:numId="28" w16cid:durableId="1950312294">
    <w:abstractNumId w:val="71"/>
  </w:num>
  <w:num w:numId="29" w16cid:durableId="1602252826">
    <w:abstractNumId w:val="35"/>
  </w:num>
  <w:num w:numId="30" w16cid:durableId="1215044894">
    <w:abstractNumId w:val="70"/>
  </w:num>
  <w:num w:numId="31" w16cid:durableId="1372456318">
    <w:abstractNumId w:val="60"/>
  </w:num>
  <w:num w:numId="32" w16cid:durableId="1861820992">
    <w:abstractNumId w:val="20"/>
  </w:num>
  <w:num w:numId="33" w16cid:durableId="1221089598">
    <w:abstractNumId w:val="64"/>
  </w:num>
  <w:num w:numId="34" w16cid:durableId="106389611">
    <w:abstractNumId w:val="25"/>
  </w:num>
  <w:num w:numId="35" w16cid:durableId="1901986916">
    <w:abstractNumId w:val="42"/>
  </w:num>
  <w:num w:numId="36" w16cid:durableId="597568120">
    <w:abstractNumId w:val="13"/>
  </w:num>
  <w:num w:numId="37" w16cid:durableId="1152791349">
    <w:abstractNumId w:val="34"/>
  </w:num>
  <w:num w:numId="38" w16cid:durableId="1988168936">
    <w:abstractNumId w:val="39"/>
  </w:num>
  <w:num w:numId="39" w16cid:durableId="1624073819">
    <w:abstractNumId w:val="58"/>
  </w:num>
  <w:num w:numId="40" w16cid:durableId="22094640">
    <w:abstractNumId w:val="10"/>
  </w:num>
  <w:num w:numId="41" w16cid:durableId="29309834">
    <w:abstractNumId w:val="53"/>
  </w:num>
  <w:num w:numId="42" w16cid:durableId="1731613816">
    <w:abstractNumId w:val="21"/>
  </w:num>
  <w:num w:numId="43" w16cid:durableId="1283725872">
    <w:abstractNumId w:val="63"/>
  </w:num>
  <w:num w:numId="44" w16cid:durableId="188764559">
    <w:abstractNumId w:val="59"/>
  </w:num>
  <w:num w:numId="45" w16cid:durableId="1969816757">
    <w:abstractNumId w:val="8"/>
  </w:num>
  <w:num w:numId="46" w16cid:durableId="1219585387">
    <w:abstractNumId w:val="44"/>
  </w:num>
  <w:num w:numId="47" w16cid:durableId="596452277">
    <w:abstractNumId w:val="57"/>
  </w:num>
  <w:num w:numId="48" w16cid:durableId="1545827548">
    <w:abstractNumId w:val="28"/>
  </w:num>
  <w:num w:numId="49" w16cid:durableId="2100448767">
    <w:abstractNumId w:val="49"/>
  </w:num>
  <w:num w:numId="50" w16cid:durableId="2130583128">
    <w:abstractNumId w:val="32"/>
  </w:num>
  <w:num w:numId="51" w16cid:durableId="881743805">
    <w:abstractNumId w:val="7"/>
  </w:num>
  <w:num w:numId="52" w16cid:durableId="1608271466">
    <w:abstractNumId w:val="0"/>
  </w:num>
  <w:num w:numId="53" w16cid:durableId="938877538">
    <w:abstractNumId w:val="3"/>
  </w:num>
  <w:num w:numId="54" w16cid:durableId="2069960916">
    <w:abstractNumId w:val="38"/>
  </w:num>
  <w:num w:numId="55" w16cid:durableId="1068914967">
    <w:abstractNumId w:val="31"/>
  </w:num>
  <w:num w:numId="56" w16cid:durableId="1495991698">
    <w:abstractNumId w:val="61"/>
  </w:num>
  <w:num w:numId="57" w16cid:durableId="1790510737">
    <w:abstractNumId w:val="23"/>
  </w:num>
  <w:num w:numId="58" w16cid:durableId="1881817466">
    <w:abstractNumId w:val="48"/>
  </w:num>
  <w:num w:numId="59" w16cid:durableId="858785926">
    <w:abstractNumId w:val="24"/>
  </w:num>
  <w:num w:numId="60" w16cid:durableId="2084140233">
    <w:abstractNumId w:val="54"/>
  </w:num>
  <w:num w:numId="61" w16cid:durableId="643851057">
    <w:abstractNumId w:val="46"/>
  </w:num>
  <w:num w:numId="62" w16cid:durableId="1504778829">
    <w:abstractNumId w:val="27"/>
  </w:num>
  <w:num w:numId="63" w16cid:durableId="1439569650">
    <w:abstractNumId w:val="37"/>
  </w:num>
  <w:num w:numId="64" w16cid:durableId="1947034207">
    <w:abstractNumId w:val="50"/>
  </w:num>
  <w:num w:numId="65" w16cid:durableId="400181120">
    <w:abstractNumId w:val="30"/>
  </w:num>
  <w:num w:numId="66" w16cid:durableId="754669141">
    <w:abstractNumId w:val="33"/>
  </w:num>
  <w:num w:numId="67" w16cid:durableId="1007711323">
    <w:abstractNumId w:val="6"/>
  </w:num>
  <w:num w:numId="68" w16cid:durableId="906456217">
    <w:abstractNumId w:val="43"/>
  </w:num>
  <w:num w:numId="69" w16cid:durableId="151991056">
    <w:abstractNumId w:val="17"/>
  </w:num>
  <w:num w:numId="70" w16cid:durableId="342825054">
    <w:abstractNumId w:val="65"/>
  </w:num>
  <w:num w:numId="71" w16cid:durableId="322710401">
    <w:abstractNumId w:val="69"/>
  </w:num>
  <w:num w:numId="72" w16cid:durableId="1227031511">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3"/>
    <w:rsid w:val="00001154"/>
    <w:rsid w:val="00001E9D"/>
    <w:rsid w:val="00007899"/>
    <w:rsid w:val="00010965"/>
    <w:rsid w:val="00011BE8"/>
    <w:rsid w:val="000157B4"/>
    <w:rsid w:val="00017618"/>
    <w:rsid w:val="00017B13"/>
    <w:rsid w:val="00021056"/>
    <w:rsid w:val="0002135D"/>
    <w:rsid w:val="00022398"/>
    <w:rsid w:val="00022D6F"/>
    <w:rsid w:val="00026B44"/>
    <w:rsid w:val="00030470"/>
    <w:rsid w:val="00030C57"/>
    <w:rsid w:val="00032850"/>
    <w:rsid w:val="00032D70"/>
    <w:rsid w:val="00034B3B"/>
    <w:rsid w:val="00036E83"/>
    <w:rsid w:val="00036F9B"/>
    <w:rsid w:val="000372AC"/>
    <w:rsid w:val="000403AE"/>
    <w:rsid w:val="00041315"/>
    <w:rsid w:val="000445AD"/>
    <w:rsid w:val="00045753"/>
    <w:rsid w:val="00047BBC"/>
    <w:rsid w:val="00047D8C"/>
    <w:rsid w:val="0005561D"/>
    <w:rsid w:val="00057EE8"/>
    <w:rsid w:val="00063CF9"/>
    <w:rsid w:val="00064CEF"/>
    <w:rsid w:val="00066DDE"/>
    <w:rsid w:val="0006704D"/>
    <w:rsid w:val="000670C9"/>
    <w:rsid w:val="0007065F"/>
    <w:rsid w:val="00070F26"/>
    <w:rsid w:val="000712FB"/>
    <w:rsid w:val="000715F3"/>
    <w:rsid w:val="000727F6"/>
    <w:rsid w:val="0007464F"/>
    <w:rsid w:val="00075721"/>
    <w:rsid w:val="00076AAD"/>
    <w:rsid w:val="00077858"/>
    <w:rsid w:val="000801A2"/>
    <w:rsid w:val="00080E38"/>
    <w:rsid w:val="00081128"/>
    <w:rsid w:val="0008156C"/>
    <w:rsid w:val="00083E8C"/>
    <w:rsid w:val="00084EBA"/>
    <w:rsid w:val="00085734"/>
    <w:rsid w:val="000871EA"/>
    <w:rsid w:val="00087CE6"/>
    <w:rsid w:val="00090844"/>
    <w:rsid w:val="0009208E"/>
    <w:rsid w:val="000920FF"/>
    <w:rsid w:val="00095790"/>
    <w:rsid w:val="000959E9"/>
    <w:rsid w:val="000979FF"/>
    <w:rsid w:val="000A062D"/>
    <w:rsid w:val="000A0F12"/>
    <w:rsid w:val="000A17D9"/>
    <w:rsid w:val="000A1A0F"/>
    <w:rsid w:val="000A5167"/>
    <w:rsid w:val="000A60E2"/>
    <w:rsid w:val="000A6764"/>
    <w:rsid w:val="000B3962"/>
    <w:rsid w:val="000B5169"/>
    <w:rsid w:val="000C211B"/>
    <w:rsid w:val="000C285F"/>
    <w:rsid w:val="000C3943"/>
    <w:rsid w:val="000C4A7D"/>
    <w:rsid w:val="000C60AD"/>
    <w:rsid w:val="000D1F59"/>
    <w:rsid w:val="000D734A"/>
    <w:rsid w:val="000E0489"/>
    <w:rsid w:val="000E10F0"/>
    <w:rsid w:val="000E2376"/>
    <w:rsid w:val="000E371B"/>
    <w:rsid w:val="000E40F5"/>
    <w:rsid w:val="000E5207"/>
    <w:rsid w:val="000E5429"/>
    <w:rsid w:val="000E7F2F"/>
    <w:rsid w:val="000F3158"/>
    <w:rsid w:val="000F3421"/>
    <w:rsid w:val="000F5639"/>
    <w:rsid w:val="000F6CDA"/>
    <w:rsid w:val="0010141C"/>
    <w:rsid w:val="001021D1"/>
    <w:rsid w:val="001028CD"/>
    <w:rsid w:val="001044C3"/>
    <w:rsid w:val="00106444"/>
    <w:rsid w:val="001070E0"/>
    <w:rsid w:val="00107168"/>
    <w:rsid w:val="001071ED"/>
    <w:rsid w:val="0010743B"/>
    <w:rsid w:val="00110100"/>
    <w:rsid w:val="00113659"/>
    <w:rsid w:val="001144EB"/>
    <w:rsid w:val="001155A7"/>
    <w:rsid w:val="00115C99"/>
    <w:rsid w:val="00116EAF"/>
    <w:rsid w:val="001174B1"/>
    <w:rsid w:val="0012083E"/>
    <w:rsid w:val="00121173"/>
    <w:rsid w:val="001234C2"/>
    <w:rsid w:val="00126151"/>
    <w:rsid w:val="00126213"/>
    <w:rsid w:val="00126DDF"/>
    <w:rsid w:val="0012738A"/>
    <w:rsid w:val="00131032"/>
    <w:rsid w:val="0013103D"/>
    <w:rsid w:val="0013342E"/>
    <w:rsid w:val="0013467E"/>
    <w:rsid w:val="00134A5D"/>
    <w:rsid w:val="00135B21"/>
    <w:rsid w:val="00140A2B"/>
    <w:rsid w:val="00141106"/>
    <w:rsid w:val="0014420B"/>
    <w:rsid w:val="00144F89"/>
    <w:rsid w:val="001452A7"/>
    <w:rsid w:val="0014578C"/>
    <w:rsid w:val="00145E01"/>
    <w:rsid w:val="00146704"/>
    <w:rsid w:val="00146B8C"/>
    <w:rsid w:val="00147419"/>
    <w:rsid w:val="001502ED"/>
    <w:rsid w:val="0015088E"/>
    <w:rsid w:val="00150D2E"/>
    <w:rsid w:val="0015229C"/>
    <w:rsid w:val="0016133C"/>
    <w:rsid w:val="001617A0"/>
    <w:rsid w:val="00162C1B"/>
    <w:rsid w:val="0016370B"/>
    <w:rsid w:val="00165B48"/>
    <w:rsid w:val="001668C6"/>
    <w:rsid w:val="00166EAD"/>
    <w:rsid w:val="00167059"/>
    <w:rsid w:val="00167165"/>
    <w:rsid w:val="00167648"/>
    <w:rsid w:val="00167E9B"/>
    <w:rsid w:val="00170F5A"/>
    <w:rsid w:val="001713CB"/>
    <w:rsid w:val="001716F0"/>
    <w:rsid w:val="00171AA4"/>
    <w:rsid w:val="001735AF"/>
    <w:rsid w:val="00173EB0"/>
    <w:rsid w:val="00175679"/>
    <w:rsid w:val="001762DF"/>
    <w:rsid w:val="00177113"/>
    <w:rsid w:val="00180D27"/>
    <w:rsid w:val="0018140B"/>
    <w:rsid w:val="00183164"/>
    <w:rsid w:val="0018323B"/>
    <w:rsid w:val="00183B8D"/>
    <w:rsid w:val="00184EB9"/>
    <w:rsid w:val="00184EEA"/>
    <w:rsid w:val="0018673A"/>
    <w:rsid w:val="0019046C"/>
    <w:rsid w:val="00192CF1"/>
    <w:rsid w:val="00194E63"/>
    <w:rsid w:val="001A0489"/>
    <w:rsid w:val="001A14BB"/>
    <w:rsid w:val="001A3635"/>
    <w:rsid w:val="001A46E6"/>
    <w:rsid w:val="001A50EC"/>
    <w:rsid w:val="001A79BD"/>
    <w:rsid w:val="001B048A"/>
    <w:rsid w:val="001B0691"/>
    <w:rsid w:val="001B0EC0"/>
    <w:rsid w:val="001B215E"/>
    <w:rsid w:val="001B29EE"/>
    <w:rsid w:val="001B7577"/>
    <w:rsid w:val="001C1F06"/>
    <w:rsid w:val="001C2F76"/>
    <w:rsid w:val="001C34E4"/>
    <w:rsid w:val="001C39A2"/>
    <w:rsid w:val="001C4131"/>
    <w:rsid w:val="001C49F3"/>
    <w:rsid w:val="001C4B6C"/>
    <w:rsid w:val="001C609A"/>
    <w:rsid w:val="001C67E8"/>
    <w:rsid w:val="001C6A6F"/>
    <w:rsid w:val="001D3576"/>
    <w:rsid w:val="001D6242"/>
    <w:rsid w:val="001D74B2"/>
    <w:rsid w:val="001D7C90"/>
    <w:rsid w:val="001E43AA"/>
    <w:rsid w:val="001E49B1"/>
    <w:rsid w:val="001E566F"/>
    <w:rsid w:val="001E7B3E"/>
    <w:rsid w:val="001F090D"/>
    <w:rsid w:val="001F122C"/>
    <w:rsid w:val="001F12B9"/>
    <w:rsid w:val="001F155D"/>
    <w:rsid w:val="001F2AEF"/>
    <w:rsid w:val="001F4978"/>
    <w:rsid w:val="0020519A"/>
    <w:rsid w:val="00206901"/>
    <w:rsid w:val="002076A2"/>
    <w:rsid w:val="0021002C"/>
    <w:rsid w:val="0021023B"/>
    <w:rsid w:val="00210426"/>
    <w:rsid w:val="002115A2"/>
    <w:rsid w:val="00212695"/>
    <w:rsid w:val="002139B0"/>
    <w:rsid w:val="002139B4"/>
    <w:rsid w:val="00213B6B"/>
    <w:rsid w:val="00213F8F"/>
    <w:rsid w:val="00214637"/>
    <w:rsid w:val="00214AC7"/>
    <w:rsid w:val="00215E6B"/>
    <w:rsid w:val="00217142"/>
    <w:rsid w:val="00217FB7"/>
    <w:rsid w:val="0022068C"/>
    <w:rsid w:val="00224B65"/>
    <w:rsid w:val="00224ED4"/>
    <w:rsid w:val="002251F8"/>
    <w:rsid w:val="00227D27"/>
    <w:rsid w:val="00230854"/>
    <w:rsid w:val="0023297B"/>
    <w:rsid w:val="002329EF"/>
    <w:rsid w:val="002336F3"/>
    <w:rsid w:val="00233F6E"/>
    <w:rsid w:val="00234F78"/>
    <w:rsid w:val="00235D05"/>
    <w:rsid w:val="002366CF"/>
    <w:rsid w:val="00237385"/>
    <w:rsid w:val="0023781B"/>
    <w:rsid w:val="00237919"/>
    <w:rsid w:val="002406FF"/>
    <w:rsid w:val="002408A5"/>
    <w:rsid w:val="0024282D"/>
    <w:rsid w:val="0024563F"/>
    <w:rsid w:val="002456AC"/>
    <w:rsid w:val="002467AC"/>
    <w:rsid w:val="002524D7"/>
    <w:rsid w:val="002531D1"/>
    <w:rsid w:val="00253E78"/>
    <w:rsid w:val="002563F0"/>
    <w:rsid w:val="00256B67"/>
    <w:rsid w:val="0025710B"/>
    <w:rsid w:val="00257AD4"/>
    <w:rsid w:val="00257FC9"/>
    <w:rsid w:val="00260741"/>
    <w:rsid w:val="00260A61"/>
    <w:rsid w:val="00262B5A"/>
    <w:rsid w:val="0026669D"/>
    <w:rsid w:val="002713C3"/>
    <w:rsid w:val="002745D7"/>
    <w:rsid w:val="0027572B"/>
    <w:rsid w:val="00276A81"/>
    <w:rsid w:val="0028013D"/>
    <w:rsid w:val="002838D1"/>
    <w:rsid w:val="00283FFE"/>
    <w:rsid w:val="002850E2"/>
    <w:rsid w:val="00285611"/>
    <w:rsid w:val="00290AFB"/>
    <w:rsid w:val="00291DC7"/>
    <w:rsid w:val="00292A0E"/>
    <w:rsid w:val="0029363D"/>
    <w:rsid w:val="00295D0D"/>
    <w:rsid w:val="00297E92"/>
    <w:rsid w:val="002A0729"/>
    <w:rsid w:val="002A4AF2"/>
    <w:rsid w:val="002A5267"/>
    <w:rsid w:val="002A72ED"/>
    <w:rsid w:val="002B2095"/>
    <w:rsid w:val="002B20E7"/>
    <w:rsid w:val="002B33B0"/>
    <w:rsid w:val="002B4234"/>
    <w:rsid w:val="002B6806"/>
    <w:rsid w:val="002C0BF3"/>
    <w:rsid w:val="002C256A"/>
    <w:rsid w:val="002C3B8E"/>
    <w:rsid w:val="002C4DAF"/>
    <w:rsid w:val="002C512C"/>
    <w:rsid w:val="002C5872"/>
    <w:rsid w:val="002C5E90"/>
    <w:rsid w:val="002C6F70"/>
    <w:rsid w:val="002D4BF3"/>
    <w:rsid w:val="002D4E37"/>
    <w:rsid w:val="002D4F72"/>
    <w:rsid w:val="002D7570"/>
    <w:rsid w:val="002E10E9"/>
    <w:rsid w:val="002E262C"/>
    <w:rsid w:val="002E536D"/>
    <w:rsid w:val="002E7B56"/>
    <w:rsid w:val="002F3D36"/>
    <w:rsid w:val="002F4012"/>
    <w:rsid w:val="002F6900"/>
    <w:rsid w:val="00300BAD"/>
    <w:rsid w:val="00306621"/>
    <w:rsid w:val="00306C12"/>
    <w:rsid w:val="00307961"/>
    <w:rsid w:val="00307A08"/>
    <w:rsid w:val="003103E2"/>
    <w:rsid w:val="00313000"/>
    <w:rsid w:val="0031302F"/>
    <w:rsid w:val="00315DB7"/>
    <w:rsid w:val="003203D7"/>
    <w:rsid w:val="00320C5F"/>
    <w:rsid w:val="003216E2"/>
    <w:rsid w:val="003234CA"/>
    <w:rsid w:val="00324644"/>
    <w:rsid w:val="003262F5"/>
    <w:rsid w:val="00327467"/>
    <w:rsid w:val="00327A9F"/>
    <w:rsid w:val="00333DA4"/>
    <w:rsid w:val="00334540"/>
    <w:rsid w:val="003347B0"/>
    <w:rsid w:val="00335A89"/>
    <w:rsid w:val="003363C7"/>
    <w:rsid w:val="00337D2F"/>
    <w:rsid w:val="003409B7"/>
    <w:rsid w:val="003420F0"/>
    <w:rsid w:val="00343AED"/>
    <w:rsid w:val="0034600D"/>
    <w:rsid w:val="003462B9"/>
    <w:rsid w:val="003467D8"/>
    <w:rsid w:val="00347C25"/>
    <w:rsid w:val="00347FBE"/>
    <w:rsid w:val="003504B2"/>
    <w:rsid w:val="00352341"/>
    <w:rsid w:val="00352844"/>
    <w:rsid w:val="003531C9"/>
    <w:rsid w:val="00353245"/>
    <w:rsid w:val="003546E6"/>
    <w:rsid w:val="0036023C"/>
    <w:rsid w:val="00361ECF"/>
    <w:rsid w:val="003629F2"/>
    <w:rsid w:val="0036502C"/>
    <w:rsid w:val="00365F83"/>
    <w:rsid w:val="00365FAE"/>
    <w:rsid w:val="003720BF"/>
    <w:rsid w:val="00372A88"/>
    <w:rsid w:val="00373BEF"/>
    <w:rsid w:val="00380C5E"/>
    <w:rsid w:val="0038426B"/>
    <w:rsid w:val="00386246"/>
    <w:rsid w:val="003868DE"/>
    <w:rsid w:val="00387CA6"/>
    <w:rsid w:val="00390509"/>
    <w:rsid w:val="00390D61"/>
    <w:rsid w:val="003922B4"/>
    <w:rsid w:val="00393BA0"/>
    <w:rsid w:val="0039631F"/>
    <w:rsid w:val="003A005C"/>
    <w:rsid w:val="003A1B66"/>
    <w:rsid w:val="003A3209"/>
    <w:rsid w:val="003A3666"/>
    <w:rsid w:val="003A3AB4"/>
    <w:rsid w:val="003A4785"/>
    <w:rsid w:val="003A4D16"/>
    <w:rsid w:val="003B05D7"/>
    <w:rsid w:val="003B0EE2"/>
    <w:rsid w:val="003B245D"/>
    <w:rsid w:val="003B3246"/>
    <w:rsid w:val="003B3F6C"/>
    <w:rsid w:val="003B4080"/>
    <w:rsid w:val="003B41F8"/>
    <w:rsid w:val="003B6AFA"/>
    <w:rsid w:val="003B76E8"/>
    <w:rsid w:val="003C2013"/>
    <w:rsid w:val="003C3851"/>
    <w:rsid w:val="003C531D"/>
    <w:rsid w:val="003C6A0E"/>
    <w:rsid w:val="003D04C2"/>
    <w:rsid w:val="003D068D"/>
    <w:rsid w:val="003D15A7"/>
    <w:rsid w:val="003D57DC"/>
    <w:rsid w:val="003D6336"/>
    <w:rsid w:val="003D6A5D"/>
    <w:rsid w:val="003D7E9D"/>
    <w:rsid w:val="003E1FDC"/>
    <w:rsid w:val="003E22D1"/>
    <w:rsid w:val="003E32D4"/>
    <w:rsid w:val="003E3DB7"/>
    <w:rsid w:val="003E448D"/>
    <w:rsid w:val="003E4C09"/>
    <w:rsid w:val="003F0175"/>
    <w:rsid w:val="003F0901"/>
    <w:rsid w:val="003F0DBC"/>
    <w:rsid w:val="003F6ABA"/>
    <w:rsid w:val="004003BD"/>
    <w:rsid w:val="00400BFD"/>
    <w:rsid w:val="0040212C"/>
    <w:rsid w:val="004043F9"/>
    <w:rsid w:val="004052D9"/>
    <w:rsid w:val="0040683C"/>
    <w:rsid w:val="00410794"/>
    <w:rsid w:val="00410B15"/>
    <w:rsid w:val="00412315"/>
    <w:rsid w:val="00413083"/>
    <w:rsid w:val="00414176"/>
    <w:rsid w:val="00415E80"/>
    <w:rsid w:val="004212DF"/>
    <w:rsid w:val="00422C1D"/>
    <w:rsid w:val="00424BEC"/>
    <w:rsid w:val="00425A0E"/>
    <w:rsid w:val="00425F79"/>
    <w:rsid w:val="00426ED7"/>
    <w:rsid w:val="00427771"/>
    <w:rsid w:val="00433440"/>
    <w:rsid w:val="00434AA8"/>
    <w:rsid w:val="00437A32"/>
    <w:rsid w:val="0044029A"/>
    <w:rsid w:val="004436EB"/>
    <w:rsid w:val="00443FAD"/>
    <w:rsid w:val="004464EC"/>
    <w:rsid w:val="004479FF"/>
    <w:rsid w:val="00447BF7"/>
    <w:rsid w:val="00451470"/>
    <w:rsid w:val="00452856"/>
    <w:rsid w:val="00452F8F"/>
    <w:rsid w:val="004533BA"/>
    <w:rsid w:val="0045413A"/>
    <w:rsid w:val="0045681C"/>
    <w:rsid w:val="00463FD1"/>
    <w:rsid w:val="00465DAB"/>
    <w:rsid w:val="00467A71"/>
    <w:rsid w:val="00467AFE"/>
    <w:rsid w:val="00471307"/>
    <w:rsid w:val="0047166D"/>
    <w:rsid w:val="00472A15"/>
    <w:rsid w:val="00472F47"/>
    <w:rsid w:val="00472F88"/>
    <w:rsid w:val="00473F52"/>
    <w:rsid w:val="00474834"/>
    <w:rsid w:val="004759E1"/>
    <w:rsid w:val="00475B9C"/>
    <w:rsid w:val="00476504"/>
    <w:rsid w:val="00476B66"/>
    <w:rsid w:val="0048218C"/>
    <w:rsid w:val="004829F2"/>
    <w:rsid w:val="00484E27"/>
    <w:rsid w:val="0048718E"/>
    <w:rsid w:val="00487599"/>
    <w:rsid w:val="0048796A"/>
    <w:rsid w:val="00490717"/>
    <w:rsid w:val="004911CA"/>
    <w:rsid w:val="004925CF"/>
    <w:rsid w:val="00493B5D"/>
    <w:rsid w:val="00495189"/>
    <w:rsid w:val="00495560"/>
    <w:rsid w:val="00495FDA"/>
    <w:rsid w:val="00496166"/>
    <w:rsid w:val="004A02F2"/>
    <w:rsid w:val="004A1554"/>
    <w:rsid w:val="004A239E"/>
    <w:rsid w:val="004A277F"/>
    <w:rsid w:val="004A33A9"/>
    <w:rsid w:val="004A48E2"/>
    <w:rsid w:val="004B4284"/>
    <w:rsid w:val="004C3E79"/>
    <w:rsid w:val="004C6A1B"/>
    <w:rsid w:val="004C7238"/>
    <w:rsid w:val="004D099B"/>
    <w:rsid w:val="004D4479"/>
    <w:rsid w:val="004D517A"/>
    <w:rsid w:val="004D733B"/>
    <w:rsid w:val="004D7D5A"/>
    <w:rsid w:val="004E1602"/>
    <w:rsid w:val="004E393F"/>
    <w:rsid w:val="004E4D60"/>
    <w:rsid w:val="004E58AE"/>
    <w:rsid w:val="004F0448"/>
    <w:rsid w:val="004F1DA6"/>
    <w:rsid w:val="004F3495"/>
    <w:rsid w:val="004F395C"/>
    <w:rsid w:val="004F4A7D"/>
    <w:rsid w:val="004F5D8F"/>
    <w:rsid w:val="004F604A"/>
    <w:rsid w:val="00500885"/>
    <w:rsid w:val="00500FF6"/>
    <w:rsid w:val="00502205"/>
    <w:rsid w:val="005024C3"/>
    <w:rsid w:val="0050403C"/>
    <w:rsid w:val="005069F7"/>
    <w:rsid w:val="00511472"/>
    <w:rsid w:val="0051385D"/>
    <w:rsid w:val="00514602"/>
    <w:rsid w:val="00514B93"/>
    <w:rsid w:val="005170CD"/>
    <w:rsid w:val="0051743D"/>
    <w:rsid w:val="005206C9"/>
    <w:rsid w:val="005206F3"/>
    <w:rsid w:val="005211A6"/>
    <w:rsid w:val="005255F0"/>
    <w:rsid w:val="0052572C"/>
    <w:rsid w:val="0052788E"/>
    <w:rsid w:val="00541D25"/>
    <w:rsid w:val="005426D2"/>
    <w:rsid w:val="005439E1"/>
    <w:rsid w:val="00543AB7"/>
    <w:rsid w:val="005470D3"/>
    <w:rsid w:val="005509C7"/>
    <w:rsid w:val="00552E24"/>
    <w:rsid w:val="00556F39"/>
    <w:rsid w:val="00557057"/>
    <w:rsid w:val="00560A0B"/>
    <w:rsid w:val="00565BD3"/>
    <w:rsid w:val="00570761"/>
    <w:rsid w:val="00573E58"/>
    <w:rsid w:val="0057425B"/>
    <w:rsid w:val="005770F3"/>
    <w:rsid w:val="005773D2"/>
    <w:rsid w:val="00577C3F"/>
    <w:rsid w:val="00580C52"/>
    <w:rsid w:val="00582EC7"/>
    <w:rsid w:val="00583139"/>
    <w:rsid w:val="00585184"/>
    <w:rsid w:val="005859E8"/>
    <w:rsid w:val="005875D0"/>
    <w:rsid w:val="00587994"/>
    <w:rsid w:val="0059007A"/>
    <w:rsid w:val="00590F27"/>
    <w:rsid w:val="0059342A"/>
    <w:rsid w:val="00594643"/>
    <w:rsid w:val="00595F34"/>
    <w:rsid w:val="00596CE3"/>
    <w:rsid w:val="005A2B26"/>
    <w:rsid w:val="005A2FB1"/>
    <w:rsid w:val="005A3A1C"/>
    <w:rsid w:val="005A5715"/>
    <w:rsid w:val="005A6AE9"/>
    <w:rsid w:val="005A7038"/>
    <w:rsid w:val="005B44C0"/>
    <w:rsid w:val="005B62E1"/>
    <w:rsid w:val="005B66E4"/>
    <w:rsid w:val="005B78A4"/>
    <w:rsid w:val="005B78DB"/>
    <w:rsid w:val="005B7BE9"/>
    <w:rsid w:val="005C268C"/>
    <w:rsid w:val="005C2796"/>
    <w:rsid w:val="005C2C39"/>
    <w:rsid w:val="005C5D4A"/>
    <w:rsid w:val="005D1943"/>
    <w:rsid w:val="005D2287"/>
    <w:rsid w:val="005D296A"/>
    <w:rsid w:val="005D3B0B"/>
    <w:rsid w:val="005D3BA0"/>
    <w:rsid w:val="005D44F4"/>
    <w:rsid w:val="005D5FC4"/>
    <w:rsid w:val="005E059D"/>
    <w:rsid w:val="005E086B"/>
    <w:rsid w:val="005E145A"/>
    <w:rsid w:val="005E2CCE"/>
    <w:rsid w:val="005E3A19"/>
    <w:rsid w:val="005E56F1"/>
    <w:rsid w:val="005E7766"/>
    <w:rsid w:val="005E7D02"/>
    <w:rsid w:val="005F11AA"/>
    <w:rsid w:val="005F16A9"/>
    <w:rsid w:val="005F1B74"/>
    <w:rsid w:val="005F1D0E"/>
    <w:rsid w:val="005F34A3"/>
    <w:rsid w:val="005F369B"/>
    <w:rsid w:val="005F3CF6"/>
    <w:rsid w:val="005F44DA"/>
    <w:rsid w:val="005F529D"/>
    <w:rsid w:val="005F634C"/>
    <w:rsid w:val="005F6D58"/>
    <w:rsid w:val="005F7CB3"/>
    <w:rsid w:val="00601661"/>
    <w:rsid w:val="00602972"/>
    <w:rsid w:val="00603765"/>
    <w:rsid w:val="0060418E"/>
    <w:rsid w:val="006042F2"/>
    <w:rsid w:val="00607011"/>
    <w:rsid w:val="00607729"/>
    <w:rsid w:val="00607D68"/>
    <w:rsid w:val="006115CA"/>
    <w:rsid w:val="00611C1B"/>
    <w:rsid w:val="00611F1E"/>
    <w:rsid w:val="006127EB"/>
    <w:rsid w:val="00613B04"/>
    <w:rsid w:val="00614026"/>
    <w:rsid w:val="00614272"/>
    <w:rsid w:val="006144F4"/>
    <w:rsid w:val="00614F2F"/>
    <w:rsid w:val="00615B6B"/>
    <w:rsid w:val="00616591"/>
    <w:rsid w:val="00616682"/>
    <w:rsid w:val="00616861"/>
    <w:rsid w:val="00621151"/>
    <w:rsid w:val="00621D29"/>
    <w:rsid w:val="00622225"/>
    <w:rsid w:val="00626E79"/>
    <w:rsid w:val="00630CFD"/>
    <w:rsid w:val="0063241F"/>
    <w:rsid w:val="006340FF"/>
    <w:rsid w:val="006346CD"/>
    <w:rsid w:val="00635331"/>
    <w:rsid w:val="006353F9"/>
    <w:rsid w:val="00635C25"/>
    <w:rsid w:val="00642F86"/>
    <w:rsid w:val="006508C5"/>
    <w:rsid w:val="00650AEB"/>
    <w:rsid w:val="00650DE1"/>
    <w:rsid w:val="00651753"/>
    <w:rsid w:val="00652A15"/>
    <w:rsid w:val="00653281"/>
    <w:rsid w:val="00654533"/>
    <w:rsid w:val="00654926"/>
    <w:rsid w:val="006551A4"/>
    <w:rsid w:val="0066153A"/>
    <w:rsid w:val="006618E8"/>
    <w:rsid w:val="00662688"/>
    <w:rsid w:val="00663C3D"/>
    <w:rsid w:val="00664528"/>
    <w:rsid w:val="0066591F"/>
    <w:rsid w:val="00665BEA"/>
    <w:rsid w:val="00665DAD"/>
    <w:rsid w:val="0066678D"/>
    <w:rsid w:val="0067095B"/>
    <w:rsid w:val="006716F0"/>
    <w:rsid w:val="00672062"/>
    <w:rsid w:val="00672AE1"/>
    <w:rsid w:val="00674168"/>
    <w:rsid w:val="006747ED"/>
    <w:rsid w:val="006806BF"/>
    <w:rsid w:val="00680954"/>
    <w:rsid w:val="00682FDA"/>
    <w:rsid w:val="0069307A"/>
    <w:rsid w:val="00696C2A"/>
    <w:rsid w:val="00697531"/>
    <w:rsid w:val="006A0EB6"/>
    <w:rsid w:val="006A29DA"/>
    <w:rsid w:val="006A2C55"/>
    <w:rsid w:val="006A331A"/>
    <w:rsid w:val="006A47D7"/>
    <w:rsid w:val="006A544E"/>
    <w:rsid w:val="006A67BE"/>
    <w:rsid w:val="006A7F5A"/>
    <w:rsid w:val="006B07B7"/>
    <w:rsid w:val="006B0B3F"/>
    <w:rsid w:val="006B3A16"/>
    <w:rsid w:val="006B5026"/>
    <w:rsid w:val="006B61E1"/>
    <w:rsid w:val="006B6FC8"/>
    <w:rsid w:val="006C4623"/>
    <w:rsid w:val="006C4682"/>
    <w:rsid w:val="006C6895"/>
    <w:rsid w:val="006C6AB8"/>
    <w:rsid w:val="006C732D"/>
    <w:rsid w:val="006C769C"/>
    <w:rsid w:val="006C7EC0"/>
    <w:rsid w:val="006D30B9"/>
    <w:rsid w:val="006E1518"/>
    <w:rsid w:val="006E3D38"/>
    <w:rsid w:val="006E5626"/>
    <w:rsid w:val="006E6704"/>
    <w:rsid w:val="006E79E4"/>
    <w:rsid w:val="006E7D0B"/>
    <w:rsid w:val="006F083B"/>
    <w:rsid w:val="006F1FC2"/>
    <w:rsid w:val="006F2573"/>
    <w:rsid w:val="006F31DC"/>
    <w:rsid w:val="006F4EF7"/>
    <w:rsid w:val="0070360C"/>
    <w:rsid w:val="00703A8C"/>
    <w:rsid w:val="00705BD2"/>
    <w:rsid w:val="007061BE"/>
    <w:rsid w:val="00711830"/>
    <w:rsid w:val="00712593"/>
    <w:rsid w:val="00712FA6"/>
    <w:rsid w:val="00713832"/>
    <w:rsid w:val="007236A8"/>
    <w:rsid w:val="0072375A"/>
    <w:rsid w:val="00725847"/>
    <w:rsid w:val="007264B0"/>
    <w:rsid w:val="007277C1"/>
    <w:rsid w:val="00727C47"/>
    <w:rsid w:val="00727D8E"/>
    <w:rsid w:val="007310CF"/>
    <w:rsid w:val="00732490"/>
    <w:rsid w:val="00733145"/>
    <w:rsid w:val="00733CA7"/>
    <w:rsid w:val="00734A97"/>
    <w:rsid w:val="007356A5"/>
    <w:rsid w:val="00736672"/>
    <w:rsid w:val="0073715C"/>
    <w:rsid w:val="00737707"/>
    <w:rsid w:val="00737D90"/>
    <w:rsid w:val="00743649"/>
    <w:rsid w:val="007439E0"/>
    <w:rsid w:val="0074649F"/>
    <w:rsid w:val="00750DB3"/>
    <w:rsid w:val="00753344"/>
    <w:rsid w:val="00753B35"/>
    <w:rsid w:val="007563E5"/>
    <w:rsid w:val="007564A4"/>
    <w:rsid w:val="0075682D"/>
    <w:rsid w:val="007600FC"/>
    <w:rsid w:val="00762E42"/>
    <w:rsid w:val="00763AA8"/>
    <w:rsid w:val="00764DF8"/>
    <w:rsid w:val="00764EE0"/>
    <w:rsid w:val="00765453"/>
    <w:rsid w:val="00770E0F"/>
    <w:rsid w:val="0077196A"/>
    <w:rsid w:val="007725BC"/>
    <w:rsid w:val="00777BCD"/>
    <w:rsid w:val="0078011A"/>
    <w:rsid w:val="007809F2"/>
    <w:rsid w:val="00782EC9"/>
    <w:rsid w:val="007834EC"/>
    <w:rsid w:val="00783CC4"/>
    <w:rsid w:val="00784D0F"/>
    <w:rsid w:val="00785796"/>
    <w:rsid w:val="00787A6B"/>
    <w:rsid w:val="007914FD"/>
    <w:rsid w:val="007920D2"/>
    <w:rsid w:val="0079522F"/>
    <w:rsid w:val="00795631"/>
    <w:rsid w:val="007A0C77"/>
    <w:rsid w:val="007A1626"/>
    <w:rsid w:val="007A18CA"/>
    <w:rsid w:val="007A2F59"/>
    <w:rsid w:val="007A46A6"/>
    <w:rsid w:val="007A483D"/>
    <w:rsid w:val="007A4A5D"/>
    <w:rsid w:val="007A6B04"/>
    <w:rsid w:val="007A6BBD"/>
    <w:rsid w:val="007B0458"/>
    <w:rsid w:val="007B08A1"/>
    <w:rsid w:val="007B0BEB"/>
    <w:rsid w:val="007B1640"/>
    <w:rsid w:val="007B267A"/>
    <w:rsid w:val="007B2CB0"/>
    <w:rsid w:val="007C07AE"/>
    <w:rsid w:val="007C0C5C"/>
    <w:rsid w:val="007C16E1"/>
    <w:rsid w:val="007C1BF3"/>
    <w:rsid w:val="007C21C7"/>
    <w:rsid w:val="007C3531"/>
    <w:rsid w:val="007C3CF5"/>
    <w:rsid w:val="007C73F7"/>
    <w:rsid w:val="007D1779"/>
    <w:rsid w:val="007D1EC3"/>
    <w:rsid w:val="007D2E91"/>
    <w:rsid w:val="007D4678"/>
    <w:rsid w:val="007D5EDF"/>
    <w:rsid w:val="007E314A"/>
    <w:rsid w:val="007E462B"/>
    <w:rsid w:val="007E4C46"/>
    <w:rsid w:val="007E78AA"/>
    <w:rsid w:val="007F1D7E"/>
    <w:rsid w:val="007F29C9"/>
    <w:rsid w:val="007F3B76"/>
    <w:rsid w:val="007F3FB4"/>
    <w:rsid w:val="00801890"/>
    <w:rsid w:val="00801BF3"/>
    <w:rsid w:val="00802716"/>
    <w:rsid w:val="0080346A"/>
    <w:rsid w:val="00803E46"/>
    <w:rsid w:val="00805072"/>
    <w:rsid w:val="00805516"/>
    <w:rsid w:val="00810E60"/>
    <w:rsid w:val="008114F2"/>
    <w:rsid w:val="00812AAC"/>
    <w:rsid w:val="00813CD4"/>
    <w:rsid w:val="00817330"/>
    <w:rsid w:val="008209D7"/>
    <w:rsid w:val="008239A5"/>
    <w:rsid w:val="00825CF3"/>
    <w:rsid w:val="00825FAE"/>
    <w:rsid w:val="00826D87"/>
    <w:rsid w:val="00827146"/>
    <w:rsid w:val="008274B7"/>
    <w:rsid w:val="00827A98"/>
    <w:rsid w:val="008318C6"/>
    <w:rsid w:val="008357CA"/>
    <w:rsid w:val="00835879"/>
    <w:rsid w:val="00837605"/>
    <w:rsid w:val="00840A1E"/>
    <w:rsid w:val="00842816"/>
    <w:rsid w:val="00847226"/>
    <w:rsid w:val="00854B13"/>
    <w:rsid w:val="00854D37"/>
    <w:rsid w:val="008558E5"/>
    <w:rsid w:val="0085598C"/>
    <w:rsid w:val="00856562"/>
    <w:rsid w:val="00856BA5"/>
    <w:rsid w:val="00861219"/>
    <w:rsid w:val="00861F13"/>
    <w:rsid w:val="00863252"/>
    <w:rsid w:val="00867026"/>
    <w:rsid w:val="00870C21"/>
    <w:rsid w:val="00870F65"/>
    <w:rsid w:val="00871193"/>
    <w:rsid w:val="00872A78"/>
    <w:rsid w:val="00874C80"/>
    <w:rsid w:val="008752BF"/>
    <w:rsid w:val="00875845"/>
    <w:rsid w:val="008759BF"/>
    <w:rsid w:val="00877EE2"/>
    <w:rsid w:val="00880B59"/>
    <w:rsid w:val="00884B4B"/>
    <w:rsid w:val="00886D07"/>
    <w:rsid w:val="00886EA8"/>
    <w:rsid w:val="00887271"/>
    <w:rsid w:val="00890F41"/>
    <w:rsid w:val="00892193"/>
    <w:rsid w:val="0089315D"/>
    <w:rsid w:val="008940A6"/>
    <w:rsid w:val="008950F5"/>
    <w:rsid w:val="008975F3"/>
    <w:rsid w:val="008A092F"/>
    <w:rsid w:val="008A1796"/>
    <w:rsid w:val="008A56F6"/>
    <w:rsid w:val="008A6988"/>
    <w:rsid w:val="008A7B50"/>
    <w:rsid w:val="008B1B83"/>
    <w:rsid w:val="008B31D1"/>
    <w:rsid w:val="008B3396"/>
    <w:rsid w:val="008B3DB9"/>
    <w:rsid w:val="008B4506"/>
    <w:rsid w:val="008B4AD3"/>
    <w:rsid w:val="008B5350"/>
    <w:rsid w:val="008B55BC"/>
    <w:rsid w:val="008B5643"/>
    <w:rsid w:val="008B5CCF"/>
    <w:rsid w:val="008B74BC"/>
    <w:rsid w:val="008C0654"/>
    <w:rsid w:val="008C6BEB"/>
    <w:rsid w:val="008D33D0"/>
    <w:rsid w:val="008D3E05"/>
    <w:rsid w:val="008D3E4E"/>
    <w:rsid w:val="008E2434"/>
    <w:rsid w:val="008E5486"/>
    <w:rsid w:val="008E6208"/>
    <w:rsid w:val="008E7E9C"/>
    <w:rsid w:val="008F12D8"/>
    <w:rsid w:val="008F183B"/>
    <w:rsid w:val="00902490"/>
    <w:rsid w:val="009039E0"/>
    <w:rsid w:val="00905000"/>
    <w:rsid w:val="00905F6E"/>
    <w:rsid w:val="00906281"/>
    <w:rsid w:val="009107DF"/>
    <w:rsid w:val="00912015"/>
    <w:rsid w:val="009138FD"/>
    <w:rsid w:val="009140D9"/>
    <w:rsid w:val="00914FE6"/>
    <w:rsid w:val="00916AAF"/>
    <w:rsid w:val="00921623"/>
    <w:rsid w:val="00922F63"/>
    <w:rsid w:val="00923D66"/>
    <w:rsid w:val="00925414"/>
    <w:rsid w:val="00926C47"/>
    <w:rsid w:val="00926EBB"/>
    <w:rsid w:val="009274F4"/>
    <w:rsid w:val="009309A8"/>
    <w:rsid w:val="00931E1F"/>
    <w:rsid w:val="00932C69"/>
    <w:rsid w:val="00934166"/>
    <w:rsid w:val="009354CC"/>
    <w:rsid w:val="009365D7"/>
    <w:rsid w:val="00936AD8"/>
    <w:rsid w:val="00940343"/>
    <w:rsid w:val="0094181B"/>
    <w:rsid w:val="0094217A"/>
    <w:rsid w:val="00943740"/>
    <w:rsid w:val="009450A2"/>
    <w:rsid w:val="00945140"/>
    <w:rsid w:val="009451D9"/>
    <w:rsid w:val="0094636F"/>
    <w:rsid w:val="00950F80"/>
    <w:rsid w:val="009513DA"/>
    <w:rsid w:val="00955BB3"/>
    <w:rsid w:val="00956287"/>
    <w:rsid w:val="00957577"/>
    <w:rsid w:val="00957E52"/>
    <w:rsid w:val="00961C48"/>
    <w:rsid w:val="00964FBA"/>
    <w:rsid w:val="009666CF"/>
    <w:rsid w:val="00966C7A"/>
    <w:rsid w:val="00970907"/>
    <w:rsid w:val="00971A1B"/>
    <w:rsid w:val="00973342"/>
    <w:rsid w:val="0097390B"/>
    <w:rsid w:val="0097735E"/>
    <w:rsid w:val="00977A54"/>
    <w:rsid w:val="00977ED2"/>
    <w:rsid w:val="00982757"/>
    <w:rsid w:val="00982A1D"/>
    <w:rsid w:val="00982D01"/>
    <w:rsid w:val="009846F5"/>
    <w:rsid w:val="0098481B"/>
    <w:rsid w:val="009869E1"/>
    <w:rsid w:val="00987E3F"/>
    <w:rsid w:val="0099043C"/>
    <w:rsid w:val="00994285"/>
    <w:rsid w:val="00994641"/>
    <w:rsid w:val="00995C36"/>
    <w:rsid w:val="00996DEB"/>
    <w:rsid w:val="009A011A"/>
    <w:rsid w:val="009A08C6"/>
    <w:rsid w:val="009A25D8"/>
    <w:rsid w:val="009A29FE"/>
    <w:rsid w:val="009A3AEE"/>
    <w:rsid w:val="009A55B2"/>
    <w:rsid w:val="009A6569"/>
    <w:rsid w:val="009B4082"/>
    <w:rsid w:val="009B7F5E"/>
    <w:rsid w:val="009C17E8"/>
    <w:rsid w:val="009C1C3A"/>
    <w:rsid w:val="009C4638"/>
    <w:rsid w:val="009C5A38"/>
    <w:rsid w:val="009D1136"/>
    <w:rsid w:val="009D3391"/>
    <w:rsid w:val="009D488D"/>
    <w:rsid w:val="009D5773"/>
    <w:rsid w:val="009D6868"/>
    <w:rsid w:val="009E1363"/>
    <w:rsid w:val="009E17AB"/>
    <w:rsid w:val="009E1F15"/>
    <w:rsid w:val="009E3141"/>
    <w:rsid w:val="009E5647"/>
    <w:rsid w:val="009E7EE8"/>
    <w:rsid w:val="009F046E"/>
    <w:rsid w:val="009F333E"/>
    <w:rsid w:val="009F46EE"/>
    <w:rsid w:val="009F69C2"/>
    <w:rsid w:val="00A00C2D"/>
    <w:rsid w:val="00A015D5"/>
    <w:rsid w:val="00A01C3B"/>
    <w:rsid w:val="00A03269"/>
    <w:rsid w:val="00A06351"/>
    <w:rsid w:val="00A07AFC"/>
    <w:rsid w:val="00A17272"/>
    <w:rsid w:val="00A20DA5"/>
    <w:rsid w:val="00A21513"/>
    <w:rsid w:val="00A22504"/>
    <w:rsid w:val="00A23B99"/>
    <w:rsid w:val="00A25AA2"/>
    <w:rsid w:val="00A25DFE"/>
    <w:rsid w:val="00A3049B"/>
    <w:rsid w:val="00A31D9C"/>
    <w:rsid w:val="00A32EDA"/>
    <w:rsid w:val="00A35C4B"/>
    <w:rsid w:val="00A378AE"/>
    <w:rsid w:val="00A40619"/>
    <w:rsid w:val="00A41F42"/>
    <w:rsid w:val="00A4522A"/>
    <w:rsid w:val="00A4566B"/>
    <w:rsid w:val="00A4621E"/>
    <w:rsid w:val="00A46476"/>
    <w:rsid w:val="00A46A71"/>
    <w:rsid w:val="00A46EAE"/>
    <w:rsid w:val="00A47307"/>
    <w:rsid w:val="00A52DB2"/>
    <w:rsid w:val="00A53BF0"/>
    <w:rsid w:val="00A549EC"/>
    <w:rsid w:val="00A54B51"/>
    <w:rsid w:val="00A57F18"/>
    <w:rsid w:val="00A60D35"/>
    <w:rsid w:val="00A6359D"/>
    <w:rsid w:val="00A638C6"/>
    <w:rsid w:val="00A6403A"/>
    <w:rsid w:val="00A6632B"/>
    <w:rsid w:val="00A70E91"/>
    <w:rsid w:val="00A7200D"/>
    <w:rsid w:val="00A72218"/>
    <w:rsid w:val="00A74F52"/>
    <w:rsid w:val="00A76C01"/>
    <w:rsid w:val="00A80480"/>
    <w:rsid w:val="00A80E8B"/>
    <w:rsid w:val="00A81B90"/>
    <w:rsid w:val="00A8218F"/>
    <w:rsid w:val="00A83075"/>
    <w:rsid w:val="00A859D4"/>
    <w:rsid w:val="00A862AF"/>
    <w:rsid w:val="00A86FEC"/>
    <w:rsid w:val="00A8763D"/>
    <w:rsid w:val="00A87F87"/>
    <w:rsid w:val="00A93D51"/>
    <w:rsid w:val="00A949B2"/>
    <w:rsid w:val="00A954D1"/>
    <w:rsid w:val="00AA0254"/>
    <w:rsid w:val="00AA62AE"/>
    <w:rsid w:val="00AA75C5"/>
    <w:rsid w:val="00AB252A"/>
    <w:rsid w:val="00AB421A"/>
    <w:rsid w:val="00AB542F"/>
    <w:rsid w:val="00AB63BE"/>
    <w:rsid w:val="00AC21A0"/>
    <w:rsid w:val="00AC3776"/>
    <w:rsid w:val="00AC4080"/>
    <w:rsid w:val="00AC46B5"/>
    <w:rsid w:val="00AD2870"/>
    <w:rsid w:val="00AD38A4"/>
    <w:rsid w:val="00AD4319"/>
    <w:rsid w:val="00AD4A8C"/>
    <w:rsid w:val="00AD5171"/>
    <w:rsid w:val="00AD5A3B"/>
    <w:rsid w:val="00AD5F56"/>
    <w:rsid w:val="00AD73E7"/>
    <w:rsid w:val="00AE13D8"/>
    <w:rsid w:val="00AE19B6"/>
    <w:rsid w:val="00AE1AAF"/>
    <w:rsid w:val="00AE39E3"/>
    <w:rsid w:val="00AE3F06"/>
    <w:rsid w:val="00AE5ED7"/>
    <w:rsid w:val="00AE774D"/>
    <w:rsid w:val="00AE7E13"/>
    <w:rsid w:val="00AF0AA1"/>
    <w:rsid w:val="00AF3BCC"/>
    <w:rsid w:val="00AF48DC"/>
    <w:rsid w:val="00AF60AE"/>
    <w:rsid w:val="00AF624C"/>
    <w:rsid w:val="00AF6572"/>
    <w:rsid w:val="00B02122"/>
    <w:rsid w:val="00B05815"/>
    <w:rsid w:val="00B129D8"/>
    <w:rsid w:val="00B13FFB"/>
    <w:rsid w:val="00B14010"/>
    <w:rsid w:val="00B15737"/>
    <w:rsid w:val="00B16070"/>
    <w:rsid w:val="00B17B9B"/>
    <w:rsid w:val="00B17F8E"/>
    <w:rsid w:val="00B21109"/>
    <w:rsid w:val="00B216EA"/>
    <w:rsid w:val="00B24F13"/>
    <w:rsid w:val="00B31395"/>
    <w:rsid w:val="00B33E97"/>
    <w:rsid w:val="00B347F6"/>
    <w:rsid w:val="00B35789"/>
    <w:rsid w:val="00B419BE"/>
    <w:rsid w:val="00B474FB"/>
    <w:rsid w:val="00B53FEA"/>
    <w:rsid w:val="00B55D4D"/>
    <w:rsid w:val="00B57AD8"/>
    <w:rsid w:val="00B618F8"/>
    <w:rsid w:val="00B64E96"/>
    <w:rsid w:val="00B65FDF"/>
    <w:rsid w:val="00B660D1"/>
    <w:rsid w:val="00B66DEE"/>
    <w:rsid w:val="00B71CFA"/>
    <w:rsid w:val="00B7214B"/>
    <w:rsid w:val="00B73AE8"/>
    <w:rsid w:val="00B73C4F"/>
    <w:rsid w:val="00B762C5"/>
    <w:rsid w:val="00B8064E"/>
    <w:rsid w:val="00B80FE4"/>
    <w:rsid w:val="00B8328B"/>
    <w:rsid w:val="00B83742"/>
    <w:rsid w:val="00B8423F"/>
    <w:rsid w:val="00B87BE1"/>
    <w:rsid w:val="00B91655"/>
    <w:rsid w:val="00B91F62"/>
    <w:rsid w:val="00B946CB"/>
    <w:rsid w:val="00B9598A"/>
    <w:rsid w:val="00B978A6"/>
    <w:rsid w:val="00BA166D"/>
    <w:rsid w:val="00BA3EA2"/>
    <w:rsid w:val="00BA487D"/>
    <w:rsid w:val="00BA76A5"/>
    <w:rsid w:val="00BA7728"/>
    <w:rsid w:val="00BB139F"/>
    <w:rsid w:val="00BB2176"/>
    <w:rsid w:val="00BB2985"/>
    <w:rsid w:val="00BB312B"/>
    <w:rsid w:val="00BB36B1"/>
    <w:rsid w:val="00BB399D"/>
    <w:rsid w:val="00BB4DBF"/>
    <w:rsid w:val="00BB68C4"/>
    <w:rsid w:val="00BB6CC0"/>
    <w:rsid w:val="00BB769F"/>
    <w:rsid w:val="00BB7E8C"/>
    <w:rsid w:val="00BC1D1B"/>
    <w:rsid w:val="00BC1D64"/>
    <w:rsid w:val="00BC5786"/>
    <w:rsid w:val="00BC67CE"/>
    <w:rsid w:val="00BD02DD"/>
    <w:rsid w:val="00BD0A8A"/>
    <w:rsid w:val="00BD2BE6"/>
    <w:rsid w:val="00BD47EE"/>
    <w:rsid w:val="00BE0D47"/>
    <w:rsid w:val="00BE42BE"/>
    <w:rsid w:val="00BE5E35"/>
    <w:rsid w:val="00BF0EF5"/>
    <w:rsid w:val="00BF11F7"/>
    <w:rsid w:val="00BF2794"/>
    <w:rsid w:val="00BF3351"/>
    <w:rsid w:val="00BF3CDB"/>
    <w:rsid w:val="00BF7DF7"/>
    <w:rsid w:val="00C034AF"/>
    <w:rsid w:val="00C048A1"/>
    <w:rsid w:val="00C05345"/>
    <w:rsid w:val="00C05401"/>
    <w:rsid w:val="00C072A8"/>
    <w:rsid w:val="00C1034E"/>
    <w:rsid w:val="00C10A6B"/>
    <w:rsid w:val="00C1361E"/>
    <w:rsid w:val="00C16A3E"/>
    <w:rsid w:val="00C1727B"/>
    <w:rsid w:val="00C22435"/>
    <w:rsid w:val="00C23021"/>
    <w:rsid w:val="00C23CAD"/>
    <w:rsid w:val="00C247CA"/>
    <w:rsid w:val="00C266DF"/>
    <w:rsid w:val="00C27300"/>
    <w:rsid w:val="00C27798"/>
    <w:rsid w:val="00C31340"/>
    <w:rsid w:val="00C32E15"/>
    <w:rsid w:val="00C34438"/>
    <w:rsid w:val="00C350D5"/>
    <w:rsid w:val="00C358F7"/>
    <w:rsid w:val="00C36C87"/>
    <w:rsid w:val="00C44DEA"/>
    <w:rsid w:val="00C45B2C"/>
    <w:rsid w:val="00C46A5A"/>
    <w:rsid w:val="00C47F18"/>
    <w:rsid w:val="00C50026"/>
    <w:rsid w:val="00C50816"/>
    <w:rsid w:val="00C5081D"/>
    <w:rsid w:val="00C51293"/>
    <w:rsid w:val="00C52D2D"/>
    <w:rsid w:val="00C53E96"/>
    <w:rsid w:val="00C57C14"/>
    <w:rsid w:val="00C62C5F"/>
    <w:rsid w:val="00C63AAA"/>
    <w:rsid w:val="00C646B6"/>
    <w:rsid w:val="00C64AF2"/>
    <w:rsid w:val="00C65D54"/>
    <w:rsid w:val="00C7123B"/>
    <w:rsid w:val="00C734F5"/>
    <w:rsid w:val="00C73B00"/>
    <w:rsid w:val="00C73CD7"/>
    <w:rsid w:val="00C778A7"/>
    <w:rsid w:val="00C820A3"/>
    <w:rsid w:val="00C8301B"/>
    <w:rsid w:val="00C91C1B"/>
    <w:rsid w:val="00C9284C"/>
    <w:rsid w:val="00C97981"/>
    <w:rsid w:val="00CA1C87"/>
    <w:rsid w:val="00CA2C2C"/>
    <w:rsid w:val="00CB0065"/>
    <w:rsid w:val="00CB3EB0"/>
    <w:rsid w:val="00CB550C"/>
    <w:rsid w:val="00CB56E3"/>
    <w:rsid w:val="00CB65D4"/>
    <w:rsid w:val="00CB6FE0"/>
    <w:rsid w:val="00CB7603"/>
    <w:rsid w:val="00CC07F5"/>
    <w:rsid w:val="00CC60A2"/>
    <w:rsid w:val="00CC623D"/>
    <w:rsid w:val="00CC70FB"/>
    <w:rsid w:val="00CD05AE"/>
    <w:rsid w:val="00CD062A"/>
    <w:rsid w:val="00CD2CB7"/>
    <w:rsid w:val="00CD32C3"/>
    <w:rsid w:val="00CD5440"/>
    <w:rsid w:val="00CE3095"/>
    <w:rsid w:val="00CE7EF7"/>
    <w:rsid w:val="00CF100B"/>
    <w:rsid w:val="00CF29A4"/>
    <w:rsid w:val="00CF30E6"/>
    <w:rsid w:val="00CF3107"/>
    <w:rsid w:val="00CF544C"/>
    <w:rsid w:val="00CF561F"/>
    <w:rsid w:val="00CF5819"/>
    <w:rsid w:val="00CF5856"/>
    <w:rsid w:val="00CF674D"/>
    <w:rsid w:val="00D03B74"/>
    <w:rsid w:val="00D04CC1"/>
    <w:rsid w:val="00D052E3"/>
    <w:rsid w:val="00D0620F"/>
    <w:rsid w:val="00D0703C"/>
    <w:rsid w:val="00D07F8E"/>
    <w:rsid w:val="00D10DF3"/>
    <w:rsid w:val="00D110C6"/>
    <w:rsid w:val="00D11900"/>
    <w:rsid w:val="00D1368B"/>
    <w:rsid w:val="00D1649B"/>
    <w:rsid w:val="00D17CFE"/>
    <w:rsid w:val="00D17EA5"/>
    <w:rsid w:val="00D2005C"/>
    <w:rsid w:val="00D23700"/>
    <w:rsid w:val="00D26B17"/>
    <w:rsid w:val="00D27A13"/>
    <w:rsid w:val="00D313D0"/>
    <w:rsid w:val="00D319B3"/>
    <w:rsid w:val="00D320FF"/>
    <w:rsid w:val="00D3441C"/>
    <w:rsid w:val="00D34688"/>
    <w:rsid w:val="00D34AC8"/>
    <w:rsid w:val="00D371BB"/>
    <w:rsid w:val="00D40E09"/>
    <w:rsid w:val="00D411CC"/>
    <w:rsid w:val="00D43271"/>
    <w:rsid w:val="00D44B34"/>
    <w:rsid w:val="00D4527C"/>
    <w:rsid w:val="00D46FC8"/>
    <w:rsid w:val="00D47048"/>
    <w:rsid w:val="00D5002F"/>
    <w:rsid w:val="00D506E2"/>
    <w:rsid w:val="00D51005"/>
    <w:rsid w:val="00D51BA2"/>
    <w:rsid w:val="00D55309"/>
    <w:rsid w:val="00D618E1"/>
    <w:rsid w:val="00D621E6"/>
    <w:rsid w:val="00D70D50"/>
    <w:rsid w:val="00D7113B"/>
    <w:rsid w:val="00D734A2"/>
    <w:rsid w:val="00D74703"/>
    <w:rsid w:val="00D7498D"/>
    <w:rsid w:val="00D75ABD"/>
    <w:rsid w:val="00D767C2"/>
    <w:rsid w:val="00D80D09"/>
    <w:rsid w:val="00D8152A"/>
    <w:rsid w:val="00D8187E"/>
    <w:rsid w:val="00D81B15"/>
    <w:rsid w:val="00D81F2B"/>
    <w:rsid w:val="00D83B99"/>
    <w:rsid w:val="00D84515"/>
    <w:rsid w:val="00D85442"/>
    <w:rsid w:val="00D91CF9"/>
    <w:rsid w:val="00D92488"/>
    <w:rsid w:val="00D94A93"/>
    <w:rsid w:val="00D95BEA"/>
    <w:rsid w:val="00D961A8"/>
    <w:rsid w:val="00DA262C"/>
    <w:rsid w:val="00DA30D3"/>
    <w:rsid w:val="00DA35F6"/>
    <w:rsid w:val="00DA3E6A"/>
    <w:rsid w:val="00DA542E"/>
    <w:rsid w:val="00DA54A9"/>
    <w:rsid w:val="00DA5577"/>
    <w:rsid w:val="00DA7C02"/>
    <w:rsid w:val="00DA7E43"/>
    <w:rsid w:val="00DB16C2"/>
    <w:rsid w:val="00DB2934"/>
    <w:rsid w:val="00DB2C43"/>
    <w:rsid w:val="00DB45D8"/>
    <w:rsid w:val="00DB5EBC"/>
    <w:rsid w:val="00DB6302"/>
    <w:rsid w:val="00DB7471"/>
    <w:rsid w:val="00DC0D9B"/>
    <w:rsid w:val="00DC1CEE"/>
    <w:rsid w:val="00DC2BFF"/>
    <w:rsid w:val="00DC33D5"/>
    <w:rsid w:val="00DC5A0F"/>
    <w:rsid w:val="00DC61B8"/>
    <w:rsid w:val="00DD2B30"/>
    <w:rsid w:val="00DD7873"/>
    <w:rsid w:val="00DD7D73"/>
    <w:rsid w:val="00DE0C5B"/>
    <w:rsid w:val="00DE390F"/>
    <w:rsid w:val="00DE7B92"/>
    <w:rsid w:val="00DF14B4"/>
    <w:rsid w:val="00DF1B19"/>
    <w:rsid w:val="00DF3837"/>
    <w:rsid w:val="00DF3D10"/>
    <w:rsid w:val="00DF3E84"/>
    <w:rsid w:val="00DF6294"/>
    <w:rsid w:val="00E06046"/>
    <w:rsid w:val="00E06352"/>
    <w:rsid w:val="00E1155D"/>
    <w:rsid w:val="00E1323D"/>
    <w:rsid w:val="00E13C73"/>
    <w:rsid w:val="00E160A0"/>
    <w:rsid w:val="00E16267"/>
    <w:rsid w:val="00E163E8"/>
    <w:rsid w:val="00E16FCD"/>
    <w:rsid w:val="00E202C3"/>
    <w:rsid w:val="00E20594"/>
    <w:rsid w:val="00E206D2"/>
    <w:rsid w:val="00E21A5B"/>
    <w:rsid w:val="00E237AE"/>
    <w:rsid w:val="00E24811"/>
    <w:rsid w:val="00E24E89"/>
    <w:rsid w:val="00E2657B"/>
    <w:rsid w:val="00E279DC"/>
    <w:rsid w:val="00E3232C"/>
    <w:rsid w:val="00E325D0"/>
    <w:rsid w:val="00E330DA"/>
    <w:rsid w:val="00E33A8F"/>
    <w:rsid w:val="00E34496"/>
    <w:rsid w:val="00E405C6"/>
    <w:rsid w:val="00E40AFD"/>
    <w:rsid w:val="00E427A2"/>
    <w:rsid w:val="00E43A1A"/>
    <w:rsid w:val="00E447E3"/>
    <w:rsid w:val="00E44BAE"/>
    <w:rsid w:val="00E45F67"/>
    <w:rsid w:val="00E5081A"/>
    <w:rsid w:val="00E50CD8"/>
    <w:rsid w:val="00E50F56"/>
    <w:rsid w:val="00E519B2"/>
    <w:rsid w:val="00E52823"/>
    <w:rsid w:val="00E53865"/>
    <w:rsid w:val="00E54018"/>
    <w:rsid w:val="00E56C23"/>
    <w:rsid w:val="00E57792"/>
    <w:rsid w:val="00E6371F"/>
    <w:rsid w:val="00E648D2"/>
    <w:rsid w:val="00E70162"/>
    <w:rsid w:val="00E72390"/>
    <w:rsid w:val="00E72A87"/>
    <w:rsid w:val="00E75348"/>
    <w:rsid w:val="00E75B41"/>
    <w:rsid w:val="00E75B7F"/>
    <w:rsid w:val="00E779B3"/>
    <w:rsid w:val="00E80518"/>
    <w:rsid w:val="00E80C10"/>
    <w:rsid w:val="00E80D84"/>
    <w:rsid w:val="00E81FF6"/>
    <w:rsid w:val="00E82E79"/>
    <w:rsid w:val="00E82F42"/>
    <w:rsid w:val="00E85489"/>
    <w:rsid w:val="00E85F99"/>
    <w:rsid w:val="00E86792"/>
    <w:rsid w:val="00E907CD"/>
    <w:rsid w:val="00E92E33"/>
    <w:rsid w:val="00E94350"/>
    <w:rsid w:val="00E97351"/>
    <w:rsid w:val="00EA0432"/>
    <w:rsid w:val="00EA2A1D"/>
    <w:rsid w:val="00EA4CBA"/>
    <w:rsid w:val="00EB09D3"/>
    <w:rsid w:val="00EB0CFB"/>
    <w:rsid w:val="00EB1A5A"/>
    <w:rsid w:val="00EB316C"/>
    <w:rsid w:val="00EB3E42"/>
    <w:rsid w:val="00EB6D64"/>
    <w:rsid w:val="00EB7206"/>
    <w:rsid w:val="00EC34B9"/>
    <w:rsid w:val="00EC3C98"/>
    <w:rsid w:val="00EC51DC"/>
    <w:rsid w:val="00EC717D"/>
    <w:rsid w:val="00ED0112"/>
    <w:rsid w:val="00ED07FD"/>
    <w:rsid w:val="00ED0F8F"/>
    <w:rsid w:val="00ED16DD"/>
    <w:rsid w:val="00ED30D5"/>
    <w:rsid w:val="00ED6E76"/>
    <w:rsid w:val="00EE0B4C"/>
    <w:rsid w:val="00EE1236"/>
    <w:rsid w:val="00EE215A"/>
    <w:rsid w:val="00EE4C54"/>
    <w:rsid w:val="00EF2843"/>
    <w:rsid w:val="00EF2CFC"/>
    <w:rsid w:val="00EF2EAA"/>
    <w:rsid w:val="00EF373F"/>
    <w:rsid w:val="00EF3963"/>
    <w:rsid w:val="00EF7A49"/>
    <w:rsid w:val="00F005C0"/>
    <w:rsid w:val="00F010F3"/>
    <w:rsid w:val="00F01917"/>
    <w:rsid w:val="00F01B28"/>
    <w:rsid w:val="00F02278"/>
    <w:rsid w:val="00F0373D"/>
    <w:rsid w:val="00F03F9B"/>
    <w:rsid w:val="00F04623"/>
    <w:rsid w:val="00F04E98"/>
    <w:rsid w:val="00F107AC"/>
    <w:rsid w:val="00F10E75"/>
    <w:rsid w:val="00F114A0"/>
    <w:rsid w:val="00F14816"/>
    <w:rsid w:val="00F16502"/>
    <w:rsid w:val="00F17254"/>
    <w:rsid w:val="00F2023E"/>
    <w:rsid w:val="00F21469"/>
    <w:rsid w:val="00F22183"/>
    <w:rsid w:val="00F23A56"/>
    <w:rsid w:val="00F24DBF"/>
    <w:rsid w:val="00F2679B"/>
    <w:rsid w:val="00F275DA"/>
    <w:rsid w:val="00F304DC"/>
    <w:rsid w:val="00F3158E"/>
    <w:rsid w:val="00F3217D"/>
    <w:rsid w:val="00F3301E"/>
    <w:rsid w:val="00F33BEA"/>
    <w:rsid w:val="00F347AD"/>
    <w:rsid w:val="00F34A4A"/>
    <w:rsid w:val="00F35BC8"/>
    <w:rsid w:val="00F35D01"/>
    <w:rsid w:val="00F36224"/>
    <w:rsid w:val="00F40714"/>
    <w:rsid w:val="00F41237"/>
    <w:rsid w:val="00F41309"/>
    <w:rsid w:val="00F47614"/>
    <w:rsid w:val="00F51252"/>
    <w:rsid w:val="00F529B4"/>
    <w:rsid w:val="00F52C1A"/>
    <w:rsid w:val="00F5338F"/>
    <w:rsid w:val="00F53D14"/>
    <w:rsid w:val="00F53FEB"/>
    <w:rsid w:val="00F613F0"/>
    <w:rsid w:val="00F63B4D"/>
    <w:rsid w:val="00F64787"/>
    <w:rsid w:val="00F70E8E"/>
    <w:rsid w:val="00F70FAD"/>
    <w:rsid w:val="00F716F3"/>
    <w:rsid w:val="00F7285A"/>
    <w:rsid w:val="00F72B11"/>
    <w:rsid w:val="00F760F7"/>
    <w:rsid w:val="00F76873"/>
    <w:rsid w:val="00F8009A"/>
    <w:rsid w:val="00F807A5"/>
    <w:rsid w:val="00F812B3"/>
    <w:rsid w:val="00F8227C"/>
    <w:rsid w:val="00F87F71"/>
    <w:rsid w:val="00F904AD"/>
    <w:rsid w:val="00F9164E"/>
    <w:rsid w:val="00F91836"/>
    <w:rsid w:val="00F9280E"/>
    <w:rsid w:val="00F9391B"/>
    <w:rsid w:val="00F93E23"/>
    <w:rsid w:val="00F945FF"/>
    <w:rsid w:val="00F94F75"/>
    <w:rsid w:val="00FA3399"/>
    <w:rsid w:val="00FA460C"/>
    <w:rsid w:val="00FA4E8C"/>
    <w:rsid w:val="00FA5CFF"/>
    <w:rsid w:val="00FA6CB0"/>
    <w:rsid w:val="00FA7B35"/>
    <w:rsid w:val="00FA7C11"/>
    <w:rsid w:val="00FB1789"/>
    <w:rsid w:val="00FB1C41"/>
    <w:rsid w:val="00FB502F"/>
    <w:rsid w:val="00FB53F8"/>
    <w:rsid w:val="00FC02FE"/>
    <w:rsid w:val="00FC10E7"/>
    <w:rsid w:val="00FC23ED"/>
    <w:rsid w:val="00FC2486"/>
    <w:rsid w:val="00FC2668"/>
    <w:rsid w:val="00FC3640"/>
    <w:rsid w:val="00FC4909"/>
    <w:rsid w:val="00FC5FE0"/>
    <w:rsid w:val="00FC6545"/>
    <w:rsid w:val="00FD0065"/>
    <w:rsid w:val="00FD12B5"/>
    <w:rsid w:val="00FD2FA6"/>
    <w:rsid w:val="00FD31A2"/>
    <w:rsid w:val="00FD4470"/>
    <w:rsid w:val="00FD6B0B"/>
    <w:rsid w:val="00FD7855"/>
    <w:rsid w:val="00FE3975"/>
    <w:rsid w:val="00FF0B54"/>
    <w:rsid w:val="00FF0F86"/>
    <w:rsid w:val="00FF1FFE"/>
    <w:rsid w:val="00FF31C4"/>
    <w:rsid w:val="00FF3A18"/>
    <w:rsid w:val="00FF60B8"/>
    <w:rsid w:val="00FF63E7"/>
    <w:rsid w:val="00FF64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F75F"/>
  <w15:docId w15:val="{281983C3-C2F7-4FB2-8D4F-A932F40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AC"/>
  </w:style>
  <w:style w:type="paragraph" w:styleId="Heading1">
    <w:name w:val="heading 1"/>
    <w:basedOn w:val="Normal"/>
    <w:next w:val="Normal"/>
    <w:link w:val="Heading1Char"/>
    <w:uiPriority w:val="9"/>
    <w:qFormat/>
    <w:rsid w:val="00CB56E3"/>
    <w:pPr>
      <w:keepNext/>
      <w:spacing w:after="0" w:line="480" w:lineRule="auto"/>
      <w:jc w:val="center"/>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rsid w:val="00CB56E3"/>
    <w:pPr>
      <w:keepNext/>
      <w:spacing w:after="0" w:line="240" w:lineRule="auto"/>
      <w:outlineLvl w:val="1"/>
    </w:pPr>
    <w:rPr>
      <w:rFonts w:ascii="Times New Roman" w:eastAsia="Times New Roman" w:hAnsi="Times New Roman" w:cs="Times New Roman"/>
      <w:i/>
      <w:sz w:val="24"/>
      <w:szCs w:val="24"/>
    </w:rPr>
  </w:style>
  <w:style w:type="paragraph" w:styleId="Heading3">
    <w:name w:val="heading 3"/>
    <w:basedOn w:val="Normal"/>
    <w:next w:val="Normal"/>
    <w:link w:val="Heading3Char"/>
    <w:uiPriority w:val="9"/>
    <w:semiHidden/>
    <w:unhideWhenUsed/>
    <w:qFormat/>
    <w:rsid w:val="00D75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CB56E3"/>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6E3"/>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CB56E3"/>
    <w:rPr>
      <w:rFonts w:ascii="Times New Roman" w:eastAsia="Times New Roman" w:hAnsi="Times New Roman" w:cs="Times New Roman"/>
      <w:i/>
      <w:sz w:val="24"/>
      <w:szCs w:val="24"/>
    </w:rPr>
  </w:style>
  <w:style w:type="character" w:customStyle="1" w:styleId="Heading4Char">
    <w:name w:val="Heading 4 Char"/>
    <w:basedOn w:val="DefaultParagraphFont"/>
    <w:link w:val="Heading4"/>
    <w:semiHidden/>
    <w:rsid w:val="00CB56E3"/>
    <w:rPr>
      <w:rFonts w:ascii="Cambria" w:eastAsia="Times New Roman" w:hAnsi="Cambria" w:cs="Times New Roman"/>
      <w:b/>
      <w:bCs/>
      <w:i/>
      <w:iCs/>
      <w:color w:val="4F81BD"/>
      <w:sz w:val="24"/>
      <w:szCs w:val="24"/>
    </w:rPr>
  </w:style>
  <w:style w:type="paragraph" w:styleId="BodyText">
    <w:name w:val="Body Text"/>
    <w:basedOn w:val="Normal"/>
    <w:link w:val="BodyTextChar"/>
    <w:uiPriority w:val="99"/>
    <w:rsid w:val="00CB56E3"/>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B56E3"/>
    <w:rPr>
      <w:rFonts w:ascii="Times New Roman" w:eastAsia="Times New Roman" w:hAnsi="Times New Roman" w:cs="Times New Roman"/>
      <w:sz w:val="24"/>
      <w:szCs w:val="24"/>
    </w:rPr>
  </w:style>
  <w:style w:type="paragraph" w:styleId="Title">
    <w:name w:val="Title"/>
    <w:basedOn w:val="Normal"/>
    <w:link w:val="TitleChar"/>
    <w:qFormat/>
    <w:rsid w:val="00CB56E3"/>
    <w:pPr>
      <w:spacing w:after="0" w:line="36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CB56E3"/>
    <w:rPr>
      <w:rFonts w:ascii="Times New Roman" w:eastAsia="Times New Roman" w:hAnsi="Times New Roman" w:cs="Times New Roman"/>
      <w:b/>
      <w:bCs/>
      <w:sz w:val="26"/>
      <w:szCs w:val="24"/>
    </w:rPr>
  </w:style>
  <w:style w:type="paragraph" w:styleId="Header">
    <w:name w:val="header"/>
    <w:basedOn w:val="Normal"/>
    <w:link w:val="HeaderChar"/>
    <w:uiPriority w:val="99"/>
    <w:rsid w:val="00CB56E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56E3"/>
    <w:rPr>
      <w:rFonts w:ascii="Times New Roman" w:eastAsia="Times New Roman" w:hAnsi="Times New Roman" w:cs="Times New Roman"/>
      <w:sz w:val="24"/>
      <w:szCs w:val="24"/>
    </w:rPr>
  </w:style>
  <w:style w:type="paragraph" w:styleId="Footer">
    <w:name w:val="footer"/>
    <w:basedOn w:val="Normal"/>
    <w:link w:val="FooterChar"/>
    <w:rsid w:val="00CB56E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B56E3"/>
    <w:rPr>
      <w:rFonts w:ascii="Times New Roman" w:eastAsia="Times New Roman" w:hAnsi="Times New Roman" w:cs="Times New Roman"/>
      <w:sz w:val="24"/>
      <w:szCs w:val="24"/>
    </w:rPr>
  </w:style>
  <w:style w:type="character" w:styleId="PageNumber">
    <w:name w:val="page number"/>
    <w:basedOn w:val="DefaultParagraphFont"/>
    <w:rsid w:val="00CB56E3"/>
  </w:style>
  <w:style w:type="paragraph" w:styleId="Subtitle">
    <w:name w:val="Subtitle"/>
    <w:basedOn w:val="Normal"/>
    <w:link w:val="SubtitleChar"/>
    <w:qFormat/>
    <w:rsid w:val="00CB56E3"/>
    <w:pPr>
      <w:spacing w:after="120" w:line="360" w:lineRule="auto"/>
      <w:jc w:val="center"/>
    </w:pPr>
    <w:rPr>
      <w:rFonts w:ascii="Times New Roman" w:eastAsia="Times New Roman" w:hAnsi="Times New Roman" w:cs="Times New Roman"/>
      <w:b/>
      <w:sz w:val="26"/>
      <w:szCs w:val="24"/>
    </w:rPr>
  </w:style>
  <w:style w:type="character" w:customStyle="1" w:styleId="SubtitleChar">
    <w:name w:val="Subtitle Char"/>
    <w:basedOn w:val="DefaultParagraphFont"/>
    <w:link w:val="Subtitle"/>
    <w:rsid w:val="00CB56E3"/>
    <w:rPr>
      <w:rFonts w:ascii="Times New Roman" w:eastAsia="Times New Roman" w:hAnsi="Times New Roman" w:cs="Times New Roman"/>
      <w:b/>
      <w:sz w:val="26"/>
      <w:szCs w:val="24"/>
    </w:rPr>
  </w:style>
  <w:style w:type="table" w:styleId="TableGrid">
    <w:name w:val="Table Grid"/>
    <w:basedOn w:val="TableNormal"/>
    <w:rsid w:val="00CB56E3"/>
    <w:pPr>
      <w:spacing w:after="0" w:line="240" w:lineRule="auto"/>
    </w:pPr>
    <w:rPr>
      <w:rFonts w:ascii="Times New Roman" w:eastAsia="Times New Roma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B56E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CB56E3"/>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CB56E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B56E3"/>
    <w:rPr>
      <w:rFonts w:ascii="Tahoma" w:eastAsia="Times New Roman" w:hAnsi="Tahoma" w:cs="Times New Roman"/>
      <w:sz w:val="16"/>
      <w:szCs w:val="16"/>
    </w:rPr>
  </w:style>
  <w:style w:type="character" w:styleId="CommentReference">
    <w:name w:val="annotation reference"/>
    <w:rsid w:val="00CB56E3"/>
    <w:rPr>
      <w:sz w:val="16"/>
      <w:szCs w:val="16"/>
    </w:rPr>
  </w:style>
  <w:style w:type="paragraph" w:styleId="CommentText">
    <w:name w:val="annotation text"/>
    <w:basedOn w:val="Normal"/>
    <w:link w:val="CommentTextChar"/>
    <w:rsid w:val="00CB56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B56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56E3"/>
    <w:rPr>
      <w:b/>
      <w:bCs/>
    </w:rPr>
  </w:style>
  <w:style w:type="character" w:customStyle="1" w:styleId="CommentSubjectChar">
    <w:name w:val="Comment Subject Char"/>
    <w:basedOn w:val="CommentTextChar"/>
    <w:link w:val="CommentSubject"/>
    <w:rsid w:val="00CB56E3"/>
    <w:rPr>
      <w:rFonts w:ascii="Times New Roman" w:eastAsia="Times New Roman" w:hAnsi="Times New Roman" w:cs="Times New Roman"/>
      <w:b/>
      <w:bCs/>
      <w:sz w:val="20"/>
      <w:szCs w:val="20"/>
    </w:rPr>
  </w:style>
  <w:style w:type="paragraph" w:styleId="ListParagraph">
    <w:name w:val="List Paragraph"/>
    <w:aliases w:val="Source,Colorful List - Accent 11,Bab,Atan,Cell bullets,Noise heading,RUS List,Text,Recommendation,List Paragraph1,Item2,List Paragraph11,Bulleted Para,NFP GP Bulleted List,FooterText,numbered,Paragraphe de liste1,列出段落,列出段落1,リスト段落1"/>
    <w:basedOn w:val="Normal"/>
    <w:link w:val="ListParagraphChar"/>
    <w:uiPriority w:val="34"/>
    <w:qFormat/>
    <w:rsid w:val="00CB56E3"/>
    <w:pPr>
      <w:spacing w:after="0" w:line="240" w:lineRule="auto"/>
      <w:ind w:left="720"/>
    </w:pPr>
    <w:rPr>
      <w:rFonts w:ascii="Calibri" w:eastAsia="Calibri" w:hAnsi="Calibri" w:cs="Times New Roman"/>
      <w:lang w:val="en-US"/>
    </w:rPr>
  </w:style>
  <w:style w:type="paragraph" w:styleId="Revision">
    <w:name w:val="Revision"/>
    <w:hidden/>
    <w:uiPriority w:val="99"/>
    <w:semiHidden/>
    <w:rsid w:val="00CB56E3"/>
    <w:pPr>
      <w:spacing w:after="0" w:line="240" w:lineRule="auto"/>
    </w:pPr>
    <w:rPr>
      <w:rFonts w:ascii="Times New Roman" w:eastAsia="Times New Roman" w:hAnsi="Times New Roman" w:cs="Times New Roman"/>
      <w:sz w:val="24"/>
      <w:szCs w:val="24"/>
    </w:rPr>
  </w:style>
  <w:style w:type="paragraph" w:customStyle="1" w:styleId="Default">
    <w:name w:val="Default"/>
    <w:rsid w:val="00CB56E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NoSpacing">
    <w:name w:val="No Spacing"/>
    <w:uiPriority w:val="1"/>
    <w:qFormat/>
    <w:rsid w:val="00CB56E3"/>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Source Char,Colorful List - Accent 11 Char,Bab Char,Atan Char,Cell bullets Char,Noise heading Char,RUS List Char,Text Char,Recommendation Char,List Paragraph1 Char,Item2 Char,List Paragraph11 Char,Bulleted Para Char,FooterText Char"/>
    <w:link w:val="ListParagraph"/>
    <w:uiPriority w:val="34"/>
    <w:qFormat/>
    <w:locked/>
    <w:rsid w:val="00CB56E3"/>
    <w:rPr>
      <w:rFonts w:ascii="Calibri" w:eastAsia="Calibri" w:hAnsi="Calibri" w:cs="Times New Roman"/>
      <w:lang w:val="en-US"/>
    </w:rPr>
  </w:style>
  <w:style w:type="paragraph" w:styleId="NormalWeb">
    <w:name w:val="Normal (Web)"/>
    <w:basedOn w:val="Normal"/>
    <w:uiPriority w:val="99"/>
    <w:semiHidden/>
    <w:unhideWhenUsed/>
    <w:rsid w:val="00CB56E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4">
    <w:name w:val="toc 4"/>
    <w:basedOn w:val="Normal"/>
    <w:next w:val="Normal"/>
    <w:autoRedefine/>
    <w:uiPriority w:val="39"/>
    <w:unhideWhenUsed/>
    <w:rsid w:val="00CB56E3"/>
    <w:pPr>
      <w:spacing w:after="100"/>
      <w:ind w:left="660"/>
    </w:pPr>
    <w:rPr>
      <w:rFonts w:eastAsiaTheme="minorEastAsia"/>
      <w:lang w:val="en-US"/>
    </w:rPr>
  </w:style>
  <w:style w:type="table" w:customStyle="1" w:styleId="TableGrid1">
    <w:name w:val="Table Grid1"/>
    <w:basedOn w:val="TableNormal"/>
    <w:next w:val="TableGrid"/>
    <w:rsid w:val="00CB56E3"/>
    <w:pPr>
      <w:spacing w:after="0" w:line="240" w:lineRule="auto"/>
    </w:pPr>
    <w:rPr>
      <w:rFonts w:ascii="Times New Roman" w:eastAsia="Times New Roman" w:hAnsi="Times New Roman"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75A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7962">
      <w:bodyDiv w:val="1"/>
      <w:marLeft w:val="0"/>
      <w:marRight w:val="0"/>
      <w:marTop w:val="0"/>
      <w:marBottom w:val="0"/>
      <w:divBdr>
        <w:top w:val="none" w:sz="0" w:space="0" w:color="auto"/>
        <w:left w:val="none" w:sz="0" w:space="0" w:color="auto"/>
        <w:bottom w:val="none" w:sz="0" w:space="0" w:color="auto"/>
        <w:right w:val="none" w:sz="0" w:space="0" w:color="auto"/>
      </w:divBdr>
      <w:divsChild>
        <w:div w:id="504588249">
          <w:marLeft w:val="360"/>
          <w:marRight w:val="0"/>
          <w:marTop w:val="0"/>
          <w:marBottom w:val="0"/>
          <w:divBdr>
            <w:top w:val="none" w:sz="0" w:space="0" w:color="auto"/>
            <w:left w:val="none" w:sz="0" w:space="0" w:color="auto"/>
            <w:bottom w:val="none" w:sz="0" w:space="0" w:color="auto"/>
            <w:right w:val="none" w:sz="0" w:space="0" w:color="auto"/>
          </w:divBdr>
        </w:div>
        <w:div w:id="1627808420">
          <w:marLeft w:val="360"/>
          <w:marRight w:val="0"/>
          <w:marTop w:val="0"/>
          <w:marBottom w:val="0"/>
          <w:divBdr>
            <w:top w:val="none" w:sz="0" w:space="0" w:color="auto"/>
            <w:left w:val="none" w:sz="0" w:space="0" w:color="auto"/>
            <w:bottom w:val="none" w:sz="0" w:space="0" w:color="auto"/>
            <w:right w:val="none" w:sz="0" w:space="0" w:color="auto"/>
          </w:divBdr>
        </w:div>
        <w:div w:id="1986661157">
          <w:marLeft w:val="360"/>
          <w:marRight w:val="0"/>
          <w:marTop w:val="0"/>
          <w:marBottom w:val="0"/>
          <w:divBdr>
            <w:top w:val="none" w:sz="0" w:space="0" w:color="auto"/>
            <w:left w:val="none" w:sz="0" w:space="0" w:color="auto"/>
            <w:bottom w:val="none" w:sz="0" w:space="0" w:color="auto"/>
            <w:right w:val="none" w:sz="0" w:space="0" w:color="auto"/>
          </w:divBdr>
        </w:div>
      </w:divsChild>
    </w:div>
    <w:div w:id="341778868">
      <w:bodyDiv w:val="1"/>
      <w:marLeft w:val="0"/>
      <w:marRight w:val="0"/>
      <w:marTop w:val="0"/>
      <w:marBottom w:val="0"/>
      <w:divBdr>
        <w:top w:val="none" w:sz="0" w:space="0" w:color="auto"/>
        <w:left w:val="none" w:sz="0" w:space="0" w:color="auto"/>
        <w:bottom w:val="none" w:sz="0" w:space="0" w:color="auto"/>
        <w:right w:val="none" w:sz="0" w:space="0" w:color="auto"/>
      </w:divBdr>
      <w:divsChild>
        <w:div w:id="413282665">
          <w:marLeft w:val="360"/>
          <w:marRight w:val="0"/>
          <w:marTop w:val="0"/>
          <w:marBottom w:val="0"/>
          <w:divBdr>
            <w:top w:val="none" w:sz="0" w:space="0" w:color="auto"/>
            <w:left w:val="none" w:sz="0" w:space="0" w:color="auto"/>
            <w:bottom w:val="none" w:sz="0" w:space="0" w:color="auto"/>
            <w:right w:val="none" w:sz="0" w:space="0" w:color="auto"/>
          </w:divBdr>
        </w:div>
        <w:div w:id="871920867">
          <w:marLeft w:val="360"/>
          <w:marRight w:val="0"/>
          <w:marTop w:val="0"/>
          <w:marBottom w:val="0"/>
          <w:divBdr>
            <w:top w:val="none" w:sz="0" w:space="0" w:color="auto"/>
            <w:left w:val="none" w:sz="0" w:space="0" w:color="auto"/>
            <w:bottom w:val="none" w:sz="0" w:space="0" w:color="auto"/>
            <w:right w:val="none" w:sz="0" w:space="0" w:color="auto"/>
          </w:divBdr>
        </w:div>
        <w:div w:id="1097485444">
          <w:marLeft w:val="360"/>
          <w:marRight w:val="0"/>
          <w:marTop w:val="0"/>
          <w:marBottom w:val="0"/>
          <w:divBdr>
            <w:top w:val="none" w:sz="0" w:space="0" w:color="auto"/>
            <w:left w:val="none" w:sz="0" w:space="0" w:color="auto"/>
            <w:bottom w:val="none" w:sz="0" w:space="0" w:color="auto"/>
            <w:right w:val="none" w:sz="0" w:space="0" w:color="auto"/>
          </w:divBdr>
        </w:div>
      </w:divsChild>
    </w:div>
    <w:div w:id="417869605">
      <w:bodyDiv w:val="1"/>
      <w:marLeft w:val="0"/>
      <w:marRight w:val="0"/>
      <w:marTop w:val="0"/>
      <w:marBottom w:val="0"/>
      <w:divBdr>
        <w:top w:val="none" w:sz="0" w:space="0" w:color="auto"/>
        <w:left w:val="none" w:sz="0" w:space="0" w:color="auto"/>
        <w:bottom w:val="none" w:sz="0" w:space="0" w:color="auto"/>
        <w:right w:val="none" w:sz="0" w:space="0" w:color="auto"/>
      </w:divBdr>
    </w:div>
    <w:div w:id="491454533">
      <w:bodyDiv w:val="1"/>
      <w:marLeft w:val="0"/>
      <w:marRight w:val="0"/>
      <w:marTop w:val="0"/>
      <w:marBottom w:val="0"/>
      <w:divBdr>
        <w:top w:val="none" w:sz="0" w:space="0" w:color="auto"/>
        <w:left w:val="none" w:sz="0" w:space="0" w:color="auto"/>
        <w:bottom w:val="none" w:sz="0" w:space="0" w:color="auto"/>
        <w:right w:val="none" w:sz="0" w:space="0" w:color="auto"/>
      </w:divBdr>
    </w:div>
    <w:div w:id="563444623">
      <w:bodyDiv w:val="1"/>
      <w:marLeft w:val="0"/>
      <w:marRight w:val="0"/>
      <w:marTop w:val="0"/>
      <w:marBottom w:val="0"/>
      <w:divBdr>
        <w:top w:val="none" w:sz="0" w:space="0" w:color="auto"/>
        <w:left w:val="none" w:sz="0" w:space="0" w:color="auto"/>
        <w:bottom w:val="none" w:sz="0" w:space="0" w:color="auto"/>
        <w:right w:val="none" w:sz="0" w:space="0" w:color="auto"/>
      </w:divBdr>
      <w:divsChild>
        <w:div w:id="1226449550">
          <w:marLeft w:val="720"/>
          <w:marRight w:val="0"/>
          <w:marTop w:val="0"/>
          <w:marBottom w:val="0"/>
          <w:divBdr>
            <w:top w:val="none" w:sz="0" w:space="0" w:color="auto"/>
            <w:left w:val="none" w:sz="0" w:space="0" w:color="auto"/>
            <w:bottom w:val="none" w:sz="0" w:space="0" w:color="auto"/>
            <w:right w:val="none" w:sz="0" w:space="0" w:color="auto"/>
          </w:divBdr>
        </w:div>
        <w:div w:id="2085489658">
          <w:marLeft w:val="720"/>
          <w:marRight w:val="0"/>
          <w:marTop w:val="0"/>
          <w:marBottom w:val="0"/>
          <w:divBdr>
            <w:top w:val="none" w:sz="0" w:space="0" w:color="auto"/>
            <w:left w:val="none" w:sz="0" w:space="0" w:color="auto"/>
            <w:bottom w:val="none" w:sz="0" w:space="0" w:color="auto"/>
            <w:right w:val="none" w:sz="0" w:space="0" w:color="auto"/>
          </w:divBdr>
        </w:div>
      </w:divsChild>
    </w:div>
    <w:div w:id="668288881">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855919543">
      <w:bodyDiv w:val="1"/>
      <w:marLeft w:val="0"/>
      <w:marRight w:val="0"/>
      <w:marTop w:val="0"/>
      <w:marBottom w:val="0"/>
      <w:divBdr>
        <w:top w:val="none" w:sz="0" w:space="0" w:color="auto"/>
        <w:left w:val="none" w:sz="0" w:space="0" w:color="auto"/>
        <w:bottom w:val="none" w:sz="0" w:space="0" w:color="auto"/>
        <w:right w:val="none" w:sz="0" w:space="0" w:color="auto"/>
      </w:divBdr>
    </w:div>
    <w:div w:id="960187111">
      <w:bodyDiv w:val="1"/>
      <w:marLeft w:val="0"/>
      <w:marRight w:val="0"/>
      <w:marTop w:val="0"/>
      <w:marBottom w:val="0"/>
      <w:divBdr>
        <w:top w:val="none" w:sz="0" w:space="0" w:color="auto"/>
        <w:left w:val="none" w:sz="0" w:space="0" w:color="auto"/>
        <w:bottom w:val="none" w:sz="0" w:space="0" w:color="auto"/>
        <w:right w:val="none" w:sz="0" w:space="0" w:color="auto"/>
      </w:divBdr>
    </w:div>
    <w:div w:id="1129132130">
      <w:bodyDiv w:val="1"/>
      <w:marLeft w:val="0"/>
      <w:marRight w:val="0"/>
      <w:marTop w:val="0"/>
      <w:marBottom w:val="0"/>
      <w:divBdr>
        <w:top w:val="none" w:sz="0" w:space="0" w:color="auto"/>
        <w:left w:val="none" w:sz="0" w:space="0" w:color="auto"/>
        <w:bottom w:val="none" w:sz="0" w:space="0" w:color="auto"/>
        <w:right w:val="none" w:sz="0" w:space="0" w:color="auto"/>
      </w:divBdr>
      <w:divsChild>
        <w:div w:id="1165509642">
          <w:marLeft w:val="446"/>
          <w:marRight w:val="0"/>
          <w:marTop w:val="0"/>
          <w:marBottom w:val="0"/>
          <w:divBdr>
            <w:top w:val="none" w:sz="0" w:space="0" w:color="auto"/>
            <w:left w:val="none" w:sz="0" w:space="0" w:color="auto"/>
            <w:bottom w:val="none" w:sz="0" w:space="0" w:color="auto"/>
            <w:right w:val="none" w:sz="0" w:space="0" w:color="auto"/>
          </w:divBdr>
        </w:div>
      </w:divsChild>
    </w:div>
    <w:div w:id="1237204237">
      <w:bodyDiv w:val="1"/>
      <w:marLeft w:val="0"/>
      <w:marRight w:val="0"/>
      <w:marTop w:val="0"/>
      <w:marBottom w:val="0"/>
      <w:divBdr>
        <w:top w:val="none" w:sz="0" w:space="0" w:color="auto"/>
        <w:left w:val="none" w:sz="0" w:space="0" w:color="auto"/>
        <w:bottom w:val="none" w:sz="0" w:space="0" w:color="auto"/>
        <w:right w:val="none" w:sz="0" w:space="0" w:color="auto"/>
      </w:divBdr>
    </w:div>
    <w:div w:id="1267925290">
      <w:bodyDiv w:val="1"/>
      <w:marLeft w:val="0"/>
      <w:marRight w:val="0"/>
      <w:marTop w:val="0"/>
      <w:marBottom w:val="0"/>
      <w:divBdr>
        <w:top w:val="none" w:sz="0" w:space="0" w:color="auto"/>
        <w:left w:val="none" w:sz="0" w:space="0" w:color="auto"/>
        <w:bottom w:val="none" w:sz="0" w:space="0" w:color="auto"/>
        <w:right w:val="none" w:sz="0" w:space="0" w:color="auto"/>
      </w:divBdr>
    </w:div>
    <w:div w:id="1378969552">
      <w:bodyDiv w:val="1"/>
      <w:marLeft w:val="0"/>
      <w:marRight w:val="0"/>
      <w:marTop w:val="0"/>
      <w:marBottom w:val="0"/>
      <w:divBdr>
        <w:top w:val="none" w:sz="0" w:space="0" w:color="auto"/>
        <w:left w:val="none" w:sz="0" w:space="0" w:color="auto"/>
        <w:bottom w:val="none" w:sz="0" w:space="0" w:color="auto"/>
        <w:right w:val="none" w:sz="0" w:space="0" w:color="auto"/>
      </w:divBdr>
    </w:div>
    <w:div w:id="1385328766">
      <w:bodyDiv w:val="1"/>
      <w:marLeft w:val="0"/>
      <w:marRight w:val="0"/>
      <w:marTop w:val="0"/>
      <w:marBottom w:val="0"/>
      <w:divBdr>
        <w:top w:val="none" w:sz="0" w:space="0" w:color="auto"/>
        <w:left w:val="none" w:sz="0" w:space="0" w:color="auto"/>
        <w:bottom w:val="none" w:sz="0" w:space="0" w:color="auto"/>
        <w:right w:val="none" w:sz="0" w:space="0" w:color="auto"/>
      </w:divBdr>
    </w:div>
    <w:div w:id="1400976309">
      <w:bodyDiv w:val="1"/>
      <w:marLeft w:val="0"/>
      <w:marRight w:val="0"/>
      <w:marTop w:val="0"/>
      <w:marBottom w:val="0"/>
      <w:divBdr>
        <w:top w:val="none" w:sz="0" w:space="0" w:color="auto"/>
        <w:left w:val="none" w:sz="0" w:space="0" w:color="auto"/>
        <w:bottom w:val="none" w:sz="0" w:space="0" w:color="auto"/>
        <w:right w:val="none" w:sz="0" w:space="0" w:color="auto"/>
      </w:divBdr>
    </w:div>
    <w:div w:id="1430812031">
      <w:bodyDiv w:val="1"/>
      <w:marLeft w:val="0"/>
      <w:marRight w:val="0"/>
      <w:marTop w:val="0"/>
      <w:marBottom w:val="0"/>
      <w:divBdr>
        <w:top w:val="none" w:sz="0" w:space="0" w:color="auto"/>
        <w:left w:val="none" w:sz="0" w:space="0" w:color="auto"/>
        <w:bottom w:val="none" w:sz="0" w:space="0" w:color="auto"/>
        <w:right w:val="none" w:sz="0" w:space="0" w:color="auto"/>
      </w:divBdr>
    </w:div>
    <w:div w:id="1467817862">
      <w:bodyDiv w:val="1"/>
      <w:marLeft w:val="0"/>
      <w:marRight w:val="0"/>
      <w:marTop w:val="0"/>
      <w:marBottom w:val="0"/>
      <w:divBdr>
        <w:top w:val="none" w:sz="0" w:space="0" w:color="auto"/>
        <w:left w:val="none" w:sz="0" w:space="0" w:color="auto"/>
        <w:bottom w:val="none" w:sz="0" w:space="0" w:color="auto"/>
        <w:right w:val="none" w:sz="0" w:space="0" w:color="auto"/>
      </w:divBdr>
    </w:div>
    <w:div w:id="1588810631">
      <w:bodyDiv w:val="1"/>
      <w:marLeft w:val="0"/>
      <w:marRight w:val="0"/>
      <w:marTop w:val="0"/>
      <w:marBottom w:val="0"/>
      <w:divBdr>
        <w:top w:val="none" w:sz="0" w:space="0" w:color="auto"/>
        <w:left w:val="none" w:sz="0" w:space="0" w:color="auto"/>
        <w:bottom w:val="none" w:sz="0" w:space="0" w:color="auto"/>
        <w:right w:val="none" w:sz="0" w:space="0" w:color="auto"/>
      </w:divBdr>
    </w:div>
    <w:div w:id="1699501298">
      <w:bodyDiv w:val="1"/>
      <w:marLeft w:val="0"/>
      <w:marRight w:val="0"/>
      <w:marTop w:val="0"/>
      <w:marBottom w:val="0"/>
      <w:divBdr>
        <w:top w:val="none" w:sz="0" w:space="0" w:color="auto"/>
        <w:left w:val="none" w:sz="0" w:space="0" w:color="auto"/>
        <w:bottom w:val="none" w:sz="0" w:space="0" w:color="auto"/>
        <w:right w:val="none" w:sz="0" w:space="0" w:color="auto"/>
      </w:divBdr>
    </w:div>
    <w:div w:id="1906141323">
      <w:bodyDiv w:val="1"/>
      <w:marLeft w:val="0"/>
      <w:marRight w:val="0"/>
      <w:marTop w:val="0"/>
      <w:marBottom w:val="0"/>
      <w:divBdr>
        <w:top w:val="none" w:sz="0" w:space="0" w:color="auto"/>
        <w:left w:val="none" w:sz="0" w:space="0" w:color="auto"/>
        <w:bottom w:val="none" w:sz="0" w:space="0" w:color="auto"/>
        <w:right w:val="none" w:sz="0" w:space="0" w:color="auto"/>
      </w:divBdr>
    </w:div>
    <w:div w:id="19497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D44358-9C08-4759-AC29-6A564A0EE1B4}">
  <ds:schemaRefs>
    <ds:schemaRef ds:uri="http://schemas.openxmlformats.org/officeDocument/2006/bibliography"/>
  </ds:schemaRefs>
</ds:datastoreItem>
</file>

<file path=customXml/itemProps2.xml><?xml version="1.0" encoding="utf-8"?>
<ds:datastoreItem xmlns:ds="http://schemas.openxmlformats.org/officeDocument/2006/customXml" ds:itemID="{7524C0F9-D44D-4DB8-B1EE-B1F226E7C1F1}"/>
</file>

<file path=customXml/itemProps3.xml><?xml version="1.0" encoding="utf-8"?>
<ds:datastoreItem xmlns:ds="http://schemas.openxmlformats.org/officeDocument/2006/customXml" ds:itemID="{86364ED5-8153-471B-95D5-256905C39E27}"/>
</file>

<file path=customXml/itemProps4.xml><?xml version="1.0" encoding="utf-8"?>
<ds:datastoreItem xmlns:ds="http://schemas.openxmlformats.org/officeDocument/2006/customXml" ds:itemID="{8CCF2F34-AF8B-4147-B911-F08CB4497D5E}"/>
</file>

<file path=docProps/app.xml><?xml version="1.0" encoding="utf-8"?>
<Properties xmlns="http://schemas.openxmlformats.org/officeDocument/2006/extended-properties" xmlns:vt="http://schemas.openxmlformats.org/officeDocument/2006/docPropsVTypes">
  <Template>Normal</Template>
  <TotalTime>17</TotalTime>
  <Pages>51</Pages>
  <Words>9006</Words>
  <Characters>51339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 Tazkiya</dc:creator>
  <cp:keywords/>
  <dc:description/>
  <cp:lastModifiedBy>Izza Tazkiya</cp:lastModifiedBy>
  <cp:revision>5</cp:revision>
  <cp:lastPrinted>2020-09-01T02:22:00Z</cp:lastPrinted>
  <dcterms:created xsi:type="dcterms:W3CDTF">2022-08-24T04:08:00Z</dcterms:created>
  <dcterms:modified xsi:type="dcterms:W3CDTF">2022-08-25T07:12:00Z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