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94"/>
        <w:gridCol w:w="4840"/>
        <w:gridCol w:w="3686"/>
        <w:gridCol w:w="3827"/>
      </w:tblGrid>
      <w:tr w:rsidR="00605F4C" w:rsidRPr="00BA5B40" w14:paraId="41F1EB71" w14:textId="77777777" w:rsidTr="00910A48">
        <w:trPr>
          <w:trHeight w:val="564"/>
          <w:tblHeader/>
        </w:trPr>
        <w:tc>
          <w:tcPr>
            <w:tcW w:w="9634" w:type="dxa"/>
            <w:gridSpan w:val="2"/>
            <w:shd w:val="clear" w:color="auto" w:fill="FFFF00"/>
            <w:vAlign w:val="center"/>
          </w:tcPr>
          <w:p w14:paraId="734A3FEC"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A5B40">
              <w:rPr>
                <w:rFonts w:ascii="Bookman Old Style" w:eastAsia="Bookman Old Style" w:hAnsi="Bookman Old Style" w:cs="Bookman Old Style"/>
                <w:b/>
                <w:bCs/>
                <w:color w:val="000000" w:themeColor="text1"/>
                <w:sz w:val="20"/>
                <w:szCs w:val="20"/>
              </w:rPr>
              <w:t>DRAF PERATURAN</w:t>
            </w:r>
          </w:p>
        </w:tc>
        <w:tc>
          <w:tcPr>
            <w:tcW w:w="3686" w:type="dxa"/>
            <w:vMerge w:val="restart"/>
            <w:shd w:val="clear" w:color="auto" w:fill="FFFF00"/>
            <w:vAlign w:val="center"/>
          </w:tcPr>
          <w:p w14:paraId="02832571"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A5B40">
              <w:rPr>
                <w:rFonts w:ascii="Bookman Old Style" w:eastAsia="Bookman Old Style" w:hAnsi="Bookman Old Style" w:cs="Bookman Old Style"/>
                <w:b/>
                <w:bCs/>
                <w:color w:val="000000" w:themeColor="text1"/>
                <w:sz w:val="20"/>
                <w:szCs w:val="20"/>
              </w:rPr>
              <w:t>TANGGAPAN</w:t>
            </w:r>
          </w:p>
        </w:tc>
        <w:tc>
          <w:tcPr>
            <w:tcW w:w="3827" w:type="dxa"/>
            <w:vMerge w:val="restart"/>
            <w:shd w:val="clear" w:color="auto" w:fill="FFFF00"/>
            <w:vAlign w:val="center"/>
          </w:tcPr>
          <w:p w14:paraId="7C401852"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A5B40">
              <w:rPr>
                <w:rFonts w:ascii="Bookman Old Style" w:eastAsia="Bookman Old Style" w:hAnsi="Bookman Old Style" w:cs="Bookman Old Style"/>
                <w:b/>
                <w:bCs/>
                <w:color w:val="000000" w:themeColor="text1"/>
                <w:sz w:val="20"/>
                <w:szCs w:val="20"/>
              </w:rPr>
              <w:t>USULAN PERUBAHAN</w:t>
            </w:r>
          </w:p>
        </w:tc>
      </w:tr>
      <w:tr w:rsidR="00910A48" w:rsidRPr="00910A48" w14:paraId="55C8C7F7" w14:textId="77777777" w:rsidTr="00910A48">
        <w:trPr>
          <w:trHeight w:val="453"/>
          <w:tblHeader/>
        </w:trPr>
        <w:tc>
          <w:tcPr>
            <w:tcW w:w="4794" w:type="dxa"/>
            <w:shd w:val="clear" w:color="auto" w:fill="FFFF00"/>
            <w:vAlign w:val="center"/>
          </w:tcPr>
          <w:p w14:paraId="78E21CF2" w14:textId="47106A1A" w:rsidR="00910A48" w:rsidRPr="00910A48"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Pr>
                <w:rFonts w:ascii="Bookman Old Style" w:eastAsia="Bookman Old Style" w:hAnsi="Bookman Old Style" w:cs="Bookman Old Style"/>
                <w:b/>
                <w:bCs/>
                <w:color w:val="000000" w:themeColor="text1"/>
                <w:sz w:val="20"/>
                <w:szCs w:val="20"/>
                <w:lang w:val="en-US"/>
              </w:rPr>
              <w:t>BATANG TUBUH</w:t>
            </w:r>
          </w:p>
        </w:tc>
        <w:tc>
          <w:tcPr>
            <w:tcW w:w="4840" w:type="dxa"/>
            <w:shd w:val="clear" w:color="auto" w:fill="FFFF00"/>
            <w:vAlign w:val="center"/>
          </w:tcPr>
          <w:p w14:paraId="157D7A62" w14:textId="77777777" w:rsidR="00910A48" w:rsidRPr="00BA5B40"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A5B40">
              <w:rPr>
                <w:rFonts w:ascii="Bookman Old Style" w:eastAsia="Bookman Old Style" w:hAnsi="Bookman Old Style" w:cs="Bookman Old Style"/>
                <w:b/>
                <w:bCs/>
                <w:color w:val="000000" w:themeColor="text1"/>
                <w:sz w:val="20"/>
                <w:szCs w:val="20"/>
              </w:rPr>
              <w:t>PENJELASAN</w:t>
            </w:r>
          </w:p>
        </w:tc>
        <w:tc>
          <w:tcPr>
            <w:tcW w:w="3686" w:type="dxa"/>
            <w:vMerge/>
            <w:shd w:val="clear" w:color="auto" w:fill="FFFF00"/>
          </w:tcPr>
          <w:p w14:paraId="09CCCEDB" w14:textId="77777777" w:rsidR="00910A48" w:rsidRPr="00BA5B40"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FFFF00"/>
          </w:tcPr>
          <w:p w14:paraId="11286574" w14:textId="77777777" w:rsidR="00910A48" w:rsidRPr="00910A48"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05F4C" w:rsidRPr="00BA5B40" w14:paraId="059AFC79" w14:textId="77777777" w:rsidTr="00910A48">
        <w:trPr>
          <w:tblHeader/>
        </w:trPr>
        <w:tc>
          <w:tcPr>
            <w:tcW w:w="4794" w:type="dxa"/>
            <w:shd w:val="clear" w:color="auto" w:fill="auto"/>
          </w:tcPr>
          <w:p w14:paraId="12AC2ABF" w14:textId="77777777" w:rsidR="00605F4C" w:rsidRPr="00BA5B40"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r w:rsidRPr="00BA5B40">
              <w:rPr>
                <w:rFonts w:ascii="Bookman Old Style" w:eastAsia="Bookman Old Style" w:hAnsi="Bookman Old Style" w:cs="Bookman Old Style"/>
                <w:color w:val="000000" w:themeColor="text1"/>
                <w:sz w:val="20"/>
                <w:szCs w:val="20"/>
              </w:rPr>
              <w:t>RANCANGAN</w:t>
            </w:r>
          </w:p>
          <w:p w14:paraId="71F096F5" w14:textId="77777777" w:rsidR="00605F4C" w:rsidRPr="00BA5B40"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r w:rsidRPr="00BA5B40">
              <w:rPr>
                <w:rFonts w:ascii="Bookman Old Style" w:eastAsia="Bookman Old Style" w:hAnsi="Bookman Old Style" w:cs="Bookman Old Style"/>
                <w:color w:val="000000" w:themeColor="text1"/>
                <w:sz w:val="20"/>
                <w:szCs w:val="20"/>
              </w:rPr>
              <w:t>PERATURAN OTORITAS JASA KEUANGAN</w:t>
            </w:r>
          </w:p>
          <w:p w14:paraId="35DC3056" w14:textId="77777777" w:rsidR="00605F4C" w:rsidRPr="00BA5B40" w:rsidRDefault="00605F4C" w:rsidP="00910A48">
            <w:pPr>
              <w:spacing w:after="0" w:line="240" w:lineRule="auto"/>
              <w:jc w:val="center"/>
              <w:rPr>
                <w:rFonts w:ascii="Bookman Old Style" w:hAnsi="Bookman Old Style"/>
                <w:color w:val="000000" w:themeColor="text1"/>
                <w:sz w:val="20"/>
                <w:szCs w:val="20"/>
              </w:rPr>
            </w:pPr>
            <w:r w:rsidRPr="00BA5B40">
              <w:rPr>
                <w:rFonts w:ascii="Bookman Old Style" w:hAnsi="Bookman Old Style"/>
                <w:color w:val="000000" w:themeColor="text1"/>
                <w:sz w:val="20"/>
                <w:szCs w:val="20"/>
              </w:rPr>
              <w:t xml:space="preserve">REPUBLIK </w:t>
            </w:r>
            <w:r w:rsidRPr="00BA5B40">
              <w:rPr>
                <w:rFonts w:ascii="Bookman Old Style" w:eastAsia="Bookman Old Style" w:hAnsi="Bookman Old Style" w:cs="Bookman Old Style"/>
                <w:color w:val="000000" w:themeColor="text1"/>
                <w:sz w:val="20"/>
                <w:szCs w:val="20"/>
              </w:rPr>
              <w:t>INDONESIA</w:t>
            </w:r>
          </w:p>
          <w:p w14:paraId="5B372C7B" w14:textId="77777777" w:rsidR="00605F4C" w:rsidRPr="00BA5B40"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p>
          <w:p w14:paraId="6EB25155" w14:textId="77777777" w:rsidR="00605F4C" w:rsidRPr="00BA5B40"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r w:rsidRPr="00BA5B40">
              <w:rPr>
                <w:rFonts w:ascii="Bookman Old Style" w:eastAsia="Bookman Old Style" w:hAnsi="Bookman Old Style" w:cs="Bookman Old Style"/>
                <w:color w:val="000000" w:themeColor="text1"/>
                <w:sz w:val="20"/>
                <w:szCs w:val="20"/>
              </w:rPr>
              <w:t>NOMOR ... TAHUN 2024</w:t>
            </w:r>
          </w:p>
          <w:p w14:paraId="49E7243D" w14:textId="77777777" w:rsidR="00605F4C" w:rsidRPr="00BA5B40" w:rsidRDefault="00605F4C" w:rsidP="00910A48">
            <w:pPr>
              <w:spacing w:after="0" w:line="240" w:lineRule="auto"/>
              <w:jc w:val="center"/>
              <w:rPr>
                <w:rFonts w:ascii="Bookman Old Style" w:eastAsia="Bookman Old Style" w:hAnsi="Bookman Old Style" w:cs="Bookman Old Style"/>
                <w:color w:val="000000" w:themeColor="text1"/>
                <w:sz w:val="20"/>
                <w:szCs w:val="20"/>
              </w:rPr>
            </w:pPr>
            <w:r w:rsidRPr="00BA5B40">
              <w:rPr>
                <w:rFonts w:ascii="Bookman Old Style" w:eastAsia="Bookman Old Style" w:hAnsi="Bookman Old Style" w:cs="Bookman Old Style"/>
                <w:color w:val="000000" w:themeColor="text1"/>
                <w:sz w:val="20"/>
                <w:szCs w:val="20"/>
              </w:rPr>
              <w:t>TENTANG</w:t>
            </w:r>
          </w:p>
          <w:p w14:paraId="43660377" w14:textId="77777777" w:rsidR="00605F4C" w:rsidRPr="00BA5B40" w:rsidRDefault="00605F4C" w:rsidP="00910A48">
            <w:pPr>
              <w:spacing w:after="0" w:line="240" w:lineRule="auto"/>
              <w:jc w:val="center"/>
              <w:rPr>
                <w:rFonts w:ascii="Bookman Old Style" w:hAnsi="Bookman Old Style"/>
                <w:color w:val="000000" w:themeColor="text1"/>
                <w:sz w:val="20"/>
                <w:szCs w:val="20"/>
                <w:lang w:val="sv-SE"/>
              </w:rPr>
            </w:pPr>
            <w:r w:rsidRPr="00BA5B40">
              <w:rPr>
                <w:rFonts w:ascii="Bookman Old Style" w:hAnsi="Bookman Old Style"/>
                <w:color w:val="000000" w:themeColor="text1"/>
                <w:sz w:val="20"/>
                <w:szCs w:val="20"/>
                <w:lang w:val="sv-SE"/>
              </w:rPr>
              <w:t xml:space="preserve">KEWAJIBAN PEMENUHAN </w:t>
            </w:r>
          </w:p>
          <w:p w14:paraId="3B9FB4C3" w14:textId="77777777" w:rsidR="00605F4C" w:rsidRPr="00BA5B40" w:rsidRDefault="00605F4C" w:rsidP="00910A48">
            <w:pPr>
              <w:spacing w:after="0" w:line="240" w:lineRule="auto"/>
              <w:jc w:val="center"/>
              <w:rPr>
                <w:rFonts w:ascii="Bookman Old Style" w:hAnsi="Bookman Old Style"/>
                <w:color w:val="000000" w:themeColor="text1"/>
                <w:sz w:val="20"/>
                <w:szCs w:val="20"/>
                <w:lang w:val="sv-SE"/>
              </w:rPr>
            </w:pPr>
            <w:r w:rsidRPr="00BA5B40">
              <w:rPr>
                <w:rFonts w:ascii="Bookman Old Style" w:hAnsi="Bookman Old Style"/>
                <w:color w:val="000000" w:themeColor="text1"/>
                <w:sz w:val="20"/>
                <w:szCs w:val="20"/>
                <w:lang w:val="sv-SE"/>
              </w:rPr>
              <w:t>RASIO KECUKUPAN LIKUIDITAS (</w:t>
            </w:r>
            <w:r w:rsidRPr="00BA5B40">
              <w:rPr>
                <w:rFonts w:ascii="Bookman Old Style" w:hAnsi="Bookman Old Style"/>
                <w:i/>
                <w:color w:val="000000" w:themeColor="text1"/>
                <w:sz w:val="20"/>
                <w:szCs w:val="20"/>
                <w:lang w:val="sv-SE"/>
              </w:rPr>
              <w:t>LIQUIDITY COVERAGE RATIO</w:t>
            </w:r>
            <w:r w:rsidRPr="00BA5B40">
              <w:rPr>
                <w:rFonts w:ascii="Bookman Old Style" w:hAnsi="Bookman Old Style"/>
                <w:color w:val="000000" w:themeColor="text1"/>
                <w:sz w:val="20"/>
                <w:szCs w:val="20"/>
                <w:lang w:val="sv-SE"/>
              </w:rPr>
              <w:t xml:space="preserve">) DAN </w:t>
            </w:r>
          </w:p>
          <w:p w14:paraId="78E67015" w14:textId="77777777" w:rsidR="00605F4C" w:rsidRPr="00BA5B40" w:rsidRDefault="00605F4C" w:rsidP="00910A48">
            <w:pPr>
              <w:spacing w:after="0" w:line="240" w:lineRule="auto"/>
              <w:jc w:val="center"/>
              <w:rPr>
                <w:rFonts w:ascii="Bookman Old Style" w:hAnsi="Bookman Old Style"/>
                <w:color w:val="000000" w:themeColor="text1"/>
                <w:sz w:val="20"/>
                <w:szCs w:val="20"/>
                <w:lang w:val="sv-SE"/>
              </w:rPr>
            </w:pPr>
            <w:r w:rsidRPr="00BA5B40">
              <w:rPr>
                <w:rFonts w:ascii="Bookman Old Style" w:hAnsi="Bookman Old Style"/>
                <w:color w:val="000000" w:themeColor="text1"/>
                <w:sz w:val="20"/>
                <w:szCs w:val="20"/>
                <w:lang w:val="sv-SE"/>
              </w:rPr>
              <w:t>RASIO PENDANAAN STABIL BERSIH (</w:t>
            </w:r>
            <w:r w:rsidRPr="00BA5B40">
              <w:rPr>
                <w:rFonts w:ascii="Bookman Old Style" w:hAnsi="Bookman Old Style"/>
                <w:i/>
                <w:color w:val="000000" w:themeColor="text1"/>
                <w:sz w:val="20"/>
                <w:szCs w:val="20"/>
                <w:lang w:val="sv-SE"/>
              </w:rPr>
              <w:t>NET STABLE FUNDING RATIO)</w:t>
            </w:r>
            <w:r w:rsidRPr="00BA5B40">
              <w:rPr>
                <w:rFonts w:ascii="Bookman Old Style" w:hAnsi="Bookman Old Style"/>
                <w:color w:val="000000" w:themeColor="text1"/>
                <w:sz w:val="20"/>
                <w:szCs w:val="20"/>
                <w:lang w:val="sv-SE"/>
              </w:rPr>
              <w:t xml:space="preserve"> </w:t>
            </w:r>
          </w:p>
          <w:p w14:paraId="58A2E400" w14:textId="77777777" w:rsidR="00605F4C" w:rsidRDefault="00605F4C" w:rsidP="00910A48">
            <w:pPr>
              <w:tabs>
                <w:tab w:val="left" w:pos="1980"/>
                <w:tab w:val="left" w:pos="2520"/>
                <w:tab w:val="left" w:pos="2552"/>
              </w:tabs>
              <w:spacing w:after="0" w:line="240" w:lineRule="auto"/>
              <w:jc w:val="center"/>
              <w:rPr>
                <w:rFonts w:ascii="Bookman Old Style" w:hAnsi="Bookman Old Style"/>
                <w:color w:val="000000" w:themeColor="text1"/>
                <w:sz w:val="20"/>
                <w:szCs w:val="20"/>
                <w:lang w:val="sv-SE"/>
              </w:rPr>
            </w:pPr>
            <w:r w:rsidRPr="00BA5B40">
              <w:rPr>
                <w:rFonts w:ascii="Bookman Old Style" w:hAnsi="Bookman Old Style"/>
                <w:color w:val="000000" w:themeColor="text1"/>
                <w:sz w:val="20"/>
                <w:szCs w:val="20"/>
                <w:lang w:val="sv-SE"/>
              </w:rPr>
              <w:t>BAGI BANK UMUM SYARIAH DAN UNIT USAHA SYARIAH</w:t>
            </w:r>
          </w:p>
          <w:p w14:paraId="3B66CE44" w14:textId="030457A4" w:rsidR="00910A48"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p>
        </w:tc>
        <w:tc>
          <w:tcPr>
            <w:tcW w:w="4840" w:type="dxa"/>
            <w:shd w:val="clear" w:color="auto" w:fill="auto"/>
          </w:tcPr>
          <w:p w14:paraId="7203CB43"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686" w:type="dxa"/>
            <w:shd w:val="clear" w:color="auto" w:fill="auto"/>
          </w:tcPr>
          <w:p w14:paraId="1699AAE6"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tcPr>
          <w:p w14:paraId="203E0037"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605F4C" w:rsidRPr="00BA5B40" w14:paraId="31A962B3" w14:textId="77777777" w:rsidTr="00910A48">
        <w:trPr>
          <w:tblHeader/>
        </w:trPr>
        <w:tc>
          <w:tcPr>
            <w:tcW w:w="4794" w:type="dxa"/>
            <w:shd w:val="clear" w:color="auto" w:fill="auto"/>
          </w:tcPr>
          <w:p w14:paraId="25D4742B" w14:textId="77777777" w:rsidR="00605F4C"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r w:rsidRPr="00BA5B40">
              <w:rPr>
                <w:rFonts w:ascii="Bookman Old Style" w:eastAsia="Bookman Old Style" w:hAnsi="Bookman Old Style" w:cs="Bookman Old Style"/>
                <w:color w:val="000000" w:themeColor="text1"/>
                <w:sz w:val="20"/>
                <w:szCs w:val="20"/>
              </w:rPr>
              <w:t>DENGAN RAHMAT TUHAN YANG MAHA ESA</w:t>
            </w:r>
          </w:p>
          <w:p w14:paraId="627950AA" w14:textId="77777777" w:rsidR="00605F4C"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p>
          <w:p w14:paraId="631868B1" w14:textId="77777777" w:rsidR="00605F4C" w:rsidRPr="00BA5B40" w:rsidRDefault="00605F4C" w:rsidP="00910A48">
            <w:pPr>
              <w:spacing w:after="0" w:line="240" w:lineRule="auto"/>
              <w:ind w:right="6"/>
              <w:jc w:val="center"/>
              <w:rPr>
                <w:rFonts w:ascii="Bookman Old Style" w:eastAsia="Bookman Old Style" w:hAnsi="Bookman Old Style" w:cs="Bookman Old Style"/>
                <w:color w:val="000000" w:themeColor="text1"/>
                <w:sz w:val="20"/>
                <w:szCs w:val="20"/>
              </w:rPr>
            </w:pPr>
            <w:r w:rsidRPr="00BA5B40">
              <w:rPr>
                <w:rFonts w:ascii="Bookman Old Style" w:eastAsia="Bookman Old Style" w:hAnsi="Bookman Old Style" w:cs="Bookman Old Style"/>
                <w:color w:val="000000" w:themeColor="text1"/>
                <w:sz w:val="20"/>
                <w:szCs w:val="20"/>
              </w:rPr>
              <w:t>DEWAN KOMISIONER OTORITAS JASA KEUANGAN,</w:t>
            </w:r>
          </w:p>
        </w:tc>
        <w:tc>
          <w:tcPr>
            <w:tcW w:w="4840" w:type="dxa"/>
            <w:shd w:val="clear" w:color="auto" w:fill="auto"/>
          </w:tcPr>
          <w:p w14:paraId="3A752D76"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686" w:type="dxa"/>
            <w:shd w:val="clear" w:color="auto" w:fill="auto"/>
          </w:tcPr>
          <w:p w14:paraId="3C5DD592"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tcPr>
          <w:p w14:paraId="76D70360" w14:textId="77777777" w:rsidR="00605F4C" w:rsidRPr="00BA5B40" w:rsidRDefault="00605F4C"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1CBD818F" w14:textId="77777777" w:rsidTr="00910A48">
        <w:trPr>
          <w:trHeight w:val="350"/>
          <w:tblHeader/>
        </w:trPr>
        <w:tc>
          <w:tcPr>
            <w:tcW w:w="4794" w:type="dxa"/>
            <w:shd w:val="clear" w:color="auto" w:fill="FFF2CC" w:themeFill="accent4" w:themeFillTint="33"/>
          </w:tcPr>
          <w:p w14:paraId="19386D2C" w14:textId="39A898D4" w:rsidR="00910A48" w:rsidRPr="00BA5B40" w:rsidRDefault="00910A48" w:rsidP="00910A48">
            <w:pPr>
              <w:spacing w:after="0" w:line="240" w:lineRule="auto"/>
              <w:ind w:right="6"/>
              <w:jc w:val="both"/>
              <w:rPr>
                <w:rFonts w:ascii="Bookman Old Style" w:eastAsia="Bookman Old Style" w:hAnsi="Bookman Old Style" w:cs="Bookman Old Style"/>
                <w:color w:val="000000" w:themeColor="text1"/>
                <w:sz w:val="20"/>
                <w:szCs w:val="20"/>
              </w:rPr>
            </w:pPr>
            <w:r w:rsidRPr="00BF4C58">
              <w:rPr>
                <w:rFonts w:ascii="Bookman Old Style" w:hAnsi="Bookman Old Style"/>
                <w:sz w:val="20"/>
                <w:szCs w:val="20"/>
              </w:rPr>
              <w:t>Menimbang:</w:t>
            </w:r>
          </w:p>
        </w:tc>
        <w:tc>
          <w:tcPr>
            <w:tcW w:w="4840" w:type="dxa"/>
            <w:shd w:val="clear" w:color="auto" w:fill="FFF2CC" w:themeFill="accent4" w:themeFillTint="33"/>
          </w:tcPr>
          <w:p w14:paraId="24C0F612" w14:textId="4618B560" w:rsidR="00910A48" w:rsidRPr="00910A48" w:rsidRDefault="00910A48" w:rsidP="00A32F86">
            <w:pPr>
              <w:pStyle w:val="ListParagraph"/>
              <w:numPr>
                <w:ilvl w:val="0"/>
                <w:numId w:val="50"/>
              </w:numPr>
              <w:spacing w:after="0" w:line="240" w:lineRule="auto"/>
              <w:ind w:left="479" w:hanging="479"/>
              <w:jc w:val="both"/>
              <w:rPr>
                <w:rFonts w:ascii="Bookman Old Style" w:eastAsia="Bookman Old Style" w:hAnsi="Bookman Old Style" w:cs="Bookman Old Style"/>
                <w:b/>
                <w:bCs/>
                <w:color w:val="000000" w:themeColor="text1"/>
                <w:sz w:val="20"/>
                <w:szCs w:val="20"/>
              </w:rPr>
            </w:pPr>
            <w:r w:rsidRPr="00910A48">
              <w:rPr>
                <w:rFonts w:ascii="Bookman Old Style" w:hAnsi="Bookman Old Style"/>
                <w:sz w:val="20"/>
                <w:szCs w:val="20"/>
              </w:rPr>
              <w:t>UMUM</w:t>
            </w:r>
          </w:p>
        </w:tc>
        <w:tc>
          <w:tcPr>
            <w:tcW w:w="3686" w:type="dxa"/>
            <w:shd w:val="clear" w:color="auto" w:fill="FFF2CC" w:themeFill="accent4" w:themeFillTint="33"/>
          </w:tcPr>
          <w:p w14:paraId="19ACD626" w14:textId="77777777" w:rsidR="00910A48" w:rsidRPr="00910A48" w:rsidRDefault="00910A48" w:rsidP="00910A48">
            <w:pPr>
              <w:spacing w:after="0" w:line="240" w:lineRule="auto"/>
              <w:jc w:val="both"/>
              <w:rPr>
                <w:rFonts w:ascii="Bookman Old Style" w:hAnsi="Bookman Old Style"/>
                <w:sz w:val="20"/>
                <w:szCs w:val="20"/>
              </w:rPr>
            </w:pPr>
          </w:p>
        </w:tc>
        <w:tc>
          <w:tcPr>
            <w:tcW w:w="3827" w:type="dxa"/>
            <w:shd w:val="clear" w:color="auto" w:fill="auto"/>
          </w:tcPr>
          <w:p w14:paraId="16A03FD5" w14:textId="77777777" w:rsidR="00910A48" w:rsidRPr="00910A48" w:rsidRDefault="00910A48" w:rsidP="00910A48">
            <w:pPr>
              <w:spacing w:after="0" w:line="240" w:lineRule="auto"/>
              <w:jc w:val="both"/>
              <w:rPr>
                <w:rFonts w:ascii="Bookman Old Style" w:hAnsi="Bookman Old Style"/>
                <w:sz w:val="20"/>
                <w:szCs w:val="20"/>
              </w:rPr>
            </w:pPr>
          </w:p>
        </w:tc>
      </w:tr>
      <w:tr w:rsidR="00910A48" w:rsidRPr="00BA5B40" w14:paraId="6573C486" w14:textId="77777777" w:rsidTr="00910A48">
        <w:tc>
          <w:tcPr>
            <w:tcW w:w="4794" w:type="dxa"/>
            <w:shd w:val="clear" w:color="auto" w:fill="auto"/>
          </w:tcPr>
          <w:p w14:paraId="0623FC91" w14:textId="77777777" w:rsidR="00910A48" w:rsidRPr="007007D1" w:rsidRDefault="00910A48" w:rsidP="00910A48">
            <w:pPr>
              <w:pStyle w:val="ListParagraph"/>
              <w:numPr>
                <w:ilvl w:val="0"/>
                <w:numId w:val="2"/>
              </w:num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lang w:val="sv-SE"/>
              </w:rPr>
            </w:pPr>
            <w:r w:rsidRPr="007007D1">
              <w:rPr>
                <w:rFonts w:ascii="Bookman Old Style" w:eastAsia="Bookman Old Style" w:hAnsi="Bookman Old Style" w:cs="Bookman Old Style"/>
                <w:color w:val="000000" w:themeColor="text1"/>
                <w:sz w:val="20"/>
                <w:szCs w:val="20"/>
                <w:lang w:val="sv-SE"/>
              </w:rPr>
              <w:t xml:space="preserve">bahwa untuk menciptakan sistem perbankan syariah yang sehat, mampu berkembang dan bersaing secara nasional maupun internasional, serta sejalan dengan perkembangan standar internasional, bank perlu memiliki likuiditas yang kuat dan memadai; </w:t>
            </w:r>
          </w:p>
          <w:p w14:paraId="2D9CE89F" w14:textId="77777777" w:rsidR="00910A48" w:rsidRPr="007007D1" w:rsidRDefault="00910A48" w:rsidP="00910A48">
            <w:pPr>
              <w:pStyle w:val="ListParagraph"/>
              <w:numPr>
                <w:ilvl w:val="0"/>
                <w:numId w:val="2"/>
              </w:num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lang w:val="sv-SE"/>
              </w:rPr>
            </w:pPr>
            <w:r w:rsidRPr="007007D1">
              <w:rPr>
                <w:rFonts w:ascii="Bookman Old Style" w:eastAsia="Bookman Old Style" w:hAnsi="Bookman Old Style" w:cs="Bookman Old Style"/>
                <w:color w:val="000000" w:themeColor="text1"/>
                <w:sz w:val="20"/>
                <w:szCs w:val="20"/>
                <w:lang w:val="sv-SE"/>
              </w:rPr>
              <w:t>bahwa untuk menilai kecukupan likuiditas, diperlukan rasio likuiditas yang setara, dapat diandalkan, dan dapat diperbandingkan dalam menilai kecukupan kuantitas aset keuangan yang berkualitas tinggi untuk mengantisipasi arus kas keluar bersih (</w:t>
            </w:r>
            <w:r w:rsidRPr="00053371">
              <w:rPr>
                <w:rFonts w:ascii="Bookman Old Style" w:eastAsia="Bookman Old Style" w:hAnsi="Bookman Old Style" w:cs="Bookman Old Style"/>
                <w:i/>
                <w:color w:val="000000" w:themeColor="text1"/>
                <w:sz w:val="20"/>
                <w:szCs w:val="20"/>
                <w:lang w:val="sv-SE"/>
              </w:rPr>
              <w:t>net cash outflow</w:t>
            </w:r>
            <w:r w:rsidRPr="007007D1">
              <w:rPr>
                <w:rFonts w:ascii="Bookman Old Style" w:eastAsia="Bookman Old Style" w:hAnsi="Bookman Old Style" w:cs="Bookman Old Style"/>
                <w:color w:val="000000" w:themeColor="text1"/>
                <w:sz w:val="20"/>
                <w:szCs w:val="20"/>
                <w:lang w:val="sv-SE"/>
              </w:rPr>
              <w:t xml:space="preserve">) dan kecukupan pendanaan stabil </w:t>
            </w:r>
            <w:r w:rsidRPr="007007D1">
              <w:rPr>
                <w:rFonts w:ascii="Bookman Old Style" w:eastAsia="Bookman Old Style" w:hAnsi="Bookman Old Style" w:cs="Bookman Old Style"/>
                <w:color w:val="000000" w:themeColor="text1"/>
                <w:sz w:val="20"/>
                <w:szCs w:val="20"/>
                <w:lang w:val="sv-SE"/>
              </w:rPr>
              <w:lastRenderedPageBreak/>
              <w:t>berdasarkan komposisi aset dan transaksi rekening administratif;</w:t>
            </w:r>
          </w:p>
          <w:p w14:paraId="7794DA19" w14:textId="77777777" w:rsidR="00910A48" w:rsidRPr="007007D1" w:rsidRDefault="00910A48" w:rsidP="00910A48">
            <w:pPr>
              <w:pStyle w:val="ListParagraph"/>
              <w:numPr>
                <w:ilvl w:val="0"/>
                <w:numId w:val="2"/>
              </w:num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lang w:val="sv-SE"/>
              </w:rPr>
            </w:pPr>
            <w:r w:rsidRPr="007007D1">
              <w:rPr>
                <w:rFonts w:ascii="Bookman Old Style" w:eastAsia="Bookman Old Style" w:hAnsi="Bookman Old Style" w:cs="Bookman Old Style"/>
                <w:color w:val="000000" w:themeColor="text1"/>
                <w:sz w:val="20"/>
                <w:szCs w:val="20"/>
                <w:lang w:val="sv-SE"/>
              </w:rPr>
              <w:t>bahwa berdasarkan pertimbangan sebagaimana dimaksud dalam huruf a dan huruf b, perlu menetapkan Peraturan Otoritas Jasa Keuangan tentang Kewajiban Pemenuhan Rasio Kecukupan Likuiditas (</w:t>
            </w:r>
            <w:r w:rsidRPr="00053371">
              <w:rPr>
                <w:rFonts w:ascii="Bookman Old Style" w:eastAsia="Bookman Old Style" w:hAnsi="Bookman Old Style" w:cs="Bookman Old Style"/>
                <w:i/>
                <w:color w:val="000000" w:themeColor="text1"/>
                <w:sz w:val="20"/>
                <w:szCs w:val="20"/>
                <w:lang w:val="sv-SE"/>
              </w:rPr>
              <w:t>Liquidity Coverage Ratio</w:t>
            </w:r>
            <w:r w:rsidRPr="007007D1">
              <w:rPr>
                <w:rFonts w:ascii="Bookman Old Style" w:eastAsia="Bookman Old Style" w:hAnsi="Bookman Old Style" w:cs="Bookman Old Style"/>
                <w:color w:val="000000" w:themeColor="text1"/>
                <w:sz w:val="20"/>
                <w:szCs w:val="20"/>
                <w:lang w:val="sv-SE"/>
              </w:rPr>
              <w:t>) dan Rasio Pendanaan Stabil bersih (</w:t>
            </w:r>
            <w:r w:rsidRPr="00053371">
              <w:rPr>
                <w:rFonts w:ascii="Bookman Old Style" w:eastAsia="Bookman Old Style" w:hAnsi="Bookman Old Style" w:cs="Bookman Old Style"/>
                <w:i/>
                <w:color w:val="000000" w:themeColor="text1"/>
                <w:sz w:val="20"/>
                <w:szCs w:val="20"/>
                <w:lang w:val="sv-SE"/>
              </w:rPr>
              <w:t>Net Stable Funding Ratio</w:t>
            </w:r>
            <w:r w:rsidRPr="007007D1">
              <w:rPr>
                <w:rFonts w:ascii="Bookman Old Style" w:eastAsia="Bookman Old Style" w:hAnsi="Bookman Old Style" w:cs="Bookman Old Style"/>
                <w:color w:val="000000" w:themeColor="text1"/>
                <w:sz w:val="20"/>
                <w:szCs w:val="20"/>
                <w:lang w:val="sv-SE"/>
              </w:rPr>
              <w:t>) bagi Bank Umum Syariah dan Unit Usaha Syariah;</w:t>
            </w:r>
          </w:p>
        </w:tc>
        <w:tc>
          <w:tcPr>
            <w:tcW w:w="4840" w:type="dxa"/>
            <w:shd w:val="clear" w:color="auto" w:fill="auto"/>
          </w:tcPr>
          <w:p w14:paraId="5C1046FD" w14:textId="77777777" w:rsidR="00910A48" w:rsidRPr="007007D1" w:rsidRDefault="00910A48" w:rsidP="00910A48">
            <w:pPr>
              <w:spacing w:after="0" w:line="240" w:lineRule="auto"/>
              <w:ind w:firstLine="479"/>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lastRenderedPageBreak/>
              <w:t>Dalam rangka menciptakan sistem perbankan syariah yang sehat, mampu berkembang</w:t>
            </w:r>
            <w:r>
              <w:rPr>
                <w:rFonts w:ascii="Bookman Old Style" w:hAnsi="Bookman Old Style"/>
                <w:color w:val="000000" w:themeColor="text1"/>
                <w:sz w:val="20"/>
                <w:szCs w:val="20"/>
                <w:lang w:val="en-US"/>
              </w:rPr>
              <w:t>,</w:t>
            </w:r>
            <w:r w:rsidRPr="007007D1">
              <w:rPr>
                <w:rFonts w:ascii="Bookman Old Style" w:hAnsi="Bookman Old Style"/>
                <w:color w:val="000000" w:themeColor="text1"/>
                <w:sz w:val="20"/>
                <w:szCs w:val="20"/>
              </w:rPr>
              <w:t xml:space="preserve"> dan bersaing secara nasional maupun internasional, diperlukan manajemen risiko likuiditas yang memadai. Kerangka pengukuran risiko likuiditas di perbankan </w:t>
            </w:r>
            <w:r>
              <w:rPr>
                <w:rFonts w:ascii="Bookman Old Style" w:hAnsi="Bookman Old Style"/>
                <w:color w:val="000000" w:themeColor="text1"/>
                <w:sz w:val="20"/>
                <w:szCs w:val="20"/>
                <w:lang w:val="en-US"/>
              </w:rPr>
              <w:t>s</w:t>
            </w:r>
            <w:r w:rsidRPr="007007D1">
              <w:rPr>
                <w:rFonts w:ascii="Bookman Old Style" w:hAnsi="Bookman Old Style"/>
                <w:color w:val="000000" w:themeColor="text1"/>
                <w:sz w:val="20"/>
                <w:szCs w:val="20"/>
              </w:rPr>
              <w:t xml:space="preserve">yariah harus sejalan dengan standar internasional, sehingga perbankan </w:t>
            </w:r>
            <w:r>
              <w:rPr>
                <w:rFonts w:ascii="Bookman Old Style" w:hAnsi="Bookman Old Style"/>
                <w:color w:val="000000" w:themeColor="text1"/>
                <w:sz w:val="20"/>
                <w:szCs w:val="20"/>
                <w:lang w:val="en-US"/>
              </w:rPr>
              <w:t>s</w:t>
            </w:r>
            <w:r w:rsidRPr="007007D1">
              <w:rPr>
                <w:rFonts w:ascii="Bookman Old Style" w:hAnsi="Bookman Old Style"/>
                <w:color w:val="000000" w:themeColor="text1"/>
                <w:sz w:val="20"/>
                <w:szCs w:val="20"/>
              </w:rPr>
              <w:t>yariah memiliki rasio likuiditas yang setara, dapat diandalkan, dan dapat diperbandingkan dengan perbankan secara umum baik secara nasional maupun internasional.</w:t>
            </w:r>
          </w:p>
          <w:p w14:paraId="77803D0F" w14:textId="77777777" w:rsidR="00910A48" w:rsidRPr="007007D1" w:rsidRDefault="00910A48" w:rsidP="00910A48">
            <w:pPr>
              <w:spacing w:after="0" w:line="240" w:lineRule="auto"/>
              <w:ind w:firstLine="482"/>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t xml:space="preserve">Untuk mengukur risiko likuiditas di perbankan Syariah terdapat standar perhitungan internasional yang berlaku, yaitu </w:t>
            </w:r>
            <w:r w:rsidRPr="007007D1">
              <w:rPr>
                <w:rFonts w:ascii="Bookman Old Style" w:hAnsi="Bookman Old Style"/>
                <w:color w:val="000000" w:themeColor="text1"/>
                <w:sz w:val="20"/>
                <w:szCs w:val="20"/>
              </w:rPr>
              <w:lastRenderedPageBreak/>
              <w:t xml:space="preserve">Basel III: </w:t>
            </w:r>
            <w:r w:rsidRPr="00053371">
              <w:rPr>
                <w:rFonts w:ascii="Bookman Old Style" w:hAnsi="Bookman Old Style"/>
                <w:i/>
                <w:color w:val="000000" w:themeColor="text1"/>
                <w:sz w:val="20"/>
                <w:szCs w:val="20"/>
              </w:rPr>
              <w:t>The Liquidity Coverage Ratio and Liquidity Risk Monitoring Tools</w:t>
            </w:r>
            <w:r w:rsidRPr="007007D1">
              <w:rPr>
                <w:rFonts w:ascii="Bookman Old Style" w:hAnsi="Bookman Old Style"/>
                <w:color w:val="000000" w:themeColor="text1"/>
                <w:sz w:val="20"/>
                <w:szCs w:val="20"/>
              </w:rPr>
              <w:t xml:space="preserve"> dan </w:t>
            </w:r>
            <w:r w:rsidRPr="00053371">
              <w:rPr>
                <w:rFonts w:ascii="Bookman Old Style" w:hAnsi="Bookman Old Style"/>
                <w:i/>
                <w:color w:val="000000" w:themeColor="text1"/>
                <w:sz w:val="20"/>
                <w:szCs w:val="20"/>
              </w:rPr>
              <w:t xml:space="preserve">The Net Stable Funding Ratio </w:t>
            </w:r>
            <w:r w:rsidRPr="007007D1">
              <w:rPr>
                <w:rFonts w:ascii="Bookman Old Style" w:hAnsi="Bookman Old Style"/>
                <w:color w:val="000000" w:themeColor="text1"/>
                <w:sz w:val="20"/>
                <w:szCs w:val="20"/>
              </w:rPr>
              <w:t xml:space="preserve">yang diterbitkan oleh </w:t>
            </w:r>
            <w:r w:rsidRPr="00053371">
              <w:rPr>
                <w:rFonts w:ascii="Bookman Old Style" w:hAnsi="Bookman Old Style"/>
                <w:i/>
                <w:color w:val="000000" w:themeColor="text1"/>
                <w:sz w:val="20"/>
                <w:szCs w:val="20"/>
              </w:rPr>
              <w:t>Basel Committee on Banking Supervision</w:t>
            </w:r>
            <w:r w:rsidRPr="007007D1">
              <w:rPr>
                <w:rFonts w:ascii="Bookman Old Style" w:hAnsi="Bookman Old Style"/>
                <w:color w:val="000000" w:themeColor="text1"/>
                <w:sz w:val="20"/>
                <w:szCs w:val="20"/>
              </w:rPr>
              <w:t xml:space="preserve"> (BCBS), serta </w:t>
            </w:r>
            <w:r w:rsidRPr="00053371">
              <w:rPr>
                <w:rFonts w:ascii="Bookman Old Style" w:hAnsi="Bookman Old Style"/>
                <w:i/>
                <w:color w:val="000000" w:themeColor="text1"/>
                <w:sz w:val="20"/>
                <w:szCs w:val="20"/>
              </w:rPr>
              <w:t>Guidance Note in Quantitative Measures For Liquidity Risk Management in Institutions Offering Islamic Financial Services</w:t>
            </w:r>
            <w:r w:rsidRPr="007007D1">
              <w:rPr>
                <w:rFonts w:ascii="Bookman Old Style" w:hAnsi="Bookman Old Style"/>
                <w:color w:val="000000" w:themeColor="text1"/>
                <w:sz w:val="20"/>
                <w:szCs w:val="20"/>
              </w:rPr>
              <w:t xml:space="preserve"> (</w:t>
            </w:r>
            <w:r w:rsidRPr="00053371">
              <w:rPr>
                <w:rFonts w:ascii="Bookman Old Style" w:hAnsi="Bookman Old Style"/>
                <w:i/>
                <w:color w:val="000000" w:themeColor="text1"/>
                <w:sz w:val="20"/>
                <w:szCs w:val="20"/>
              </w:rPr>
              <w:t>Excluding Islamic Insurance</w:t>
            </w:r>
            <w:r w:rsidRPr="007007D1">
              <w:rPr>
                <w:rFonts w:ascii="Bookman Old Style" w:hAnsi="Bookman Old Style"/>
                <w:color w:val="000000" w:themeColor="text1"/>
                <w:sz w:val="20"/>
                <w:szCs w:val="20"/>
              </w:rPr>
              <w:t xml:space="preserve"> [</w:t>
            </w:r>
            <w:r w:rsidRPr="00053371">
              <w:rPr>
                <w:rFonts w:ascii="Bookman Old Style" w:hAnsi="Bookman Old Style"/>
                <w:i/>
                <w:color w:val="000000" w:themeColor="text1"/>
                <w:sz w:val="20"/>
                <w:szCs w:val="20"/>
              </w:rPr>
              <w:t>Takaful</w:t>
            </w:r>
            <w:r w:rsidRPr="007007D1">
              <w:rPr>
                <w:rFonts w:ascii="Bookman Old Style" w:hAnsi="Bookman Old Style"/>
                <w:color w:val="000000" w:themeColor="text1"/>
                <w:sz w:val="20"/>
                <w:szCs w:val="20"/>
              </w:rPr>
              <w:t xml:space="preserve">] </w:t>
            </w:r>
            <w:r w:rsidRPr="00053371">
              <w:rPr>
                <w:rFonts w:ascii="Bookman Old Style" w:hAnsi="Bookman Old Style"/>
                <w:i/>
                <w:color w:val="000000" w:themeColor="text1"/>
                <w:sz w:val="20"/>
                <w:szCs w:val="20"/>
              </w:rPr>
              <w:t>Institutions and Islamic Collective Investment Schemes</w:t>
            </w:r>
            <w:r w:rsidRPr="007007D1">
              <w:rPr>
                <w:rFonts w:ascii="Bookman Old Style" w:hAnsi="Bookman Old Style"/>
                <w:color w:val="000000" w:themeColor="text1"/>
                <w:sz w:val="20"/>
                <w:szCs w:val="20"/>
              </w:rPr>
              <w:t>) (GN-6) yang diterbitkan oleh Islamic Financial Services Board (IFSB). Pengukuran likuiditas sebagaimana diatur dalam standar internasional dimaksud dilakukan melalui pemenuhan rasio aset likuid berkualitas tinggi untuk mengantisipasi arus kas keluar bersih dan pemenuhan rasio pendanaan stabil yang disesuaikan dengan komposisi aset dan rekening administratif.</w:t>
            </w:r>
          </w:p>
          <w:p w14:paraId="0DB370E6" w14:textId="77777777" w:rsidR="00910A48" w:rsidRPr="007007D1" w:rsidRDefault="00910A48" w:rsidP="00910A48">
            <w:pPr>
              <w:spacing w:after="0" w:line="240" w:lineRule="auto"/>
              <w:ind w:firstLine="482"/>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t>Perhitungan LCR bertujuan untuk memastikan bahwa Bank memiliki kecukupan persediaan HQLA yang tidak terikat (</w:t>
            </w:r>
            <w:r w:rsidRPr="00053371">
              <w:rPr>
                <w:rFonts w:ascii="Bookman Old Style" w:hAnsi="Bookman Old Style"/>
                <w:i/>
                <w:color w:val="000000" w:themeColor="text1"/>
                <w:sz w:val="20"/>
                <w:szCs w:val="20"/>
              </w:rPr>
              <w:t>unencumbered</w:t>
            </w:r>
            <w:r w:rsidRPr="007007D1">
              <w:rPr>
                <w:rFonts w:ascii="Bookman Old Style" w:hAnsi="Bookman Old Style"/>
                <w:color w:val="000000" w:themeColor="text1"/>
                <w:sz w:val="20"/>
                <w:szCs w:val="20"/>
              </w:rPr>
              <w:t>) yang terdiri dari kas dan/atau aset yang dapat dengan mudah dan segera dikonversi menjadi kas dengan sedikit atau tanpa pengurangan nilai untuk memenuhi kebutuhan likuiditas Bank dalam periode 30 (tiga puluh) hari skenario stres.</w:t>
            </w:r>
          </w:p>
          <w:p w14:paraId="37FED231" w14:textId="77777777" w:rsidR="00910A48" w:rsidRPr="007007D1" w:rsidRDefault="00910A48" w:rsidP="00910A48">
            <w:pPr>
              <w:spacing w:after="0" w:line="240" w:lineRule="auto"/>
              <w:ind w:firstLine="482"/>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t>Persediaan HQLA yang tidak terikat (</w:t>
            </w:r>
            <w:r w:rsidRPr="00053371">
              <w:rPr>
                <w:rFonts w:ascii="Bookman Old Style" w:hAnsi="Bookman Old Style"/>
                <w:i/>
                <w:color w:val="000000" w:themeColor="text1"/>
                <w:sz w:val="20"/>
                <w:szCs w:val="20"/>
              </w:rPr>
              <w:t>unencumbered</w:t>
            </w:r>
            <w:r w:rsidRPr="007007D1">
              <w:rPr>
                <w:rFonts w:ascii="Bookman Old Style" w:hAnsi="Bookman Old Style"/>
                <w:color w:val="000000" w:themeColor="text1"/>
                <w:sz w:val="20"/>
                <w:szCs w:val="20"/>
              </w:rPr>
              <w:t xml:space="preserve">) yang dimiliki Bank paling tidak dapat membuat Bank mampu bertahan selama 30 (tiga puluh) hari dalam skenario stres, karena diasumsikan setelah 30 (tiga puluh) hari Bank telah dapat melakukan tindakan perbaikan yang seharusnya atau Bank telah berhenti melakukan kegiatan usaha sesuai mekanisme yang berlaku. Periode 30 (tiga puluh) hari tersebut juga diharapkan dapat memberikan waktu bagi Otoritas Jasa Keuangan untuk melakukan tindakan tertentu </w:t>
            </w:r>
            <w:r w:rsidRPr="007007D1">
              <w:rPr>
                <w:rFonts w:ascii="Bookman Old Style" w:hAnsi="Bookman Old Style"/>
                <w:color w:val="000000" w:themeColor="text1"/>
                <w:sz w:val="20"/>
                <w:szCs w:val="20"/>
              </w:rPr>
              <w:lastRenderedPageBreak/>
              <w:t>yang dipandang perlu. Selain itu, Bank juga harus menyadari adanya potensi kesenjangan (</w:t>
            </w:r>
            <w:r w:rsidRPr="00297E15">
              <w:rPr>
                <w:rFonts w:ascii="Bookman Old Style" w:hAnsi="Bookman Old Style"/>
                <w:i/>
                <w:color w:val="000000" w:themeColor="text1"/>
                <w:sz w:val="20"/>
                <w:szCs w:val="20"/>
              </w:rPr>
              <w:t>mismatch</w:t>
            </w:r>
            <w:r w:rsidRPr="007007D1">
              <w:rPr>
                <w:rFonts w:ascii="Bookman Old Style" w:hAnsi="Bookman Old Style"/>
                <w:color w:val="000000" w:themeColor="text1"/>
                <w:sz w:val="20"/>
                <w:szCs w:val="20"/>
              </w:rPr>
              <w:t xml:space="preserve">) yang dapat terjadi dalam periode 30 (tiga puluh) hari kedepan dan memastikan bahwa Bank memiliki persediaan HQLA yang memadai untuk menutup gap arus kas yang terjadi selama periode waktu tersebut karena adanya ketidakpastian waktu terhadap arus kas masuk maupun arus kas keluar. </w:t>
            </w:r>
          </w:p>
          <w:p w14:paraId="45D262D7" w14:textId="77777777" w:rsidR="00910A48" w:rsidRPr="007007D1" w:rsidRDefault="00910A48" w:rsidP="00910A48">
            <w:pPr>
              <w:spacing w:after="0" w:line="240" w:lineRule="auto"/>
              <w:ind w:firstLine="482"/>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t xml:space="preserve">Perhitungan NSFR bertujuan untuk memastikan bahwa Bank memelihara pendanaan stabil yang disesuaikan dengan komposisi aset dan rekening administratif. Bank diharapkan dapat mengurangi risiko likuiditas terkait sumber pendanaan untuk jangka waktu yang lebih panjang. Dengan demikian, Bank perlu untuk meningkatkan stabilitas pendanaan dengan membatasi ketergantungan yang berlebihan terhadap sumber pendanaan jangka pendek yang berasal dari korporasi. </w:t>
            </w:r>
          </w:p>
          <w:p w14:paraId="33269F0F" w14:textId="77777777" w:rsidR="00910A48" w:rsidRPr="007007D1" w:rsidRDefault="00910A48" w:rsidP="00910A48">
            <w:pPr>
              <w:spacing w:after="0" w:line="240" w:lineRule="auto"/>
              <w:ind w:firstLine="482"/>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t>Sehubungan dengan hal tersebut, diperlukan pengaturan tentang Kewajiban Pemenuhan Rasio Kecukupan Likuiditas (</w:t>
            </w:r>
            <w:r w:rsidRPr="00A56B46">
              <w:rPr>
                <w:rFonts w:ascii="Bookman Old Style" w:hAnsi="Bookman Old Style"/>
                <w:i/>
                <w:color w:val="000000" w:themeColor="text1"/>
                <w:sz w:val="20"/>
                <w:szCs w:val="20"/>
              </w:rPr>
              <w:t>Liquidity Coverage Ratio</w:t>
            </w:r>
            <w:r w:rsidRPr="007007D1">
              <w:rPr>
                <w:rFonts w:ascii="Bookman Old Style" w:hAnsi="Bookman Old Style"/>
                <w:color w:val="000000" w:themeColor="text1"/>
                <w:sz w:val="20"/>
                <w:szCs w:val="20"/>
              </w:rPr>
              <w:t>) dan Rasio Pendanaan Stabil Bersih (</w:t>
            </w:r>
            <w:r w:rsidRPr="00A56B46">
              <w:rPr>
                <w:rFonts w:ascii="Bookman Old Style" w:hAnsi="Bookman Old Style"/>
                <w:i/>
                <w:color w:val="000000" w:themeColor="text1"/>
                <w:sz w:val="20"/>
                <w:szCs w:val="20"/>
              </w:rPr>
              <w:t>Net Stable Funding Ratio</w:t>
            </w:r>
            <w:r w:rsidRPr="007007D1">
              <w:rPr>
                <w:rFonts w:ascii="Bookman Old Style" w:hAnsi="Bookman Old Style"/>
                <w:color w:val="000000" w:themeColor="text1"/>
                <w:sz w:val="20"/>
                <w:szCs w:val="20"/>
              </w:rPr>
              <w:t>) bagi bagi Bank Umum Syariah dan Unit Usaha Syariah.</w:t>
            </w:r>
          </w:p>
        </w:tc>
        <w:tc>
          <w:tcPr>
            <w:tcW w:w="3686" w:type="dxa"/>
            <w:shd w:val="clear" w:color="auto" w:fill="auto"/>
          </w:tcPr>
          <w:p w14:paraId="6BB0CAD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86212A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64B04DA" w14:textId="77777777" w:rsidTr="00910A48">
        <w:tc>
          <w:tcPr>
            <w:tcW w:w="4794" w:type="dxa"/>
            <w:shd w:val="clear" w:color="auto" w:fill="FFF2CC" w:themeFill="accent4" w:themeFillTint="33"/>
          </w:tcPr>
          <w:p w14:paraId="1DC1A7FD" w14:textId="453A6725" w:rsidR="00910A48" w:rsidRPr="00910A48"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lang w:val="sv-SE"/>
              </w:rPr>
            </w:pPr>
            <w:r w:rsidRPr="007007D1">
              <w:rPr>
                <w:rFonts w:ascii="Bookman Old Style" w:hAnsi="Bookman Old Style"/>
                <w:color w:val="000000" w:themeColor="text1"/>
                <w:sz w:val="20"/>
                <w:szCs w:val="20"/>
                <w:lang w:val="sv-SE"/>
              </w:rPr>
              <w:lastRenderedPageBreak/>
              <w:t>Mengingat:</w:t>
            </w:r>
          </w:p>
        </w:tc>
        <w:tc>
          <w:tcPr>
            <w:tcW w:w="4840" w:type="dxa"/>
            <w:shd w:val="clear" w:color="auto" w:fill="FFF2CC" w:themeFill="accent4" w:themeFillTint="33"/>
          </w:tcPr>
          <w:p w14:paraId="29565101" w14:textId="45B0190E" w:rsidR="00910A48" w:rsidRPr="00910A48" w:rsidRDefault="00910A48" w:rsidP="00910A48">
            <w:pPr>
              <w:spacing w:after="0" w:line="240" w:lineRule="auto"/>
              <w:jc w:val="both"/>
              <w:rPr>
                <w:rFonts w:ascii="Bookman Old Style" w:hAnsi="Bookman Old Style"/>
                <w:color w:val="000000" w:themeColor="text1"/>
                <w:sz w:val="20"/>
                <w:szCs w:val="20"/>
              </w:rPr>
            </w:pPr>
          </w:p>
        </w:tc>
        <w:tc>
          <w:tcPr>
            <w:tcW w:w="3686" w:type="dxa"/>
            <w:shd w:val="clear" w:color="auto" w:fill="FFF2CC" w:themeFill="accent4" w:themeFillTint="33"/>
          </w:tcPr>
          <w:p w14:paraId="6F6E60C3" w14:textId="77777777" w:rsidR="00910A48" w:rsidRPr="00910A48" w:rsidRDefault="00910A48" w:rsidP="00910A48">
            <w:pPr>
              <w:spacing w:after="0" w:line="240" w:lineRule="auto"/>
              <w:jc w:val="both"/>
              <w:rPr>
                <w:rFonts w:ascii="Bookman Old Style" w:hAnsi="Bookman Old Style"/>
                <w:sz w:val="20"/>
                <w:szCs w:val="20"/>
              </w:rPr>
            </w:pPr>
          </w:p>
        </w:tc>
        <w:tc>
          <w:tcPr>
            <w:tcW w:w="3827" w:type="dxa"/>
            <w:shd w:val="clear" w:color="auto" w:fill="FFF2CC" w:themeFill="accent4" w:themeFillTint="33"/>
          </w:tcPr>
          <w:p w14:paraId="78830B07" w14:textId="77777777" w:rsidR="00910A48" w:rsidRPr="00910A48" w:rsidRDefault="00910A48" w:rsidP="00910A48">
            <w:pPr>
              <w:spacing w:after="0" w:line="240" w:lineRule="auto"/>
              <w:jc w:val="both"/>
              <w:rPr>
                <w:rFonts w:ascii="Bookman Old Style" w:hAnsi="Bookman Old Style"/>
                <w:sz w:val="20"/>
                <w:szCs w:val="20"/>
              </w:rPr>
            </w:pPr>
          </w:p>
        </w:tc>
      </w:tr>
      <w:tr w:rsidR="00910A48" w:rsidRPr="00BA5B40" w14:paraId="157D9F6A" w14:textId="77777777" w:rsidTr="00910A48">
        <w:tc>
          <w:tcPr>
            <w:tcW w:w="4794" w:type="dxa"/>
            <w:shd w:val="clear" w:color="auto" w:fill="auto"/>
          </w:tcPr>
          <w:p w14:paraId="387F31E6" w14:textId="77777777" w:rsidR="00910A48" w:rsidRPr="00910A48" w:rsidRDefault="00910A48" w:rsidP="00910A48">
            <w:pPr>
              <w:pStyle w:val="ListParagraph"/>
              <w:numPr>
                <w:ilvl w:val="0"/>
                <w:numId w:val="3"/>
              </w:numPr>
              <w:tabs>
                <w:tab w:val="left" w:pos="1701"/>
                <w:tab w:val="left" w:pos="1985"/>
                <w:tab w:val="left" w:pos="2552"/>
                <w:tab w:val="left" w:pos="10170"/>
                <w:tab w:val="left" w:pos="10800"/>
              </w:tabs>
              <w:autoSpaceDE w:val="0"/>
              <w:autoSpaceDN w:val="0"/>
              <w:adjustRightInd w:val="0"/>
              <w:spacing w:after="0" w:line="240" w:lineRule="auto"/>
              <w:ind w:left="357" w:right="11" w:hanging="357"/>
              <w:jc w:val="both"/>
              <w:rPr>
                <w:rFonts w:ascii="Bookman Old Style" w:hAnsi="Bookman Old Style"/>
                <w:color w:val="000000" w:themeColor="text1"/>
                <w:sz w:val="20"/>
                <w:szCs w:val="20"/>
                <w:lang w:val="sv-SE"/>
              </w:rPr>
            </w:pPr>
            <w:r w:rsidRPr="00910A48">
              <w:rPr>
                <w:rFonts w:ascii="Bookman Old Style" w:hAnsi="Bookman Old Style"/>
                <w:color w:val="000000" w:themeColor="text1"/>
                <w:sz w:val="20"/>
                <w:szCs w:val="20"/>
                <w:lang w:val="sv-SE"/>
              </w:rPr>
              <w:t xml:space="preserve">Undang-Undang Nomor 21 Tahun 2008 tentang Perbankan Syariah (Lembaran Negara Republik Indonesia Tahun 2008 Nomor 94, Tambahan Lembaran Negara Republik Indonesia Nomor 4867) sebagaimana telah beberapa kali diubah terakhir dengan Undang-Undang Nomor 4 Tahun 2023 tentang Pengembangan dan Penguatan Sektor Keuangan (Lembaran Negara Republik Indonesia Tahun 2023 </w:t>
            </w:r>
            <w:r w:rsidRPr="00910A48">
              <w:rPr>
                <w:rFonts w:ascii="Bookman Old Style" w:hAnsi="Bookman Old Style"/>
                <w:color w:val="000000" w:themeColor="text1"/>
                <w:sz w:val="20"/>
                <w:szCs w:val="20"/>
                <w:lang w:val="sv-SE"/>
              </w:rPr>
              <w:lastRenderedPageBreak/>
              <w:t>Nomor 4, Tambahan Lembaran Negara Republik Indonesia Nomor 6845);</w:t>
            </w:r>
          </w:p>
          <w:p w14:paraId="02AA1269" w14:textId="77777777" w:rsidR="00910A48" w:rsidRPr="007007D1" w:rsidRDefault="00910A48" w:rsidP="00910A48">
            <w:pPr>
              <w:pStyle w:val="ListParagraph"/>
              <w:numPr>
                <w:ilvl w:val="0"/>
                <w:numId w:val="3"/>
              </w:numPr>
              <w:tabs>
                <w:tab w:val="left" w:pos="1701"/>
                <w:tab w:val="left" w:pos="1985"/>
                <w:tab w:val="left" w:pos="2552"/>
                <w:tab w:val="left" w:pos="10170"/>
                <w:tab w:val="left" w:pos="10800"/>
              </w:tabs>
              <w:autoSpaceDE w:val="0"/>
              <w:autoSpaceDN w:val="0"/>
              <w:adjustRightInd w:val="0"/>
              <w:spacing w:after="0" w:line="240" w:lineRule="auto"/>
              <w:ind w:left="357" w:right="11" w:hanging="357"/>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4840" w:type="dxa"/>
            <w:shd w:val="clear" w:color="auto" w:fill="auto"/>
          </w:tcPr>
          <w:p w14:paraId="5190EF0E" w14:textId="6924330D" w:rsidR="00910A48" w:rsidRPr="007007D1" w:rsidRDefault="00910A48" w:rsidP="00910A48">
            <w:pPr>
              <w:spacing w:after="0" w:line="240" w:lineRule="auto"/>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02FCCA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4CBB22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FA9B846" w14:textId="77777777" w:rsidTr="00910A48">
        <w:tc>
          <w:tcPr>
            <w:tcW w:w="4794" w:type="dxa"/>
            <w:shd w:val="clear" w:color="auto" w:fill="FFF2CC" w:themeFill="accent4" w:themeFillTint="33"/>
          </w:tcPr>
          <w:p w14:paraId="690F3836" w14:textId="494B5F0C" w:rsidR="00910A48" w:rsidRPr="00910A48" w:rsidRDefault="00910A48" w:rsidP="00910A48">
            <w:pPr>
              <w:pStyle w:val="ListParagraph"/>
              <w:spacing w:after="0" w:line="240" w:lineRule="auto"/>
              <w:ind w:left="0"/>
              <w:jc w:val="center"/>
              <w:rPr>
                <w:rFonts w:ascii="Bookman Old Style" w:hAnsi="Bookman Old Style"/>
                <w:sz w:val="20"/>
                <w:szCs w:val="20"/>
              </w:rPr>
            </w:pPr>
            <w:r w:rsidRPr="00BF4C58">
              <w:rPr>
                <w:rFonts w:ascii="Bookman Old Style" w:hAnsi="Bookman Old Style"/>
                <w:sz w:val="20"/>
                <w:szCs w:val="20"/>
              </w:rPr>
              <w:t>MEMUTUSKAN:</w:t>
            </w:r>
          </w:p>
        </w:tc>
        <w:tc>
          <w:tcPr>
            <w:tcW w:w="4840" w:type="dxa"/>
            <w:shd w:val="clear" w:color="auto" w:fill="FFF2CC" w:themeFill="accent4" w:themeFillTint="33"/>
          </w:tcPr>
          <w:p w14:paraId="07EC6EED" w14:textId="77777777" w:rsidR="00910A48" w:rsidRPr="00910A48" w:rsidRDefault="00910A48" w:rsidP="00910A48">
            <w:pPr>
              <w:spacing w:after="0" w:line="240" w:lineRule="auto"/>
              <w:jc w:val="both"/>
              <w:rPr>
                <w:rFonts w:ascii="Bookman Old Style" w:hAnsi="Bookman Old Style"/>
                <w:sz w:val="20"/>
                <w:szCs w:val="20"/>
              </w:rPr>
            </w:pPr>
          </w:p>
        </w:tc>
        <w:tc>
          <w:tcPr>
            <w:tcW w:w="3686" w:type="dxa"/>
            <w:shd w:val="clear" w:color="auto" w:fill="FFF2CC" w:themeFill="accent4" w:themeFillTint="33"/>
          </w:tcPr>
          <w:p w14:paraId="14681E84" w14:textId="77777777" w:rsidR="00910A48" w:rsidRPr="00910A48" w:rsidRDefault="00910A48" w:rsidP="00910A48">
            <w:pPr>
              <w:spacing w:after="0" w:line="240" w:lineRule="auto"/>
              <w:jc w:val="both"/>
              <w:rPr>
                <w:rFonts w:ascii="Bookman Old Style" w:hAnsi="Bookman Old Style"/>
                <w:sz w:val="20"/>
                <w:szCs w:val="20"/>
              </w:rPr>
            </w:pPr>
          </w:p>
        </w:tc>
        <w:tc>
          <w:tcPr>
            <w:tcW w:w="3827" w:type="dxa"/>
            <w:shd w:val="clear" w:color="auto" w:fill="FFF2CC" w:themeFill="accent4" w:themeFillTint="33"/>
          </w:tcPr>
          <w:p w14:paraId="79676C11" w14:textId="77777777" w:rsidR="00910A48" w:rsidRPr="00910A48" w:rsidRDefault="00910A48" w:rsidP="00910A48">
            <w:pPr>
              <w:spacing w:after="0" w:line="240" w:lineRule="auto"/>
              <w:jc w:val="both"/>
              <w:rPr>
                <w:rFonts w:ascii="Bookman Old Style" w:hAnsi="Bookman Old Style"/>
                <w:sz w:val="20"/>
                <w:szCs w:val="20"/>
              </w:rPr>
            </w:pPr>
          </w:p>
        </w:tc>
      </w:tr>
      <w:tr w:rsidR="00910A48" w:rsidRPr="00BA5B40" w14:paraId="636A3AA6" w14:textId="77777777" w:rsidTr="00910A48">
        <w:tc>
          <w:tcPr>
            <w:tcW w:w="4794" w:type="dxa"/>
            <w:shd w:val="clear" w:color="auto" w:fill="FFF2CC" w:themeFill="accent4" w:themeFillTint="33"/>
          </w:tcPr>
          <w:p w14:paraId="3BBB6E4A" w14:textId="7E5D9486" w:rsidR="00910A48" w:rsidRPr="00BF4C58" w:rsidRDefault="00910A48" w:rsidP="00910A48">
            <w:pPr>
              <w:tabs>
                <w:tab w:val="left" w:pos="1980"/>
                <w:tab w:val="left" w:pos="2520"/>
                <w:tab w:val="left" w:pos="2552"/>
              </w:tabs>
              <w:spacing w:after="0" w:line="240" w:lineRule="auto"/>
              <w:jc w:val="both"/>
              <w:rPr>
                <w:rFonts w:ascii="Bookman Old Style" w:hAnsi="Bookman Old Style"/>
                <w:sz w:val="20"/>
                <w:szCs w:val="20"/>
              </w:rPr>
            </w:pPr>
            <w:r w:rsidRPr="00BF4C58">
              <w:rPr>
                <w:rFonts w:ascii="Bookman Old Style" w:hAnsi="Bookman Old Style"/>
                <w:sz w:val="20"/>
                <w:szCs w:val="20"/>
              </w:rPr>
              <w:t>Menetapkan:</w:t>
            </w:r>
          </w:p>
        </w:tc>
        <w:tc>
          <w:tcPr>
            <w:tcW w:w="4840" w:type="dxa"/>
            <w:shd w:val="clear" w:color="auto" w:fill="FFF2CC" w:themeFill="accent4" w:themeFillTint="33"/>
          </w:tcPr>
          <w:p w14:paraId="2082DCE9" w14:textId="77777777" w:rsidR="00910A48" w:rsidRPr="00910A48" w:rsidRDefault="00910A48" w:rsidP="00910A48">
            <w:pPr>
              <w:spacing w:after="0" w:line="240" w:lineRule="auto"/>
              <w:jc w:val="both"/>
              <w:rPr>
                <w:rFonts w:ascii="Bookman Old Style" w:hAnsi="Bookman Old Style"/>
                <w:sz w:val="20"/>
                <w:szCs w:val="20"/>
              </w:rPr>
            </w:pPr>
          </w:p>
        </w:tc>
        <w:tc>
          <w:tcPr>
            <w:tcW w:w="3686" w:type="dxa"/>
            <w:shd w:val="clear" w:color="auto" w:fill="FFF2CC" w:themeFill="accent4" w:themeFillTint="33"/>
          </w:tcPr>
          <w:p w14:paraId="576189D2" w14:textId="77777777" w:rsidR="00910A48" w:rsidRPr="00910A48" w:rsidRDefault="00910A48" w:rsidP="00910A48">
            <w:pPr>
              <w:spacing w:after="0" w:line="240" w:lineRule="auto"/>
              <w:jc w:val="both"/>
              <w:rPr>
                <w:rFonts w:ascii="Bookman Old Style" w:hAnsi="Bookman Old Style"/>
                <w:sz w:val="20"/>
                <w:szCs w:val="20"/>
              </w:rPr>
            </w:pPr>
          </w:p>
        </w:tc>
        <w:tc>
          <w:tcPr>
            <w:tcW w:w="3827" w:type="dxa"/>
            <w:shd w:val="clear" w:color="auto" w:fill="FFF2CC" w:themeFill="accent4" w:themeFillTint="33"/>
          </w:tcPr>
          <w:p w14:paraId="53F11973" w14:textId="77777777" w:rsidR="00910A48" w:rsidRPr="00910A48" w:rsidRDefault="00910A48" w:rsidP="00910A48">
            <w:pPr>
              <w:spacing w:after="0" w:line="240" w:lineRule="auto"/>
              <w:jc w:val="both"/>
              <w:rPr>
                <w:rFonts w:ascii="Bookman Old Style" w:hAnsi="Bookman Old Style"/>
                <w:sz w:val="20"/>
                <w:szCs w:val="20"/>
              </w:rPr>
            </w:pPr>
          </w:p>
        </w:tc>
      </w:tr>
      <w:tr w:rsidR="00910A48" w:rsidRPr="00BA5B40" w14:paraId="6B0D443A" w14:textId="77777777" w:rsidTr="00910A48">
        <w:tc>
          <w:tcPr>
            <w:tcW w:w="4794" w:type="dxa"/>
            <w:shd w:val="clear" w:color="auto" w:fill="auto"/>
          </w:tcPr>
          <w:p w14:paraId="6E4A55B3" w14:textId="05201BCF"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lang w:val="sv-SE"/>
              </w:rPr>
              <w:t>KEWAJIBAN PEMENUHAN RASIO KECUKUPAN LIKUIDITAS (LIQUIDITY COVERAGE RATIO) DAN RASIO PENDANAAN STABIL BERSIH (NET STABLE FUNDING RATIO) BAGI BANK UMUM SYARIAH DAN UNIT USAHA SYARIAH.</w:t>
            </w:r>
          </w:p>
        </w:tc>
        <w:tc>
          <w:tcPr>
            <w:tcW w:w="4840" w:type="dxa"/>
            <w:shd w:val="clear" w:color="auto" w:fill="auto"/>
          </w:tcPr>
          <w:p w14:paraId="34C6A8FE"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44DE09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AAD727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EEBE993" w14:textId="77777777" w:rsidTr="00910A48">
        <w:trPr>
          <w:trHeight w:val="267"/>
        </w:trPr>
        <w:tc>
          <w:tcPr>
            <w:tcW w:w="4794" w:type="dxa"/>
            <w:shd w:val="clear" w:color="auto" w:fill="FFF2CC" w:themeFill="accent4" w:themeFillTint="33"/>
          </w:tcPr>
          <w:p w14:paraId="4B64181E" w14:textId="77777777" w:rsidR="00910A48" w:rsidRPr="00910A48" w:rsidRDefault="00910A48" w:rsidP="00910A48">
            <w:pPr>
              <w:tabs>
                <w:tab w:val="left" w:pos="1980"/>
                <w:tab w:val="left" w:pos="2520"/>
                <w:tab w:val="left" w:pos="2552"/>
              </w:tabs>
              <w:spacing w:after="0" w:line="240" w:lineRule="auto"/>
              <w:jc w:val="center"/>
              <w:rPr>
                <w:rFonts w:ascii="Bookman Old Style" w:hAnsi="Bookman Old Style"/>
                <w:sz w:val="20"/>
                <w:szCs w:val="20"/>
              </w:rPr>
            </w:pPr>
            <w:r w:rsidRPr="00910A48">
              <w:rPr>
                <w:rFonts w:ascii="Bookman Old Style" w:hAnsi="Bookman Old Style"/>
                <w:sz w:val="20"/>
                <w:szCs w:val="20"/>
              </w:rPr>
              <w:t>BAB I</w:t>
            </w:r>
          </w:p>
        </w:tc>
        <w:tc>
          <w:tcPr>
            <w:tcW w:w="4840" w:type="dxa"/>
            <w:shd w:val="clear" w:color="auto" w:fill="FFF2CC" w:themeFill="accent4" w:themeFillTint="33"/>
          </w:tcPr>
          <w:p w14:paraId="59FE2352" w14:textId="77777777" w:rsidR="00910A48" w:rsidRPr="00910A48" w:rsidRDefault="00910A48" w:rsidP="00910A48">
            <w:pPr>
              <w:tabs>
                <w:tab w:val="left" w:pos="1980"/>
                <w:tab w:val="left" w:pos="2520"/>
                <w:tab w:val="left" w:pos="2552"/>
              </w:tabs>
              <w:spacing w:after="0" w:line="240" w:lineRule="auto"/>
              <w:jc w:val="both"/>
              <w:rPr>
                <w:rFonts w:ascii="Bookman Old Style" w:hAnsi="Bookman Old Style"/>
                <w:sz w:val="20"/>
                <w:szCs w:val="20"/>
              </w:rPr>
            </w:pPr>
          </w:p>
        </w:tc>
        <w:tc>
          <w:tcPr>
            <w:tcW w:w="3686" w:type="dxa"/>
            <w:shd w:val="clear" w:color="auto" w:fill="FFF2CC" w:themeFill="accent4" w:themeFillTint="33"/>
          </w:tcPr>
          <w:p w14:paraId="059DD443" w14:textId="77777777" w:rsidR="00910A48" w:rsidRPr="00910A48" w:rsidRDefault="00910A48" w:rsidP="00910A48">
            <w:pPr>
              <w:tabs>
                <w:tab w:val="left" w:pos="1980"/>
                <w:tab w:val="left" w:pos="2520"/>
                <w:tab w:val="left" w:pos="2552"/>
              </w:tabs>
              <w:spacing w:after="0" w:line="240" w:lineRule="auto"/>
              <w:jc w:val="both"/>
              <w:rPr>
                <w:rFonts w:ascii="Bookman Old Style" w:hAnsi="Bookman Old Style"/>
                <w:sz w:val="20"/>
                <w:szCs w:val="20"/>
              </w:rPr>
            </w:pPr>
          </w:p>
        </w:tc>
        <w:tc>
          <w:tcPr>
            <w:tcW w:w="3827" w:type="dxa"/>
            <w:shd w:val="clear" w:color="auto" w:fill="FFF2CC" w:themeFill="accent4" w:themeFillTint="33"/>
          </w:tcPr>
          <w:p w14:paraId="12E4CF28" w14:textId="77777777" w:rsidR="00910A48" w:rsidRPr="00910A48" w:rsidRDefault="00910A48" w:rsidP="00910A48">
            <w:pPr>
              <w:tabs>
                <w:tab w:val="left" w:pos="1980"/>
                <w:tab w:val="left" w:pos="2520"/>
                <w:tab w:val="left" w:pos="2552"/>
              </w:tabs>
              <w:spacing w:after="0" w:line="240" w:lineRule="auto"/>
              <w:jc w:val="both"/>
              <w:rPr>
                <w:rFonts w:ascii="Bookman Old Style" w:hAnsi="Bookman Old Style"/>
                <w:sz w:val="20"/>
                <w:szCs w:val="20"/>
              </w:rPr>
            </w:pPr>
          </w:p>
        </w:tc>
      </w:tr>
      <w:tr w:rsidR="00910A48" w:rsidRPr="00BA5B40" w14:paraId="25391B65" w14:textId="77777777" w:rsidTr="00910A48">
        <w:tc>
          <w:tcPr>
            <w:tcW w:w="4794" w:type="dxa"/>
            <w:shd w:val="clear" w:color="auto" w:fill="FFF2CC" w:themeFill="accent4" w:themeFillTint="33"/>
          </w:tcPr>
          <w:p w14:paraId="6B6CA782" w14:textId="77777777" w:rsidR="00910A48" w:rsidRPr="00910A48" w:rsidRDefault="00910A48" w:rsidP="00910A48">
            <w:pPr>
              <w:tabs>
                <w:tab w:val="left" w:pos="1980"/>
                <w:tab w:val="left" w:pos="2520"/>
                <w:tab w:val="left" w:pos="2552"/>
              </w:tabs>
              <w:spacing w:after="0" w:line="240" w:lineRule="auto"/>
              <w:jc w:val="center"/>
              <w:rPr>
                <w:rFonts w:ascii="Bookman Old Style" w:hAnsi="Bookman Old Style"/>
                <w:sz w:val="20"/>
                <w:szCs w:val="20"/>
              </w:rPr>
            </w:pPr>
            <w:r w:rsidRPr="00910A48">
              <w:rPr>
                <w:rFonts w:ascii="Bookman Old Style" w:hAnsi="Bookman Old Style"/>
                <w:sz w:val="20"/>
                <w:szCs w:val="20"/>
              </w:rPr>
              <w:t>KETENTUAN UMUM</w:t>
            </w:r>
          </w:p>
        </w:tc>
        <w:tc>
          <w:tcPr>
            <w:tcW w:w="4840" w:type="dxa"/>
            <w:shd w:val="clear" w:color="auto" w:fill="FFF2CC" w:themeFill="accent4" w:themeFillTint="33"/>
          </w:tcPr>
          <w:p w14:paraId="426310DA" w14:textId="1BB59702" w:rsidR="00910A48" w:rsidRPr="00910A48" w:rsidRDefault="00910A48" w:rsidP="00A32F86">
            <w:pPr>
              <w:pStyle w:val="ListParagraph"/>
              <w:numPr>
                <w:ilvl w:val="0"/>
                <w:numId w:val="50"/>
              </w:numPr>
              <w:tabs>
                <w:tab w:val="left" w:pos="1980"/>
                <w:tab w:val="left" w:pos="2520"/>
                <w:tab w:val="left" w:pos="2552"/>
              </w:tabs>
              <w:spacing w:after="0" w:line="240" w:lineRule="auto"/>
              <w:ind w:left="487" w:hanging="487"/>
              <w:jc w:val="both"/>
              <w:rPr>
                <w:rFonts w:ascii="Bookman Old Style" w:hAnsi="Bookman Old Style"/>
                <w:sz w:val="20"/>
                <w:szCs w:val="20"/>
              </w:rPr>
            </w:pPr>
            <w:r w:rsidRPr="00910A48">
              <w:rPr>
                <w:rFonts w:ascii="Bookman Old Style" w:hAnsi="Bookman Old Style"/>
                <w:sz w:val="20"/>
                <w:szCs w:val="20"/>
              </w:rPr>
              <w:t>PASAL DEMI PASAL</w:t>
            </w:r>
          </w:p>
        </w:tc>
        <w:tc>
          <w:tcPr>
            <w:tcW w:w="3686" w:type="dxa"/>
            <w:shd w:val="clear" w:color="auto" w:fill="FFF2CC" w:themeFill="accent4" w:themeFillTint="33"/>
          </w:tcPr>
          <w:p w14:paraId="6D8A40F3" w14:textId="77777777" w:rsidR="00910A48" w:rsidRPr="00910A48" w:rsidRDefault="00910A48" w:rsidP="00910A48">
            <w:pPr>
              <w:tabs>
                <w:tab w:val="left" w:pos="1980"/>
                <w:tab w:val="left" w:pos="2520"/>
                <w:tab w:val="left" w:pos="2552"/>
              </w:tabs>
              <w:spacing w:after="0" w:line="240" w:lineRule="auto"/>
              <w:jc w:val="both"/>
              <w:rPr>
                <w:rFonts w:ascii="Bookman Old Style" w:hAnsi="Bookman Old Style"/>
                <w:sz w:val="20"/>
                <w:szCs w:val="20"/>
              </w:rPr>
            </w:pPr>
          </w:p>
        </w:tc>
        <w:tc>
          <w:tcPr>
            <w:tcW w:w="3827" w:type="dxa"/>
            <w:shd w:val="clear" w:color="auto" w:fill="FFF2CC" w:themeFill="accent4" w:themeFillTint="33"/>
          </w:tcPr>
          <w:p w14:paraId="6BEAAE99" w14:textId="77777777" w:rsidR="00910A48" w:rsidRPr="00910A48" w:rsidRDefault="00910A48" w:rsidP="00910A48">
            <w:pPr>
              <w:tabs>
                <w:tab w:val="left" w:pos="1980"/>
                <w:tab w:val="left" w:pos="2520"/>
                <w:tab w:val="left" w:pos="2552"/>
              </w:tabs>
              <w:spacing w:after="0" w:line="240" w:lineRule="auto"/>
              <w:jc w:val="both"/>
              <w:rPr>
                <w:rFonts w:ascii="Bookman Old Style" w:hAnsi="Bookman Old Style"/>
                <w:sz w:val="20"/>
                <w:szCs w:val="20"/>
              </w:rPr>
            </w:pPr>
          </w:p>
        </w:tc>
      </w:tr>
      <w:tr w:rsidR="00910A48" w:rsidRPr="00BA5B40" w14:paraId="7F0B43EE" w14:textId="77777777" w:rsidTr="00910A48">
        <w:tc>
          <w:tcPr>
            <w:tcW w:w="4794" w:type="dxa"/>
            <w:shd w:val="clear" w:color="auto" w:fill="E7E6E6" w:themeFill="background2"/>
          </w:tcPr>
          <w:p w14:paraId="1ADCB641" w14:textId="77777777" w:rsidR="00910A48" w:rsidRPr="00910A48" w:rsidRDefault="00910A48" w:rsidP="00910A48">
            <w:pPr>
              <w:tabs>
                <w:tab w:val="left" w:pos="1980"/>
                <w:tab w:val="left" w:pos="2520"/>
                <w:tab w:val="left" w:pos="2552"/>
              </w:tabs>
              <w:spacing w:after="0" w:line="240" w:lineRule="auto"/>
              <w:jc w:val="center"/>
              <w:rPr>
                <w:rFonts w:ascii="Bookman Old Style" w:hAnsi="Bookman Old Style"/>
                <w:sz w:val="20"/>
                <w:szCs w:val="20"/>
              </w:rPr>
            </w:pPr>
            <w:r w:rsidRPr="00910A48">
              <w:rPr>
                <w:rFonts w:ascii="Bookman Old Style" w:hAnsi="Bookman Old Style"/>
                <w:sz w:val="20"/>
                <w:szCs w:val="20"/>
              </w:rPr>
              <w:t>Pasal 1</w:t>
            </w:r>
          </w:p>
        </w:tc>
        <w:tc>
          <w:tcPr>
            <w:tcW w:w="4840" w:type="dxa"/>
            <w:shd w:val="clear" w:color="auto" w:fill="E7E6E6" w:themeFill="background2"/>
          </w:tcPr>
          <w:p w14:paraId="204896CF" w14:textId="77777777" w:rsidR="00910A48" w:rsidRPr="007007D1"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r w:rsidRPr="007007D1">
              <w:rPr>
                <w:rFonts w:ascii="Bookman Old Style" w:hAnsi="Bookman Old Style"/>
                <w:sz w:val="20"/>
                <w:szCs w:val="20"/>
              </w:rPr>
              <w:t>Pasal 1</w:t>
            </w:r>
          </w:p>
        </w:tc>
        <w:tc>
          <w:tcPr>
            <w:tcW w:w="3686" w:type="dxa"/>
            <w:shd w:val="clear" w:color="auto" w:fill="E7E6E6" w:themeFill="background2"/>
          </w:tcPr>
          <w:p w14:paraId="1BCE49B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53EE7BA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EA6A983" w14:textId="77777777" w:rsidTr="00910A48">
        <w:tc>
          <w:tcPr>
            <w:tcW w:w="4794" w:type="dxa"/>
            <w:shd w:val="clear" w:color="auto" w:fill="auto"/>
          </w:tcPr>
          <w:p w14:paraId="6E3A087B"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Dalam Peraturan Otoritas Jasa Keuangan ini, yang dimaksud dengan:</w:t>
            </w:r>
          </w:p>
        </w:tc>
        <w:tc>
          <w:tcPr>
            <w:tcW w:w="4840" w:type="dxa"/>
            <w:shd w:val="clear" w:color="auto" w:fill="auto"/>
          </w:tcPr>
          <w:p w14:paraId="43643CD0"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sz w:val="20"/>
                <w:szCs w:val="20"/>
              </w:rPr>
              <w:t xml:space="preserve">Cukup jelas. </w:t>
            </w:r>
          </w:p>
        </w:tc>
        <w:tc>
          <w:tcPr>
            <w:tcW w:w="3686" w:type="dxa"/>
            <w:shd w:val="clear" w:color="auto" w:fill="auto"/>
          </w:tcPr>
          <w:p w14:paraId="777DC13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E6A4A0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8F3C247" w14:textId="77777777" w:rsidTr="00910A48">
        <w:tc>
          <w:tcPr>
            <w:tcW w:w="4794" w:type="dxa"/>
            <w:shd w:val="clear" w:color="auto" w:fill="auto"/>
          </w:tcPr>
          <w:p w14:paraId="1AC1DE8F"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olor w:val="000000" w:themeColor="text1"/>
                <w:sz w:val="20"/>
                <w:szCs w:val="20"/>
                <w:lang w:val="en-US"/>
              </w:rPr>
            </w:pPr>
            <w:r w:rsidRPr="007007D1">
              <w:rPr>
                <w:rFonts w:ascii="Bookman Old Style" w:hAnsi="Bookman Old Style"/>
                <w:color w:val="000000" w:themeColor="text1"/>
                <w:sz w:val="20"/>
                <w:szCs w:val="20"/>
              </w:rPr>
              <w:t xml:space="preserve">Bank adalah bank umum </w:t>
            </w:r>
            <w:r>
              <w:rPr>
                <w:rFonts w:ascii="Bookman Old Style" w:hAnsi="Bookman Old Style"/>
                <w:color w:val="000000" w:themeColor="text1"/>
                <w:sz w:val="20"/>
                <w:szCs w:val="20"/>
                <w:lang w:val="en-US"/>
              </w:rPr>
              <w:t>s</w:t>
            </w:r>
            <w:r w:rsidRPr="007007D1">
              <w:rPr>
                <w:rFonts w:ascii="Bookman Old Style" w:hAnsi="Bookman Old Style"/>
                <w:color w:val="000000" w:themeColor="text1"/>
                <w:sz w:val="20"/>
                <w:szCs w:val="20"/>
              </w:rPr>
              <w:t>yariah dan unit usaha syariah</w:t>
            </w:r>
            <w:r w:rsidRPr="007007D1">
              <w:rPr>
                <w:rFonts w:ascii="Bookman Old Style" w:hAnsi="Bookman Old Style"/>
                <w:color w:val="000000" w:themeColor="text1"/>
                <w:sz w:val="20"/>
                <w:szCs w:val="20"/>
                <w:lang w:val="en-US"/>
              </w:rPr>
              <w:t>.</w:t>
            </w:r>
          </w:p>
        </w:tc>
        <w:tc>
          <w:tcPr>
            <w:tcW w:w="4840" w:type="dxa"/>
            <w:shd w:val="clear" w:color="auto" w:fill="auto"/>
          </w:tcPr>
          <w:p w14:paraId="1A83D0DE"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DF0A1F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382B8A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0CD4280" w14:textId="77777777" w:rsidTr="00910A48">
        <w:tc>
          <w:tcPr>
            <w:tcW w:w="4794" w:type="dxa"/>
            <w:shd w:val="clear" w:color="auto" w:fill="auto"/>
          </w:tcPr>
          <w:p w14:paraId="6A70FA2D" w14:textId="77777777" w:rsidR="00910A48" w:rsidRPr="007007D1" w:rsidRDefault="00910A48" w:rsidP="00C84F36">
            <w:pPr>
              <w:pStyle w:val="ListParagraph"/>
              <w:numPr>
                <w:ilvl w:val="0"/>
                <w:numId w:val="4"/>
              </w:numPr>
              <w:spacing w:after="0" w:line="240" w:lineRule="auto"/>
              <w:ind w:left="357" w:hanging="35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rPr>
              <w:t>Bank Umum Syariah yang selanjutnya disingkat BUS adalah bank yang melaksanakan kegiatan usaha berdasarkan prinsip syariah yang dalam kegiatannya memberikan jasa dalam lalu lintas pembayaran.</w:t>
            </w:r>
          </w:p>
        </w:tc>
        <w:tc>
          <w:tcPr>
            <w:tcW w:w="4840" w:type="dxa"/>
            <w:shd w:val="clear" w:color="auto" w:fill="auto"/>
          </w:tcPr>
          <w:p w14:paraId="0B3A8F21"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091A55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E8148A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B3FE0B4" w14:textId="77777777" w:rsidTr="00910A48">
        <w:tc>
          <w:tcPr>
            <w:tcW w:w="4794" w:type="dxa"/>
            <w:shd w:val="clear" w:color="auto" w:fill="auto"/>
          </w:tcPr>
          <w:p w14:paraId="6D7D10CC" w14:textId="77777777" w:rsidR="00910A48" w:rsidRPr="007007D1" w:rsidRDefault="00910A48" w:rsidP="00C84F36">
            <w:pPr>
              <w:pStyle w:val="ListParagraph"/>
              <w:numPr>
                <w:ilvl w:val="0"/>
                <w:numId w:val="4"/>
              </w:numPr>
              <w:spacing w:after="0" w:line="240" w:lineRule="auto"/>
              <w:ind w:left="357" w:hanging="35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rPr>
              <w:t xml:space="preserve">Bank Umum Konvensional yang selanjutnya disingkat BUK adalah bank yang melaksanakan kegiatan usaha secara </w:t>
            </w:r>
            <w:r w:rsidRPr="007007D1">
              <w:rPr>
                <w:rFonts w:ascii="Bookman Old Style" w:hAnsi="Bookman Old Style"/>
                <w:color w:val="000000" w:themeColor="text1"/>
                <w:sz w:val="20"/>
                <w:szCs w:val="20"/>
              </w:rPr>
              <w:lastRenderedPageBreak/>
              <w:t>konvensional yang dalam kegiatannya memberikan jasa dalam lalu lintas pembayaran.</w:t>
            </w:r>
          </w:p>
        </w:tc>
        <w:tc>
          <w:tcPr>
            <w:tcW w:w="4840" w:type="dxa"/>
            <w:shd w:val="clear" w:color="auto" w:fill="auto"/>
          </w:tcPr>
          <w:p w14:paraId="71FA5C51"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CB4732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1B2966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662B5FC" w14:textId="77777777" w:rsidTr="00910A48">
        <w:tc>
          <w:tcPr>
            <w:tcW w:w="4794" w:type="dxa"/>
            <w:shd w:val="clear" w:color="auto" w:fill="auto"/>
          </w:tcPr>
          <w:p w14:paraId="3C9C2E96"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rPr>
              <w:t>Unit Usaha Syariah yang selanjutnya disingkat UUS adalah unit kerja dari kantor pusat BUK yang berfungsi sebagai kantor induk dari kantor atau unit yang melaksanakan kegiatan usaha berdasarkan prinsip syariah, atau unit kerja di kantor cabang dari suatu bank yang berkedudukan di luar negeri yang melaksanakan kegiatan usaha secara konvensional yang berfungsi sebagai kantor induk dari kantor cabang pembantu syariah dan/atau unit syariah.</w:t>
            </w:r>
          </w:p>
        </w:tc>
        <w:tc>
          <w:tcPr>
            <w:tcW w:w="4840" w:type="dxa"/>
            <w:shd w:val="clear" w:color="auto" w:fill="auto"/>
          </w:tcPr>
          <w:p w14:paraId="4EB3F820"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942AFF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E65E72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6A244E7" w14:textId="77777777" w:rsidTr="00910A48">
        <w:tc>
          <w:tcPr>
            <w:tcW w:w="4794" w:type="dxa"/>
            <w:shd w:val="clear" w:color="auto" w:fill="auto"/>
          </w:tcPr>
          <w:p w14:paraId="73EC826C" w14:textId="77777777" w:rsidR="00910A48" w:rsidRPr="00910A48" w:rsidRDefault="00910A48" w:rsidP="00C84F36">
            <w:pPr>
              <w:pStyle w:val="ListParagraph"/>
              <w:numPr>
                <w:ilvl w:val="0"/>
                <w:numId w:val="4"/>
              </w:numPr>
              <w:spacing w:after="0" w:line="240" w:lineRule="auto"/>
              <w:ind w:left="357" w:hanging="357"/>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rPr>
              <w:t>Prinsip Syariah adalah prinsip hukum Islam berdasarkan fatwa dan/atau pernyataan kesesuaian syariah yang dikeluarkan oleh lembaga yang memiliki kewenangan dalam penetapan fatwa di bidang syariah.</w:t>
            </w:r>
          </w:p>
        </w:tc>
        <w:tc>
          <w:tcPr>
            <w:tcW w:w="4840" w:type="dxa"/>
            <w:shd w:val="clear" w:color="auto" w:fill="auto"/>
          </w:tcPr>
          <w:p w14:paraId="53546F6E"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943B51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586FCE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F1F109D" w14:textId="77777777" w:rsidTr="00910A48">
        <w:tc>
          <w:tcPr>
            <w:tcW w:w="4794" w:type="dxa"/>
            <w:shd w:val="clear" w:color="auto" w:fill="auto"/>
          </w:tcPr>
          <w:p w14:paraId="1A3A10DC"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Rasio</w:t>
            </w:r>
            <w:r w:rsidRPr="007007D1">
              <w:rPr>
                <w:rFonts w:ascii="Bookman Old Style" w:hAnsi="Bookman Old Style"/>
                <w:color w:val="000000" w:themeColor="text1"/>
                <w:sz w:val="20"/>
                <w:szCs w:val="20"/>
                <w:lang w:val="en-US"/>
              </w:rPr>
              <w:t xml:space="preserve"> Kecukupan Likuiditas atau </w:t>
            </w:r>
            <w:r w:rsidRPr="007007D1">
              <w:rPr>
                <w:rFonts w:ascii="Bookman Old Style" w:hAnsi="Bookman Old Style"/>
                <w:i/>
                <w:color w:val="000000" w:themeColor="text1"/>
                <w:sz w:val="20"/>
                <w:szCs w:val="20"/>
                <w:lang w:val="en-US"/>
              </w:rPr>
              <w:t>Liquidity Coverage Ratio</w:t>
            </w:r>
            <w:r w:rsidRPr="007007D1">
              <w:rPr>
                <w:rFonts w:ascii="Bookman Old Style" w:hAnsi="Bookman Old Style"/>
                <w:color w:val="000000" w:themeColor="text1"/>
                <w:sz w:val="20"/>
                <w:szCs w:val="20"/>
                <w:lang w:val="en-US"/>
              </w:rPr>
              <w:t xml:space="preserve"> yang selanjutnya disingkat LCR adalah perbandingan antara </w:t>
            </w:r>
            <w:bookmarkStart w:id="0" w:name="_Hlk187760845"/>
            <w:r w:rsidRPr="007007D1">
              <w:rPr>
                <w:rFonts w:ascii="Bookman Old Style" w:hAnsi="Bookman Old Style"/>
                <w:i/>
                <w:color w:val="000000" w:themeColor="text1"/>
                <w:sz w:val="20"/>
                <w:szCs w:val="20"/>
                <w:lang w:val="en-US"/>
              </w:rPr>
              <w:t>High Quality Liquid Asset</w:t>
            </w:r>
            <w:r w:rsidRPr="007007D1">
              <w:rPr>
                <w:rFonts w:ascii="Bookman Old Style" w:hAnsi="Bookman Old Style"/>
                <w:color w:val="000000" w:themeColor="text1"/>
                <w:sz w:val="20"/>
                <w:szCs w:val="20"/>
                <w:lang w:val="en-US"/>
              </w:rPr>
              <w:t xml:space="preserve"> dengan total arus kas keluar bersih (</w:t>
            </w:r>
            <w:r w:rsidRPr="007007D1">
              <w:rPr>
                <w:rFonts w:ascii="Bookman Old Style" w:hAnsi="Bookman Old Style"/>
                <w:i/>
                <w:color w:val="000000" w:themeColor="text1"/>
                <w:sz w:val="20"/>
                <w:szCs w:val="20"/>
                <w:lang w:val="en-US"/>
              </w:rPr>
              <w:t>net cash outflow</w:t>
            </w:r>
            <w:r w:rsidRPr="007007D1">
              <w:rPr>
                <w:rFonts w:ascii="Bookman Old Style" w:hAnsi="Bookman Old Style"/>
                <w:color w:val="000000" w:themeColor="text1"/>
                <w:sz w:val="20"/>
                <w:szCs w:val="20"/>
                <w:lang w:val="en-US"/>
              </w:rPr>
              <w:t>) selama 30 (tiga puluh) hari kedepan dalam skenario stres</w:t>
            </w:r>
            <w:bookmarkEnd w:id="0"/>
            <w:r w:rsidRPr="007007D1">
              <w:rPr>
                <w:rFonts w:ascii="Bookman Old Style" w:hAnsi="Bookman Old Style"/>
                <w:color w:val="000000" w:themeColor="text1"/>
                <w:sz w:val="20"/>
                <w:szCs w:val="20"/>
                <w:lang w:val="en-US"/>
              </w:rPr>
              <w:t>.</w:t>
            </w:r>
          </w:p>
        </w:tc>
        <w:tc>
          <w:tcPr>
            <w:tcW w:w="4840" w:type="dxa"/>
            <w:shd w:val="clear" w:color="auto" w:fill="auto"/>
          </w:tcPr>
          <w:p w14:paraId="40A59194"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ACEA37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4612D9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21B23BB" w14:textId="77777777" w:rsidTr="00910A48">
        <w:tc>
          <w:tcPr>
            <w:tcW w:w="4794" w:type="dxa"/>
            <w:shd w:val="clear" w:color="auto" w:fill="auto"/>
          </w:tcPr>
          <w:p w14:paraId="55CD1C31" w14:textId="50CF9D75"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bookmarkStart w:id="1" w:name="_Hlk187760873"/>
            <w:r w:rsidRPr="007007D1">
              <w:rPr>
                <w:rFonts w:ascii="Bookman Old Style" w:hAnsi="Bookman Old Style"/>
                <w:color w:val="000000" w:themeColor="text1"/>
                <w:sz w:val="20"/>
                <w:szCs w:val="20"/>
              </w:rPr>
              <w:t xml:space="preserve">Aset Likuid </w:t>
            </w:r>
            <w:r w:rsidRPr="007007D1">
              <w:rPr>
                <w:rFonts w:ascii="Bookman Old Style" w:hAnsi="Bookman Old Style"/>
                <w:sz w:val="20"/>
                <w:szCs w:val="20"/>
              </w:rPr>
              <w:t xml:space="preserve">Berkualitas Tinggi atau </w:t>
            </w:r>
            <w:r w:rsidRPr="007007D1">
              <w:rPr>
                <w:rFonts w:ascii="Bookman Old Style" w:hAnsi="Bookman Old Style"/>
                <w:i/>
                <w:iCs/>
                <w:sz w:val="20"/>
                <w:szCs w:val="20"/>
              </w:rPr>
              <w:t>High Quality Liquid Asset</w:t>
            </w:r>
            <w:r w:rsidRPr="007007D1">
              <w:rPr>
                <w:rFonts w:ascii="Bookman Old Style" w:hAnsi="Bookman Old Style"/>
                <w:sz w:val="20"/>
                <w:szCs w:val="20"/>
              </w:rPr>
              <w:t xml:space="preserve"> yang selanjutnya disingkat HQLA </w:t>
            </w:r>
            <w:bookmarkEnd w:id="1"/>
            <w:r w:rsidRPr="007007D1">
              <w:rPr>
                <w:rFonts w:ascii="Bookman Old Style" w:hAnsi="Bookman Old Style"/>
                <w:sz w:val="20"/>
                <w:szCs w:val="20"/>
              </w:rPr>
              <w:t>adalah kas dan/atau aset keuangan yang dapat dengan mudah dikonversi menjadi kas dengan sedikit atau tanpa pengurangan nilai untuk memenuhi kebutuhan likuiditas Bank selama periode 30 (tiga puluh) hari kedepan dalam skenario stres.</w:t>
            </w:r>
          </w:p>
        </w:tc>
        <w:tc>
          <w:tcPr>
            <w:tcW w:w="4840" w:type="dxa"/>
            <w:shd w:val="clear" w:color="auto" w:fill="auto"/>
          </w:tcPr>
          <w:p w14:paraId="38BF76BE"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43B22E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BB7B80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0FBBED6" w14:textId="77777777" w:rsidTr="00910A48">
        <w:tc>
          <w:tcPr>
            <w:tcW w:w="4794" w:type="dxa"/>
            <w:shd w:val="clear" w:color="auto" w:fill="auto"/>
          </w:tcPr>
          <w:p w14:paraId="06369235" w14:textId="3EAB91DE"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bookmarkStart w:id="2" w:name="_Hlk187760907"/>
            <w:r w:rsidRPr="00910A48">
              <w:rPr>
                <w:rFonts w:ascii="Bookman Old Style" w:hAnsi="Bookman Old Style"/>
                <w:color w:val="000000" w:themeColor="text1"/>
                <w:sz w:val="20"/>
                <w:szCs w:val="20"/>
              </w:rPr>
              <w:t>Total</w:t>
            </w:r>
            <w:r w:rsidRPr="007007D1">
              <w:rPr>
                <w:rFonts w:ascii="Bookman Old Style" w:hAnsi="Bookman Old Style"/>
                <w:sz w:val="20"/>
                <w:szCs w:val="20"/>
              </w:rPr>
              <w:t xml:space="preserve"> Arus Kas Keluar Bersih yang selanjutnya disebut </w:t>
            </w:r>
            <w:r w:rsidRPr="007007D1">
              <w:rPr>
                <w:rFonts w:ascii="Bookman Old Style" w:hAnsi="Bookman Old Style"/>
                <w:i/>
                <w:iCs/>
                <w:sz w:val="20"/>
                <w:szCs w:val="20"/>
              </w:rPr>
              <w:t>Net Cash Outflow</w:t>
            </w:r>
            <w:r w:rsidRPr="007007D1">
              <w:rPr>
                <w:rFonts w:ascii="Bookman Old Style" w:hAnsi="Bookman Old Style"/>
                <w:sz w:val="20"/>
                <w:szCs w:val="20"/>
              </w:rPr>
              <w:t xml:space="preserve"> </w:t>
            </w:r>
            <w:bookmarkEnd w:id="2"/>
            <w:r w:rsidRPr="007007D1">
              <w:rPr>
                <w:rFonts w:ascii="Bookman Old Style" w:hAnsi="Bookman Old Style"/>
                <w:sz w:val="20"/>
                <w:szCs w:val="20"/>
              </w:rPr>
              <w:lastRenderedPageBreak/>
              <w:t>adalah total estimasi arus kas keluar (</w:t>
            </w:r>
            <w:r w:rsidRPr="007007D1">
              <w:rPr>
                <w:rFonts w:ascii="Bookman Old Style" w:hAnsi="Bookman Old Style"/>
                <w:i/>
                <w:iCs/>
                <w:sz w:val="20"/>
                <w:szCs w:val="20"/>
              </w:rPr>
              <w:t>cash outflow</w:t>
            </w:r>
            <w:r w:rsidRPr="007007D1">
              <w:rPr>
                <w:rFonts w:ascii="Bookman Old Style" w:hAnsi="Bookman Old Style"/>
                <w:sz w:val="20"/>
                <w:szCs w:val="20"/>
              </w:rPr>
              <w:t>) dikurangi dengan total estimasi arus kas masuk (</w:t>
            </w:r>
            <w:r w:rsidRPr="007007D1">
              <w:rPr>
                <w:rFonts w:ascii="Bookman Old Style" w:hAnsi="Bookman Old Style"/>
                <w:i/>
                <w:iCs/>
                <w:sz w:val="20"/>
                <w:szCs w:val="20"/>
              </w:rPr>
              <w:t>cash inflow</w:t>
            </w:r>
            <w:r w:rsidRPr="007007D1">
              <w:rPr>
                <w:rFonts w:ascii="Bookman Old Style" w:hAnsi="Bookman Old Style"/>
                <w:sz w:val="20"/>
                <w:szCs w:val="20"/>
              </w:rPr>
              <w:t xml:space="preserve">) yang diperkirakan akan terjadi selama 30 (tiga puluh) hari kedepan dalam skenario stres. </w:t>
            </w:r>
          </w:p>
        </w:tc>
        <w:tc>
          <w:tcPr>
            <w:tcW w:w="4840" w:type="dxa"/>
            <w:shd w:val="clear" w:color="auto" w:fill="auto"/>
          </w:tcPr>
          <w:p w14:paraId="7693A37D"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8F3E10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F0BC11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9EDCA82" w14:textId="77777777" w:rsidTr="00910A48">
        <w:tc>
          <w:tcPr>
            <w:tcW w:w="4794" w:type="dxa"/>
            <w:shd w:val="clear" w:color="auto" w:fill="auto"/>
          </w:tcPr>
          <w:p w14:paraId="34D50104"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Simpanan</w:t>
            </w:r>
            <w:r w:rsidRPr="007007D1">
              <w:rPr>
                <w:rFonts w:ascii="Bookman Old Style" w:hAnsi="Bookman Old Style"/>
                <w:sz w:val="20"/>
                <w:szCs w:val="20"/>
              </w:rPr>
              <w:t xml:space="preserve"> adalah Simpanan sebagaimana dimaksud dalam Undang-Undang Nomor 21 Tahun 2008 tentang Perbankan Syariah sebagaimana telah beberapa kali diubah terakhir dengan Undang-Undang Nomor 4 Tahun 2023 tentang Pengembangan dan Penguatan Sektor Keuangan.</w:t>
            </w:r>
          </w:p>
        </w:tc>
        <w:tc>
          <w:tcPr>
            <w:tcW w:w="4840" w:type="dxa"/>
            <w:shd w:val="clear" w:color="auto" w:fill="auto"/>
          </w:tcPr>
          <w:p w14:paraId="6A94D828"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B35715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C49E54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68B5D32" w14:textId="77777777" w:rsidTr="00910A48">
        <w:tc>
          <w:tcPr>
            <w:tcW w:w="4794" w:type="dxa"/>
            <w:shd w:val="clear" w:color="auto" w:fill="auto"/>
          </w:tcPr>
          <w:p w14:paraId="727E9E7D"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Investasi</w:t>
            </w:r>
            <w:r w:rsidRPr="007007D1">
              <w:rPr>
                <w:rFonts w:ascii="Bookman Old Style" w:hAnsi="Bookman Old Style"/>
                <w:sz w:val="20"/>
                <w:szCs w:val="20"/>
              </w:rPr>
              <w:t xml:space="preserve"> adalah investasi sebagaimana dimaksud dalam Undang-Undang Nomor 21 Tahun 2008 tentang Perbankan Syariah sebagaimana telah beberapa kali diubah terakhir dengan Undang-Undang Nomor 4 Tahun 2023 tentang Pengembangan dan Penguatan Sektor Keuangan.</w:t>
            </w:r>
          </w:p>
        </w:tc>
        <w:tc>
          <w:tcPr>
            <w:tcW w:w="4840" w:type="dxa"/>
            <w:shd w:val="clear" w:color="auto" w:fill="auto"/>
          </w:tcPr>
          <w:p w14:paraId="7E930343"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8F12A3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6EE143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90D3E3E" w14:textId="77777777" w:rsidTr="00910A48">
        <w:tc>
          <w:tcPr>
            <w:tcW w:w="4794" w:type="dxa"/>
            <w:shd w:val="clear" w:color="auto" w:fill="auto"/>
          </w:tcPr>
          <w:p w14:paraId="5B833CBA"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Pendanaan</w:t>
            </w:r>
            <w:r w:rsidRPr="007007D1">
              <w:rPr>
                <w:rFonts w:ascii="Bookman Old Style" w:hAnsi="Bookman Old Style"/>
                <w:sz w:val="20"/>
                <w:szCs w:val="20"/>
              </w:rPr>
              <w:t xml:space="preserve"> atau </w:t>
            </w:r>
            <w:r w:rsidRPr="007007D1">
              <w:rPr>
                <w:rFonts w:ascii="Bookman Old Style" w:hAnsi="Bookman Old Style"/>
                <w:i/>
                <w:iCs/>
                <w:sz w:val="20"/>
                <w:szCs w:val="20"/>
              </w:rPr>
              <w:t xml:space="preserve">funding </w:t>
            </w:r>
            <w:r w:rsidRPr="007007D1">
              <w:rPr>
                <w:rFonts w:ascii="Bookman Old Style" w:hAnsi="Bookman Old Style"/>
                <w:sz w:val="20"/>
                <w:szCs w:val="20"/>
              </w:rPr>
              <w:t xml:space="preserve">adalah penerimaan dana dari pihak ketiga yang </w:t>
            </w:r>
            <w:r w:rsidRPr="00A56B46">
              <w:rPr>
                <w:rFonts w:ascii="Bookman Old Style" w:hAnsi="Bookman Old Style"/>
                <w:sz w:val="20"/>
                <w:szCs w:val="20"/>
              </w:rPr>
              <w:t xml:space="preserve">menimbulkan kewajiban bagi Bank dalam bentuk Simpanan, Investasi, sukuk, surat berharga syariah yang diterbitkan, pembiayaan yang diterima dan bentuk-bentuk kewajiban </w:t>
            </w:r>
            <w:r w:rsidRPr="007007D1">
              <w:rPr>
                <w:rFonts w:ascii="Bookman Old Style" w:hAnsi="Bookman Old Style"/>
                <w:sz w:val="20"/>
                <w:szCs w:val="20"/>
              </w:rPr>
              <w:t xml:space="preserve">lainnya yang dipersamakan dengan itu. </w:t>
            </w:r>
          </w:p>
        </w:tc>
        <w:tc>
          <w:tcPr>
            <w:tcW w:w="4840" w:type="dxa"/>
            <w:shd w:val="clear" w:color="auto" w:fill="auto"/>
          </w:tcPr>
          <w:p w14:paraId="54BD8542"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5AE1F1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3EAFD8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9937804" w14:textId="77777777" w:rsidTr="00910A48">
        <w:tc>
          <w:tcPr>
            <w:tcW w:w="4794" w:type="dxa"/>
            <w:shd w:val="clear" w:color="auto" w:fill="auto"/>
          </w:tcPr>
          <w:p w14:paraId="3C19C9AF"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i/>
                <w:color w:val="000000" w:themeColor="text1"/>
                <w:sz w:val="20"/>
                <w:szCs w:val="20"/>
              </w:rPr>
              <w:t>Internal</w:t>
            </w:r>
            <w:r w:rsidRPr="00910A48">
              <w:rPr>
                <w:rFonts w:ascii="Bookman Old Style" w:hAnsi="Bookman Old Style"/>
                <w:i/>
                <w:iCs/>
                <w:sz w:val="20"/>
                <w:szCs w:val="20"/>
              </w:rPr>
              <w:t xml:space="preserve"> L</w:t>
            </w:r>
            <w:r w:rsidRPr="007007D1">
              <w:rPr>
                <w:rFonts w:ascii="Bookman Old Style" w:hAnsi="Bookman Old Style"/>
                <w:i/>
                <w:iCs/>
                <w:sz w:val="20"/>
                <w:szCs w:val="20"/>
              </w:rPr>
              <w:t>iquidity Adequacy Assessment Process</w:t>
            </w:r>
            <w:r>
              <w:rPr>
                <w:rFonts w:ascii="Bookman Old Style" w:hAnsi="Bookman Old Style"/>
                <w:sz w:val="20"/>
                <w:szCs w:val="20"/>
                <w:lang w:val="en-US"/>
              </w:rPr>
              <w:t xml:space="preserve"> </w:t>
            </w:r>
            <w:r w:rsidRPr="007007D1">
              <w:rPr>
                <w:rFonts w:ascii="Bookman Old Style" w:hAnsi="Bookman Old Style"/>
                <w:sz w:val="20"/>
                <w:szCs w:val="20"/>
              </w:rPr>
              <w:t xml:space="preserve">yang selanjutnya disingkat ILAAP adalah proses yang dilakukan Bank untuk memperhitungkan kecukupan likuiditas dalam berbagai skenario kondisi pasar dan periode tekanan yang mungkin dihadapi oleh Bank. </w:t>
            </w:r>
          </w:p>
        </w:tc>
        <w:tc>
          <w:tcPr>
            <w:tcW w:w="4840" w:type="dxa"/>
            <w:shd w:val="clear" w:color="auto" w:fill="auto"/>
          </w:tcPr>
          <w:p w14:paraId="445B0D66"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41DDF3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9082C2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C838A83" w14:textId="77777777" w:rsidTr="00910A48">
        <w:tc>
          <w:tcPr>
            <w:tcW w:w="4794" w:type="dxa"/>
            <w:shd w:val="clear" w:color="auto" w:fill="auto"/>
          </w:tcPr>
          <w:p w14:paraId="796FF7BC" w14:textId="77777777" w:rsidR="00910A48" w:rsidRPr="007007D1"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Pendanaan</w:t>
            </w:r>
            <w:r w:rsidRPr="007007D1">
              <w:rPr>
                <w:rFonts w:ascii="Bookman Old Style" w:hAnsi="Bookman Old Style"/>
                <w:sz w:val="20"/>
                <w:szCs w:val="20"/>
              </w:rPr>
              <w:t xml:space="preserve"> Stabil yang Tersedia atau </w:t>
            </w:r>
            <w:r w:rsidRPr="007007D1">
              <w:rPr>
                <w:rFonts w:ascii="Bookman Old Style" w:hAnsi="Bookman Old Style"/>
                <w:i/>
                <w:iCs/>
                <w:sz w:val="20"/>
                <w:szCs w:val="20"/>
              </w:rPr>
              <w:t>Available Stable Funding</w:t>
            </w:r>
            <w:r w:rsidRPr="007007D1">
              <w:rPr>
                <w:rFonts w:ascii="Bookman Old Style" w:hAnsi="Bookman Old Style"/>
                <w:sz w:val="20"/>
                <w:szCs w:val="20"/>
              </w:rPr>
              <w:t xml:space="preserve"> yang selanjutnya disingkat ASF adalah jumlah liabilitas dan ekuitas yang stabil selama periode 1 (satu) tahun untuk mendanai aktivitas Bank.</w:t>
            </w:r>
          </w:p>
        </w:tc>
        <w:tc>
          <w:tcPr>
            <w:tcW w:w="4840" w:type="dxa"/>
            <w:shd w:val="clear" w:color="auto" w:fill="auto"/>
          </w:tcPr>
          <w:p w14:paraId="577FCFAC"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D4ED45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436270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23FFF07" w14:textId="77777777" w:rsidTr="00910A48">
        <w:tc>
          <w:tcPr>
            <w:tcW w:w="4794" w:type="dxa"/>
            <w:shd w:val="clear" w:color="auto" w:fill="auto"/>
          </w:tcPr>
          <w:p w14:paraId="7D65970E" w14:textId="77777777" w:rsidR="00910A48" w:rsidRPr="00910A48"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lastRenderedPageBreak/>
              <w:t>Pendanaan</w:t>
            </w:r>
            <w:r w:rsidRPr="00910A48">
              <w:rPr>
                <w:rFonts w:ascii="Bookman Old Style" w:hAnsi="Bookman Old Style"/>
                <w:sz w:val="20"/>
                <w:szCs w:val="20"/>
              </w:rPr>
              <w:t xml:space="preserve"> Stabil yang Diperlukan atau </w:t>
            </w:r>
            <w:r w:rsidRPr="00910A48">
              <w:rPr>
                <w:rFonts w:ascii="Bookman Old Style" w:hAnsi="Bookman Old Style"/>
                <w:i/>
                <w:iCs/>
                <w:sz w:val="20"/>
                <w:szCs w:val="20"/>
              </w:rPr>
              <w:t>Required Stable Funding</w:t>
            </w:r>
            <w:r w:rsidRPr="00910A48">
              <w:rPr>
                <w:rFonts w:ascii="Bookman Old Style" w:hAnsi="Bookman Old Style"/>
                <w:sz w:val="20"/>
                <w:szCs w:val="20"/>
              </w:rPr>
              <w:t xml:space="preserve"> yang selanjutnya disingkat RSF adalah jumlah aset dan transaksi rekening administratif yang perlu didanai oleh pendanaan stabil.</w:t>
            </w:r>
          </w:p>
        </w:tc>
        <w:tc>
          <w:tcPr>
            <w:tcW w:w="4840" w:type="dxa"/>
            <w:shd w:val="clear" w:color="auto" w:fill="auto"/>
          </w:tcPr>
          <w:p w14:paraId="3D6101A0"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D88359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D7D7D6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8B1F70D" w14:textId="77777777" w:rsidTr="00910A48">
        <w:tc>
          <w:tcPr>
            <w:tcW w:w="4794" w:type="dxa"/>
            <w:shd w:val="clear" w:color="auto" w:fill="auto"/>
          </w:tcPr>
          <w:p w14:paraId="7C279511" w14:textId="77777777" w:rsidR="00910A48" w:rsidRPr="00910A48"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Rasio</w:t>
            </w:r>
            <w:r w:rsidRPr="00910A48">
              <w:rPr>
                <w:rFonts w:ascii="Bookman Old Style" w:hAnsi="Bookman Old Style"/>
                <w:sz w:val="20"/>
                <w:szCs w:val="20"/>
              </w:rPr>
              <w:t xml:space="preserve"> Pendanaan Stabil Bersih atau </w:t>
            </w:r>
            <w:r w:rsidRPr="00910A48">
              <w:rPr>
                <w:rFonts w:ascii="Bookman Old Style" w:hAnsi="Bookman Old Style"/>
                <w:i/>
                <w:iCs/>
                <w:sz w:val="20"/>
                <w:szCs w:val="20"/>
              </w:rPr>
              <w:t>Net Stable Funding Ratio</w:t>
            </w:r>
            <w:r w:rsidRPr="00910A48">
              <w:rPr>
                <w:rFonts w:ascii="Bookman Old Style" w:hAnsi="Bookman Old Style"/>
                <w:sz w:val="20"/>
                <w:szCs w:val="20"/>
              </w:rPr>
              <w:t xml:space="preserve"> yang selanjutnya disingkat NSFR adalah perbandingan antara ASF dengan RSF.</w:t>
            </w:r>
          </w:p>
        </w:tc>
        <w:tc>
          <w:tcPr>
            <w:tcW w:w="4840" w:type="dxa"/>
            <w:shd w:val="clear" w:color="auto" w:fill="auto"/>
          </w:tcPr>
          <w:p w14:paraId="158EB21A"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E534BE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C9419E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06844C8" w14:textId="77777777" w:rsidTr="00910A48">
        <w:tc>
          <w:tcPr>
            <w:tcW w:w="4794" w:type="dxa"/>
            <w:shd w:val="clear" w:color="auto" w:fill="auto"/>
          </w:tcPr>
          <w:p w14:paraId="3E5F829E" w14:textId="77777777" w:rsidR="00910A48" w:rsidRPr="00910A48"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Laporan</w:t>
            </w:r>
            <w:r w:rsidRPr="00910A48">
              <w:rPr>
                <w:rFonts w:ascii="Bookman Old Style" w:hAnsi="Bookman Old Style"/>
                <w:sz w:val="20"/>
                <w:szCs w:val="20"/>
              </w:rPr>
              <w:t xml:space="preserve"> NSFR adalah laporan yang menyajikan informasi kuantitatif berupa perhitungan dan nilai NSFR, serta informasi kualitatif berupa analisis perkembangan NSFR.</w:t>
            </w:r>
          </w:p>
        </w:tc>
        <w:tc>
          <w:tcPr>
            <w:tcW w:w="4840" w:type="dxa"/>
            <w:shd w:val="clear" w:color="auto" w:fill="auto"/>
          </w:tcPr>
          <w:p w14:paraId="7122B984"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C34002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1F6B41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BAA79EC" w14:textId="77777777" w:rsidTr="00910A48">
        <w:tc>
          <w:tcPr>
            <w:tcW w:w="4794" w:type="dxa"/>
            <w:shd w:val="clear" w:color="auto" w:fill="auto"/>
          </w:tcPr>
          <w:p w14:paraId="3B235F62" w14:textId="77777777" w:rsidR="00910A48" w:rsidRPr="00910A48" w:rsidRDefault="00910A48" w:rsidP="00C84F36">
            <w:pPr>
              <w:pStyle w:val="ListParagraph"/>
              <w:numPr>
                <w:ilvl w:val="0"/>
                <w:numId w:val="4"/>
              </w:numPr>
              <w:spacing w:after="0" w:line="240" w:lineRule="auto"/>
              <w:ind w:left="357" w:hanging="357"/>
              <w:jc w:val="both"/>
              <w:rPr>
                <w:rFonts w:ascii="Bookman Old Style" w:hAnsi="Bookman Old Style" w:cstheme="minorHAnsi"/>
                <w:color w:val="000000" w:themeColor="text1"/>
                <w:sz w:val="20"/>
                <w:szCs w:val="20"/>
              </w:rPr>
            </w:pPr>
            <w:r w:rsidRPr="00910A48">
              <w:rPr>
                <w:rFonts w:ascii="Bookman Old Style" w:hAnsi="Bookman Old Style"/>
                <w:color w:val="000000" w:themeColor="text1"/>
                <w:sz w:val="20"/>
                <w:szCs w:val="20"/>
              </w:rPr>
              <w:t>Kertas</w:t>
            </w:r>
            <w:r w:rsidRPr="00910A48">
              <w:rPr>
                <w:rFonts w:ascii="Bookman Old Style" w:hAnsi="Bookman Old Style"/>
                <w:sz w:val="20"/>
                <w:szCs w:val="20"/>
              </w:rPr>
              <w:t xml:space="preserve"> Kerja NSFR adalah laporan yang memuat perhitungan NSFR secara rinci sebagai sumber data dalam menyusun Laporan NSFR.</w:t>
            </w:r>
          </w:p>
        </w:tc>
        <w:tc>
          <w:tcPr>
            <w:tcW w:w="4840" w:type="dxa"/>
            <w:shd w:val="clear" w:color="auto" w:fill="auto"/>
          </w:tcPr>
          <w:p w14:paraId="570F0B51"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7320D0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62B716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266AF92" w14:textId="77777777" w:rsidTr="00910A48">
        <w:tc>
          <w:tcPr>
            <w:tcW w:w="4794" w:type="dxa"/>
            <w:shd w:val="clear" w:color="auto" w:fill="auto"/>
          </w:tcPr>
          <w:p w14:paraId="36143617" w14:textId="77777777" w:rsidR="00910A48" w:rsidRPr="00910A48" w:rsidRDefault="00910A48" w:rsidP="00C84F36">
            <w:pPr>
              <w:pStyle w:val="ListParagraph"/>
              <w:numPr>
                <w:ilvl w:val="0"/>
                <w:numId w:val="4"/>
              </w:numPr>
              <w:spacing w:after="0" w:line="240" w:lineRule="auto"/>
              <w:ind w:left="357" w:hanging="357"/>
              <w:jc w:val="both"/>
              <w:rPr>
                <w:rFonts w:ascii="Bookman Old Style" w:hAnsi="Bookman Old Style"/>
                <w:sz w:val="20"/>
                <w:szCs w:val="20"/>
              </w:rPr>
            </w:pPr>
            <w:r w:rsidRPr="00910A48">
              <w:rPr>
                <w:rFonts w:ascii="Bookman Old Style" w:hAnsi="Bookman Old Style"/>
                <w:color w:val="000000" w:themeColor="text1"/>
                <w:sz w:val="20"/>
                <w:szCs w:val="20"/>
              </w:rPr>
              <w:t>Rencana</w:t>
            </w:r>
            <w:r w:rsidRPr="00910A48">
              <w:rPr>
                <w:rFonts w:ascii="Bookman Old Style" w:hAnsi="Bookman Old Style"/>
                <w:sz w:val="20"/>
                <w:szCs w:val="20"/>
              </w:rPr>
              <w:t xml:space="preserve"> Tindak Pemenuhan NSFR adalah laporan yang paling sedikit memuat rencana perbaikan untuk pemenuhan kecukupan NSFR disertai jangka waktu penyelesaian.</w:t>
            </w:r>
          </w:p>
        </w:tc>
        <w:tc>
          <w:tcPr>
            <w:tcW w:w="4840" w:type="dxa"/>
            <w:shd w:val="clear" w:color="auto" w:fill="auto"/>
          </w:tcPr>
          <w:p w14:paraId="406BE4A6" w14:textId="77777777" w:rsidR="00910A48" w:rsidRPr="007007D1" w:rsidRDefault="00910A48" w:rsidP="00910A48">
            <w:pPr>
              <w:tabs>
                <w:tab w:val="left" w:pos="1980"/>
                <w:tab w:val="left" w:pos="2520"/>
                <w:tab w:val="left" w:pos="2552"/>
              </w:tabs>
              <w:spacing w:after="0" w:line="240" w:lineRule="auto"/>
              <w:ind w:left="360"/>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62F9B6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B69BC3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B4C7F91" w14:textId="77777777" w:rsidTr="00910A48">
        <w:tc>
          <w:tcPr>
            <w:tcW w:w="4794" w:type="dxa"/>
            <w:shd w:val="clear" w:color="auto" w:fill="E7E6E6" w:themeFill="background2"/>
            <w:vAlign w:val="center"/>
          </w:tcPr>
          <w:p w14:paraId="486A5E5D" w14:textId="77777777" w:rsidR="00910A48" w:rsidRPr="007007D1" w:rsidRDefault="00910A48" w:rsidP="00C84F36">
            <w:pPr>
              <w:spacing w:after="0" w:line="240" w:lineRule="auto"/>
              <w:ind w:left="357" w:hanging="357"/>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2</w:t>
            </w:r>
          </w:p>
        </w:tc>
        <w:tc>
          <w:tcPr>
            <w:tcW w:w="4840" w:type="dxa"/>
            <w:shd w:val="clear" w:color="auto" w:fill="E7E6E6" w:themeFill="background2"/>
          </w:tcPr>
          <w:p w14:paraId="33B2E5F6" w14:textId="77777777" w:rsidR="00910A48" w:rsidRPr="007007D1" w:rsidRDefault="00910A48" w:rsidP="00910A48">
            <w:pPr>
              <w:spacing w:after="0" w:line="240" w:lineRule="auto"/>
              <w:jc w:val="center"/>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Pasal 2</w:t>
            </w:r>
          </w:p>
        </w:tc>
        <w:tc>
          <w:tcPr>
            <w:tcW w:w="3686" w:type="dxa"/>
            <w:shd w:val="clear" w:color="auto" w:fill="E7E6E6" w:themeFill="background2"/>
          </w:tcPr>
          <w:p w14:paraId="712CCF7A" w14:textId="77777777" w:rsidR="00910A48" w:rsidRPr="00BA5B40" w:rsidRDefault="00910A48" w:rsidP="00910A48">
            <w:pPr>
              <w:spacing w:after="0" w:line="240" w:lineRule="auto"/>
              <w:jc w:val="center"/>
              <w:rPr>
                <w:rFonts w:ascii="Bookman Old Style" w:eastAsia="Bookman Old Style" w:hAnsi="Bookman Old Style" w:cstheme="minorHAnsi"/>
                <w:color w:val="000000" w:themeColor="text1"/>
                <w:sz w:val="20"/>
                <w:szCs w:val="20"/>
                <w:lang w:val="sv-SE"/>
              </w:rPr>
            </w:pPr>
          </w:p>
        </w:tc>
        <w:tc>
          <w:tcPr>
            <w:tcW w:w="3827" w:type="dxa"/>
            <w:shd w:val="clear" w:color="auto" w:fill="E7E6E6" w:themeFill="background2"/>
          </w:tcPr>
          <w:p w14:paraId="5F20759A" w14:textId="77777777" w:rsidR="00910A48" w:rsidRPr="00BA5B40" w:rsidRDefault="00910A48" w:rsidP="00910A48">
            <w:pPr>
              <w:spacing w:after="0" w:line="240" w:lineRule="auto"/>
              <w:jc w:val="center"/>
              <w:rPr>
                <w:rFonts w:ascii="Bookman Old Style" w:eastAsia="Bookman Old Style" w:hAnsi="Bookman Old Style" w:cstheme="minorHAnsi"/>
                <w:color w:val="000000" w:themeColor="text1"/>
                <w:sz w:val="20"/>
                <w:szCs w:val="20"/>
                <w:lang w:val="sv-SE"/>
              </w:rPr>
            </w:pPr>
          </w:p>
        </w:tc>
      </w:tr>
      <w:tr w:rsidR="00910A48" w:rsidRPr="00BA5B40" w14:paraId="18E99BDC" w14:textId="77777777" w:rsidTr="00910A48">
        <w:tc>
          <w:tcPr>
            <w:tcW w:w="4794" w:type="dxa"/>
            <w:shd w:val="clear" w:color="auto" w:fill="auto"/>
          </w:tcPr>
          <w:p w14:paraId="40C6C9B9" w14:textId="77777777" w:rsidR="00910A48" w:rsidRPr="00A56B46"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Bank wajib memelihara:</w:t>
            </w:r>
          </w:p>
          <w:p w14:paraId="2535955A" w14:textId="77777777" w:rsidR="00910A48" w:rsidRDefault="00910A48" w:rsidP="00A32F86">
            <w:pPr>
              <w:pStyle w:val="ListParagraph"/>
              <w:numPr>
                <w:ilvl w:val="0"/>
                <w:numId w:val="49"/>
              </w:numPr>
              <w:spacing w:after="0" w:line="240" w:lineRule="auto"/>
              <w:ind w:left="357" w:hanging="357"/>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kecukupan likuiditas yang memadai; dan</w:t>
            </w:r>
          </w:p>
          <w:p w14:paraId="13AF5AB1" w14:textId="77777777" w:rsidR="00910A48" w:rsidRPr="007007D1" w:rsidRDefault="00910A48" w:rsidP="00A32F86">
            <w:pPr>
              <w:pStyle w:val="ListParagraph"/>
              <w:numPr>
                <w:ilvl w:val="0"/>
                <w:numId w:val="49"/>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pendanaan stabil yang memadai.</w:t>
            </w:r>
          </w:p>
        </w:tc>
        <w:tc>
          <w:tcPr>
            <w:tcW w:w="4840" w:type="dxa"/>
            <w:shd w:val="clear" w:color="auto" w:fill="auto"/>
          </w:tcPr>
          <w:p w14:paraId="4936E63B" w14:textId="77777777" w:rsidR="00910A48" w:rsidRPr="007007D1" w:rsidRDefault="00910A48" w:rsidP="00910A48">
            <w:pPr>
              <w:tabs>
                <w:tab w:val="left" w:pos="1291"/>
              </w:tabs>
              <w:spacing w:after="0" w:line="240" w:lineRule="auto"/>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Ayat (1)</w:t>
            </w:r>
          </w:p>
          <w:p w14:paraId="5A2B4C89"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Cukup jelas.</w:t>
            </w:r>
          </w:p>
        </w:tc>
        <w:tc>
          <w:tcPr>
            <w:tcW w:w="3686" w:type="dxa"/>
            <w:shd w:val="clear" w:color="auto" w:fill="auto"/>
          </w:tcPr>
          <w:p w14:paraId="4A23FB36"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61691F7B"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2218DB1E" w14:textId="77777777" w:rsidTr="00910A48">
        <w:tc>
          <w:tcPr>
            <w:tcW w:w="4794" w:type="dxa"/>
            <w:shd w:val="clear" w:color="auto" w:fill="auto"/>
          </w:tcPr>
          <w:p w14:paraId="550D0928" w14:textId="7777777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Pemenuhan kecukupan likuiditas sebagaimana dimaksud pada ayat (1) dihitung dengan menggunakan LCR .</w:t>
            </w:r>
          </w:p>
        </w:tc>
        <w:tc>
          <w:tcPr>
            <w:tcW w:w="4840" w:type="dxa"/>
            <w:shd w:val="clear" w:color="auto" w:fill="auto"/>
          </w:tcPr>
          <w:p w14:paraId="7025333F"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rPr>
            </w:pPr>
            <w:r w:rsidRPr="007007D1">
              <w:rPr>
                <w:rFonts w:ascii="Bookman Old Style" w:eastAsia="Bookman Old Style" w:hAnsi="Bookman Old Style" w:cstheme="minorHAnsi"/>
                <w:color w:val="000000" w:themeColor="text1"/>
                <w:sz w:val="20"/>
                <w:szCs w:val="20"/>
              </w:rPr>
              <w:t>Ayat (2)</w:t>
            </w:r>
          </w:p>
          <w:p w14:paraId="5E2BF16B" w14:textId="77777777" w:rsidR="00910A48"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rPr>
            </w:pPr>
            <w:r w:rsidRPr="007007D1">
              <w:rPr>
                <w:rFonts w:ascii="Bookman Old Style" w:eastAsia="Bookman Old Style" w:hAnsi="Bookman Old Style" w:cstheme="minorHAnsi"/>
                <w:color w:val="000000" w:themeColor="text1"/>
                <w:sz w:val="20"/>
                <w:szCs w:val="20"/>
              </w:rPr>
              <w:t xml:space="preserve">LCR </w:t>
            </w:r>
            <w:r w:rsidRPr="00910A48">
              <w:rPr>
                <w:rFonts w:ascii="Bookman Old Style" w:eastAsia="Bookman Old Style" w:hAnsi="Bookman Old Style" w:cstheme="minorHAnsi"/>
                <w:color w:val="000000" w:themeColor="text1"/>
                <w:sz w:val="20"/>
                <w:szCs w:val="20"/>
                <w:lang w:val="sv-SE"/>
              </w:rPr>
              <w:t>dihitung</w:t>
            </w:r>
            <w:r w:rsidRPr="007007D1">
              <w:rPr>
                <w:rFonts w:ascii="Bookman Old Style" w:eastAsia="Bookman Old Style" w:hAnsi="Bookman Old Style" w:cstheme="minorHAnsi"/>
                <w:color w:val="000000" w:themeColor="text1"/>
                <w:sz w:val="20"/>
                <w:szCs w:val="20"/>
              </w:rPr>
              <w:t xml:space="preserve"> dengan formula sebagai berikut:</w:t>
            </w:r>
          </w:p>
          <w:bookmarkStart w:id="3" w:name="_Hlk187761224"/>
          <w:p w14:paraId="56D987B0" w14:textId="2A98C204" w:rsidR="00910A48" w:rsidRPr="007007D1" w:rsidRDefault="00B03AEA" w:rsidP="00910A48">
            <w:pPr>
              <w:spacing w:after="0" w:line="240" w:lineRule="auto"/>
              <w:ind w:right="166"/>
              <w:jc w:val="both"/>
              <w:rPr>
                <w:rFonts w:ascii="Bookman Old Style" w:eastAsia="Bookman Old Style" w:hAnsi="Bookman Old Style" w:cstheme="minorHAnsi"/>
                <w:color w:val="000000" w:themeColor="text1"/>
                <w:sz w:val="20"/>
                <w:szCs w:val="20"/>
              </w:rPr>
            </w:pPr>
            <m:oMathPara>
              <m:oMath>
                <m:f>
                  <m:fPr>
                    <m:ctrlPr>
                      <w:rPr>
                        <w:rFonts w:ascii="Cambria Math" w:hAnsi="Cambria Math"/>
                        <w:i/>
                        <w:color w:val="000000" w:themeColor="text1"/>
                        <w:lang w:val="sv-SE"/>
                      </w:rPr>
                    </m:ctrlPr>
                  </m:fPr>
                  <m:num>
                    <m:r>
                      <w:rPr>
                        <w:rFonts w:ascii="Cambria Math" w:hAnsi="Cambria Math"/>
                        <w:color w:val="000000" w:themeColor="text1"/>
                        <w:lang w:val="sv-SE"/>
                      </w:rPr>
                      <m:t>HQLA</m:t>
                    </m:r>
                  </m:num>
                  <m:den>
                    <m:r>
                      <w:rPr>
                        <w:rFonts w:ascii="Cambria Math" w:hAnsi="Cambria Math"/>
                        <w:color w:val="000000" w:themeColor="text1"/>
                        <w:lang w:val="sv-SE"/>
                      </w:rPr>
                      <m:t xml:space="preserve">Total Net Cash Outflow </m:t>
                    </m:r>
                    <m:r>
                      <m:rPr>
                        <m:sty m:val="p"/>
                      </m:rPr>
                      <w:rPr>
                        <w:rFonts w:ascii="Cambria Math" w:hAnsi="Cambria Math"/>
                        <w:color w:val="000000" w:themeColor="text1"/>
                        <w:lang w:val="sv-SE"/>
                      </w:rPr>
                      <m:t>dalam</m:t>
                    </m:r>
                    <m:r>
                      <w:rPr>
                        <w:rFonts w:ascii="Cambria Math" w:hAnsi="Cambria Math"/>
                        <w:color w:val="000000" w:themeColor="text1"/>
                        <w:lang w:val="sv-SE"/>
                      </w:rPr>
                      <m:t xml:space="preserve"> </m:t>
                    </m:r>
                    <m:r>
                      <m:rPr>
                        <m:sty m:val="p"/>
                      </m:rPr>
                      <w:rPr>
                        <w:rFonts w:ascii="Cambria Math" w:hAnsi="Cambria Math"/>
                        <w:color w:val="000000" w:themeColor="text1"/>
                        <w:lang w:val="sv-SE"/>
                      </w:rPr>
                      <m:t>30 hari kedepan</m:t>
                    </m:r>
                  </m:den>
                </m:f>
                <w:bookmarkEnd w:id="3"/>
                <m:r>
                  <w:rPr>
                    <w:rFonts w:ascii="Cambria Math" w:hAnsi="Cambria Math"/>
                    <w:color w:val="000000" w:themeColor="text1"/>
                    <w:lang w:val="sv-SE"/>
                  </w:rPr>
                  <m:t>≥100%</m:t>
                </m:r>
              </m:oMath>
            </m:oMathPara>
          </w:p>
        </w:tc>
        <w:tc>
          <w:tcPr>
            <w:tcW w:w="3686" w:type="dxa"/>
            <w:shd w:val="clear" w:color="auto" w:fill="auto"/>
          </w:tcPr>
          <w:p w14:paraId="72374167"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4CD4FDC9"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19C448D5" w14:textId="77777777" w:rsidTr="00910A48">
        <w:tc>
          <w:tcPr>
            <w:tcW w:w="4794" w:type="dxa"/>
            <w:shd w:val="clear" w:color="auto" w:fill="auto"/>
          </w:tcPr>
          <w:p w14:paraId="2E9AD23C" w14:textId="7777777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Pemenuhan pendanaan stabil sebagaimana dimaksud pada ayat (1) dihitung dengan menggunakan NSFR.</w:t>
            </w:r>
          </w:p>
        </w:tc>
        <w:tc>
          <w:tcPr>
            <w:tcW w:w="4840" w:type="dxa"/>
            <w:shd w:val="clear" w:color="auto" w:fill="auto"/>
          </w:tcPr>
          <w:p w14:paraId="04801474"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Ayat (3)</w:t>
            </w:r>
          </w:p>
          <w:p w14:paraId="77DEDFDF" w14:textId="77777777" w:rsidR="00910A48"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lang w:val="en-US"/>
              </w:rPr>
            </w:pPr>
            <w:r w:rsidRPr="007007D1">
              <w:rPr>
                <w:rFonts w:ascii="Bookman Old Style" w:eastAsia="Bookman Old Style" w:hAnsi="Bookman Old Style" w:cstheme="minorHAnsi"/>
                <w:color w:val="000000" w:themeColor="text1"/>
                <w:sz w:val="20"/>
                <w:szCs w:val="20"/>
                <w:lang w:val="sv-SE"/>
              </w:rPr>
              <w:t>NSFR dihitung dengan formula sebagai berikut</w:t>
            </w:r>
            <w:r w:rsidRPr="00910A48">
              <w:rPr>
                <w:rFonts w:ascii="Bookman Old Style" w:eastAsia="Bookman Old Style" w:hAnsi="Bookman Old Style" w:cstheme="minorHAnsi"/>
                <w:color w:val="000000" w:themeColor="text1"/>
                <w:sz w:val="24"/>
                <w:szCs w:val="24"/>
                <w:lang w:val="sv-SE"/>
              </w:rPr>
              <w:t xml:space="preserve">: </w:t>
            </w:r>
            <m:oMath>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ASF</m:t>
                  </m:r>
                </m:num>
                <m:den>
                  <m:r>
                    <w:rPr>
                      <w:rFonts w:ascii="Cambria Math" w:hAnsi="Cambria Math"/>
                      <w:color w:val="000000" w:themeColor="text1"/>
                      <w:sz w:val="24"/>
                      <w:szCs w:val="24"/>
                      <w:lang w:val="en-US"/>
                    </w:rPr>
                    <m:t>RSF</m:t>
                  </m:r>
                </m:den>
              </m:f>
            </m:oMath>
          </w:p>
          <w:p w14:paraId="409D52A6" w14:textId="31A3E6ED"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686" w:type="dxa"/>
            <w:shd w:val="clear" w:color="auto" w:fill="auto"/>
          </w:tcPr>
          <w:p w14:paraId="6E788018"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1FD71819"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5F999E9C" w14:textId="77777777" w:rsidTr="00910A48">
        <w:tc>
          <w:tcPr>
            <w:tcW w:w="4794" w:type="dxa"/>
            <w:shd w:val="clear" w:color="auto" w:fill="auto"/>
          </w:tcPr>
          <w:p w14:paraId="1A2ACD60" w14:textId="7777777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lastRenderedPageBreak/>
              <w:t>Perhitungan LCR sebagaimana dimaksud pada ayat (2) dan NSFR sebagaimana dimaksud pada ayat (3) dihitung dalam denominasi rupiah.</w:t>
            </w:r>
          </w:p>
        </w:tc>
        <w:tc>
          <w:tcPr>
            <w:tcW w:w="4840" w:type="dxa"/>
            <w:shd w:val="clear" w:color="auto" w:fill="auto"/>
          </w:tcPr>
          <w:p w14:paraId="7715A5FA"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rPr>
            </w:pPr>
            <w:r w:rsidRPr="007007D1">
              <w:rPr>
                <w:rFonts w:ascii="Bookman Old Style" w:eastAsia="Bookman Old Style" w:hAnsi="Bookman Old Style" w:cstheme="minorHAnsi"/>
                <w:color w:val="000000" w:themeColor="text1"/>
                <w:sz w:val="20"/>
                <w:szCs w:val="20"/>
              </w:rPr>
              <w:t>Ayat (4)</w:t>
            </w:r>
          </w:p>
          <w:p w14:paraId="148D5A50"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rPr>
            </w:pPr>
            <w:r w:rsidRPr="007007D1">
              <w:rPr>
                <w:rFonts w:ascii="Bookman Old Style" w:eastAsia="Bookman Old Style" w:hAnsi="Bookman Old Style" w:cstheme="minorHAnsi"/>
                <w:color w:val="000000" w:themeColor="text1"/>
                <w:sz w:val="20"/>
                <w:szCs w:val="20"/>
              </w:rPr>
              <w:t>Konversi mata uang asing menjadi Rupiah dilakukan dengan menggunakan kurs tengah Bank Indonesia.</w:t>
            </w:r>
          </w:p>
        </w:tc>
        <w:tc>
          <w:tcPr>
            <w:tcW w:w="3686" w:type="dxa"/>
            <w:shd w:val="clear" w:color="auto" w:fill="auto"/>
          </w:tcPr>
          <w:p w14:paraId="0DCE7786"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44CBF598"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5D90849B" w14:textId="77777777" w:rsidTr="00910A48">
        <w:tc>
          <w:tcPr>
            <w:tcW w:w="4794" w:type="dxa"/>
            <w:shd w:val="clear" w:color="auto" w:fill="auto"/>
          </w:tcPr>
          <w:p w14:paraId="2366B112" w14:textId="6222A4B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Pemenuhan LCR sebagaimana dimaksud pada ayat (2) ditetapkan paling rendah 100% (seratus persen) secara berkelanjutan.</w:t>
            </w:r>
          </w:p>
        </w:tc>
        <w:tc>
          <w:tcPr>
            <w:tcW w:w="4840" w:type="dxa"/>
            <w:shd w:val="clear" w:color="auto" w:fill="auto"/>
          </w:tcPr>
          <w:p w14:paraId="35A3D6AE"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Ayat (5)</w:t>
            </w:r>
          </w:p>
          <w:p w14:paraId="696FB490"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Cukup jelas.</w:t>
            </w:r>
          </w:p>
        </w:tc>
        <w:tc>
          <w:tcPr>
            <w:tcW w:w="3686" w:type="dxa"/>
            <w:shd w:val="clear" w:color="auto" w:fill="auto"/>
          </w:tcPr>
          <w:p w14:paraId="7D6EF2F7"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246BFB32"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4990E245" w14:textId="77777777" w:rsidTr="00910A48">
        <w:tc>
          <w:tcPr>
            <w:tcW w:w="4794" w:type="dxa"/>
            <w:shd w:val="clear" w:color="auto" w:fill="auto"/>
          </w:tcPr>
          <w:p w14:paraId="0C3C072D" w14:textId="7777777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Pemenuhan NSFR sebagaimana dimaksud pada ayat (3) ditetapkan paling rendah 100% (seratus persen).</w:t>
            </w:r>
          </w:p>
        </w:tc>
        <w:tc>
          <w:tcPr>
            <w:tcW w:w="4840" w:type="dxa"/>
            <w:shd w:val="clear" w:color="auto" w:fill="auto"/>
          </w:tcPr>
          <w:p w14:paraId="75EC0D28"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Ayat (6)</w:t>
            </w:r>
          </w:p>
          <w:p w14:paraId="7BC1A021"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Cukup jelas.</w:t>
            </w:r>
          </w:p>
        </w:tc>
        <w:tc>
          <w:tcPr>
            <w:tcW w:w="3686" w:type="dxa"/>
            <w:shd w:val="clear" w:color="auto" w:fill="auto"/>
          </w:tcPr>
          <w:p w14:paraId="4E2901B5"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16335001"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5A817E62" w14:textId="77777777" w:rsidTr="00910A48">
        <w:tc>
          <w:tcPr>
            <w:tcW w:w="4794" w:type="dxa"/>
            <w:shd w:val="clear" w:color="auto" w:fill="auto"/>
          </w:tcPr>
          <w:p w14:paraId="56455BD7" w14:textId="7777777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 xml:space="preserve">Otoritas Jasa Keuangan berwenang menetapkan LCR yang berbeda dari kewajiban pemenuhan LCR sebagaimana dimaksud pada ayat (5). </w:t>
            </w:r>
          </w:p>
        </w:tc>
        <w:tc>
          <w:tcPr>
            <w:tcW w:w="4840" w:type="dxa"/>
            <w:shd w:val="clear" w:color="auto" w:fill="auto"/>
          </w:tcPr>
          <w:p w14:paraId="3DE11ABA"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Ayat (7)</w:t>
            </w:r>
          </w:p>
          <w:p w14:paraId="7FCB2051"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lang w:val="sv-SE"/>
              </w:rPr>
            </w:pPr>
            <w:r w:rsidRPr="007007D1">
              <w:rPr>
                <w:rFonts w:ascii="Bookman Old Style" w:eastAsia="Bookman Old Style" w:hAnsi="Bookman Old Style" w:cstheme="minorHAnsi"/>
                <w:color w:val="000000" w:themeColor="text1"/>
                <w:sz w:val="20"/>
                <w:szCs w:val="20"/>
                <w:lang w:val="sv-SE"/>
              </w:rPr>
              <w:t>Penetapan LCR yang berbeda didasarkan antara lain dalam hal Otoritas Jasa Keuangan menilai Bank menghadapi potensi risiko likuiditas sehingga membutuhkan pemenuhan LCR lebih tinggi dari pemenuhan LCR minimum.</w:t>
            </w:r>
          </w:p>
        </w:tc>
        <w:tc>
          <w:tcPr>
            <w:tcW w:w="3686" w:type="dxa"/>
            <w:shd w:val="clear" w:color="auto" w:fill="auto"/>
          </w:tcPr>
          <w:p w14:paraId="2EA3BFF5"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5B07EFA5"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5E69026E" w14:textId="77777777" w:rsidTr="00910A48">
        <w:tc>
          <w:tcPr>
            <w:tcW w:w="4794" w:type="dxa"/>
            <w:shd w:val="clear" w:color="auto" w:fill="auto"/>
          </w:tcPr>
          <w:p w14:paraId="34DA4F97" w14:textId="77777777" w:rsidR="00910A48" w:rsidRPr="007007D1" w:rsidRDefault="00910A48" w:rsidP="00A32F86">
            <w:pPr>
              <w:pStyle w:val="ListParagraph"/>
              <w:numPr>
                <w:ilvl w:val="0"/>
                <w:numId w:val="5"/>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Otoritas Jasa Keuangan berwenang menetapkan NSFR yang berbeda dari kewajiban pemenuhan NSFR sebagaimana dimaksud pada ayat (6).</w:t>
            </w:r>
          </w:p>
        </w:tc>
        <w:tc>
          <w:tcPr>
            <w:tcW w:w="4840" w:type="dxa"/>
            <w:shd w:val="clear" w:color="auto" w:fill="auto"/>
          </w:tcPr>
          <w:p w14:paraId="362C3377" w14:textId="77777777" w:rsidR="00910A48" w:rsidRPr="007007D1" w:rsidRDefault="00910A48" w:rsidP="00910A48">
            <w:pPr>
              <w:spacing w:after="0" w:line="240" w:lineRule="auto"/>
              <w:rPr>
                <w:rFonts w:ascii="Bookman Old Style" w:eastAsia="Bookman Old Style" w:hAnsi="Bookman Old Style" w:cstheme="minorHAnsi"/>
                <w:color w:val="000000" w:themeColor="text1"/>
                <w:sz w:val="20"/>
                <w:szCs w:val="20"/>
              </w:rPr>
            </w:pPr>
            <w:r w:rsidRPr="007007D1">
              <w:rPr>
                <w:rFonts w:ascii="Bookman Old Style" w:eastAsia="Bookman Old Style" w:hAnsi="Bookman Old Style" w:cstheme="minorHAnsi"/>
                <w:color w:val="000000" w:themeColor="text1"/>
                <w:sz w:val="20"/>
                <w:szCs w:val="20"/>
              </w:rPr>
              <w:t>Ayat (8)</w:t>
            </w:r>
          </w:p>
          <w:p w14:paraId="58BF2D60" w14:textId="73FBB29D" w:rsidR="00910A48" w:rsidRPr="007007D1" w:rsidRDefault="00910A48" w:rsidP="00910A48">
            <w:pPr>
              <w:tabs>
                <w:tab w:val="left" w:pos="1291"/>
              </w:tabs>
              <w:spacing w:after="0" w:line="240" w:lineRule="auto"/>
              <w:ind w:left="567"/>
              <w:jc w:val="both"/>
              <w:rPr>
                <w:rFonts w:ascii="Bookman Old Style" w:eastAsia="Bookman Old Style" w:hAnsi="Bookman Old Style" w:cstheme="minorHAnsi"/>
                <w:color w:val="000000" w:themeColor="text1"/>
                <w:sz w:val="20"/>
                <w:szCs w:val="20"/>
              </w:rPr>
            </w:pPr>
            <w:r w:rsidRPr="00910A48">
              <w:rPr>
                <w:rFonts w:ascii="Bookman Old Style" w:eastAsia="Bookman Old Style" w:hAnsi="Bookman Old Style" w:cstheme="minorHAnsi"/>
                <w:color w:val="000000" w:themeColor="text1"/>
                <w:sz w:val="20"/>
                <w:szCs w:val="20"/>
                <w:lang w:val="sv-SE"/>
              </w:rPr>
              <w:t>Penetapan</w:t>
            </w:r>
            <w:r w:rsidRPr="007007D1">
              <w:rPr>
                <w:rFonts w:ascii="Bookman Old Style" w:eastAsia="Bookman Old Style" w:hAnsi="Bookman Old Style" w:cstheme="minorHAnsi"/>
                <w:color w:val="000000" w:themeColor="text1"/>
                <w:sz w:val="20"/>
                <w:szCs w:val="20"/>
              </w:rPr>
              <w:t xml:space="preserve"> NSFR yang berbeda didasarkan antara lain dalam hal Otoritas Jasa Keuangan menilai Bank menghadapi potensi risiko likuiditas terkait pendanaan yang lebih tinggi sehingga membutuhkan pemenuhan NSFR lebih tinggi dari pemenuhan NSFR minimum.</w:t>
            </w:r>
          </w:p>
        </w:tc>
        <w:tc>
          <w:tcPr>
            <w:tcW w:w="3686" w:type="dxa"/>
            <w:shd w:val="clear" w:color="auto" w:fill="auto"/>
          </w:tcPr>
          <w:p w14:paraId="393CB137"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68674FB0"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60A488D9" w14:textId="77777777" w:rsidTr="00910A48">
        <w:tc>
          <w:tcPr>
            <w:tcW w:w="4794" w:type="dxa"/>
            <w:shd w:val="clear" w:color="auto" w:fill="E7E6E6" w:themeFill="background2"/>
            <w:vAlign w:val="center"/>
          </w:tcPr>
          <w:p w14:paraId="7D8F1A96" w14:textId="77777777" w:rsidR="00910A48" w:rsidRPr="007007D1" w:rsidRDefault="00910A48" w:rsidP="00910A48">
            <w:pPr>
              <w:spacing w:after="0" w:line="240" w:lineRule="auto"/>
              <w:jc w:val="center"/>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Pasal 3</w:t>
            </w:r>
          </w:p>
        </w:tc>
        <w:tc>
          <w:tcPr>
            <w:tcW w:w="4840" w:type="dxa"/>
            <w:shd w:val="clear" w:color="auto" w:fill="E7E6E6" w:themeFill="background2"/>
            <w:vAlign w:val="center"/>
          </w:tcPr>
          <w:p w14:paraId="75FBEA85" w14:textId="2C4EF3EC" w:rsidR="00910A48" w:rsidRPr="007007D1" w:rsidRDefault="00910A48" w:rsidP="00910A48">
            <w:pPr>
              <w:spacing w:after="0" w:line="240" w:lineRule="auto"/>
              <w:jc w:val="center"/>
              <w:rPr>
                <w:rFonts w:ascii="Bookman Old Style" w:eastAsia="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en-US"/>
              </w:rPr>
              <w:t>Pasal 3</w:t>
            </w:r>
          </w:p>
        </w:tc>
        <w:tc>
          <w:tcPr>
            <w:tcW w:w="3686" w:type="dxa"/>
            <w:shd w:val="clear" w:color="auto" w:fill="E7E6E6" w:themeFill="background2"/>
          </w:tcPr>
          <w:p w14:paraId="5C60DE3C"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E7E6E6" w:themeFill="background2"/>
          </w:tcPr>
          <w:p w14:paraId="0B3A8F9F"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1DB3E653" w14:textId="77777777" w:rsidTr="00910A48">
        <w:tc>
          <w:tcPr>
            <w:tcW w:w="4794" w:type="dxa"/>
            <w:shd w:val="clear" w:color="auto" w:fill="auto"/>
          </w:tcPr>
          <w:p w14:paraId="2322CE9E" w14:textId="77777777" w:rsidR="00910A48" w:rsidRPr="007007D1" w:rsidRDefault="00910A48" w:rsidP="00910A48">
            <w:pPr>
              <w:spacing w:after="0" w:line="240" w:lineRule="auto"/>
              <w:jc w:val="both"/>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 xml:space="preserve">Dalam hal Bank memiliki dan/atau melakukan pengendalian terhadap perusahaan anak, kewajiban pemenuhan LCR dan NSFR sebagaimana dimaksud dalam Pasal 2 ayat (5) dan ayat (6) berlaku bagi Bank secara individu maupun secara konsolidasi. </w:t>
            </w:r>
          </w:p>
        </w:tc>
        <w:tc>
          <w:tcPr>
            <w:tcW w:w="4840" w:type="dxa"/>
            <w:shd w:val="clear" w:color="auto" w:fill="auto"/>
            <w:vAlign w:val="center"/>
          </w:tcPr>
          <w:p w14:paraId="095D3874" w14:textId="77777777" w:rsidR="00910A48" w:rsidRPr="007007D1" w:rsidRDefault="00910A48" w:rsidP="00910A48">
            <w:pPr>
              <w:spacing w:after="0" w:line="240" w:lineRule="auto"/>
              <w:jc w:val="both"/>
              <w:rPr>
                <w:rFonts w:ascii="Bookman Old Style" w:hAnsi="Bookman Old Style"/>
                <w:color w:val="000000" w:themeColor="text1"/>
                <w:sz w:val="20"/>
                <w:szCs w:val="20"/>
                <w:lang w:val="en-US"/>
              </w:rPr>
            </w:pPr>
            <w:r w:rsidRPr="007007D1">
              <w:rPr>
                <w:rFonts w:ascii="Bookman Old Style" w:hAnsi="Bookman Old Style"/>
                <w:color w:val="000000" w:themeColor="text1"/>
                <w:sz w:val="20"/>
                <w:szCs w:val="20"/>
                <w:lang w:val="en-US"/>
              </w:rPr>
              <w:t xml:space="preserve">Yang dimaksud dengan “pengendalian” adalah pengendalian sebagaimana dimaksud dalam standar akuntansi keuangan. </w:t>
            </w:r>
          </w:p>
          <w:p w14:paraId="6B15A533" w14:textId="77777777" w:rsidR="00910A48" w:rsidRDefault="00910A48" w:rsidP="00910A48">
            <w:pPr>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themeColor="text1"/>
                <w:sz w:val="20"/>
                <w:szCs w:val="20"/>
                <w:lang w:val="en-US"/>
              </w:rPr>
              <w:t>Yang dimaksud dengan “perusahaan anak” adalah perusahaan anak sebagaimana dimaksud dalam ketentuan Otoritas Jasa Keuangan yang mengatur mengenai penerapan manajemen risiko secara konsolidasi bagi Bank</w:t>
            </w:r>
            <w:r w:rsidRPr="007007D1">
              <w:rPr>
                <w:rFonts w:ascii="Bookman Old Style" w:hAnsi="Bookman Old Style"/>
                <w:color w:val="000000"/>
                <w:sz w:val="20"/>
                <w:szCs w:val="20"/>
                <w:lang w:val="en-US"/>
              </w:rPr>
              <w:t xml:space="preserve"> yang melakukan pengendalian terhadap perusahaan anak.</w:t>
            </w:r>
          </w:p>
          <w:p w14:paraId="584B5E54" w14:textId="7923BCF9" w:rsidR="001A4A10" w:rsidRPr="007007D1" w:rsidRDefault="001A4A10" w:rsidP="00910A48">
            <w:pPr>
              <w:spacing w:after="0" w:line="240" w:lineRule="auto"/>
              <w:jc w:val="both"/>
              <w:rPr>
                <w:rFonts w:ascii="Bookman Old Style" w:hAnsi="Bookman Old Style"/>
                <w:color w:val="000000"/>
                <w:sz w:val="20"/>
                <w:szCs w:val="20"/>
                <w:lang w:val="en-US"/>
              </w:rPr>
            </w:pPr>
          </w:p>
        </w:tc>
        <w:tc>
          <w:tcPr>
            <w:tcW w:w="3686" w:type="dxa"/>
            <w:shd w:val="clear" w:color="auto" w:fill="auto"/>
          </w:tcPr>
          <w:p w14:paraId="5E6EB274"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57C0E23B"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6DE1C5E7" w14:textId="77777777" w:rsidTr="00910A48">
        <w:tc>
          <w:tcPr>
            <w:tcW w:w="4794" w:type="dxa"/>
            <w:shd w:val="clear" w:color="auto" w:fill="FFF2CC" w:themeFill="accent4" w:themeFillTint="33"/>
            <w:vAlign w:val="center"/>
          </w:tcPr>
          <w:p w14:paraId="1997BF6B" w14:textId="77777777" w:rsidR="00910A48" w:rsidRPr="007007D1" w:rsidRDefault="00910A48" w:rsidP="00910A48">
            <w:pPr>
              <w:spacing w:after="0" w:line="240" w:lineRule="auto"/>
              <w:jc w:val="center"/>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lastRenderedPageBreak/>
              <w:t>BAB II</w:t>
            </w:r>
          </w:p>
        </w:tc>
        <w:tc>
          <w:tcPr>
            <w:tcW w:w="4840" w:type="dxa"/>
            <w:shd w:val="clear" w:color="auto" w:fill="FFF2CC" w:themeFill="accent4" w:themeFillTint="33"/>
          </w:tcPr>
          <w:p w14:paraId="6D97275D" w14:textId="77777777" w:rsidR="00910A48" w:rsidRPr="007007D1" w:rsidRDefault="00910A48" w:rsidP="00910A48">
            <w:pPr>
              <w:spacing w:after="0" w:line="240" w:lineRule="auto"/>
              <w:jc w:val="both"/>
              <w:rPr>
                <w:rFonts w:ascii="Bookman Old Style" w:eastAsia="Bookman Old Style" w:hAnsi="Bookman Old Style" w:cstheme="minorHAnsi"/>
                <w:color w:val="000000" w:themeColor="text1"/>
                <w:sz w:val="20"/>
                <w:szCs w:val="20"/>
                <w:lang w:val="sv-SE"/>
              </w:rPr>
            </w:pPr>
          </w:p>
        </w:tc>
        <w:tc>
          <w:tcPr>
            <w:tcW w:w="3686" w:type="dxa"/>
            <w:shd w:val="clear" w:color="auto" w:fill="FFF2CC" w:themeFill="accent4" w:themeFillTint="33"/>
          </w:tcPr>
          <w:p w14:paraId="5ACDFD2A"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FFF2CC" w:themeFill="accent4" w:themeFillTint="33"/>
          </w:tcPr>
          <w:p w14:paraId="2B762121"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36B46FDD" w14:textId="77777777" w:rsidTr="00910A48">
        <w:tc>
          <w:tcPr>
            <w:tcW w:w="4794" w:type="dxa"/>
            <w:shd w:val="clear" w:color="auto" w:fill="FFF2CC" w:themeFill="accent4" w:themeFillTint="33"/>
            <w:vAlign w:val="center"/>
          </w:tcPr>
          <w:p w14:paraId="62E5D157" w14:textId="77777777" w:rsidR="00910A48" w:rsidRDefault="00910A48" w:rsidP="00910A48">
            <w:pPr>
              <w:spacing w:after="0" w:line="240" w:lineRule="auto"/>
              <w:jc w:val="center"/>
              <w:rPr>
                <w:rFonts w:ascii="Bookman Old Style" w:hAnsi="Bookman Old Style"/>
                <w:color w:val="000000"/>
                <w:sz w:val="20"/>
                <w:szCs w:val="20"/>
                <w:lang w:val="sv-SE"/>
              </w:rPr>
            </w:pPr>
            <w:r w:rsidRPr="007007D1">
              <w:rPr>
                <w:rFonts w:ascii="Bookman Old Style" w:hAnsi="Bookman Old Style"/>
                <w:color w:val="000000" w:themeColor="text1"/>
                <w:sz w:val="20"/>
                <w:szCs w:val="20"/>
                <w:lang w:val="sv-SE"/>
              </w:rPr>
              <w:t>RASIO KECUKUPAN LIKUIDITAS (</w:t>
            </w:r>
            <w:r w:rsidRPr="007007D1">
              <w:rPr>
                <w:rFonts w:ascii="Bookman Old Style" w:hAnsi="Bookman Old Style"/>
                <w:i/>
                <w:iCs/>
                <w:color w:val="000000"/>
                <w:sz w:val="20"/>
                <w:szCs w:val="20"/>
                <w:lang w:val="sv-SE"/>
              </w:rPr>
              <w:t>LIQUIDITY COVERAGE RATIO</w:t>
            </w:r>
            <w:r w:rsidRPr="007007D1">
              <w:rPr>
                <w:rFonts w:ascii="Bookman Old Style" w:hAnsi="Bookman Old Style"/>
                <w:color w:val="000000"/>
                <w:sz w:val="20"/>
                <w:szCs w:val="20"/>
                <w:lang w:val="sv-SE"/>
              </w:rPr>
              <w:t>)</w:t>
            </w:r>
          </w:p>
          <w:p w14:paraId="097223BC" w14:textId="2418B509" w:rsidR="00910A48" w:rsidRPr="007007D1" w:rsidRDefault="00910A48" w:rsidP="00910A48">
            <w:pPr>
              <w:spacing w:after="0" w:line="240" w:lineRule="auto"/>
              <w:jc w:val="center"/>
              <w:rPr>
                <w:rFonts w:ascii="Bookman Old Style" w:hAnsi="Bookman Old Style" w:cstheme="minorHAnsi"/>
                <w:color w:val="000000" w:themeColor="text1"/>
                <w:sz w:val="20"/>
                <w:szCs w:val="20"/>
                <w:lang w:val="sv-SE"/>
              </w:rPr>
            </w:pPr>
          </w:p>
        </w:tc>
        <w:tc>
          <w:tcPr>
            <w:tcW w:w="4840" w:type="dxa"/>
            <w:shd w:val="clear" w:color="auto" w:fill="FFF2CC" w:themeFill="accent4" w:themeFillTint="33"/>
          </w:tcPr>
          <w:p w14:paraId="7AD19DAA" w14:textId="77777777" w:rsidR="00910A48" w:rsidRPr="007007D1" w:rsidRDefault="00910A48" w:rsidP="00910A48">
            <w:pPr>
              <w:spacing w:after="0" w:line="240" w:lineRule="auto"/>
              <w:jc w:val="both"/>
              <w:rPr>
                <w:rFonts w:ascii="Bookman Old Style" w:eastAsia="Bookman Old Style" w:hAnsi="Bookman Old Style" w:cstheme="minorHAnsi"/>
                <w:color w:val="000000" w:themeColor="text1"/>
                <w:sz w:val="20"/>
                <w:szCs w:val="20"/>
                <w:lang w:val="sv-SE"/>
              </w:rPr>
            </w:pPr>
          </w:p>
        </w:tc>
        <w:tc>
          <w:tcPr>
            <w:tcW w:w="3686" w:type="dxa"/>
            <w:shd w:val="clear" w:color="auto" w:fill="FFF2CC" w:themeFill="accent4" w:themeFillTint="33"/>
          </w:tcPr>
          <w:p w14:paraId="569A6FB4"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FFF2CC" w:themeFill="accent4" w:themeFillTint="33"/>
          </w:tcPr>
          <w:p w14:paraId="7DBC2A6C"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2CB56B65" w14:textId="77777777" w:rsidTr="00910A48">
        <w:tc>
          <w:tcPr>
            <w:tcW w:w="4794" w:type="dxa"/>
            <w:shd w:val="clear" w:color="auto" w:fill="E7E6E6" w:themeFill="background2"/>
            <w:vAlign w:val="center"/>
          </w:tcPr>
          <w:p w14:paraId="43344A3A" w14:textId="77777777" w:rsidR="00910A48" w:rsidRPr="007007D1" w:rsidRDefault="00910A48" w:rsidP="00910A48">
            <w:pPr>
              <w:spacing w:after="0" w:line="240" w:lineRule="auto"/>
              <w:jc w:val="center"/>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Bagian Kesatu</w:t>
            </w:r>
          </w:p>
        </w:tc>
        <w:tc>
          <w:tcPr>
            <w:tcW w:w="4840" w:type="dxa"/>
            <w:shd w:val="clear" w:color="auto" w:fill="E7E6E6" w:themeFill="background2"/>
          </w:tcPr>
          <w:p w14:paraId="48105DD9" w14:textId="77777777" w:rsidR="00910A48" w:rsidRPr="007007D1" w:rsidRDefault="00910A48" w:rsidP="00910A48">
            <w:pPr>
              <w:spacing w:after="0" w:line="240" w:lineRule="auto"/>
              <w:jc w:val="both"/>
              <w:rPr>
                <w:rFonts w:ascii="Bookman Old Style" w:eastAsia="Bookman Old Style" w:hAnsi="Bookman Old Style" w:cstheme="minorHAnsi"/>
                <w:color w:val="000000" w:themeColor="text1"/>
                <w:sz w:val="20"/>
                <w:szCs w:val="20"/>
                <w:lang w:val="sv-SE"/>
              </w:rPr>
            </w:pPr>
          </w:p>
        </w:tc>
        <w:tc>
          <w:tcPr>
            <w:tcW w:w="3686" w:type="dxa"/>
            <w:shd w:val="clear" w:color="auto" w:fill="E7E6E6" w:themeFill="background2"/>
          </w:tcPr>
          <w:p w14:paraId="36ED3250"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E7E6E6" w:themeFill="background2"/>
          </w:tcPr>
          <w:p w14:paraId="44AFF0CB"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0F546D99" w14:textId="77777777" w:rsidTr="00910A48">
        <w:tc>
          <w:tcPr>
            <w:tcW w:w="4794" w:type="dxa"/>
            <w:shd w:val="clear" w:color="auto" w:fill="E7E6E6" w:themeFill="background2"/>
            <w:vAlign w:val="center"/>
          </w:tcPr>
          <w:p w14:paraId="46E5DEC1" w14:textId="77777777" w:rsidR="00910A48" w:rsidRPr="007007D1" w:rsidRDefault="00910A48" w:rsidP="00910A48">
            <w:pPr>
              <w:spacing w:after="0" w:line="240" w:lineRule="auto"/>
              <w:jc w:val="center"/>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Aset Likuid Berkualitas Tinggi (</w:t>
            </w:r>
            <w:r w:rsidRPr="007007D1">
              <w:rPr>
                <w:rFonts w:ascii="Bookman Old Style" w:hAnsi="Bookman Old Style"/>
                <w:i/>
                <w:iCs/>
                <w:color w:val="000000"/>
                <w:sz w:val="20"/>
                <w:szCs w:val="20"/>
                <w:lang w:val="sv-SE"/>
              </w:rPr>
              <w:t>High Quality Liquid Asset</w:t>
            </w:r>
            <w:r w:rsidRPr="007007D1">
              <w:rPr>
                <w:rFonts w:ascii="Bookman Old Style" w:hAnsi="Bookman Old Style"/>
                <w:color w:val="000000"/>
                <w:sz w:val="20"/>
                <w:szCs w:val="20"/>
                <w:lang w:val="sv-SE"/>
              </w:rPr>
              <w:t>)</w:t>
            </w:r>
          </w:p>
        </w:tc>
        <w:tc>
          <w:tcPr>
            <w:tcW w:w="4840" w:type="dxa"/>
            <w:shd w:val="clear" w:color="auto" w:fill="E7E6E6" w:themeFill="background2"/>
          </w:tcPr>
          <w:p w14:paraId="7B9F5C84" w14:textId="77777777" w:rsidR="00910A48" w:rsidRPr="007007D1" w:rsidRDefault="00910A48" w:rsidP="00910A48">
            <w:pPr>
              <w:spacing w:after="0" w:line="240" w:lineRule="auto"/>
              <w:jc w:val="both"/>
              <w:rPr>
                <w:rFonts w:ascii="Bookman Old Style" w:eastAsia="Bookman Old Style" w:hAnsi="Bookman Old Style" w:cstheme="minorHAnsi"/>
                <w:color w:val="000000" w:themeColor="text1"/>
                <w:sz w:val="20"/>
                <w:szCs w:val="20"/>
                <w:lang w:val="sv-SE"/>
              </w:rPr>
            </w:pPr>
          </w:p>
        </w:tc>
        <w:tc>
          <w:tcPr>
            <w:tcW w:w="3686" w:type="dxa"/>
            <w:shd w:val="clear" w:color="auto" w:fill="E7E6E6" w:themeFill="background2"/>
          </w:tcPr>
          <w:p w14:paraId="2BAD1BF5"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E7E6E6" w:themeFill="background2"/>
          </w:tcPr>
          <w:p w14:paraId="2B163DFA"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29797E66" w14:textId="77777777" w:rsidTr="00910A48">
        <w:tc>
          <w:tcPr>
            <w:tcW w:w="4794" w:type="dxa"/>
            <w:shd w:val="clear" w:color="auto" w:fill="E7E6E6" w:themeFill="background2"/>
            <w:vAlign w:val="center"/>
          </w:tcPr>
          <w:p w14:paraId="34FD4EE4" w14:textId="77777777" w:rsidR="00910A48" w:rsidRPr="007007D1" w:rsidRDefault="00910A48" w:rsidP="00910A48">
            <w:pPr>
              <w:spacing w:after="0" w:line="240" w:lineRule="auto"/>
              <w:jc w:val="center"/>
              <w:rPr>
                <w:rFonts w:ascii="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Pasal 4</w:t>
            </w:r>
          </w:p>
        </w:tc>
        <w:tc>
          <w:tcPr>
            <w:tcW w:w="4840" w:type="dxa"/>
            <w:shd w:val="clear" w:color="auto" w:fill="E7E6E6" w:themeFill="background2"/>
            <w:vAlign w:val="center"/>
          </w:tcPr>
          <w:p w14:paraId="74C83F2A" w14:textId="77777777" w:rsidR="00910A48" w:rsidRPr="007007D1" w:rsidRDefault="00910A48" w:rsidP="00910A48">
            <w:pPr>
              <w:spacing w:after="0" w:line="240" w:lineRule="auto"/>
              <w:jc w:val="center"/>
              <w:rPr>
                <w:rFonts w:ascii="Bookman Old Style" w:eastAsia="Bookman Old Style" w:hAnsi="Bookman Old Style" w:cstheme="minorHAnsi"/>
                <w:color w:val="000000" w:themeColor="text1"/>
                <w:sz w:val="20"/>
                <w:szCs w:val="20"/>
                <w:lang w:val="sv-SE"/>
              </w:rPr>
            </w:pPr>
            <w:r w:rsidRPr="007007D1">
              <w:rPr>
                <w:rFonts w:ascii="Bookman Old Style" w:hAnsi="Bookman Old Style"/>
                <w:color w:val="000000" w:themeColor="text1"/>
                <w:sz w:val="20"/>
                <w:szCs w:val="20"/>
                <w:lang w:val="sv-SE"/>
              </w:rPr>
              <w:t>Pasal 4</w:t>
            </w:r>
          </w:p>
        </w:tc>
        <w:tc>
          <w:tcPr>
            <w:tcW w:w="3686" w:type="dxa"/>
            <w:shd w:val="clear" w:color="auto" w:fill="E7E6E6" w:themeFill="background2"/>
          </w:tcPr>
          <w:p w14:paraId="412C3341"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E7E6E6" w:themeFill="background2"/>
          </w:tcPr>
          <w:p w14:paraId="57B72E56"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689E681A" w14:textId="77777777" w:rsidTr="00910A48">
        <w:tc>
          <w:tcPr>
            <w:tcW w:w="4794" w:type="dxa"/>
            <w:shd w:val="clear" w:color="auto" w:fill="auto"/>
          </w:tcPr>
          <w:p w14:paraId="34F2CAC6" w14:textId="77777777" w:rsidR="00910A48" w:rsidRPr="007007D1" w:rsidRDefault="00910A48" w:rsidP="00A32F86">
            <w:pPr>
              <w:pStyle w:val="ListParagraph"/>
              <w:numPr>
                <w:ilvl w:val="0"/>
                <w:numId w:val="6"/>
              </w:numPr>
              <w:spacing w:after="0" w:line="240" w:lineRule="auto"/>
              <w:ind w:left="567" w:hanging="56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Bank wajib memiliki HQLA dalam rangka pemenuhan LCR sebagaimana dimaksud dalam pasal 2 ayat (5).</w:t>
            </w:r>
          </w:p>
        </w:tc>
        <w:tc>
          <w:tcPr>
            <w:tcW w:w="4840" w:type="dxa"/>
            <w:shd w:val="clear" w:color="auto" w:fill="auto"/>
            <w:vAlign w:val="center"/>
          </w:tcPr>
          <w:p w14:paraId="6159DEDA" w14:textId="77777777" w:rsidR="00910A48" w:rsidRPr="007007D1" w:rsidRDefault="00910A48" w:rsidP="00910A48">
            <w:pPr>
              <w:spacing w:after="0" w:line="240" w:lineRule="auto"/>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Ayat (1)</w:t>
            </w:r>
          </w:p>
          <w:p w14:paraId="4FC731A1" w14:textId="77777777" w:rsidR="00910A48" w:rsidRPr="007007D1" w:rsidRDefault="00910A48" w:rsidP="00910A48">
            <w:pPr>
              <w:tabs>
                <w:tab w:val="left" w:pos="1291"/>
              </w:tabs>
              <w:spacing w:after="0" w:line="240" w:lineRule="auto"/>
              <w:ind w:left="567"/>
              <w:jc w:val="both"/>
              <w:rPr>
                <w:rFonts w:ascii="Bookman Old Style" w:hAnsi="Bookman Old Style"/>
                <w:color w:val="000000"/>
                <w:sz w:val="20"/>
                <w:szCs w:val="20"/>
              </w:rPr>
            </w:pPr>
            <w:r w:rsidRPr="007007D1">
              <w:rPr>
                <w:rFonts w:ascii="Bookman Old Style" w:hAnsi="Bookman Old Style"/>
                <w:color w:val="000000"/>
                <w:sz w:val="20"/>
                <w:szCs w:val="20"/>
                <w:lang w:val="sv-SE"/>
              </w:rPr>
              <w:t>Aset yang dapat diperhitungkan sebagai HQLA merupakan aset yang dimiliki oleh Bank pada saat perhitungan LCR tanpa memperhatikan sisa jangka waktu aset yang diperhitungkan.</w:t>
            </w:r>
          </w:p>
          <w:p w14:paraId="27C7BE90" w14:textId="77777777" w:rsidR="00910A48" w:rsidRPr="007007D1" w:rsidRDefault="00910A48" w:rsidP="00910A48">
            <w:pPr>
              <w:tabs>
                <w:tab w:val="left" w:pos="1291"/>
              </w:tabs>
              <w:spacing w:after="0" w:line="240" w:lineRule="auto"/>
              <w:ind w:left="567"/>
              <w:jc w:val="both"/>
              <w:rPr>
                <w:rFonts w:ascii="Bookman Old Style" w:hAnsi="Bookman Old Style"/>
                <w:color w:val="000000"/>
                <w:sz w:val="20"/>
                <w:szCs w:val="20"/>
              </w:rPr>
            </w:pPr>
            <w:r w:rsidRPr="00910A48">
              <w:rPr>
                <w:rFonts w:ascii="Bookman Old Style" w:eastAsia="Bookman Old Style" w:hAnsi="Bookman Old Style" w:cstheme="minorHAnsi"/>
                <w:color w:val="000000" w:themeColor="text1"/>
                <w:sz w:val="20"/>
                <w:szCs w:val="20"/>
                <w:lang w:val="sv-SE"/>
              </w:rPr>
              <w:t>Atas</w:t>
            </w:r>
            <w:r w:rsidRPr="007007D1">
              <w:rPr>
                <w:rFonts w:ascii="Bookman Old Style" w:hAnsi="Bookman Old Style"/>
                <w:color w:val="000000"/>
                <w:sz w:val="20"/>
                <w:szCs w:val="20"/>
                <w:lang w:val="en-ID"/>
              </w:rPr>
              <w:t xml:space="preserve"> aset yang diperhitungkan sebagai HQLA, dimungkinkan dilakukan lindung nilai (</w:t>
            </w:r>
            <w:r w:rsidRPr="007007D1">
              <w:rPr>
                <w:rFonts w:ascii="Bookman Old Style" w:hAnsi="Bookman Old Style"/>
                <w:i/>
                <w:iCs/>
                <w:color w:val="000000"/>
                <w:sz w:val="20"/>
                <w:szCs w:val="20"/>
                <w:lang w:val="en-ID"/>
              </w:rPr>
              <w:t>hedging</w:t>
            </w:r>
            <w:r w:rsidRPr="007007D1">
              <w:rPr>
                <w:rFonts w:ascii="Bookman Old Style" w:hAnsi="Bookman Old Style"/>
                <w:color w:val="000000"/>
                <w:sz w:val="20"/>
                <w:szCs w:val="20"/>
                <w:lang w:val="en-ID"/>
              </w:rPr>
              <w:t>) namun Bank harus memperhitungkan arus kas keluar (</w:t>
            </w:r>
            <w:r w:rsidRPr="007007D1">
              <w:rPr>
                <w:rFonts w:ascii="Bookman Old Style" w:hAnsi="Bookman Old Style"/>
                <w:i/>
                <w:iCs/>
                <w:color w:val="000000"/>
                <w:sz w:val="20"/>
                <w:szCs w:val="20"/>
                <w:lang w:val="en-ID"/>
              </w:rPr>
              <w:t>cash outflow</w:t>
            </w:r>
            <w:r w:rsidRPr="007007D1">
              <w:rPr>
                <w:rFonts w:ascii="Bookman Old Style" w:hAnsi="Bookman Old Style"/>
                <w:color w:val="000000"/>
                <w:sz w:val="20"/>
                <w:szCs w:val="20"/>
                <w:lang w:val="en-ID"/>
              </w:rPr>
              <w:t>) akibat pembatalan perjanjian karena penjualan aset tersebut.</w:t>
            </w:r>
          </w:p>
          <w:p w14:paraId="34E66252" w14:textId="77777777" w:rsidR="00910A48" w:rsidRPr="007007D1" w:rsidRDefault="00910A48" w:rsidP="00910A48">
            <w:pPr>
              <w:spacing w:after="0" w:line="240" w:lineRule="auto"/>
              <w:jc w:val="both"/>
              <w:rPr>
                <w:rFonts w:ascii="Bookman Old Style" w:eastAsia="Bookman Old Style" w:hAnsi="Bookman Old Style" w:cstheme="minorHAnsi"/>
                <w:color w:val="000000" w:themeColor="text1"/>
                <w:sz w:val="20"/>
                <w:szCs w:val="20"/>
              </w:rPr>
            </w:pPr>
          </w:p>
        </w:tc>
        <w:tc>
          <w:tcPr>
            <w:tcW w:w="3686" w:type="dxa"/>
            <w:shd w:val="clear" w:color="auto" w:fill="auto"/>
          </w:tcPr>
          <w:p w14:paraId="0556ACA0"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69291884"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4B311A92" w14:textId="77777777" w:rsidTr="00DB697A">
        <w:trPr>
          <w:trHeight w:val="1409"/>
        </w:trPr>
        <w:tc>
          <w:tcPr>
            <w:tcW w:w="4794" w:type="dxa"/>
            <w:shd w:val="clear" w:color="auto" w:fill="auto"/>
          </w:tcPr>
          <w:p w14:paraId="5E548C7F" w14:textId="77777777" w:rsidR="00910A48" w:rsidRPr="007007D1" w:rsidRDefault="00910A48" w:rsidP="00A32F86">
            <w:pPr>
              <w:pStyle w:val="ListParagraph"/>
              <w:numPr>
                <w:ilvl w:val="0"/>
                <w:numId w:val="6"/>
              </w:numPr>
              <w:spacing w:after="0" w:line="240" w:lineRule="auto"/>
              <w:ind w:left="357" w:hanging="357"/>
              <w:jc w:val="both"/>
              <w:rPr>
                <w:rFonts w:ascii="Bookman Old Style" w:hAnsi="Bookman Old Style" w:cstheme="minorHAnsi"/>
                <w:color w:val="000000" w:themeColor="text1"/>
                <w:sz w:val="20"/>
                <w:szCs w:val="20"/>
                <w:lang w:val="sv-SE"/>
              </w:rPr>
            </w:pPr>
            <w:r w:rsidRPr="007007D1">
              <w:rPr>
                <w:rFonts w:ascii="Bookman Old Style" w:hAnsi="Bookman Old Style"/>
                <w:color w:val="000000"/>
                <w:sz w:val="20"/>
                <w:szCs w:val="20"/>
                <w:lang w:val="sv-SE"/>
              </w:rPr>
              <w:t>Bank wajib memiliki kebijakan mengenai HQLA paling kurang untuk:</w:t>
            </w:r>
          </w:p>
          <w:p w14:paraId="200C99B8" w14:textId="6C9EDE7E" w:rsidR="00910A48" w:rsidRPr="007007D1" w:rsidRDefault="00910A48" w:rsidP="00A32F86">
            <w:pPr>
              <w:pStyle w:val="ListParagraph"/>
              <w:numPr>
                <w:ilvl w:val="0"/>
                <w:numId w:val="7"/>
              </w:numPr>
              <w:spacing w:after="0" w:line="240" w:lineRule="auto"/>
              <w:ind w:left="748" w:hanging="357"/>
              <w:jc w:val="both"/>
              <w:rPr>
                <w:rFonts w:ascii="Bookman Old Style" w:hAnsi="Bookman Old Style" w:cstheme="minorHAnsi"/>
                <w:color w:val="000000" w:themeColor="text1"/>
                <w:sz w:val="20"/>
                <w:szCs w:val="20"/>
                <w:lang w:val="sv-SE"/>
              </w:rPr>
            </w:pPr>
            <w:r w:rsidRPr="007007D1">
              <w:rPr>
                <w:rFonts w:ascii="Bookman Old Style" w:eastAsia="Bookman Old Style" w:hAnsi="Bookman Old Style"/>
                <w:color w:val="000000"/>
                <w:sz w:val="20"/>
                <w:szCs w:val="20"/>
                <w:lang w:val="en-ID"/>
              </w:rPr>
              <w:t xml:space="preserve">mengidentifikasi entitas hukum, lokasi geografis, jenis mata uang dan/atau rekening HQLA ditempatkan; dan </w:t>
            </w:r>
          </w:p>
        </w:tc>
        <w:tc>
          <w:tcPr>
            <w:tcW w:w="4840" w:type="dxa"/>
            <w:vMerge w:val="restart"/>
            <w:shd w:val="clear" w:color="auto" w:fill="auto"/>
          </w:tcPr>
          <w:p w14:paraId="1E71ED61" w14:textId="77777777" w:rsidR="00910A48" w:rsidRPr="007007D1" w:rsidRDefault="00910A48" w:rsidP="00910A48">
            <w:pPr>
              <w:spacing w:after="0" w:line="240" w:lineRule="auto"/>
              <w:rPr>
                <w:rFonts w:ascii="Bookman Old Style" w:hAnsi="Bookman Old Style" w:cstheme="minorHAnsi"/>
                <w:color w:val="000000" w:themeColor="text1"/>
                <w:sz w:val="20"/>
                <w:szCs w:val="20"/>
                <w:lang w:val="sv-SE"/>
              </w:rPr>
            </w:pPr>
            <w:r w:rsidRPr="007007D1">
              <w:rPr>
                <w:rFonts w:ascii="Bookman Old Style" w:hAnsi="Bookman Old Style" w:cstheme="minorHAnsi"/>
                <w:color w:val="000000" w:themeColor="text1"/>
                <w:sz w:val="20"/>
                <w:szCs w:val="20"/>
                <w:lang w:val="sv-SE"/>
              </w:rPr>
              <w:t>Ayat (2)</w:t>
            </w:r>
          </w:p>
          <w:p w14:paraId="13AC6B4C" w14:textId="77777777" w:rsidR="00910A48" w:rsidRPr="007007D1" w:rsidRDefault="00910A48" w:rsidP="00910A48">
            <w:pPr>
              <w:tabs>
                <w:tab w:val="left" w:pos="1291"/>
              </w:tabs>
              <w:spacing w:after="0" w:line="240" w:lineRule="auto"/>
              <w:ind w:left="567"/>
              <w:jc w:val="both"/>
              <w:rPr>
                <w:rFonts w:ascii="Bookman Old Style" w:hAnsi="Bookman Old Style" w:cstheme="minorHAnsi"/>
                <w:color w:val="000000" w:themeColor="text1"/>
                <w:sz w:val="20"/>
                <w:szCs w:val="20"/>
                <w:lang w:val="sv-SE"/>
              </w:rPr>
            </w:pPr>
            <w:r w:rsidRPr="00910A48">
              <w:rPr>
                <w:rFonts w:ascii="Bookman Old Style" w:eastAsia="Bookman Old Style" w:hAnsi="Bookman Old Style" w:cstheme="minorHAnsi"/>
                <w:color w:val="000000" w:themeColor="text1"/>
                <w:sz w:val="20"/>
                <w:szCs w:val="20"/>
                <w:lang w:val="sv-SE"/>
              </w:rPr>
              <w:t>Penyusunan</w:t>
            </w:r>
            <w:r w:rsidRPr="007007D1">
              <w:rPr>
                <w:rFonts w:ascii="Bookman Old Style" w:hAnsi="Bookman Old Style" w:cstheme="minorHAnsi"/>
                <w:color w:val="000000" w:themeColor="text1"/>
                <w:sz w:val="20"/>
                <w:szCs w:val="20"/>
                <w:lang w:val="sv-SE"/>
              </w:rPr>
              <w:t xml:space="preserve"> kebijakan mengenai HQLA bertujuan agar Bank dapat menentukan komposisi persediaan HQLA secara harian.</w:t>
            </w:r>
          </w:p>
        </w:tc>
        <w:tc>
          <w:tcPr>
            <w:tcW w:w="3686" w:type="dxa"/>
            <w:shd w:val="clear" w:color="auto" w:fill="auto"/>
          </w:tcPr>
          <w:p w14:paraId="589CF9E8"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192C1512"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3B21B615" w14:textId="77777777" w:rsidTr="00910A48">
        <w:tc>
          <w:tcPr>
            <w:tcW w:w="4794" w:type="dxa"/>
            <w:shd w:val="clear" w:color="auto" w:fill="auto"/>
            <w:vAlign w:val="center"/>
          </w:tcPr>
          <w:p w14:paraId="2A8BDFF3" w14:textId="77777777" w:rsidR="00910A48" w:rsidRPr="007007D1" w:rsidRDefault="00910A48" w:rsidP="00A32F86">
            <w:pPr>
              <w:pStyle w:val="ListParagraph"/>
              <w:numPr>
                <w:ilvl w:val="0"/>
                <w:numId w:val="7"/>
              </w:numPr>
              <w:spacing w:after="0" w:line="240" w:lineRule="auto"/>
              <w:ind w:left="748" w:hanging="357"/>
              <w:jc w:val="both"/>
              <w:rPr>
                <w:rFonts w:ascii="Bookman Old Style" w:hAnsi="Bookman Old Style" w:cstheme="minorHAnsi"/>
                <w:color w:val="000000" w:themeColor="text1"/>
                <w:sz w:val="20"/>
                <w:szCs w:val="20"/>
                <w:lang w:val="sv-SE"/>
              </w:rPr>
            </w:pPr>
            <w:r w:rsidRPr="007007D1">
              <w:rPr>
                <w:rFonts w:ascii="Bookman Old Style" w:eastAsia="Bookman Old Style" w:hAnsi="Bookman Old Style"/>
                <w:color w:val="000000"/>
                <w:sz w:val="20"/>
                <w:szCs w:val="20"/>
                <w:lang w:val="en-ID"/>
              </w:rPr>
              <w:t>mengecualikan aset tertentu dari HQLA berdasarkan alasan operasional.</w:t>
            </w:r>
          </w:p>
        </w:tc>
        <w:tc>
          <w:tcPr>
            <w:tcW w:w="4840" w:type="dxa"/>
            <w:vMerge/>
            <w:shd w:val="clear" w:color="auto" w:fill="auto"/>
          </w:tcPr>
          <w:p w14:paraId="531B49AA" w14:textId="77777777" w:rsidR="00910A48" w:rsidRPr="007007D1" w:rsidRDefault="00910A48" w:rsidP="00910A48">
            <w:pPr>
              <w:spacing w:after="0" w:line="240" w:lineRule="auto"/>
              <w:jc w:val="both"/>
              <w:rPr>
                <w:rFonts w:ascii="Bookman Old Style" w:eastAsia="Bookman Old Style" w:hAnsi="Bookman Old Style" w:cstheme="minorHAnsi"/>
                <w:color w:val="000000" w:themeColor="text1"/>
                <w:sz w:val="20"/>
                <w:szCs w:val="20"/>
                <w:lang w:val="sv-SE"/>
              </w:rPr>
            </w:pPr>
          </w:p>
        </w:tc>
        <w:tc>
          <w:tcPr>
            <w:tcW w:w="3686" w:type="dxa"/>
            <w:shd w:val="clear" w:color="auto" w:fill="auto"/>
          </w:tcPr>
          <w:p w14:paraId="58E5D72C"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c>
          <w:tcPr>
            <w:tcW w:w="3827" w:type="dxa"/>
            <w:shd w:val="clear" w:color="auto" w:fill="auto"/>
          </w:tcPr>
          <w:p w14:paraId="047C99B7" w14:textId="77777777" w:rsidR="00910A48" w:rsidRPr="00BA5B40" w:rsidRDefault="00910A48" w:rsidP="00910A48">
            <w:pPr>
              <w:spacing w:after="0" w:line="240" w:lineRule="auto"/>
              <w:rPr>
                <w:rFonts w:ascii="Bookman Old Style" w:eastAsia="Bookman Old Style" w:hAnsi="Bookman Old Style" w:cstheme="minorHAnsi"/>
                <w:color w:val="000000" w:themeColor="text1"/>
                <w:sz w:val="20"/>
                <w:szCs w:val="20"/>
                <w:lang w:val="sv-SE"/>
              </w:rPr>
            </w:pPr>
          </w:p>
        </w:tc>
      </w:tr>
      <w:tr w:rsidR="00910A48" w:rsidRPr="00BA5B40" w14:paraId="4AA50690" w14:textId="77777777" w:rsidTr="00910A48">
        <w:tc>
          <w:tcPr>
            <w:tcW w:w="4794" w:type="dxa"/>
            <w:shd w:val="clear" w:color="auto" w:fill="auto"/>
            <w:vAlign w:val="center"/>
          </w:tcPr>
          <w:p w14:paraId="1C4C554D" w14:textId="77777777" w:rsidR="00910A48" w:rsidRPr="001A4A10" w:rsidRDefault="00910A48" w:rsidP="00A32F86">
            <w:pPr>
              <w:pStyle w:val="ListParagraph"/>
              <w:numPr>
                <w:ilvl w:val="0"/>
                <w:numId w:val="6"/>
              </w:numPr>
              <w:tabs>
                <w:tab w:val="left" w:pos="1872"/>
                <w:tab w:val="left" w:pos="2552"/>
              </w:tabs>
              <w:spacing w:after="0" w:line="240" w:lineRule="auto"/>
              <w:ind w:left="454" w:hanging="454"/>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Nilai HQLA yang diperhitungkan dalam perhitungan LCR adalah nilai pasar dari HQLA.</w:t>
            </w:r>
          </w:p>
          <w:p w14:paraId="0BD79A5D" w14:textId="77777777" w:rsidR="001A4A10" w:rsidRDefault="001A4A10" w:rsidP="001A4A10">
            <w:pPr>
              <w:pStyle w:val="ListParagraph"/>
              <w:tabs>
                <w:tab w:val="left" w:pos="1872"/>
                <w:tab w:val="left" w:pos="2552"/>
              </w:tabs>
              <w:spacing w:after="0" w:line="240" w:lineRule="auto"/>
              <w:ind w:left="454"/>
              <w:jc w:val="both"/>
              <w:rPr>
                <w:rFonts w:ascii="Bookman Old Style" w:hAnsi="Bookman Old Style" w:cstheme="minorHAnsi"/>
                <w:color w:val="000000" w:themeColor="text1"/>
                <w:sz w:val="20"/>
                <w:szCs w:val="20"/>
              </w:rPr>
            </w:pPr>
          </w:p>
          <w:p w14:paraId="47CA732F" w14:textId="77777777" w:rsidR="001A4A10" w:rsidRDefault="001A4A10" w:rsidP="001A4A10">
            <w:pPr>
              <w:pStyle w:val="ListParagraph"/>
              <w:tabs>
                <w:tab w:val="left" w:pos="1872"/>
                <w:tab w:val="left" w:pos="2552"/>
              </w:tabs>
              <w:spacing w:after="0" w:line="240" w:lineRule="auto"/>
              <w:ind w:left="454"/>
              <w:jc w:val="both"/>
              <w:rPr>
                <w:rFonts w:ascii="Bookman Old Style" w:hAnsi="Bookman Old Style" w:cstheme="minorHAnsi"/>
                <w:color w:val="000000" w:themeColor="text1"/>
                <w:sz w:val="20"/>
                <w:szCs w:val="20"/>
              </w:rPr>
            </w:pPr>
          </w:p>
          <w:p w14:paraId="061A4D53" w14:textId="77777777" w:rsidR="001A4A10" w:rsidRDefault="001A4A10" w:rsidP="001A4A10">
            <w:pPr>
              <w:pStyle w:val="ListParagraph"/>
              <w:tabs>
                <w:tab w:val="left" w:pos="1872"/>
                <w:tab w:val="left" w:pos="2552"/>
              </w:tabs>
              <w:spacing w:after="0" w:line="240" w:lineRule="auto"/>
              <w:ind w:left="454"/>
              <w:jc w:val="both"/>
              <w:rPr>
                <w:rFonts w:ascii="Bookman Old Style" w:hAnsi="Bookman Old Style" w:cstheme="minorHAnsi"/>
                <w:color w:val="000000" w:themeColor="text1"/>
                <w:sz w:val="20"/>
                <w:szCs w:val="20"/>
              </w:rPr>
            </w:pPr>
          </w:p>
          <w:p w14:paraId="54FE34EC" w14:textId="77777777" w:rsidR="001A4A10" w:rsidRDefault="001A4A10" w:rsidP="001A4A10">
            <w:pPr>
              <w:pStyle w:val="ListParagraph"/>
              <w:tabs>
                <w:tab w:val="left" w:pos="1872"/>
                <w:tab w:val="left" w:pos="2552"/>
              </w:tabs>
              <w:spacing w:after="0" w:line="240" w:lineRule="auto"/>
              <w:ind w:left="454"/>
              <w:jc w:val="both"/>
              <w:rPr>
                <w:rFonts w:ascii="Bookman Old Style" w:hAnsi="Bookman Old Style" w:cstheme="minorHAnsi"/>
                <w:color w:val="000000" w:themeColor="text1"/>
                <w:sz w:val="20"/>
                <w:szCs w:val="20"/>
              </w:rPr>
            </w:pPr>
          </w:p>
          <w:p w14:paraId="57306F0F" w14:textId="77777777" w:rsidR="001A4A10" w:rsidRDefault="001A4A10" w:rsidP="001A4A10">
            <w:pPr>
              <w:pStyle w:val="ListParagraph"/>
              <w:tabs>
                <w:tab w:val="left" w:pos="1872"/>
                <w:tab w:val="left" w:pos="2552"/>
              </w:tabs>
              <w:spacing w:after="0" w:line="240" w:lineRule="auto"/>
              <w:ind w:left="454"/>
              <w:jc w:val="both"/>
              <w:rPr>
                <w:rFonts w:ascii="Bookman Old Style" w:hAnsi="Bookman Old Style" w:cstheme="minorHAnsi"/>
                <w:color w:val="000000" w:themeColor="text1"/>
                <w:sz w:val="20"/>
                <w:szCs w:val="20"/>
              </w:rPr>
            </w:pPr>
          </w:p>
          <w:p w14:paraId="204012E4" w14:textId="77777777" w:rsidR="001A4A10" w:rsidRPr="001A4A10" w:rsidRDefault="001A4A10" w:rsidP="001A4A10">
            <w:pPr>
              <w:tabs>
                <w:tab w:val="left" w:pos="1872"/>
                <w:tab w:val="left" w:pos="2552"/>
              </w:tabs>
              <w:spacing w:after="0" w:line="240" w:lineRule="auto"/>
              <w:jc w:val="both"/>
              <w:rPr>
                <w:rFonts w:ascii="Bookman Old Style" w:hAnsi="Bookman Old Style" w:cstheme="minorHAnsi"/>
                <w:color w:val="000000" w:themeColor="text1"/>
                <w:sz w:val="20"/>
                <w:szCs w:val="20"/>
              </w:rPr>
            </w:pPr>
          </w:p>
          <w:p w14:paraId="17530ABD" w14:textId="0C8688F0" w:rsidR="001A4A10" w:rsidRPr="007007D1" w:rsidRDefault="001A4A10" w:rsidP="001A4A10">
            <w:pPr>
              <w:pStyle w:val="ListParagraph"/>
              <w:tabs>
                <w:tab w:val="left" w:pos="1872"/>
                <w:tab w:val="left" w:pos="2552"/>
              </w:tabs>
              <w:spacing w:after="0" w:line="240" w:lineRule="auto"/>
              <w:ind w:left="454"/>
              <w:jc w:val="both"/>
              <w:rPr>
                <w:rFonts w:ascii="Bookman Old Style" w:hAnsi="Bookman Old Style" w:cstheme="minorHAnsi"/>
                <w:color w:val="000000" w:themeColor="text1"/>
                <w:sz w:val="20"/>
                <w:szCs w:val="20"/>
              </w:rPr>
            </w:pPr>
          </w:p>
        </w:tc>
        <w:tc>
          <w:tcPr>
            <w:tcW w:w="4840" w:type="dxa"/>
            <w:shd w:val="clear" w:color="auto" w:fill="auto"/>
          </w:tcPr>
          <w:p w14:paraId="67CFB698"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269CDF6E"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910A48">
              <w:rPr>
                <w:rFonts w:ascii="Bookman Old Style" w:eastAsia="Bookman Old Style" w:hAnsi="Bookman Old Style" w:cstheme="minorHAnsi"/>
                <w:color w:val="000000" w:themeColor="text1"/>
                <w:sz w:val="20"/>
                <w:szCs w:val="20"/>
                <w:lang w:val="sv-SE"/>
              </w:rPr>
              <w:t>Cukup</w:t>
            </w:r>
            <w:r w:rsidRPr="007007D1">
              <w:rPr>
                <w:rFonts w:ascii="Bookman Old Style" w:eastAsia="Bookman Old Style" w:hAnsi="Bookman Old Style" w:cs="Bookman Old Style"/>
                <w:color w:val="000000" w:themeColor="text1"/>
                <w:sz w:val="20"/>
                <w:szCs w:val="20"/>
              </w:rPr>
              <w:t xml:space="preserve"> jelas.</w:t>
            </w:r>
          </w:p>
        </w:tc>
        <w:tc>
          <w:tcPr>
            <w:tcW w:w="3686" w:type="dxa"/>
            <w:shd w:val="clear" w:color="auto" w:fill="auto"/>
          </w:tcPr>
          <w:p w14:paraId="6B343C4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DF8536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A3A602C" w14:textId="77777777" w:rsidTr="00910A48">
        <w:tc>
          <w:tcPr>
            <w:tcW w:w="4794" w:type="dxa"/>
            <w:shd w:val="clear" w:color="auto" w:fill="E7E6E6" w:themeFill="background2"/>
            <w:vAlign w:val="center"/>
          </w:tcPr>
          <w:p w14:paraId="37F9A239" w14:textId="77777777" w:rsidR="00910A48" w:rsidRPr="007007D1" w:rsidRDefault="00910A48" w:rsidP="00910A48">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lastRenderedPageBreak/>
              <w:t>Pasal 5</w:t>
            </w:r>
          </w:p>
        </w:tc>
        <w:tc>
          <w:tcPr>
            <w:tcW w:w="4840" w:type="dxa"/>
            <w:shd w:val="clear" w:color="auto" w:fill="E7E6E6" w:themeFill="background2"/>
          </w:tcPr>
          <w:p w14:paraId="7ED12B5C" w14:textId="77777777" w:rsidR="00910A48" w:rsidRPr="007007D1" w:rsidRDefault="00910A48" w:rsidP="00910A48">
            <w:pPr>
              <w:tabs>
                <w:tab w:val="left" w:pos="1980"/>
                <w:tab w:val="left" w:pos="2520"/>
                <w:tab w:val="left" w:pos="2552"/>
              </w:tabs>
              <w:spacing w:after="0" w:line="240" w:lineRule="auto"/>
              <w:ind w:left="1985"/>
              <w:jc w:val="center"/>
              <w:rPr>
                <w:rFonts w:ascii="Bookman Old Style" w:eastAsia="Bookman Old Style" w:hAnsi="Bookman Old Style" w:cs="Bookman Old Style"/>
                <w:color w:val="000000" w:themeColor="text1"/>
                <w:sz w:val="20"/>
                <w:szCs w:val="20"/>
              </w:rPr>
            </w:pPr>
            <w:r w:rsidRPr="007007D1">
              <w:rPr>
                <w:rFonts w:ascii="Bookman Old Style" w:hAnsi="Bookman Old Style"/>
                <w:sz w:val="20"/>
                <w:szCs w:val="20"/>
              </w:rPr>
              <w:t>Pasal 5</w:t>
            </w:r>
          </w:p>
        </w:tc>
        <w:tc>
          <w:tcPr>
            <w:tcW w:w="3686" w:type="dxa"/>
            <w:shd w:val="clear" w:color="auto" w:fill="E7E6E6" w:themeFill="background2"/>
          </w:tcPr>
          <w:p w14:paraId="397973A4" w14:textId="77777777" w:rsidR="00910A48" w:rsidRPr="00BA5B40"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035620F1" w14:textId="77777777" w:rsidR="00910A48" w:rsidRPr="00BA5B40"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56C3DF2D" w14:textId="77777777" w:rsidTr="00DB697A">
        <w:trPr>
          <w:trHeight w:val="3523"/>
        </w:trPr>
        <w:tc>
          <w:tcPr>
            <w:tcW w:w="4794" w:type="dxa"/>
            <w:shd w:val="clear" w:color="auto" w:fill="auto"/>
          </w:tcPr>
          <w:p w14:paraId="3335C63E" w14:textId="77777777" w:rsidR="00910A48" w:rsidRPr="007007D1" w:rsidRDefault="00910A48" w:rsidP="00A32F86">
            <w:pPr>
              <w:pStyle w:val="ListParagraph"/>
              <w:numPr>
                <w:ilvl w:val="0"/>
                <w:numId w:val="8"/>
              </w:numPr>
              <w:tabs>
                <w:tab w:val="left" w:pos="1872"/>
                <w:tab w:val="left" w:pos="2552"/>
              </w:tabs>
              <w:spacing w:after="0" w:line="240" w:lineRule="auto"/>
              <w:ind w:left="357"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Komponen HQLA yang diperhitungkan dalam pemenuhan LCR terdiri atas:</w:t>
            </w:r>
          </w:p>
          <w:p w14:paraId="310306C0" w14:textId="77777777" w:rsidR="00910A48" w:rsidRPr="007007D1" w:rsidRDefault="00910A48" w:rsidP="00A32F86">
            <w:pPr>
              <w:pStyle w:val="ListParagraph"/>
              <w:numPr>
                <w:ilvl w:val="0"/>
                <w:numId w:val="9"/>
              </w:numPr>
              <w:tabs>
                <w:tab w:val="left" w:pos="1872"/>
                <w:tab w:val="left" w:pos="2552"/>
              </w:tabs>
              <w:spacing w:after="0" w:line="240" w:lineRule="auto"/>
              <w:ind w:left="748"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Level 1; dan</w:t>
            </w:r>
          </w:p>
          <w:p w14:paraId="5C26BF80" w14:textId="77777777" w:rsidR="00910A48" w:rsidRPr="007007D1" w:rsidRDefault="00910A48" w:rsidP="00A32F86">
            <w:pPr>
              <w:pStyle w:val="ListParagraph"/>
              <w:numPr>
                <w:ilvl w:val="0"/>
                <w:numId w:val="9"/>
              </w:numPr>
              <w:tabs>
                <w:tab w:val="left" w:pos="1872"/>
                <w:tab w:val="left" w:pos="2552"/>
              </w:tabs>
              <w:spacing w:after="0" w:line="240" w:lineRule="auto"/>
              <w:ind w:left="748"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Leval 2 yang meliputi:</w:t>
            </w:r>
          </w:p>
          <w:p w14:paraId="558D83D7" w14:textId="77777777" w:rsidR="00910A48" w:rsidRPr="007007D1" w:rsidRDefault="00910A48" w:rsidP="00A32F86">
            <w:pPr>
              <w:pStyle w:val="ListParagraph"/>
              <w:numPr>
                <w:ilvl w:val="0"/>
                <w:numId w:val="10"/>
              </w:numPr>
              <w:spacing w:after="0" w:line="240" w:lineRule="auto"/>
              <w:ind w:left="1163" w:hanging="425"/>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Level 2A; dan</w:t>
            </w:r>
          </w:p>
          <w:p w14:paraId="4C882850" w14:textId="3107AFFD" w:rsidR="00910A48" w:rsidRPr="007007D1" w:rsidRDefault="00910A48" w:rsidP="00A32F86">
            <w:pPr>
              <w:pStyle w:val="ListParagraph"/>
              <w:numPr>
                <w:ilvl w:val="0"/>
                <w:numId w:val="10"/>
              </w:numPr>
              <w:spacing w:after="0" w:line="240" w:lineRule="auto"/>
              <w:ind w:left="1163" w:hanging="425"/>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Level 2B.</w:t>
            </w:r>
          </w:p>
        </w:tc>
        <w:tc>
          <w:tcPr>
            <w:tcW w:w="4840" w:type="dxa"/>
            <w:shd w:val="clear" w:color="auto" w:fill="auto"/>
          </w:tcPr>
          <w:p w14:paraId="1E7F64F9"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sz w:val="20"/>
                <w:szCs w:val="20"/>
              </w:rPr>
            </w:pPr>
            <w:r w:rsidRPr="007007D1">
              <w:rPr>
                <w:rFonts w:ascii="Bookman Old Style" w:hAnsi="Bookman Old Style"/>
                <w:sz w:val="20"/>
                <w:szCs w:val="20"/>
              </w:rPr>
              <w:t>Ayat (1)</w:t>
            </w:r>
          </w:p>
          <w:p w14:paraId="18516B1E" w14:textId="77777777" w:rsidR="00910A48" w:rsidRPr="007007D1" w:rsidRDefault="00910A48" w:rsidP="00910A48">
            <w:pPr>
              <w:tabs>
                <w:tab w:val="left" w:pos="1291"/>
              </w:tabs>
              <w:spacing w:after="0" w:line="240" w:lineRule="auto"/>
              <w:ind w:left="567"/>
              <w:jc w:val="both"/>
              <w:rPr>
                <w:rFonts w:ascii="Bookman Old Style" w:hAnsi="Bookman Old Style"/>
                <w:color w:val="000000"/>
                <w:sz w:val="20"/>
                <w:szCs w:val="20"/>
              </w:rPr>
            </w:pPr>
            <w:r w:rsidRPr="007007D1">
              <w:rPr>
                <w:rFonts w:ascii="Bookman Old Style" w:hAnsi="Bookman Old Style"/>
                <w:color w:val="000000" w:themeColor="text1"/>
                <w:sz w:val="20"/>
                <w:szCs w:val="20"/>
                <w:lang w:val="sv-SE"/>
              </w:rPr>
              <w:t>HQLA Level 1 dan HQLA Level 2A idealnya memenuhi persyaratan bank sentral (</w:t>
            </w:r>
            <w:r w:rsidRPr="00910A48">
              <w:rPr>
                <w:rFonts w:ascii="Bookman Old Style" w:hAnsi="Bookman Old Style"/>
                <w:i/>
                <w:color w:val="000000" w:themeColor="text1"/>
                <w:sz w:val="20"/>
                <w:szCs w:val="20"/>
                <w:lang w:val="sv-SE"/>
              </w:rPr>
              <w:t>central bank eligible</w:t>
            </w:r>
            <w:r w:rsidRPr="007007D1">
              <w:rPr>
                <w:rFonts w:ascii="Bookman Old Style" w:hAnsi="Bookman Old Style"/>
                <w:color w:val="000000" w:themeColor="text1"/>
                <w:sz w:val="20"/>
                <w:szCs w:val="20"/>
                <w:lang w:val="sv-SE"/>
              </w:rPr>
              <w:t>) untuk mendapatkan fasilitas likuiditas intra-hari (</w:t>
            </w:r>
            <w:r w:rsidRPr="00910A48">
              <w:rPr>
                <w:rFonts w:ascii="Bookman Old Style" w:hAnsi="Bookman Old Style"/>
                <w:i/>
                <w:color w:val="000000" w:themeColor="text1"/>
                <w:sz w:val="20"/>
                <w:szCs w:val="20"/>
                <w:lang w:val="sv-SE"/>
              </w:rPr>
              <w:t>intraday liquidity facilities</w:t>
            </w:r>
            <w:r w:rsidRPr="007007D1">
              <w:rPr>
                <w:rFonts w:ascii="Bookman Old Style" w:hAnsi="Bookman Old Style"/>
                <w:color w:val="000000" w:themeColor="text1"/>
                <w:sz w:val="20"/>
                <w:szCs w:val="20"/>
                <w:lang w:val="sv-SE"/>
              </w:rPr>
              <w:t>) dan fasilitas likuiditas overnight (</w:t>
            </w:r>
            <w:r w:rsidRPr="00910A48">
              <w:rPr>
                <w:rFonts w:ascii="Bookman Old Style" w:hAnsi="Bookman Old Style"/>
                <w:i/>
                <w:color w:val="000000" w:themeColor="text1"/>
                <w:sz w:val="20"/>
                <w:szCs w:val="20"/>
                <w:lang w:val="sv-SE"/>
              </w:rPr>
              <w:t>overnight liquidity facilities</w:t>
            </w:r>
            <w:r w:rsidRPr="007007D1">
              <w:rPr>
                <w:rFonts w:ascii="Bookman Old Style" w:hAnsi="Bookman Old Style"/>
                <w:color w:val="000000" w:themeColor="text1"/>
                <w:sz w:val="20"/>
                <w:szCs w:val="20"/>
                <w:lang w:val="sv-SE"/>
              </w:rPr>
              <w:t xml:space="preserve">). Contoh aset yang memenuhi </w:t>
            </w:r>
            <w:r w:rsidRPr="00910A48">
              <w:rPr>
                <w:rFonts w:ascii="Bookman Old Style" w:eastAsia="Bookman Old Style" w:hAnsi="Bookman Old Style" w:cstheme="minorHAnsi"/>
                <w:color w:val="000000" w:themeColor="text1"/>
                <w:sz w:val="20"/>
                <w:szCs w:val="20"/>
                <w:lang w:val="sv-SE"/>
              </w:rPr>
              <w:t>central</w:t>
            </w:r>
            <w:r w:rsidRPr="007007D1">
              <w:rPr>
                <w:rFonts w:ascii="Bookman Old Style" w:hAnsi="Bookman Old Style"/>
                <w:color w:val="000000" w:themeColor="text1"/>
                <w:sz w:val="20"/>
                <w:szCs w:val="20"/>
                <w:lang w:val="sv-SE"/>
              </w:rPr>
              <w:t xml:space="preserve"> bank </w:t>
            </w:r>
            <w:r w:rsidRPr="00910A48">
              <w:rPr>
                <w:rFonts w:ascii="Bookman Old Style" w:hAnsi="Bookman Old Style"/>
                <w:i/>
                <w:color w:val="000000" w:themeColor="text1"/>
                <w:sz w:val="20"/>
                <w:szCs w:val="20"/>
                <w:lang w:val="sv-SE"/>
              </w:rPr>
              <w:t xml:space="preserve">eligible </w:t>
            </w:r>
            <w:r w:rsidRPr="007007D1">
              <w:rPr>
                <w:rFonts w:ascii="Bookman Old Style" w:hAnsi="Bookman Old Style"/>
                <w:color w:val="000000" w:themeColor="text1"/>
                <w:sz w:val="20"/>
                <w:szCs w:val="20"/>
                <w:lang w:val="sv-SE"/>
              </w:rPr>
              <w:t xml:space="preserve">adalah surat berharga syariah yang diterbitkan oleh Bank Indonesia atau Pemerintah Pusat, namun dipenuhinya persyaratan </w:t>
            </w:r>
            <w:r w:rsidRPr="00910A48">
              <w:rPr>
                <w:rFonts w:ascii="Bookman Old Style" w:hAnsi="Bookman Old Style"/>
                <w:i/>
                <w:color w:val="000000" w:themeColor="text1"/>
                <w:sz w:val="20"/>
                <w:szCs w:val="20"/>
                <w:lang w:val="sv-SE"/>
              </w:rPr>
              <w:t>central bank eligibility</w:t>
            </w:r>
            <w:r w:rsidRPr="007007D1">
              <w:rPr>
                <w:rFonts w:ascii="Bookman Old Style" w:hAnsi="Bookman Old Style"/>
                <w:color w:val="000000" w:themeColor="text1"/>
                <w:sz w:val="20"/>
                <w:szCs w:val="20"/>
                <w:lang w:val="sv-SE"/>
              </w:rPr>
              <w:t xml:space="preserve"> tidak serta merta menjadi dasar pengkategorian aset menjadi HQLA.</w:t>
            </w:r>
          </w:p>
        </w:tc>
        <w:tc>
          <w:tcPr>
            <w:tcW w:w="3686" w:type="dxa"/>
            <w:shd w:val="clear" w:color="auto" w:fill="auto"/>
          </w:tcPr>
          <w:p w14:paraId="06871C6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858EE8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7E78E46" w14:textId="77777777" w:rsidTr="00910A48">
        <w:tc>
          <w:tcPr>
            <w:tcW w:w="4794" w:type="dxa"/>
            <w:shd w:val="clear" w:color="auto" w:fill="auto"/>
          </w:tcPr>
          <w:p w14:paraId="0C9E9A47" w14:textId="77777777" w:rsidR="00910A48" w:rsidRPr="007007D1" w:rsidRDefault="00910A48" w:rsidP="00A32F86">
            <w:pPr>
              <w:pStyle w:val="ListParagraph"/>
              <w:numPr>
                <w:ilvl w:val="0"/>
                <w:numId w:val="8"/>
              </w:numPr>
              <w:tabs>
                <w:tab w:val="left" w:pos="1872"/>
                <w:tab w:val="left" w:pos="2552"/>
              </w:tabs>
              <w:spacing w:after="0" w:line="240" w:lineRule="auto"/>
              <w:ind w:left="357"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Level 1 yang dapat diperhitungkan dalam pemenuhan LCR tidak dibatasi jumlahnya.</w:t>
            </w:r>
          </w:p>
        </w:tc>
        <w:tc>
          <w:tcPr>
            <w:tcW w:w="4840" w:type="dxa"/>
            <w:shd w:val="clear" w:color="auto" w:fill="auto"/>
          </w:tcPr>
          <w:p w14:paraId="3B915449"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515B3ABA"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Cukup </w:t>
            </w:r>
            <w:r w:rsidRPr="00910A48">
              <w:rPr>
                <w:rFonts w:ascii="Bookman Old Style" w:hAnsi="Bookman Old Style"/>
                <w:color w:val="000000" w:themeColor="text1"/>
                <w:sz w:val="20"/>
                <w:szCs w:val="20"/>
                <w:lang w:val="sv-SE"/>
              </w:rPr>
              <w:t>jelas</w:t>
            </w:r>
            <w:r w:rsidRPr="007007D1">
              <w:rPr>
                <w:rFonts w:ascii="Bookman Old Style" w:eastAsia="Bookman Old Style" w:hAnsi="Bookman Old Style" w:cs="Bookman Old Style"/>
                <w:color w:val="000000" w:themeColor="text1"/>
                <w:sz w:val="20"/>
                <w:szCs w:val="20"/>
              </w:rPr>
              <w:t>.</w:t>
            </w:r>
          </w:p>
        </w:tc>
        <w:tc>
          <w:tcPr>
            <w:tcW w:w="3686" w:type="dxa"/>
            <w:shd w:val="clear" w:color="auto" w:fill="auto"/>
          </w:tcPr>
          <w:p w14:paraId="33E8D2F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5F29FC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A3AF30B" w14:textId="77777777" w:rsidTr="00910A48">
        <w:tc>
          <w:tcPr>
            <w:tcW w:w="4794" w:type="dxa"/>
            <w:shd w:val="clear" w:color="auto" w:fill="auto"/>
          </w:tcPr>
          <w:p w14:paraId="1949E122" w14:textId="77777777" w:rsidR="00910A48" w:rsidRPr="007007D1" w:rsidRDefault="00910A48" w:rsidP="00A32F86">
            <w:pPr>
              <w:pStyle w:val="ListParagraph"/>
              <w:numPr>
                <w:ilvl w:val="0"/>
                <w:numId w:val="8"/>
              </w:numPr>
              <w:tabs>
                <w:tab w:val="left" w:pos="1872"/>
                <w:tab w:val="left" w:pos="2552"/>
              </w:tabs>
              <w:spacing w:after="0" w:line="240" w:lineRule="auto"/>
              <w:ind w:left="357"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Level 2 yang dapat diperhitungkan dalam pemenuhan LCR paling tinggi 40% (empat puluh persen) dari total HQLA.</w:t>
            </w:r>
          </w:p>
        </w:tc>
        <w:tc>
          <w:tcPr>
            <w:tcW w:w="4840" w:type="dxa"/>
            <w:shd w:val="clear" w:color="auto" w:fill="auto"/>
          </w:tcPr>
          <w:p w14:paraId="424E96B0"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5BF7C6C3"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910A48">
              <w:rPr>
                <w:rFonts w:ascii="Bookman Old Style" w:hAnsi="Bookman Old Style"/>
                <w:color w:val="000000" w:themeColor="text1"/>
                <w:sz w:val="20"/>
                <w:szCs w:val="20"/>
                <w:lang w:val="sv-SE"/>
              </w:rPr>
              <w:t>Perhitungan</w:t>
            </w:r>
            <w:r w:rsidRPr="007007D1">
              <w:rPr>
                <w:rFonts w:ascii="Bookman Old Style" w:eastAsia="Bookman Old Style" w:hAnsi="Bookman Old Style" w:cs="Bookman Old Style"/>
                <w:color w:val="000000" w:themeColor="text1"/>
                <w:sz w:val="20"/>
                <w:szCs w:val="20"/>
              </w:rPr>
              <w:t xml:space="preserve"> batas maksimum HQLA Level 2 dan HQLA Level 2B ditentukan setelah penerapan pengurangan nilai (haircut) sesuai jenis aset serta memasukkan pengaruh adanya unwind Securities Financing Transaction (SFT) jangka pendek yang jatuh tempo dalam 30 (tiga puluh) hari yang melibatkan pertukaran HQLA.</w:t>
            </w:r>
          </w:p>
        </w:tc>
        <w:tc>
          <w:tcPr>
            <w:tcW w:w="3686" w:type="dxa"/>
            <w:shd w:val="clear" w:color="auto" w:fill="auto"/>
          </w:tcPr>
          <w:p w14:paraId="4B91051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57D7D4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6FC61D2" w14:textId="77777777" w:rsidTr="00910A48">
        <w:tc>
          <w:tcPr>
            <w:tcW w:w="4794" w:type="dxa"/>
            <w:shd w:val="clear" w:color="auto" w:fill="auto"/>
          </w:tcPr>
          <w:p w14:paraId="128AAAF7" w14:textId="77777777" w:rsidR="00910A48" w:rsidRPr="007007D1" w:rsidRDefault="00910A48" w:rsidP="00A32F86">
            <w:pPr>
              <w:pStyle w:val="ListParagraph"/>
              <w:numPr>
                <w:ilvl w:val="0"/>
                <w:numId w:val="8"/>
              </w:numPr>
              <w:tabs>
                <w:tab w:val="left" w:pos="1872"/>
                <w:tab w:val="left" w:pos="2552"/>
              </w:tabs>
              <w:spacing w:after="0" w:line="240" w:lineRule="auto"/>
              <w:ind w:left="357"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HQLA Level 2B yang dapat diperhitungkan dalam pemenuhan LCR paling tinggi 15% (lima belas persen) dari total HQLA.</w:t>
            </w:r>
          </w:p>
        </w:tc>
        <w:tc>
          <w:tcPr>
            <w:tcW w:w="4840" w:type="dxa"/>
            <w:shd w:val="clear" w:color="auto" w:fill="auto"/>
          </w:tcPr>
          <w:p w14:paraId="6CCD8185"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22EEC993"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910A48">
              <w:rPr>
                <w:rFonts w:ascii="Bookman Old Style" w:hAnsi="Bookman Old Style"/>
                <w:color w:val="000000" w:themeColor="text1"/>
                <w:sz w:val="20"/>
                <w:szCs w:val="20"/>
                <w:lang w:val="sv-SE"/>
              </w:rPr>
              <w:t>Cukup</w:t>
            </w:r>
            <w:r w:rsidRPr="007007D1">
              <w:rPr>
                <w:rFonts w:ascii="Bookman Old Style" w:eastAsia="Bookman Old Style" w:hAnsi="Bookman Old Style" w:cs="Bookman Old Style"/>
                <w:color w:val="000000" w:themeColor="text1"/>
                <w:sz w:val="20"/>
                <w:szCs w:val="20"/>
              </w:rPr>
              <w:t xml:space="preserve"> jelas.</w:t>
            </w:r>
          </w:p>
        </w:tc>
        <w:tc>
          <w:tcPr>
            <w:tcW w:w="3686" w:type="dxa"/>
            <w:shd w:val="clear" w:color="auto" w:fill="auto"/>
          </w:tcPr>
          <w:p w14:paraId="3DB7C26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DAAA80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90FCE0D" w14:textId="77777777" w:rsidTr="00910A48">
        <w:tc>
          <w:tcPr>
            <w:tcW w:w="4794" w:type="dxa"/>
            <w:shd w:val="clear" w:color="auto" w:fill="auto"/>
            <w:vAlign w:val="center"/>
          </w:tcPr>
          <w:p w14:paraId="7F93F405" w14:textId="77777777" w:rsidR="00910A48" w:rsidRPr="001A4A10" w:rsidRDefault="00910A48" w:rsidP="00A32F86">
            <w:pPr>
              <w:pStyle w:val="ListParagraph"/>
              <w:numPr>
                <w:ilvl w:val="0"/>
                <w:numId w:val="8"/>
              </w:numPr>
              <w:tabs>
                <w:tab w:val="left" w:pos="1872"/>
                <w:tab w:val="left" w:pos="2552"/>
              </w:tabs>
              <w:spacing w:after="0" w:line="240" w:lineRule="auto"/>
              <w:ind w:left="357" w:hanging="35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Perhitungan batas maksimum HQLA Level 2 dan HQLA Level 2B menggunakan formula sebagaimana tercantum dalam Lampiran I yang merupakan bagian tidak terpisahkan dari Peraturan Otoritas Jasa Keuangan ini.</w:t>
            </w:r>
          </w:p>
          <w:p w14:paraId="3B4169E4" w14:textId="5521750A" w:rsidR="001A4A10" w:rsidRPr="007007D1" w:rsidRDefault="001A4A10" w:rsidP="001A4A10">
            <w:pPr>
              <w:pStyle w:val="ListParagraph"/>
              <w:tabs>
                <w:tab w:val="left" w:pos="1872"/>
                <w:tab w:val="left" w:pos="2552"/>
              </w:tabs>
              <w:spacing w:after="0" w:line="240" w:lineRule="auto"/>
              <w:ind w:left="357"/>
              <w:jc w:val="both"/>
              <w:rPr>
                <w:rFonts w:ascii="Bookman Old Style" w:hAnsi="Bookman Old Style"/>
                <w:color w:val="000000" w:themeColor="text1"/>
                <w:sz w:val="20"/>
                <w:szCs w:val="20"/>
              </w:rPr>
            </w:pPr>
          </w:p>
        </w:tc>
        <w:tc>
          <w:tcPr>
            <w:tcW w:w="4840" w:type="dxa"/>
            <w:shd w:val="clear" w:color="auto" w:fill="auto"/>
          </w:tcPr>
          <w:p w14:paraId="578816EF"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(5)</w:t>
            </w:r>
          </w:p>
          <w:p w14:paraId="1AE4B721"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53521A7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FCE514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B91F05C" w14:textId="77777777" w:rsidTr="00910A48">
        <w:tc>
          <w:tcPr>
            <w:tcW w:w="4794" w:type="dxa"/>
            <w:shd w:val="clear" w:color="auto" w:fill="E7E6E6" w:themeFill="background2"/>
            <w:vAlign w:val="center"/>
          </w:tcPr>
          <w:p w14:paraId="6E60C5B3" w14:textId="77777777" w:rsidR="00910A48" w:rsidRPr="007007D1" w:rsidRDefault="00910A48" w:rsidP="00910A48">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lastRenderedPageBreak/>
              <w:t>Pasal 6</w:t>
            </w:r>
          </w:p>
        </w:tc>
        <w:tc>
          <w:tcPr>
            <w:tcW w:w="4840" w:type="dxa"/>
            <w:shd w:val="clear" w:color="auto" w:fill="E7E6E6" w:themeFill="background2"/>
          </w:tcPr>
          <w:p w14:paraId="118D6355" w14:textId="77777777" w:rsidR="00910A48" w:rsidRPr="007007D1" w:rsidRDefault="00910A48" w:rsidP="00910A48">
            <w:pPr>
              <w:spacing w:after="0" w:line="240" w:lineRule="auto"/>
              <w:ind w:left="-88"/>
              <w:jc w:val="center"/>
              <w:rPr>
                <w:rFonts w:ascii="Bookman Old Style" w:eastAsia="Bookman Old Style" w:hAnsi="Bookman Old Style" w:cs="Bookman Old Style"/>
                <w:color w:val="000000" w:themeColor="text1"/>
                <w:sz w:val="20"/>
                <w:szCs w:val="20"/>
              </w:rPr>
            </w:pPr>
            <w:r w:rsidRPr="007007D1">
              <w:rPr>
                <w:rFonts w:ascii="Bookman Old Style" w:hAnsi="Bookman Old Style"/>
                <w:sz w:val="20"/>
                <w:szCs w:val="20"/>
              </w:rPr>
              <w:t>Pasal 6</w:t>
            </w:r>
          </w:p>
        </w:tc>
        <w:tc>
          <w:tcPr>
            <w:tcW w:w="3686" w:type="dxa"/>
            <w:shd w:val="clear" w:color="auto" w:fill="E7E6E6" w:themeFill="background2"/>
          </w:tcPr>
          <w:p w14:paraId="78287EBB" w14:textId="77777777" w:rsidR="00910A48" w:rsidRPr="00BA5B40"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4492B761" w14:textId="77777777" w:rsidR="00910A48" w:rsidRPr="00BA5B40" w:rsidRDefault="00910A48" w:rsidP="00910A48">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31AD1DE3" w14:textId="77777777" w:rsidTr="00DB697A">
        <w:trPr>
          <w:trHeight w:val="3287"/>
        </w:trPr>
        <w:tc>
          <w:tcPr>
            <w:tcW w:w="4794" w:type="dxa"/>
            <w:shd w:val="clear" w:color="auto" w:fill="auto"/>
          </w:tcPr>
          <w:p w14:paraId="26CC8BF4" w14:textId="77777777" w:rsidR="00910A48" w:rsidRPr="007007D1" w:rsidRDefault="00910A48" w:rsidP="00A32F86">
            <w:pPr>
              <w:pStyle w:val="ListParagraph"/>
              <w:numPr>
                <w:ilvl w:val="0"/>
                <w:numId w:val="11"/>
              </w:numPr>
              <w:tabs>
                <w:tab w:val="left" w:pos="1872"/>
                <w:tab w:val="left" w:pos="2552"/>
              </w:tabs>
              <w:spacing w:after="0" w:line="240" w:lineRule="auto"/>
              <w:jc w:val="both"/>
              <w:rPr>
                <w:rFonts w:ascii="Bookman Old Style" w:hAnsi="Bookman Old Style"/>
                <w:color w:val="000000" w:themeColor="text1"/>
                <w:sz w:val="20"/>
                <w:szCs w:val="20"/>
              </w:rPr>
            </w:pPr>
            <w:r w:rsidRPr="00C84F36">
              <w:rPr>
                <w:rFonts w:ascii="Bookman Old Style" w:hAnsi="Bookman Old Style"/>
                <w:color w:val="000000"/>
                <w:sz w:val="20"/>
                <w:szCs w:val="20"/>
                <w:lang w:val="sv-SE"/>
              </w:rPr>
              <w:t>HQLA</w:t>
            </w:r>
            <w:r w:rsidRPr="007007D1">
              <w:rPr>
                <w:rFonts w:ascii="Bookman Old Style" w:hAnsi="Bookman Old Style"/>
                <w:color w:val="000000"/>
                <w:sz w:val="20"/>
                <w:szCs w:val="20"/>
                <w:lang w:val="en-ID"/>
              </w:rPr>
              <w:t xml:space="preserve"> sebagaimana dimaksud dalam Pasal 4 ayat (1) harus memenuhi:</w:t>
            </w:r>
          </w:p>
          <w:p w14:paraId="1021D853" w14:textId="77777777" w:rsidR="00910A48" w:rsidRPr="00C84F36" w:rsidRDefault="00910A48" w:rsidP="00A32F86">
            <w:pPr>
              <w:pStyle w:val="ListParagraph"/>
              <w:numPr>
                <w:ilvl w:val="0"/>
                <w:numId w:val="13"/>
              </w:numPr>
              <w:tabs>
                <w:tab w:val="left" w:pos="1872"/>
                <w:tab w:val="left" w:pos="2552"/>
              </w:tabs>
              <w:spacing w:after="0" w:line="240" w:lineRule="auto"/>
              <w:jc w:val="both"/>
              <w:rPr>
                <w:rFonts w:ascii="Bookman Old Style" w:hAnsi="Bookman Old Style"/>
                <w:color w:val="000000"/>
                <w:sz w:val="20"/>
                <w:szCs w:val="20"/>
                <w:lang w:val="en-ID"/>
              </w:rPr>
            </w:pPr>
            <w:r w:rsidRPr="00C84F36">
              <w:rPr>
                <w:rFonts w:ascii="Bookman Old Style" w:hAnsi="Bookman Old Style"/>
                <w:color w:val="000000"/>
                <w:sz w:val="20"/>
                <w:szCs w:val="20"/>
                <w:lang w:val="en-ID"/>
              </w:rPr>
              <w:t>persyaratan fundamental;</w:t>
            </w:r>
          </w:p>
          <w:p w14:paraId="7D74A2F8" w14:textId="77777777" w:rsidR="00910A48" w:rsidRPr="00C84F36" w:rsidRDefault="00910A48" w:rsidP="00A32F86">
            <w:pPr>
              <w:pStyle w:val="ListParagraph"/>
              <w:numPr>
                <w:ilvl w:val="0"/>
                <w:numId w:val="13"/>
              </w:numPr>
              <w:tabs>
                <w:tab w:val="left" w:pos="1872"/>
                <w:tab w:val="left" w:pos="2552"/>
              </w:tabs>
              <w:spacing w:after="0" w:line="240" w:lineRule="auto"/>
              <w:jc w:val="both"/>
              <w:rPr>
                <w:rFonts w:ascii="Bookman Old Style" w:hAnsi="Bookman Old Style"/>
                <w:color w:val="000000"/>
                <w:sz w:val="20"/>
                <w:szCs w:val="20"/>
                <w:lang w:val="en-ID"/>
              </w:rPr>
            </w:pPr>
            <w:r w:rsidRPr="00C84F36">
              <w:rPr>
                <w:rFonts w:ascii="Bookman Old Style" w:hAnsi="Bookman Old Style"/>
                <w:color w:val="000000"/>
                <w:sz w:val="20"/>
                <w:szCs w:val="20"/>
                <w:lang w:val="en-ID"/>
              </w:rPr>
              <w:t>persyaratan terkait dengan karakteristik pasar;</w:t>
            </w:r>
          </w:p>
          <w:p w14:paraId="7E9CF47C" w14:textId="77777777" w:rsidR="00910A48" w:rsidRPr="00C84F36" w:rsidRDefault="00910A48" w:rsidP="00A32F86">
            <w:pPr>
              <w:pStyle w:val="ListParagraph"/>
              <w:numPr>
                <w:ilvl w:val="0"/>
                <w:numId w:val="13"/>
              </w:numPr>
              <w:tabs>
                <w:tab w:val="left" w:pos="1872"/>
                <w:tab w:val="left" w:pos="2552"/>
              </w:tabs>
              <w:spacing w:after="0" w:line="240" w:lineRule="auto"/>
              <w:jc w:val="both"/>
              <w:rPr>
                <w:rFonts w:ascii="Bookman Old Style" w:hAnsi="Bookman Old Style"/>
                <w:color w:val="000000"/>
                <w:sz w:val="20"/>
                <w:szCs w:val="20"/>
                <w:lang w:val="en-ID"/>
              </w:rPr>
            </w:pPr>
            <w:r w:rsidRPr="00C84F36">
              <w:rPr>
                <w:rFonts w:ascii="Bookman Old Style" w:hAnsi="Bookman Old Style"/>
                <w:color w:val="000000"/>
                <w:sz w:val="20"/>
                <w:szCs w:val="20"/>
                <w:lang w:val="en-ID"/>
              </w:rPr>
              <w:t>persyaratan operasional; dan</w:t>
            </w:r>
          </w:p>
          <w:p w14:paraId="38BED762" w14:textId="665C2491" w:rsidR="00910A48" w:rsidRPr="007007D1" w:rsidRDefault="00910A48" w:rsidP="00A32F86">
            <w:pPr>
              <w:pStyle w:val="ListParagraph"/>
              <w:numPr>
                <w:ilvl w:val="0"/>
                <w:numId w:val="13"/>
              </w:numPr>
              <w:tabs>
                <w:tab w:val="left" w:pos="1872"/>
                <w:tab w:val="left" w:pos="2552"/>
              </w:tabs>
              <w:spacing w:after="0" w:line="240" w:lineRule="auto"/>
              <w:jc w:val="both"/>
              <w:rPr>
                <w:rFonts w:ascii="Bookman Old Style" w:hAnsi="Bookman Old Style"/>
                <w:color w:val="000000" w:themeColor="text1"/>
                <w:sz w:val="20"/>
                <w:szCs w:val="20"/>
              </w:rPr>
            </w:pPr>
            <w:r w:rsidRPr="00C84F36">
              <w:rPr>
                <w:rFonts w:ascii="Bookman Old Style" w:hAnsi="Bookman Old Style"/>
                <w:color w:val="000000"/>
                <w:sz w:val="20"/>
                <w:szCs w:val="20"/>
                <w:lang w:val="en-ID"/>
              </w:rPr>
              <w:t>persyaratan</w:t>
            </w:r>
            <w:r w:rsidRPr="007007D1">
              <w:rPr>
                <w:rFonts w:ascii="Bookman Old Style" w:hAnsi="Bookman Old Style"/>
                <w:color w:val="000000"/>
                <w:sz w:val="20"/>
                <w:szCs w:val="20"/>
                <w:lang w:val="sv-SE"/>
              </w:rPr>
              <w:t xml:space="preserve"> terdiversifikasi.</w:t>
            </w:r>
          </w:p>
        </w:tc>
        <w:tc>
          <w:tcPr>
            <w:tcW w:w="4840" w:type="dxa"/>
            <w:shd w:val="clear" w:color="auto" w:fill="auto"/>
          </w:tcPr>
          <w:p w14:paraId="0C599BE7" w14:textId="77777777" w:rsidR="00910A48" w:rsidRPr="007007D1" w:rsidRDefault="00910A48" w:rsidP="00910A48">
            <w:pPr>
              <w:tabs>
                <w:tab w:val="left" w:pos="2520"/>
                <w:tab w:val="left" w:pos="2552"/>
              </w:tabs>
              <w:spacing w:after="0" w:line="240" w:lineRule="auto"/>
              <w:rPr>
                <w:rFonts w:ascii="Bookman Old Style" w:hAnsi="Bookman Old Style"/>
                <w:sz w:val="20"/>
                <w:szCs w:val="20"/>
              </w:rPr>
            </w:pPr>
            <w:r w:rsidRPr="007007D1">
              <w:rPr>
                <w:rFonts w:ascii="Bookman Old Style" w:hAnsi="Bookman Old Style"/>
                <w:sz w:val="20"/>
                <w:szCs w:val="20"/>
              </w:rPr>
              <w:t>Ayat (1)</w:t>
            </w:r>
          </w:p>
          <w:p w14:paraId="64BEA377" w14:textId="77777777" w:rsidR="00910A48" w:rsidRPr="007007D1" w:rsidRDefault="00910A48" w:rsidP="00910A48">
            <w:pPr>
              <w:tabs>
                <w:tab w:val="left" w:pos="1291"/>
              </w:tabs>
              <w:spacing w:after="0" w:line="240" w:lineRule="auto"/>
              <w:ind w:left="567"/>
              <w:jc w:val="both"/>
              <w:rPr>
                <w:rFonts w:ascii="Bookman Old Style" w:hAnsi="Bookman Old Style"/>
                <w:color w:val="000000"/>
                <w:sz w:val="20"/>
                <w:szCs w:val="20"/>
                <w:lang w:val="sv-SE"/>
              </w:rPr>
            </w:pPr>
            <w:r w:rsidRPr="007007D1">
              <w:rPr>
                <w:rFonts w:ascii="Bookman Old Style" w:hAnsi="Bookman Old Style"/>
                <w:color w:val="000000"/>
                <w:sz w:val="20"/>
                <w:szCs w:val="20"/>
                <w:lang w:val="sv-SE"/>
              </w:rPr>
              <w:t xml:space="preserve">Aset </w:t>
            </w:r>
            <w:r w:rsidRPr="00910A48">
              <w:rPr>
                <w:rFonts w:ascii="Bookman Old Style" w:eastAsia="Bookman Old Style" w:hAnsi="Bookman Old Style" w:cs="Bookman Old Style"/>
                <w:color w:val="000000" w:themeColor="text1"/>
                <w:sz w:val="20"/>
                <w:szCs w:val="20"/>
              </w:rPr>
              <w:t>yang</w:t>
            </w:r>
            <w:r w:rsidRPr="007007D1">
              <w:rPr>
                <w:rFonts w:ascii="Bookman Old Style" w:hAnsi="Bookman Old Style"/>
                <w:color w:val="000000"/>
                <w:sz w:val="20"/>
                <w:szCs w:val="20"/>
                <w:lang w:val="sv-SE"/>
              </w:rPr>
              <w:t xml:space="preserve"> pada awalnya termasuk dalam kategori HQLA namun kemudian tidak lagi memenuhi persyaratan sebagai HQLA, misalnya karena penurunan peringkat (</w:t>
            </w:r>
            <w:r w:rsidRPr="007007D1">
              <w:rPr>
                <w:rFonts w:ascii="Bookman Old Style" w:hAnsi="Bookman Old Style"/>
                <w:i/>
                <w:iCs/>
                <w:color w:val="000000"/>
                <w:sz w:val="20"/>
                <w:szCs w:val="20"/>
                <w:lang w:val="sv-SE"/>
              </w:rPr>
              <w:t>rating</w:t>
            </w:r>
            <w:r w:rsidRPr="007007D1">
              <w:rPr>
                <w:rFonts w:ascii="Bookman Old Style" w:hAnsi="Bookman Old Style"/>
                <w:color w:val="000000"/>
                <w:sz w:val="20"/>
                <w:szCs w:val="20"/>
                <w:lang w:val="sv-SE"/>
              </w:rPr>
              <w:t>), Bank diberikan waktu tambahan 30 (tiga puluh) hari untuk menyesuaikan jumlah HQLA atau mengganti aset tersebut dengan aset lainnya yang memenuhi kriteria HQLA. Selama periode dimaksud, Bank diperkenankan untuk tetap memperhitungkan aset tersebut sebagai HQLA.</w:t>
            </w:r>
          </w:p>
        </w:tc>
        <w:tc>
          <w:tcPr>
            <w:tcW w:w="3686" w:type="dxa"/>
            <w:shd w:val="clear" w:color="auto" w:fill="auto"/>
          </w:tcPr>
          <w:p w14:paraId="0091EF1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98D02B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05FFD16" w14:textId="77777777" w:rsidTr="00910A48">
        <w:tc>
          <w:tcPr>
            <w:tcW w:w="4794" w:type="dxa"/>
            <w:shd w:val="clear" w:color="auto" w:fill="auto"/>
            <w:vAlign w:val="center"/>
          </w:tcPr>
          <w:p w14:paraId="41A85F4B" w14:textId="77777777" w:rsidR="00910A48" w:rsidRPr="007007D1" w:rsidRDefault="00910A48" w:rsidP="00A32F86">
            <w:pPr>
              <w:pStyle w:val="ListParagraph"/>
              <w:numPr>
                <w:ilvl w:val="0"/>
                <w:numId w:val="1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Persyaratan HQLA   sebagaimana dimaksud pada ayat (1) menggunakan persyaratan yang tercantum dalam Lampiran I yang merupakan bagian tidak terpisahkan dari Peraturan Otoritas Jasa Keuangan ini.</w:t>
            </w:r>
          </w:p>
        </w:tc>
        <w:tc>
          <w:tcPr>
            <w:tcW w:w="4840" w:type="dxa"/>
            <w:shd w:val="clear" w:color="auto" w:fill="auto"/>
          </w:tcPr>
          <w:p w14:paraId="735C9B35"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42BB2DB9"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21D5FA9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8FB00F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F507CC0" w14:textId="77777777" w:rsidTr="00910A48">
        <w:tc>
          <w:tcPr>
            <w:tcW w:w="4794" w:type="dxa"/>
            <w:shd w:val="clear" w:color="auto" w:fill="auto"/>
            <w:vAlign w:val="center"/>
          </w:tcPr>
          <w:p w14:paraId="6626281E" w14:textId="77777777" w:rsidR="00910A48" w:rsidRPr="00910A48" w:rsidRDefault="00910A48" w:rsidP="00A32F86">
            <w:pPr>
              <w:pStyle w:val="ListParagraph"/>
              <w:numPr>
                <w:ilvl w:val="0"/>
                <w:numId w:val="1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Komponen HQLA Level 1, Level 2A, dan Level 2B yang memenuhi persyaratan sebagaimana dimaksud pada ayat (1), tercantum dalam Lampiran I yang merupakan bagian tidak terpisahkan dari Peraturan Otoritas Jasa Keuangan ini.</w:t>
            </w:r>
          </w:p>
          <w:p w14:paraId="3D7CFF2C" w14:textId="674BE892" w:rsidR="00910A48" w:rsidRPr="007007D1" w:rsidRDefault="00910A48" w:rsidP="00910A48">
            <w:pPr>
              <w:pStyle w:val="ListParagraph"/>
              <w:tabs>
                <w:tab w:val="left" w:pos="1872"/>
                <w:tab w:val="left" w:pos="2552"/>
              </w:tabs>
              <w:spacing w:after="0" w:line="240" w:lineRule="auto"/>
              <w:ind w:left="360"/>
              <w:jc w:val="both"/>
              <w:rPr>
                <w:rFonts w:ascii="Bookman Old Style" w:hAnsi="Bookman Old Style" w:cstheme="minorHAnsi"/>
                <w:color w:val="000000" w:themeColor="text1"/>
                <w:sz w:val="20"/>
                <w:szCs w:val="20"/>
              </w:rPr>
            </w:pPr>
          </w:p>
        </w:tc>
        <w:tc>
          <w:tcPr>
            <w:tcW w:w="4840" w:type="dxa"/>
            <w:shd w:val="clear" w:color="auto" w:fill="auto"/>
          </w:tcPr>
          <w:p w14:paraId="7F560E14" w14:textId="77777777" w:rsidR="00910A48" w:rsidRPr="007007D1" w:rsidRDefault="00910A48" w:rsidP="00910A48">
            <w:pPr>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2366FFF7" w14:textId="77777777" w:rsidR="00910A48" w:rsidRPr="007007D1" w:rsidRDefault="00910A48" w:rsidP="00910A48">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176736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835497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12FBC49" w14:textId="77777777" w:rsidTr="00C84F36">
        <w:tc>
          <w:tcPr>
            <w:tcW w:w="4794" w:type="dxa"/>
            <w:shd w:val="clear" w:color="auto" w:fill="E7E6E6" w:themeFill="background2"/>
            <w:vAlign w:val="center"/>
          </w:tcPr>
          <w:p w14:paraId="3DCEAAD7" w14:textId="77777777" w:rsidR="00910A48" w:rsidRPr="007007D1" w:rsidRDefault="00910A48" w:rsidP="00910A48">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Bagian Kedua</w:t>
            </w:r>
          </w:p>
        </w:tc>
        <w:tc>
          <w:tcPr>
            <w:tcW w:w="4840" w:type="dxa"/>
            <w:shd w:val="clear" w:color="auto" w:fill="E7E6E6" w:themeFill="background2"/>
          </w:tcPr>
          <w:p w14:paraId="3C7CD2D2"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1BB09E8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61BE6B8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957328B" w14:textId="77777777" w:rsidTr="00C84F36">
        <w:tc>
          <w:tcPr>
            <w:tcW w:w="4794" w:type="dxa"/>
            <w:shd w:val="clear" w:color="auto" w:fill="E7E6E6" w:themeFill="background2"/>
            <w:vAlign w:val="center"/>
          </w:tcPr>
          <w:p w14:paraId="7F5716BB" w14:textId="77777777" w:rsidR="00910A48" w:rsidRPr="007007D1" w:rsidRDefault="00910A48" w:rsidP="00910A48">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Arus Kas Keluar</w:t>
            </w:r>
            <w:r w:rsidRPr="007007D1">
              <w:rPr>
                <w:rFonts w:ascii="Bookman Old Style" w:hAnsi="Bookman Old Style"/>
                <w:i/>
                <w:iCs/>
                <w:color w:val="000000"/>
                <w:sz w:val="20"/>
                <w:szCs w:val="20"/>
                <w:lang w:val="sv-SE"/>
              </w:rPr>
              <w:t xml:space="preserve"> (Cash Outflow) </w:t>
            </w:r>
            <w:r w:rsidRPr="007007D1">
              <w:rPr>
                <w:rFonts w:ascii="Bookman Old Style" w:hAnsi="Bookman Old Style"/>
                <w:color w:val="000000"/>
                <w:sz w:val="20"/>
                <w:szCs w:val="20"/>
                <w:lang w:val="sv-SE"/>
              </w:rPr>
              <w:t xml:space="preserve">dan </w:t>
            </w:r>
            <w:r w:rsidRPr="007007D1">
              <w:rPr>
                <w:rFonts w:ascii="Bookman Old Style" w:hAnsi="Bookman Old Style"/>
                <w:color w:val="000000" w:themeColor="text1"/>
                <w:sz w:val="20"/>
                <w:szCs w:val="20"/>
                <w:lang w:val="sv-SE"/>
              </w:rPr>
              <w:t xml:space="preserve"> Arus Kas Masuk (</w:t>
            </w:r>
            <w:r w:rsidRPr="007007D1">
              <w:rPr>
                <w:rFonts w:ascii="Bookman Old Style" w:hAnsi="Bookman Old Style"/>
                <w:i/>
                <w:iCs/>
                <w:color w:val="000000"/>
                <w:sz w:val="20"/>
                <w:szCs w:val="20"/>
                <w:lang w:val="sv-SE"/>
              </w:rPr>
              <w:t>Cash Inflow</w:t>
            </w:r>
            <w:r w:rsidRPr="007007D1">
              <w:rPr>
                <w:rFonts w:ascii="Bookman Old Style" w:hAnsi="Bookman Old Style"/>
                <w:color w:val="000000"/>
                <w:sz w:val="20"/>
                <w:szCs w:val="20"/>
                <w:lang w:val="sv-SE"/>
              </w:rPr>
              <w:t>)</w:t>
            </w:r>
          </w:p>
        </w:tc>
        <w:tc>
          <w:tcPr>
            <w:tcW w:w="4840" w:type="dxa"/>
            <w:shd w:val="clear" w:color="auto" w:fill="E7E6E6" w:themeFill="background2"/>
          </w:tcPr>
          <w:p w14:paraId="4B0FF872"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3EBB18A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2AACFC4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6398AE6" w14:textId="77777777" w:rsidTr="00C84F36">
        <w:tc>
          <w:tcPr>
            <w:tcW w:w="4794" w:type="dxa"/>
            <w:shd w:val="clear" w:color="auto" w:fill="E7E6E6" w:themeFill="background2"/>
            <w:vAlign w:val="center"/>
          </w:tcPr>
          <w:p w14:paraId="313AD6EA" w14:textId="38B3DDAC" w:rsidR="00910A48" w:rsidRPr="007007D1" w:rsidRDefault="00910A48" w:rsidP="00910A48">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Pasal 7</w:t>
            </w:r>
          </w:p>
        </w:tc>
        <w:tc>
          <w:tcPr>
            <w:tcW w:w="4840" w:type="dxa"/>
            <w:shd w:val="clear" w:color="auto" w:fill="E7E6E6" w:themeFill="background2"/>
            <w:vAlign w:val="center"/>
          </w:tcPr>
          <w:p w14:paraId="39538F5F" w14:textId="77777777" w:rsidR="00910A48" w:rsidRPr="007007D1" w:rsidRDefault="00910A48" w:rsidP="00C84F36">
            <w:pPr>
              <w:tabs>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7</w:t>
            </w:r>
          </w:p>
        </w:tc>
        <w:tc>
          <w:tcPr>
            <w:tcW w:w="3686" w:type="dxa"/>
            <w:shd w:val="clear" w:color="auto" w:fill="E7E6E6" w:themeFill="background2"/>
          </w:tcPr>
          <w:p w14:paraId="55B00A7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5D8EB16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12ED9A3" w14:textId="77777777" w:rsidTr="00910A48">
        <w:tc>
          <w:tcPr>
            <w:tcW w:w="4794" w:type="dxa"/>
            <w:shd w:val="clear" w:color="auto" w:fill="auto"/>
            <w:vAlign w:val="center"/>
          </w:tcPr>
          <w:p w14:paraId="28926D67" w14:textId="77777777" w:rsidR="00910A48" w:rsidRPr="007007D1" w:rsidRDefault="00910A48" w:rsidP="00A32F86">
            <w:pPr>
              <w:pStyle w:val="ListParagraph"/>
              <w:numPr>
                <w:ilvl w:val="0"/>
                <w:numId w:val="12"/>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Dalam rangka pemenuhan LCR sebagaimana dimaksud dalam Pasal 2, Bank menghitung arus kas keluar (</w:t>
            </w:r>
            <w:r w:rsidRPr="007007D1">
              <w:rPr>
                <w:rFonts w:ascii="Bookman Old Style" w:hAnsi="Bookman Old Style"/>
                <w:i/>
                <w:iCs/>
                <w:color w:val="000000"/>
                <w:sz w:val="20"/>
                <w:szCs w:val="20"/>
                <w:lang w:val="sv-SE"/>
              </w:rPr>
              <w:t>cash outflow</w:t>
            </w:r>
            <w:r w:rsidRPr="007007D1">
              <w:rPr>
                <w:rFonts w:ascii="Bookman Old Style" w:hAnsi="Bookman Old Style"/>
                <w:color w:val="000000"/>
                <w:sz w:val="20"/>
                <w:szCs w:val="20"/>
                <w:lang w:val="sv-SE"/>
              </w:rPr>
              <w:t>) selama 30 (tiga puluh) hari kedepan yang bersumber dari:</w:t>
            </w:r>
          </w:p>
        </w:tc>
        <w:tc>
          <w:tcPr>
            <w:tcW w:w="4840" w:type="dxa"/>
            <w:shd w:val="clear" w:color="auto" w:fill="auto"/>
            <w:vAlign w:val="center"/>
          </w:tcPr>
          <w:p w14:paraId="147BC5B6"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Ayat (1)</w:t>
            </w:r>
          </w:p>
        </w:tc>
        <w:tc>
          <w:tcPr>
            <w:tcW w:w="3686" w:type="dxa"/>
            <w:shd w:val="clear" w:color="auto" w:fill="auto"/>
          </w:tcPr>
          <w:p w14:paraId="6B5CA0E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B96545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E75FDF8" w14:textId="77777777" w:rsidTr="00910A48">
        <w:tc>
          <w:tcPr>
            <w:tcW w:w="4794" w:type="dxa"/>
            <w:shd w:val="clear" w:color="auto" w:fill="auto"/>
            <w:vAlign w:val="center"/>
          </w:tcPr>
          <w:p w14:paraId="6D600CFE" w14:textId="77777777" w:rsidR="00910A48" w:rsidRPr="007007D1" w:rsidRDefault="00910A48" w:rsidP="00A32F86">
            <w:pPr>
              <w:pStyle w:val="ListParagraph"/>
              <w:numPr>
                <w:ilvl w:val="0"/>
                <w:numId w:val="51"/>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en-ID"/>
              </w:rPr>
              <w:t>Pendanaan nasabah perorangan (</w:t>
            </w:r>
            <w:r w:rsidRPr="007007D1">
              <w:rPr>
                <w:rFonts w:ascii="Bookman Old Style" w:hAnsi="Bookman Old Style"/>
                <w:i/>
                <w:iCs/>
                <w:color w:val="000000"/>
                <w:sz w:val="20"/>
                <w:szCs w:val="20"/>
                <w:lang w:val="en-ID"/>
              </w:rPr>
              <w:t>retail deposit</w:t>
            </w:r>
            <w:r w:rsidRPr="007007D1">
              <w:rPr>
                <w:rFonts w:ascii="Bookman Old Style" w:hAnsi="Bookman Old Style"/>
                <w:color w:val="000000"/>
                <w:sz w:val="20"/>
                <w:szCs w:val="20"/>
                <w:lang w:val="en-ID"/>
              </w:rPr>
              <w:t xml:space="preserve">); </w:t>
            </w:r>
          </w:p>
        </w:tc>
        <w:tc>
          <w:tcPr>
            <w:tcW w:w="4840" w:type="dxa"/>
            <w:shd w:val="clear" w:color="auto" w:fill="auto"/>
            <w:vAlign w:val="center"/>
          </w:tcPr>
          <w:p w14:paraId="18DF50C1"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Huruf a</w:t>
            </w:r>
          </w:p>
          <w:p w14:paraId="4A29C5EB" w14:textId="77777777" w:rsidR="00910A48" w:rsidRPr="007007D1" w:rsidRDefault="00910A48" w:rsidP="00C84F36">
            <w:pPr>
              <w:tabs>
                <w:tab w:val="left" w:pos="1291"/>
              </w:tabs>
              <w:spacing w:after="0" w:line="240" w:lineRule="auto"/>
              <w:ind w:left="567"/>
              <w:jc w:val="both"/>
              <w:rPr>
                <w:rFonts w:ascii="Bookman Old Style" w:hAnsi="Bookman Old Style"/>
                <w:color w:val="000000"/>
                <w:sz w:val="20"/>
                <w:szCs w:val="20"/>
              </w:rPr>
            </w:pPr>
            <w:r w:rsidRPr="00C84F36">
              <w:rPr>
                <w:rFonts w:ascii="Bookman Old Style" w:eastAsia="Bookman Old Style" w:hAnsi="Bookman Old Style" w:cs="Bookman Old Style"/>
                <w:color w:val="000000" w:themeColor="text1"/>
                <w:sz w:val="20"/>
                <w:szCs w:val="20"/>
              </w:rPr>
              <w:t>Cukup</w:t>
            </w:r>
            <w:r w:rsidRPr="007007D1">
              <w:rPr>
                <w:rFonts w:ascii="Bookman Old Style" w:hAnsi="Bookman Old Style"/>
                <w:color w:val="000000" w:themeColor="text1"/>
                <w:sz w:val="20"/>
                <w:szCs w:val="20"/>
                <w:lang w:val="sv-SE"/>
              </w:rPr>
              <w:t xml:space="preserve"> jelas.</w:t>
            </w:r>
          </w:p>
        </w:tc>
        <w:tc>
          <w:tcPr>
            <w:tcW w:w="3686" w:type="dxa"/>
            <w:shd w:val="clear" w:color="auto" w:fill="auto"/>
          </w:tcPr>
          <w:p w14:paraId="3F9A9EF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9D228D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4F49673" w14:textId="77777777" w:rsidTr="001A4A10">
        <w:tc>
          <w:tcPr>
            <w:tcW w:w="4794" w:type="dxa"/>
            <w:shd w:val="clear" w:color="auto" w:fill="auto"/>
          </w:tcPr>
          <w:p w14:paraId="0F9D1DF0" w14:textId="77777777" w:rsidR="00910A48" w:rsidRPr="007007D1" w:rsidRDefault="00910A48" w:rsidP="00A32F86">
            <w:pPr>
              <w:pStyle w:val="ListParagraph"/>
              <w:numPr>
                <w:ilvl w:val="0"/>
                <w:numId w:val="51"/>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en-ID"/>
              </w:rPr>
              <w:lastRenderedPageBreak/>
              <w:t>Pendanaan yang berasal dari nasabah Usaha Mikro dan Usaha Kecil;</w:t>
            </w:r>
          </w:p>
        </w:tc>
        <w:tc>
          <w:tcPr>
            <w:tcW w:w="4840" w:type="dxa"/>
            <w:shd w:val="clear" w:color="auto" w:fill="auto"/>
          </w:tcPr>
          <w:p w14:paraId="199249FF"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b</w:t>
            </w:r>
          </w:p>
          <w:p w14:paraId="1C2D6BE5"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Yang dimaksud dengan “Usaha Mikro dan Usaha Kecil” adalah sebagaimana dimaksud dalam Undang-Undang yang mengatur mengenai usaha mikro, kecil, dan menengah.</w:t>
            </w:r>
          </w:p>
        </w:tc>
        <w:tc>
          <w:tcPr>
            <w:tcW w:w="3686" w:type="dxa"/>
            <w:shd w:val="clear" w:color="auto" w:fill="auto"/>
          </w:tcPr>
          <w:p w14:paraId="1590E2C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2586A5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DC6780B" w14:textId="77777777" w:rsidTr="001A4A10">
        <w:tc>
          <w:tcPr>
            <w:tcW w:w="4794" w:type="dxa"/>
            <w:shd w:val="clear" w:color="auto" w:fill="auto"/>
          </w:tcPr>
          <w:p w14:paraId="763C8394" w14:textId="77777777" w:rsidR="00910A48" w:rsidRPr="007007D1" w:rsidRDefault="00910A48" w:rsidP="00A32F86">
            <w:pPr>
              <w:pStyle w:val="ListParagraph"/>
              <w:numPr>
                <w:ilvl w:val="0"/>
                <w:numId w:val="51"/>
              </w:numPr>
              <w:tabs>
                <w:tab w:val="left" w:pos="1872"/>
              </w:tabs>
              <w:spacing w:after="0" w:line="240" w:lineRule="auto"/>
              <w:ind w:right="6"/>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en-ID"/>
              </w:rPr>
              <w:t>Pendanaan yang berasal dari nasabah korporasi;</w:t>
            </w:r>
          </w:p>
        </w:tc>
        <w:tc>
          <w:tcPr>
            <w:tcW w:w="4840" w:type="dxa"/>
            <w:shd w:val="clear" w:color="auto" w:fill="auto"/>
          </w:tcPr>
          <w:p w14:paraId="0A90C1C0"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c</w:t>
            </w:r>
          </w:p>
          <w:p w14:paraId="6E659553"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Yang dimaksud dengan “Pendanaan yang berasal dari nasabah korporasi” adalah kewajiban dan komitmen Bank kepada korporasi yang berbadan hukum, termasuk perusahaan perseorangan dan partnership yang tidak dijamin dengan suatu hak secara hukum atas aset tertentu yang dimiliki oleh Bank apabila terjadi kebangkrutan, ketidakmampuan memenuhi kewajiban (insolvency), likuidasi atau resolusi.</w:t>
            </w:r>
          </w:p>
        </w:tc>
        <w:tc>
          <w:tcPr>
            <w:tcW w:w="3686" w:type="dxa"/>
            <w:shd w:val="clear" w:color="auto" w:fill="auto"/>
          </w:tcPr>
          <w:p w14:paraId="4A1E824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F795BE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72BDF93" w14:textId="77777777" w:rsidTr="001A4A10">
        <w:tc>
          <w:tcPr>
            <w:tcW w:w="4794" w:type="dxa"/>
            <w:shd w:val="clear" w:color="auto" w:fill="auto"/>
          </w:tcPr>
          <w:p w14:paraId="01F80568" w14:textId="77777777" w:rsidR="00910A48" w:rsidRPr="007007D1" w:rsidRDefault="00910A48" w:rsidP="00A32F86">
            <w:pPr>
              <w:pStyle w:val="ListParagraph"/>
              <w:numPr>
                <w:ilvl w:val="0"/>
                <w:numId w:val="5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Pendanaan dengan agunan (</w:t>
            </w:r>
            <w:r w:rsidRPr="007007D1">
              <w:rPr>
                <w:rFonts w:ascii="Bookman Old Style" w:hAnsi="Bookman Old Style"/>
                <w:i/>
                <w:iCs/>
                <w:color w:val="000000"/>
                <w:sz w:val="20"/>
                <w:szCs w:val="20"/>
                <w:lang w:val="en-ID"/>
              </w:rPr>
              <w:t>secured funding</w:t>
            </w:r>
            <w:r w:rsidRPr="007007D1">
              <w:rPr>
                <w:rFonts w:ascii="Bookman Old Style" w:hAnsi="Bookman Old Style"/>
                <w:color w:val="000000"/>
                <w:sz w:val="20"/>
                <w:szCs w:val="20"/>
                <w:lang w:val="en-ID"/>
              </w:rPr>
              <w:t xml:space="preserve">); dan </w:t>
            </w:r>
          </w:p>
        </w:tc>
        <w:tc>
          <w:tcPr>
            <w:tcW w:w="4840" w:type="dxa"/>
            <w:shd w:val="clear" w:color="auto" w:fill="auto"/>
          </w:tcPr>
          <w:p w14:paraId="22F41E3B"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d</w:t>
            </w:r>
          </w:p>
          <w:p w14:paraId="0A3880C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Yang dimaksud dengan “Pendanaan dengan agunan (</w:t>
            </w:r>
            <w:r w:rsidRPr="00C84F36">
              <w:rPr>
                <w:rFonts w:ascii="Bookman Old Style" w:eastAsia="Bookman Old Style" w:hAnsi="Bookman Old Style" w:cs="Bookman Old Style"/>
                <w:i/>
                <w:color w:val="000000" w:themeColor="text1"/>
                <w:sz w:val="20"/>
                <w:szCs w:val="20"/>
              </w:rPr>
              <w:t>secured funding</w:t>
            </w:r>
            <w:r w:rsidRPr="007007D1">
              <w:rPr>
                <w:rFonts w:ascii="Bookman Old Style" w:eastAsia="Bookman Old Style" w:hAnsi="Bookman Old Style" w:cs="Bookman Old Style"/>
                <w:color w:val="000000" w:themeColor="text1"/>
                <w:sz w:val="20"/>
                <w:szCs w:val="20"/>
              </w:rPr>
              <w:t>)” adalah kewajiban yang dijamin dengan suatu hak secara hukum atas aset tertentu yang dimiliki oleh Bank apabila terjadi kebangkrutan, ketidakmampuan memenuhi kewajiban (</w:t>
            </w:r>
            <w:r w:rsidRPr="00C84F36">
              <w:rPr>
                <w:rFonts w:ascii="Bookman Old Style" w:eastAsia="Bookman Old Style" w:hAnsi="Bookman Old Style" w:cs="Bookman Old Style"/>
                <w:i/>
                <w:color w:val="000000" w:themeColor="text1"/>
                <w:sz w:val="20"/>
                <w:szCs w:val="20"/>
              </w:rPr>
              <w:t>insolvency</w:t>
            </w:r>
            <w:r w:rsidRPr="007007D1">
              <w:rPr>
                <w:rFonts w:ascii="Bookman Old Style" w:eastAsia="Bookman Old Style" w:hAnsi="Bookman Old Style" w:cs="Bookman Old Style"/>
                <w:color w:val="000000" w:themeColor="text1"/>
                <w:sz w:val="20"/>
                <w:szCs w:val="20"/>
              </w:rPr>
              <w:t>), likuidasi atau resolusi.</w:t>
            </w:r>
          </w:p>
        </w:tc>
        <w:tc>
          <w:tcPr>
            <w:tcW w:w="3686" w:type="dxa"/>
            <w:shd w:val="clear" w:color="auto" w:fill="auto"/>
          </w:tcPr>
          <w:p w14:paraId="34B1E7E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81A61E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1E7B72B" w14:textId="77777777" w:rsidTr="00910A48">
        <w:tc>
          <w:tcPr>
            <w:tcW w:w="4794" w:type="dxa"/>
            <w:shd w:val="clear" w:color="auto" w:fill="auto"/>
            <w:vAlign w:val="center"/>
          </w:tcPr>
          <w:p w14:paraId="092CC467" w14:textId="77777777" w:rsidR="00910A48" w:rsidRPr="007007D1" w:rsidRDefault="00910A48" w:rsidP="00A32F86">
            <w:pPr>
              <w:pStyle w:val="ListParagraph"/>
              <w:numPr>
                <w:ilvl w:val="0"/>
                <w:numId w:val="5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arus kas keluar lainnya (</w:t>
            </w:r>
            <w:r w:rsidRPr="007007D1">
              <w:rPr>
                <w:rFonts w:ascii="Bookman Old Style" w:hAnsi="Bookman Old Style"/>
                <w:i/>
                <w:iCs/>
                <w:color w:val="000000"/>
                <w:sz w:val="20"/>
                <w:szCs w:val="20"/>
                <w:lang w:val="sv-SE"/>
              </w:rPr>
              <w:t>additional requirement</w:t>
            </w:r>
            <w:r w:rsidRPr="007007D1">
              <w:rPr>
                <w:rFonts w:ascii="Bookman Old Style" w:hAnsi="Bookman Old Style"/>
                <w:color w:val="000000"/>
                <w:sz w:val="20"/>
                <w:szCs w:val="20"/>
                <w:lang w:val="sv-SE"/>
              </w:rPr>
              <w:t>).</w:t>
            </w:r>
          </w:p>
        </w:tc>
        <w:tc>
          <w:tcPr>
            <w:tcW w:w="4840" w:type="dxa"/>
            <w:shd w:val="clear" w:color="auto" w:fill="auto"/>
          </w:tcPr>
          <w:p w14:paraId="15774729"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e</w:t>
            </w:r>
          </w:p>
          <w:p w14:paraId="1BF1BC06"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23C6FAA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38A0B7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96E78BA" w14:textId="77777777" w:rsidTr="00910A48">
        <w:tc>
          <w:tcPr>
            <w:tcW w:w="4794" w:type="dxa"/>
            <w:shd w:val="clear" w:color="auto" w:fill="auto"/>
            <w:vAlign w:val="center"/>
          </w:tcPr>
          <w:p w14:paraId="316AB0A8" w14:textId="77777777" w:rsidR="00910A48" w:rsidRPr="007007D1" w:rsidRDefault="00910A48" w:rsidP="00A32F86">
            <w:pPr>
              <w:pStyle w:val="ListParagraph"/>
              <w:numPr>
                <w:ilvl w:val="0"/>
                <w:numId w:val="12"/>
              </w:numPr>
              <w:tabs>
                <w:tab w:val="left" w:pos="1872"/>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sv-SE"/>
              </w:rPr>
              <w:t>Nilai  arus kas keluar (</w:t>
            </w:r>
            <w:r w:rsidRPr="007007D1">
              <w:rPr>
                <w:rFonts w:ascii="Bookman Old Style" w:hAnsi="Bookman Old Style"/>
                <w:i/>
                <w:iCs/>
                <w:color w:val="000000"/>
                <w:sz w:val="20"/>
                <w:szCs w:val="20"/>
                <w:lang w:val="sv-SE"/>
              </w:rPr>
              <w:t>cash outflow</w:t>
            </w:r>
            <w:r w:rsidRPr="007007D1">
              <w:rPr>
                <w:rFonts w:ascii="Bookman Old Style" w:hAnsi="Bookman Old Style"/>
                <w:color w:val="000000"/>
                <w:sz w:val="20"/>
                <w:szCs w:val="20"/>
                <w:lang w:val="sv-SE"/>
              </w:rPr>
              <w:t xml:space="preserve">) yang diperhitungkan dalam pemenuhan LCR adalah sebesar nilai </w:t>
            </w:r>
            <w:r w:rsidRPr="007007D1">
              <w:rPr>
                <w:rFonts w:ascii="Bookman Old Style" w:hAnsi="Bookman Old Style"/>
                <w:i/>
                <w:iCs/>
                <w:color w:val="000000"/>
                <w:sz w:val="20"/>
                <w:szCs w:val="20"/>
                <w:lang w:val="sv-SE"/>
              </w:rPr>
              <w:t>outstanding</w:t>
            </w:r>
            <w:r w:rsidRPr="007007D1">
              <w:rPr>
                <w:rFonts w:ascii="Bookman Old Style" w:hAnsi="Bookman Old Style"/>
                <w:color w:val="000000"/>
                <w:sz w:val="20"/>
                <w:szCs w:val="20"/>
                <w:lang w:val="sv-SE"/>
              </w:rPr>
              <w:t xml:space="preserve"> liabilitas pada laporan posisi keuangan dan komitmen pada rekening administrasi dikalikan dengan tingkat penarikan (</w:t>
            </w:r>
            <w:r w:rsidRPr="007007D1">
              <w:rPr>
                <w:rFonts w:ascii="Bookman Old Style" w:hAnsi="Bookman Old Style"/>
                <w:i/>
                <w:iCs/>
                <w:color w:val="000000"/>
                <w:sz w:val="20"/>
                <w:szCs w:val="20"/>
                <w:lang w:val="sv-SE"/>
              </w:rPr>
              <w:t>run-off rate</w:t>
            </w:r>
            <w:r w:rsidRPr="007007D1">
              <w:rPr>
                <w:rFonts w:ascii="Bookman Old Style" w:hAnsi="Bookman Old Style"/>
                <w:color w:val="000000"/>
                <w:sz w:val="20"/>
                <w:szCs w:val="20"/>
                <w:lang w:val="sv-SE"/>
              </w:rPr>
              <w:t>).</w:t>
            </w:r>
          </w:p>
        </w:tc>
        <w:tc>
          <w:tcPr>
            <w:tcW w:w="4840" w:type="dxa"/>
            <w:shd w:val="clear" w:color="auto" w:fill="auto"/>
          </w:tcPr>
          <w:p w14:paraId="6507F42C"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7D2F3657"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Yang dimaksud dengan “tingkat penarikan (</w:t>
            </w:r>
            <w:r w:rsidRPr="00C84F36">
              <w:rPr>
                <w:rFonts w:ascii="Bookman Old Style" w:eastAsia="Bookman Old Style" w:hAnsi="Bookman Old Style" w:cs="Bookman Old Style"/>
                <w:i/>
                <w:color w:val="000000" w:themeColor="text1"/>
                <w:sz w:val="20"/>
                <w:szCs w:val="20"/>
              </w:rPr>
              <w:t>run-off rate</w:t>
            </w:r>
            <w:r w:rsidRPr="007007D1">
              <w:rPr>
                <w:rFonts w:ascii="Bookman Old Style" w:eastAsia="Bookman Old Style" w:hAnsi="Bookman Old Style" w:cs="Bookman Old Style"/>
                <w:color w:val="000000" w:themeColor="text1"/>
                <w:sz w:val="20"/>
                <w:szCs w:val="20"/>
              </w:rPr>
              <w:t>)” adalah tingkat prediksi penarikan kewajiban Bank berdasarkan ectoro tertentu.</w:t>
            </w:r>
          </w:p>
        </w:tc>
        <w:tc>
          <w:tcPr>
            <w:tcW w:w="3686" w:type="dxa"/>
            <w:shd w:val="clear" w:color="auto" w:fill="auto"/>
          </w:tcPr>
          <w:p w14:paraId="1744993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DB5FB1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54954EC" w14:textId="77777777" w:rsidTr="00910A48">
        <w:tc>
          <w:tcPr>
            <w:tcW w:w="4794" w:type="dxa"/>
            <w:shd w:val="clear" w:color="auto" w:fill="auto"/>
            <w:vAlign w:val="center"/>
          </w:tcPr>
          <w:p w14:paraId="6E1A231A" w14:textId="77777777" w:rsidR="00910A48" w:rsidRPr="007007D1" w:rsidRDefault="00910A48" w:rsidP="00A32F86">
            <w:pPr>
              <w:pStyle w:val="ListParagraph"/>
              <w:numPr>
                <w:ilvl w:val="0"/>
                <w:numId w:val="12"/>
              </w:numPr>
              <w:tabs>
                <w:tab w:val="left" w:pos="1872"/>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sv-SE"/>
              </w:rPr>
              <w:t>Persyaratan sumber arus kas keluar (</w:t>
            </w:r>
            <w:r w:rsidRPr="007007D1">
              <w:rPr>
                <w:rFonts w:ascii="Bookman Old Style" w:hAnsi="Bookman Old Style"/>
                <w:i/>
                <w:iCs/>
                <w:color w:val="000000"/>
                <w:sz w:val="20"/>
                <w:szCs w:val="20"/>
                <w:lang w:val="sv-SE"/>
              </w:rPr>
              <w:t>cash outflow</w:t>
            </w:r>
            <w:r w:rsidRPr="007007D1">
              <w:rPr>
                <w:rFonts w:ascii="Bookman Old Style" w:hAnsi="Bookman Old Style"/>
                <w:color w:val="000000"/>
                <w:sz w:val="20"/>
                <w:szCs w:val="20"/>
                <w:lang w:val="sv-SE"/>
              </w:rPr>
              <w:t>) sebagaimana dimaksud pada ayat (1), serta tingkat penarikan (</w:t>
            </w:r>
            <w:r w:rsidRPr="007007D1">
              <w:rPr>
                <w:rFonts w:ascii="Bookman Old Style" w:hAnsi="Bookman Old Style"/>
                <w:i/>
                <w:iCs/>
                <w:color w:val="000000"/>
                <w:sz w:val="20"/>
                <w:szCs w:val="20"/>
                <w:lang w:val="sv-SE"/>
              </w:rPr>
              <w:t>run-off rate</w:t>
            </w:r>
            <w:r w:rsidRPr="007007D1">
              <w:rPr>
                <w:rFonts w:ascii="Bookman Old Style" w:hAnsi="Bookman Old Style"/>
                <w:color w:val="000000"/>
                <w:sz w:val="20"/>
                <w:szCs w:val="20"/>
                <w:lang w:val="sv-SE"/>
              </w:rPr>
              <w:t xml:space="preserve">) </w:t>
            </w:r>
            <w:r w:rsidRPr="007007D1">
              <w:rPr>
                <w:rFonts w:ascii="Bookman Old Style" w:hAnsi="Bookman Old Style"/>
                <w:color w:val="000000"/>
                <w:sz w:val="20"/>
                <w:szCs w:val="20"/>
                <w:lang w:val="sv-SE"/>
              </w:rPr>
              <w:lastRenderedPageBreak/>
              <w:t>dan perhitungan arus kas keluar sebagaimana dimaksud pada ayat (2), tercantum dalam Lampiran I yang merupakan bagian tidak terpisahkan dari Peraturan Otoritas Jasa Keuangan ini.</w:t>
            </w:r>
          </w:p>
        </w:tc>
        <w:tc>
          <w:tcPr>
            <w:tcW w:w="4840" w:type="dxa"/>
            <w:shd w:val="clear" w:color="auto" w:fill="auto"/>
          </w:tcPr>
          <w:p w14:paraId="7BC18ABD"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Ayat (3)</w:t>
            </w:r>
          </w:p>
          <w:p w14:paraId="4AF45CE3"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B9C3D6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3ECFA4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F282909" w14:textId="77777777" w:rsidTr="00C84F36">
        <w:tc>
          <w:tcPr>
            <w:tcW w:w="4794" w:type="dxa"/>
            <w:shd w:val="clear" w:color="auto" w:fill="E7E6E6" w:themeFill="background2"/>
            <w:vAlign w:val="center"/>
          </w:tcPr>
          <w:p w14:paraId="294BBC40"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8</w:t>
            </w:r>
          </w:p>
        </w:tc>
        <w:tc>
          <w:tcPr>
            <w:tcW w:w="4840" w:type="dxa"/>
            <w:shd w:val="clear" w:color="auto" w:fill="E7E6E6" w:themeFill="background2"/>
          </w:tcPr>
          <w:p w14:paraId="5981A6E9"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sz w:val="20"/>
                <w:szCs w:val="20"/>
              </w:rPr>
              <w:t>Pasal 8</w:t>
            </w:r>
          </w:p>
        </w:tc>
        <w:tc>
          <w:tcPr>
            <w:tcW w:w="3686" w:type="dxa"/>
            <w:shd w:val="clear" w:color="auto" w:fill="E7E6E6" w:themeFill="background2"/>
          </w:tcPr>
          <w:p w14:paraId="5DED134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6B0A8F4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4D5E430" w14:textId="77777777" w:rsidTr="00910A48">
        <w:tc>
          <w:tcPr>
            <w:tcW w:w="4794" w:type="dxa"/>
            <w:shd w:val="clear" w:color="auto" w:fill="auto"/>
            <w:vAlign w:val="center"/>
          </w:tcPr>
          <w:p w14:paraId="12BAEA41" w14:textId="77777777" w:rsidR="00910A48" w:rsidRPr="007007D1" w:rsidRDefault="00910A48" w:rsidP="00A32F86">
            <w:pPr>
              <w:pStyle w:val="ListParagraph"/>
              <w:numPr>
                <w:ilvl w:val="0"/>
                <w:numId w:val="1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rangk a pemenuhan LCR sebagaimana dimaksud dalam Pasal 2, Bank menghitung arus kas masuk (</w:t>
            </w:r>
            <w:r w:rsidRPr="007007D1">
              <w:rPr>
                <w:rFonts w:ascii="Bookman Old Style" w:hAnsi="Bookman Old Style"/>
                <w:i/>
                <w:iCs/>
                <w:color w:val="000000"/>
                <w:sz w:val="20"/>
                <w:szCs w:val="20"/>
                <w:lang w:val="sv-SE"/>
              </w:rPr>
              <w:t>cash inflow</w:t>
            </w:r>
            <w:r w:rsidRPr="007007D1">
              <w:rPr>
                <w:rFonts w:ascii="Bookman Old Style" w:hAnsi="Bookman Old Style"/>
                <w:color w:val="000000"/>
                <w:sz w:val="20"/>
                <w:szCs w:val="20"/>
                <w:lang w:val="sv-SE"/>
              </w:rPr>
              <w:t>) selama 30 (tiga puluh) hari kedepan yang bersumber dari:</w:t>
            </w:r>
          </w:p>
        </w:tc>
        <w:tc>
          <w:tcPr>
            <w:tcW w:w="4840" w:type="dxa"/>
            <w:shd w:val="clear" w:color="auto" w:fill="auto"/>
          </w:tcPr>
          <w:p w14:paraId="27B98AFE"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sz w:val="20"/>
                <w:szCs w:val="20"/>
              </w:rPr>
            </w:pPr>
            <w:r w:rsidRPr="007007D1">
              <w:rPr>
                <w:rFonts w:ascii="Bookman Old Style" w:hAnsi="Bookman Old Style"/>
                <w:sz w:val="20"/>
                <w:szCs w:val="20"/>
              </w:rPr>
              <w:t>Ayat (1)</w:t>
            </w:r>
          </w:p>
          <w:p w14:paraId="141601C6" w14:textId="77777777" w:rsidR="00910A48" w:rsidRPr="007007D1" w:rsidRDefault="00910A48" w:rsidP="00C84F36">
            <w:pPr>
              <w:tabs>
                <w:tab w:val="left" w:pos="1291"/>
              </w:tabs>
              <w:spacing w:after="0" w:line="240" w:lineRule="auto"/>
              <w:ind w:left="567"/>
              <w:jc w:val="both"/>
              <w:rPr>
                <w:rFonts w:ascii="Bookman Old Style" w:hAnsi="Bookman Old Style"/>
                <w:color w:val="000000"/>
                <w:sz w:val="20"/>
                <w:szCs w:val="20"/>
              </w:rPr>
            </w:pPr>
            <w:r w:rsidRPr="007007D1">
              <w:rPr>
                <w:rFonts w:ascii="Bookman Old Style" w:hAnsi="Bookman Old Style"/>
                <w:color w:val="000000"/>
                <w:sz w:val="20"/>
                <w:szCs w:val="20"/>
                <w:lang w:val="en-ID"/>
              </w:rPr>
              <w:t>Aset yang telah dimasukkan sebagai HQLA tidak dapat diperhitungkan lagi sebagai arus kas masuk. Perlakuan ini ditujukan untuk menghindari penghitungan ganda (</w:t>
            </w:r>
            <w:r w:rsidRPr="007007D1">
              <w:rPr>
                <w:rFonts w:ascii="Bookman Old Style" w:hAnsi="Bookman Old Style"/>
                <w:i/>
                <w:iCs/>
                <w:color w:val="000000"/>
                <w:sz w:val="20"/>
                <w:szCs w:val="20"/>
                <w:lang w:val="en-ID"/>
              </w:rPr>
              <w:t>double counting</w:t>
            </w:r>
            <w:r w:rsidRPr="007007D1">
              <w:rPr>
                <w:rFonts w:ascii="Bookman Old Style" w:hAnsi="Bookman Old Style"/>
                <w:color w:val="000000"/>
                <w:sz w:val="20"/>
                <w:szCs w:val="20"/>
                <w:lang w:val="en-ID"/>
              </w:rPr>
              <w:t>).</w:t>
            </w:r>
          </w:p>
        </w:tc>
        <w:tc>
          <w:tcPr>
            <w:tcW w:w="3686" w:type="dxa"/>
            <w:shd w:val="clear" w:color="auto" w:fill="auto"/>
          </w:tcPr>
          <w:p w14:paraId="2B4ED80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AC363B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F963D3B" w14:textId="77777777" w:rsidTr="00C84F36">
        <w:tc>
          <w:tcPr>
            <w:tcW w:w="4794" w:type="dxa"/>
            <w:shd w:val="clear" w:color="auto" w:fill="auto"/>
          </w:tcPr>
          <w:p w14:paraId="1C9FC474" w14:textId="77777777" w:rsidR="00910A48" w:rsidRPr="007007D1" w:rsidRDefault="00910A48" w:rsidP="00A32F86">
            <w:pPr>
              <w:pStyle w:val="ListParagraph"/>
              <w:numPr>
                <w:ilvl w:val="0"/>
                <w:numId w:val="1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pembiayaan dengan agunan (</w:t>
            </w:r>
            <w:r w:rsidRPr="007007D1">
              <w:rPr>
                <w:rFonts w:ascii="Bookman Old Style" w:hAnsi="Bookman Old Style"/>
                <w:i/>
                <w:iCs/>
                <w:color w:val="000000"/>
                <w:sz w:val="20"/>
                <w:szCs w:val="20"/>
                <w:lang w:val="sv-SE"/>
              </w:rPr>
              <w:t>secured financing</w:t>
            </w:r>
            <w:r w:rsidRPr="007007D1">
              <w:rPr>
                <w:rFonts w:ascii="Bookman Old Style" w:hAnsi="Bookman Old Style"/>
                <w:color w:val="000000"/>
                <w:sz w:val="20"/>
                <w:szCs w:val="20"/>
                <w:lang w:val="sv-SE"/>
              </w:rPr>
              <w:t>);</w:t>
            </w:r>
          </w:p>
        </w:tc>
        <w:tc>
          <w:tcPr>
            <w:tcW w:w="4840" w:type="dxa"/>
            <w:shd w:val="clear" w:color="auto" w:fill="auto"/>
          </w:tcPr>
          <w:p w14:paraId="384066C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a</w:t>
            </w:r>
          </w:p>
          <w:p w14:paraId="19B331C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Contoh transaksi pembiayaan dengan agunan (secured financing) adalah reverse repo.</w:t>
            </w:r>
          </w:p>
        </w:tc>
        <w:tc>
          <w:tcPr>
            <w:tcW w:w="3686" w:type="dxa"/>
            <w:shd w:val="clear" w:color="auto" w:fill="auto"/>
          </w:tcPr>
          <w:p w14:paraId="0A88E76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121FA9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DB8B608" w14:textId="77777777" w:rsidTr="00C84F36">
        <w:tc>
          <w:tcPr>
            <w:tcW w:w="4794" w:type="dxa"/>
            <w:shd w:val="clear" w:color="auto" w:fill="auto"/>
          </w:tcPr>
          <w:p w14:paraId="51B7CEE2" w14:textId="77777777" w:rsidR="00910A48" w:rsidRPr="007007D1" w:rsidRDefault="00910A48" w:rsidP="00A32F86">
            <w:pPr>
              <w:pStyle w:val="ListParagraph"/>
              <w:numPr>
                <w:ilvl w:val="0"/>
                <w:numId w:val="1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tagihan berdasarkan pihak lawan (</w:t>
            </w:r>
            <w:r w:rsidRPr="007007D1">
              <w:rPr>
                <w:rFonts w:ascii="Bookman Old Style" w:hAnsi="Bookman Old Style"/>
                <w:i/>
                <w:iCs/>
                <w:color w:val="000000"/>
                <w:sz w:val="20"/>
                <w:szCs w:val="20"/>
                <w:lang w:val="sv-SE"/>
              </w:rPr>
              <w:t>counterparty</w:t>
            </w:r>
            <w:r w:rsidRPr="007007D1">
              <w:rPr>
                <w:rFonts w:ascii="Bookman Old Style" w:hAnsi="Bookman Old Style"/>
                <w:color w:val="000000"/>
                <w:sz w:val="20"/>
                <w:szCs w:val="20"/>
                <w:lang w:val="sv-SE"/>
              </w:rPr>
              <w:t>); dan/atau</w:t>
            </w:r>
          </w:p>
        </w:tc>
        <w:tc>
          <w:tcPr>
            <w:tcW w:w="4840" w:type="dxa"/>
            <w:shd w:val="clear" w:color="auto" w:fill="auto"/>
          </w:tcPr>
          <w:p w14:paraId="138894C3"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b</w:t>
            </w:r>
          </w:p>
          <w:p w14:paraId="79BFBC73"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BAD902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C7FCBC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BB9E93D" w14:textId="77777777" w:rsidTr="00C84F36">
        <w:tc>
          <w:tcPr>
            <w:tcW w:w="4794" w:type="dxa"/>
            <w:shd w:val="clear" w:color="auto" w:fill="auto"/>
          </w:tcPr>
          <w:p w14:paraId="222C219B" w14:textId="77777777" w:rsidR="00910A48" w:rsidRPr="007007D1" w:rsidRDefault="00910A48" w:rsidP="00A32F86">
            <w:pPr>
              <w:pStyle w:val="ListParagraph"/>
              <w:numPr>
                <w:ilvl w:val="0"/>
                <w:numId w:val="1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arus kas masuk lainnya.</w:t>
            </w:r>
          </w:p>
        </w:tc>
        <w:tc>
          <w:tcPr>
            <w:tcW w:w="4840" w:type="dxa"/>
            <w:shd w:val="clear" w:color="auto" w:fill="auto"/>
          </w:tcPr>
          <w:p w14:paraId="121202D7"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c</w:t>
            </w:r>
          </w:p>
          <w:p w14:paraId="5803A92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F7E109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24F6A9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866378E" w14:textId="77777777" w:rsidTr="00C84F36">
        <w:tc>
          <w:tcPr>
            <w:tcW w:w="4794" w:type="dxa"/>
            <w:shd w:val="clear" w:color="auto" w:fill="auto"/>
          </w:tcPr>
          <w:p w14:paraId="2635D20E" w14:textId="77777777" w:rsidR="00910A48" w:rsidRPr="007007D1" w:rsidRDefault="00910A48" w:rsidP="00A32F86">
            <w:pPr>
              <w:pStyle w:val="ListParagraph"/>
              <w:numPr>
                <w:ilvl w:val="0"/>
                <w:numId w:val="1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tidak memperhitungkan tagihan komitmen (</w:t>
            </w:r>
            <w:r w:rsidRPr="007007D1">
              <w:rPr>
                <w:rFonts w:ascii="Bookman Old Style" w:hAnsi="Bookman Old Style"/>
                <w:i/>
                <w:iCs/>
                <w:color w:val="000000"/>
                <w:sz w:val="20"/>
                <w:szCs w:val="20"/>
                <w:lang w:val="sv-SE"/>
              </w:rPr>
              <w:t>committed facility</w:t>
            </w:r>
            <w:r w:rsidRPr="007007D1">
              <w:rPr>
                <w:rFonts w:ascii="Bookman Old Style" w:hAnsi="Bookman Old Style"/>
                <w:color w:val="000000"/>
                <w:sz w:val="20"/>
                <w:szCs w:val="20"/>
                <w:lang w:val="sv-SE"/>
              </w:rPr>
              <w:t>) fasilitas pembiayaan dan fasilitas likuiditas sebagai sumber arus kas masuk.</w:t>
            </w:r>
          </w:p>
        </w:tc>
        <w:tc>
          <w:tcPr>
            <w:tcW w:w="4840" w:type="dxa"/>
            <w:shd w:val="clear" w:color="auto" w:fill="auto"/>
          </w:tcPr>
          <w:p w14:paraId="79C83787"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11072B16"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Termasuk ke dalam tagihan komitmen (</w:t>
            </w:r>
            <w:r w:rsidRPr="00C84F36">
              <w:rPr>
                <w:rFonts w:ascii="Bookman Old Style" w:eastAsia="Bookman Old Style" w:hAnsi="Bookman Old Style" w:cs="Bookman Old Style"/>
                <w:i/>
                <w:color w:val="000000" w:themeColor="text1"/>
                <w:sz w:val="20"/>
                <w:szCs w:val="20"/>
              </w:rPr>
              <w:t>committed facility</w:t>
            </w:r>
            <w:r w:rsidRPr="007007D1">
              <w:rPr>
                <w:rFonts w:ascii="Bookman Old Style" w:eastAsia="Bookman Old Style" w:hAnsi="Bookman Old Style" w:cs="Bookman Old Style"/>
                <w:color w:val="000000" w:themeColor="text1"/>
                <w:sz w:val="20"/>
                <w:szCs w:val="20"/>
              </w:rPr>
              <w:t>) adalah fasilitas pembiayaan, fasilitas likuiditas, dan/atau fasilitas kontijensi lainnya dari entitas lain baik Bank maupun bukan Bank.</w:t>
            </w:r>
          </w:p>
          <w:p w14:paraId="5B0C93FA"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LCR tidak memperhitungkan arus kas masuk yang bersumber dari tagihan komitmen (</w:t>
            </w:r>
            <w:r w:rsidRPr="00C84F36">
              <w:rPr>
                <w:rFonts w:ascii="Bookman Old Style" w:eastAsia="Bookman Old Style" w:hAnsi="Bookman Old Style" w:cs="Bookman Old Style"/>
                <w:i/>
                <w:color w:val="000000" w:themeColor="text1"/>
                <w:sz w:val="20"/>
                <w:szCs w:val="20"/>
              </w:rPr>
              <w:t>committed facility</w:t>
            </w:r>
            <w:r w:rsidRPr="007007D1">
              <w:rPr>
                <w:rFonts w:ascii="Bookman Old Style" w:eastAsia="Bookman Old Style" w:hAnsi="Bookman Old Style" w:cs="Bookman Old Style"/>
                <w:color w:val="000000" w:themeColor="text1"/>
                <w:sz w:val="20"/>
                <w:szCs w:val="20"/>
              </w:rPr>
              <w:t xml:space="preserve">) fasilitas pembiayaan dan likuiditas untuk mengurangi dampak risiko penularan kekurangan likuiditas pada satu Bank kepada Bank lain. Selain itu terdapat risiko Bank yang menyediakan fasilitas pembiayaan dan/atau likuiditas dimaksud tidak akan memberikan fasilitas yang telah dijanjikan meskipun akan menyebabkan timbulnya risiko </w:t>
            </w:r>
            <w:r w:rsidRPr="007007D1">
              <w:rPr>
                <w:rFonts w:ascii="Bookman Old Style" w:eastAsia="Bookman Old Style" w:hAnsi="Bookman Old Style" w:cs="Bookman Old Style"/>
                <w:color w:val="000000" w:themeColor="text1"/>
                <w:sz w:val="20"/>
                <w:szCs w:val="20"/>
              </w:rPr>
              <w:lastRenderedPageBreak/>
              <w:t>hukum dan reputasi, dalam rangka melindungi likuiditas Bank atau mengurangi eksposur kepada Bank.</w:t>
            </w:r>
          </w:p>
        </w:tc>
        <w:tc>
          <w:tcPr>
            <w:tcW w:w="3686" w:type="dxa"/>
            <w:shd w:val="clear" w:color="auto" w:fill="auto"/>
          </w:tcPr>
          <w:p w14:paraId="0C95C56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8C1A86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9C87AE1" w14:textId="77777777" w:rsidTr="00910A48">
        <w:tc>
          <w:tcPr>
            <w:tcW w:w="4794" w:type="dxa"/>
            <w:shd w:val="clear" w:color="auto" w:fill="auto"/>
            <w:vAlign w:val="center"/>
          </w:tcPr>
          <w:p w14:paraId="346E2F02" w14:textId="77777777" w:rsidR="00910A48" w:rsidRPr="007007D1" w:rsidRDefault="00910A48" w:rsidP="00A32F86">
            <w:pPr>
              <w:pStyle w:val="ListParagraph"/>
              <w:numPr>
                <w:ilvl w:val="0"/>
                <w:numId w:val="1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Nilai arus kas masuk yang dapat diperhitungkan dalam LCR paling tinggi 75% (tujuh puluh lima persen) dari total arus kas keluar sebagaimana dimaksud dalam Pasal 7.</w:t>
            </w:r>
          </w:p>
        </w:tc>
        <w:tc>
          <w:tcPr>
            <w:tcW w:w="4840" w:type="dxa"/>
            <w:shd w:val="clear" w:color="auto" w:fill="auto"/>
          </w:tcPr>
          <w:p w14:paraId="020E3333"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75CEEC56"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E4DA40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39A194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34E52DD" w14:textId="77777777" w:rsidTr="00910A48">
        <w:tc>
          <w:tcPr>
            <w:tcW w:w="4794" w:type="dxa"/>
            <w:shd w:val="clear" w:color="auto" w:fill="auto"/>
            <w:vAlign w:val="center"/>
          </w:tcPr>
          <w:p w14:paraId="4B1EEB85" w14:textId="77777777" w:rsidR="00910A48" w:rsidRPr="007007D1" w:rsidRDefault="00910A48" w:rsidP="00A32F86">
            <w:pPr>
              <w:pStyle w:val="ListParagraph"/>
              <w:numPr>
                <w:ilvl w:val="0"/>
                <w:numId w:val="14"/>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Nilai arus kas masuk yang dapat diperhitungkan dalam pemenuhan LCR adalah sebesar nilai tagihan kontraktual dikalikan dengan tingkat penerimaan (</w:t>
            </w:r>
            <w:r w:rsidRPr="007007D1">
              <w:rPr>
                <w:rFonts w:ascii="Bookman Old Style" w:hAnsi="Bookman Old Style"/>
                <w:i/>
                <w:iCs/>
                <w:color w:val="000000"/>
                <w:sz w:val="20"/>
                <w:szCs w:val="20"/>
                <w:lang w:val="sv-SE"/>
              </w:rPr>
              <w:t>inflow rate</w:t>
            </w:r>
            <w:r w:rsidRPr="007007D1">
              <w:rPr>
                <w:rFonts w:ascii="Bookman Old Style" w:hAnsi="Bookman Old Style"/>
                <w:color w:val="000000"/>
                <w:sz w:val="20"/>
                <w:szCs w:val="20"/>
                <w:lang w:val="sv-SE"/>
              </w:rPr>
              <w:t>).</w:t>
            </w:r>
          </w:p>
        </w:tc>
        <w:tc>
          <w:tcPr>
            <w:tcW w:w="4840" w:type="dxa"/>
            <w:shd w:val="clear" w:color="auto" w:fill="auto"/>
          </w:tcPr>
          <w:p w14:paraId="7C3E28BA"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77AD587C" w14:textId="4547DF18" w:rsidR="00910A48" w:rsidRPr="00C84F36"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lang w:val="en-US"/>
              </w:rPr>
            </w:pPr>
            <w:r w:rsidRPr="007007D1">
              <w:rPr>
                <w:rFonts w:ascii="Bookman Old Style" w:eastAsia="Bookman Old Style" w:hAnsi="Bookman Old Style" w:cs="Bookman Old Style"/>
                <w:color w:val="000000" w:themeColor="text1"/>
                <w:sz w:val="20"/>
                <w:szCs w:val="20"/>
              </w:rPr>
              <w:t>Yang dimaksud dengan “tingkat penerimaan (</w:t>
            </w:r>
            <w:r w:rsidRPr="00C84F36">
              <w:rPr>
                <w:rFonts w:ascii="Bookman Old Style" w:eastAsia="Bookman Old Style" w:hAnsi="Bookman Old Style" w:cs="Bookman Old Style"/>
                <w:i/>
                <w:color w:val="000000" w:themeColor="text1"/>
                <w:sz w:val="20"/>
                <w:szCs w:val="20"/>
              </w:rPr>
              <w:t>inflow rate</w:t>
            </w:r>
            <w:r w:rsidRPr="007007D1">
              <w:rPr>
                <w:rFonts w:ascii="Bookman Old Style" w:eastAsia="Bookman Old Style" w:hAnsi="Bookman Old Style" w:cs="Bookman Old Style"/>
                <w:color w:val="000000" w:themeColor="text1"/>
                <w:sz w:val="20"/>
                <w:szCs w:val="20"/>
              </w:rPr>
              <w:t xml:space="preserve">)” adalah tingkat prediksi penerimaan tagihan Bank berdasarkan </w:t>
            </w:r>
            <w:r w:rsidR="00C84F36">
              <w:rPr>
                <w:rFonts w:ascii="Bookman Old Style" w:eastAsia="Bookman Old Style" w:hAnsi="Bookman Old Style" w:cs="Bookman Old Style"/>
                <w:color w:val="000000" w:themeColor="text1"/>
                <w:sz w:val="20"/>
                <w:szCs w:val="20"/>
                <w:lang w:val="en-US"/>
              </w:rPr>
              <w:t>skenario</w:t>
            </w:r>
            <w:r w:rsidRPr="007007D1">
              <w:rPr>
                <w:rFonts w:ascii="Bookman Old Style" w:eastAsia="Bookman Old Style" w:hAnsi="Bookman Old Style" w:cs="Bookman Old Style"/>
                <w:color w:val="000000" w:themeColor="text1"/>
                <w:sz w:val="20"/>
                <w:szCs w:val="20"/>
              </w:rPr>
              <w:t xml:space="preserve"> tertentu</w:t>
            </w:r>
            <w:r w:rsidR="00C84F36">
              <w:rPr>
                <w:rFonts w:ascii="Bookman Old Style" w:eastAsia="Bookman Old Style" w:hAnsi="Bookman Old Style" w:cs="Bookman Old Style"/>
                <w:color w:val="000000" w:themeColor="text1"/>
                <w:sz w:val="20"/>
                <w:szCs w:val="20"/>
                <w:lang w:val="en-US"/>
              </w:rPr>
              <w:t>.</w:t>
            </w:r>
          </w:p>
        </w:tc>
        <w:tc>
          <w:tcPr>
            <w:tcW w:w="3686" w:type="dxa"/>
            <w:shd w:val="clear" w:color="auto" w:fill="auto"/>
          </w:tcPr>
          <w:p w14:paraId="5028830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D38B39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3AF3218" w14:textId="77777777" w:rsidTr="00910A48">
        <w:tc>
          <w:tcPr>
            <w:tcW w:w="4794" w:type="dxa"/>
            <w:shd w:val="clear" w:color="auto" w:fill="auto"/>
            <w:vAlign w:val="center"/>
          </w:tcPr>
          <w:p w14:paraId="2ECDCC2A" w14:textId="77777777" w:rsidR="00910A48" w:rsidRPr="007007D1" w:rsidRDefault="00910A48" w:rsidP="00A32F86">
            <w:pPr>
              <w:pStyle w:val="ListParagraph"/>
              <w:numPr>
                <w:ilvl w:val="0"/>
                <w:numId w:val="14"/>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Persyaratan sumber arus kas masuk (</w:t>
            </w:r>
            <w:r w:rsidRPr="007007D1">
              <w:rPr>
                <w:rFonts w:ascii="Bookman Old Style" w:hAnsi="Bookman Old Style"/>
                <w:i/>
                <w:iCs/>
                <w:color w:val="000000"/>
                <w:sz w:val="20"/>
                <w:szCs w:val="20"/>
                <w:lang w:val="sv-SE"/>
              </w:rPr>
              <w:t>cash inflow</w:t>
            </w:r>
            <w:r w:rsidRPr="007007D1">
              <w:rPr>
                <w:rFonts w:ascii="Bookman Old Style" w:hAnsi="Bookman Old Style"/>
                <w:color w:val="000000"/>
                <w:sz w:val="20"/>
                <w:szCs w:val="20"/>
                <w:lang w:val="sv-SE"/>
              </w:rPr>
              <w:t>) sebagaimana dimaksud pada ayat (1), serta tingkat penerimaan (</w:t>
            </w:r>
            <w:r w:rsidRPr="007007D1">
              <w:rPr>
                <w:rFonts w:ascii="Bookman Old Style" w:hAnsi="Bookman Old Style"/>
                <w:i/>
                <w:iCs/>
                <w:color w:val="000000"/>
                <w:sz w:val="20"/>
                <w:szCs w:val="20"/>
                <w:lang w:val="sv-SE"/>
              </w:rPr>
              <w:t>inflow rate</w:t>
            </w:r>
            <w:r w:rsidRPr="007007D1">
              <w:rPr>
                <w:rFonts w:ascii="Bookman Old Style" w:hAnsi="Bookman Old Style"/>
                <w:color w:val="000000"/>
                <w:sz w:val="20"/>
                <w:szCs w:val="20"/>
                <w:lang w:val="sv-SE"/>
              </w:rPr>
              <w:t>) dan perhitungan arus kas masuk (</w:t>
            </w:r>
            <w:r w:rsidRPr="007007D1">
              <w:rPr>
                <w:rFonts w:ascii="Bookman Old Style" w:hAnsi="Bookman Old Style"/>
                <w:i/>
                <w:iCs/>
                <w:color w:val="000000"/>
                <w:sz w:val="20"/>
                <w:szCs w:val="20"/>
                <w:lang w:val="sv-SE"/>
              </w:rPr>
              <w:t>cash inflow</w:t>
            </w:r>
            <w:r w:rsidRPr="007007D1">
              <w:rPr>
                <w:rFonts w:ascii="Bookman Old Style" w:hAnsi="Bookman Old Style"/>
                <w:color w:val="000000"/>
                <w:sz w:val="20"/>
                <w:szCs w:val="20"/>
                <w:lang w:val="sv-SE"/>
              </w:rPr>
              <w:t>) sebagaimana dimaksud pada ayat (4), tercantum dalam Lampiran I yang merupakan bagian tidak terpisahkan dari Peraturan Otoritas Jasa Keuangan ini.</w:t>
            </w:r>
          </w:p>
        </w:tc>
        <w:tc>
          <w:tcPr>
            <w:tcW w:w="4840" w:type="dxa"/>
            <w:shd w:val="clear" w:color="auto" w:fill="auto"/>
          </w:tcPr>
          <w:p w14:paraId="281E45F8"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(5)</w:t>
            </w:r>
          </w:p>
          <w:p w14:paraId="2C6F055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3A2D016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B9B664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62CE0CA" w14:textId="77777777" w:rsidTr="00C84F36">
        <w:tc>
          <w:tcPr>
            <w:tcW w:w="4794" w:type="dxa"/>
            <w:shd w:val="clear" w:color="auto" w:fill="E7E6E6" w:themeFill="background2"/>
            <w:vAlign w:val="center"/>
          </w:tcPr>
          <w:p w14:paraId="33219212"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Bagian Ketiga</w:t>
            </w:r>
          </w:p>
        </w:tc>
        <w:tc>
          <w:tcPr>
            <w:tcW w:w="4840" w:type="dxa"/>
            <w:shd w:val="clear" w:color="auto" w:fill="E7E6E6" w:themeFill="background2"/>
          </w:tcPr>
          <w:p w14:paraId="29ED7DBA" w14:textId="77777777" w:rsidR="00910A48" w:rsidRPr="007007D1" w:rsidRDefault="00910A48" w:rsidP="00C84F36">
            <w:pPr>
              <w:tabs>
                <w:tab w:val="left" w:pos="1980"/>
                <w:tab w:val="left" w:pos="2520"/>
                <w:tab w:val="left" w:pos="2552"/>
              </w:tabs>
              <w:spacing w:after="0" w:line="240" w:lineRule="auto"/>
              <w:ind w:left="1985"/>
              <w:jc w:val="center"/>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16FD2376"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08462602"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7E23341B" w14:textId="77777777" w:rsidTr="00C84F36">
        <w:tc>
          <w:tcPr>
            <w:tcW w:w="4794" w:type="dxa"/>
            <w:shd w:val="clear" w:color="auto" w:fill="E7E6E6" w:themeFill="background2"/>
            <w:vAlign w:val="center"/>
          </w:tcPr>
          <w:p w14:paraId="02B8527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Pemantauan Likuiditas</w:t>
            </w:r>
          </w:p>
        </w:tc>
        <w:tc>
          <w:tcPr>
            <w:tcW w:w="4840" w:type="dxa"/>
            <w:shd w:val="clear" w:color="auto" w:fill="E7E6E6" w:themeFill="background2"/>
          </w:tcPr>
          <w:p w14:paraId="74416C95" w14:textId="77777777" w:rsidR="00910A48" w:rsidRPr="007007D1" w:rsidRDefault="00910A48" w:rsidP="00C84F36">
            <w:pPr>
              <w:tabs>
                <w:tab w:val="left" w:pos="1980"/>
                <w:tab w:val="left" w:pos="2520"/>
                <w:tab w:val="left" w:pos="2552"/>
              </w:tabs>
              <w:spacing w:after="0" w:line="240" w:lineRule="auto"/>
              <w:ind w:left="1985"/>
              <w:jc w:val="center"/>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0CEF94E8"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5E304DBD"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19A0F377" w14:textId="77777777" w:rsidTr="00C84F36">
        <w:tc>
          <w:tcPr>
            <w:tcW w:w="4794" w:type="dxa"/>
            <w:shd w:val="clear" w:color="auto" w:fill="E7E6E6" w:themeFill="background2"/>
            <w:vAlign w:val="center"/>
          </w:tcPr>
          <w:p w14:paraId="2792F7F5"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9</w:t>
            </w:r>
          </w:p>
        </w:tc>
        <w:tc>
          <w:tcPr>
            <w:tcW w:w="4840" w:type="dxa"/>
            <w:shd w:val="clear" w:color="auto" w:fill="E7E6E6" w:themeFill="background2"/>
          </w:tcPr>
          <w:p w14:paraId="4C3F2721" w14:textId="77777777" w:rsidR="00910A48" w:rsidRPr="007007D1" w:rsidRDefault="00910A48" w:rsidP="00C84F36">
            <w:pPr>
              <w:tabs>
                <w:tab w:val="left" w:pos="1980"/>
                <w:tab w:val="left" w:pos="2520"/>
                <w:tab w:val="left" w:pos="2552"/>
              </w:tabs>
              <w:spacing w:after="0" w:line="240" w:lineRule="auto"/>
              <w:ind w:left="1985"/>
              <w:jc w:val="center"/>
              <w:rPr>
                <w:rFonts w:ascii="Bookman Old Style" w:eastAsia="Bookman Old Style" w:hAnsi="Bookman Old Style" w:cs="Bookman Old Style"/>
                <w:color w:val="000000" w:themeColor="text1"/>
                <w:sz w:val="20"/>
                <w:szCs w:val="20"/>
              </w:rPr>
            </w:pPr>
            <w:r w:rsidRPr="007007D1">
              <w:rPr>
                <w:rFonts w:ascii="Bookman Old Style" w:hAnsi="Bookman Old Style"/>
                <w:sz w:val="20"/>
                <w:szCs w:val="20"/>
              </w:rPr>
              <w:t>Pasal 9</w:t>
            </w:r>
          </w:p>
        </w:tc>
        <w:tc>
          <w:tcPr>
            <w:tcW w:w="3686" w:type="dxa"/>
            <w:shd w:val="clear" w:color="auto" w:fill="E7E6E6" w:themeFill="background2"/>
          </w:tcPr>
          <w:p w14:paraId="2DCCEE83"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29E6E30B"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153C2DD7" w14:textId="77777777" w:rsidTr="00C84F36">
        <w:tc>
          <w:tcPr>
            <w:tcW w:w="4794" w:type="dxa"/>
            <w:shd w:val="clear" w:color="auto" w:fill="auto"/>
          </w:tcPr>
          <w:p w14:paraId="4EA8E73C" w14:textId="77777777" w:rsidR="00910A48" w:rsidRPr="007007D1" w:rsidRDefault="00910A48" w:rsidP="00A32F86">
            <w:pPr>
              <w:pStyle w:val="ListParagraph"/>
              <w:numPr>
                <w:ilvl w:val="0"/>
                <w:numId w:val="16"/>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Selain kewajiban menghitung LCR sebagaimana dimaksud dalam Pasal 2, Bank wajib memantau kondisi dan kecukupan likuiditas dengan menggunakan indikator tertentu.</w:t>
            </w:r>
          </w:p>
        </w:tc>
        <w:tc>
          <w:tcPr>
            <w:tcW w:w="4840" w:type="dxa"/>
            <w:shd w:val="clear" w:color="auto" w:fill="auto"/>
          </w:tcPr>
          <w:p w14:paraId="40BBBBD1" w14:textId="77777777" w:rsidR="00910A48" w:rsidRPr="007007D1" w:rsidRDefault="00910A48" w:rsidP="00C84F36">
            <w:pPr>
              <w:tabs>
                <w:tab w:val="left" w:pos="2552"/>
              </w:tabs>
              <w:spacing w:after="0" w:line="240" w:lineRule="auto"/>
              <w:rPr>
                <w:rFonts w:ascii="Bookman Old Style" w:hAnsi="Bookman Old Style"/>
                <w:sz w:val="20"/>
                <w:szCs w:val="20"/>
              </w:rPr>
            </w:pPr>
            <w:r w:rsidRPr="007007D1">
              <w:rPr>
                <w:rFonts w:ascii="Bookman Old Style" w:hAnsi="Bookman Old Style"/>
                <w:sz w:val="20"/>
                <w:szCs w:val="20"/>
              </w:rPr>
              <w:t>Ayat  (1)</w:t>
            </w:r>
          </w:p>
          <w:p w14:paraId="7D2124A7" w14:textId="77777777" w:rsidR="00910A48" w:rsidRPr="007007D1" w:rsidRDefault="00910A48" w:rsidP="00C84F36">
            <w:pPr>
              <w:tabs>
                <w:tab w:val="left" w:pos="1291"/>
              </w:tabs>
              <w:spacing w:after="0" w:line="240" w:lineRule="auto"/>
              <w:ind w:left="567"/>
              <w:jc w:val="both"/>
              <w:rPr>
                <w:rFonts w:ascii="Bookman Old Style" w:hAnsi="Bookman Old Style"/>
                <w:color w:val="000000"/>
                <w:sz w:val="20"/>
                <w:szCs w:val="20"/>
              </w:rPr>
            </w:pPr>
            <w:r w:rsidRPr="007007D1">
              <w:rPr>
                <w:rFonts w:ascii="Bookman Old Style" w:hAnsi="Bookman Old Style"/>
                <w:color w:val="000000"/>
                <w:sz w:val="20"/>
                <w:szCs w:val="20"/>
                <w:lang w:val="en-ID"/>
              </w:rPr>
              <w:t xml:space="preserve">Yang </w:t>
            </w:r>
            <w:r w:rsidRPr="00C84F36">
              <w:rPr>
                <w:rFonts w:ascii="Bookman Old Style" w:eastAsia="Bookman Old Style" w:hAnsi="Bookman Old Style" w:cs="Bookman Old Style"/>
                <w:color w:val="000000" w:themeColor="text1"/>
                <w:sz w:val="20"/>
                <w:szCs w:val="20"/>
              </w:rPr>
              <w:t>dimaksud</w:t>
            </w:r>
            <w:r w:rsidRPr="007007D1">
              <w:rPr>
                <w:rFonts w:ascii="Bookman Old Style" w:hAnsi="Bookman Old Style"/>
                <w:color w:val="000000"/>
                <w:sz w:val="20"/>
                <w:szCs w:val="20"/>
                <w:lang w:val="en-ID"/>
              </w:rPr>
              <w:t xml:space="preserve"> pemantauan kondisi dan kecukupan likuiditas dengan menggunakan ectoror tertentu antara lain:</w:t>
            </w:r>
          </w:p>
          <w:p w14:paraId="7B8811CD" w14:textId="658B0DDC" w:rsidR="00910A48" w:rsidRPr="007007D1" w:rsidRDefault="00910A48" w:rsidP="00A32F86">
            <w:pPr>
              <w:pStyle w:val="ListParagraph"/>
              <w:numPr>
                <w:ilvl w:val="0"/>
                <w:numId w:val="43"/>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maturity mismatch secara kontraktual, yaitu pemantauan dengan menggunakan </w:t>
            </w:r>
            <w:r w:rsidR="00C84F36" w:rsidRPr="00C84F36">
              <w:rPr>
                <w:rFonts w:ascii="Bookman Old Style" w:eastAsia="Bookman Old Style" w:hAnsi="Bookman Old Style" w:cs="Bookman Old Style"/>
                <w:color w:val="000000" w:themeColor="text1"/>
                <w:sz w:val="20"/>
                <w:szCs w:val="20"/>
                <w:lang w:val="en-US"/>
              </w:rPr>
              <w:t>indikator</w:t>
            </w:r>
            <w:r w:rsidRPr="00C84F36">
              <w:rPr>
                <w:rFonts w:ascii="Bookman Old Style" w:eastAsia="Bookman Old Style" w:hAnsi="Bookman Old Style" w:cs="Bookman Old Style"/>
                <w:i/>
                <w:color w:val="000000" w:themeColor="text1"/>
                <w:sz w:val="20"/>
                <w:szCs w:val="20"/>
              </w:rPr>
              <w:t xml:space="preserve"> maturity mismatch</w:t>
            </w:r>
            <w:r w:rsidRPr="007007D1">
              <w:rPr>
                <w:rFonts w:ascii="Bookman Old Style" w:eastAsia="Bookman Old Style" w:hAnsi="Bookman Old Style" w:cs="Bookman Old Style"/>
                <w:color w:val="000000" w:themeColor="text1"/>
                <w:sz w:val="20"/>
                <w:szCs w:val="20"/>
              </w:rPr>
              <w:t xml:space="preserve"> secara kontraktual bertujuan untuk mengidentifikasi gap antara arus masuk </w:t>
            </w:r>
            <w:r w:rsidRPr="00C84F36">
              <w:rPr>
                <w:rFonts w:ascii="Bookman Old Style" w:eastAsia="Bookman Old Style" w:hAnsi="Bookman Old Style" w:cs="Bookman Old Style"/>
                <w:i/>
                <w:color w:val="000000" w:themeColor="text1"/>
                <w:sz w:val="20"/>
                <w:szCs w:val="20"/>
              </w:rPr>
              <w:t>(inflows</w:t>
            </w:r>
            <w:r w:rsidRPr="007007D1">
              <w:rPr>
                <w:rFonts w:ascii="Bookman Old Style" w:eastAsia="Bookman Old Style" w:hAnsi="Bookman Old Style" w:cs="Bookman Old Style"/>
                <w:color w:val="000000" w:themeColor="text1"/>
                <w:sz w:val="20"/>
                <w:szCs w:val="20"/>
              </w:rPr>
              <w:t>) dan arus keluar (</w:t>
            </w:r>
            <w:r w:rsidRPr="00C84F36">
              <w:rPr>
                <w:rFonts w:ascii="Bookman Old Style" w:eastAsia="Bookman Old Style" w:hAnsi="Bookman Old Style" w:cs="Bookman Old Style"/>
                <w:i/>
                <w:color w:val="000000" w:themeColor="text1"/>
                <w:sz w:val="20"/>
                <w:szCs w:val="20"/>
              </w:rPr>
              <w:t>outflows</w:t>
            </w:r>
            <w:r w:rsidRPr="007007D1">
              <w:rPr>
                <w:rFonts w:ascii="Bookman Old Style" w:eastAsia="Bookman Old Style" w:hAnsi="Bookman Old Style" w:cs="Bookman Old Style"/>
                <w:color w:val="000000" w:themeColor="text1"/>
                <w:sz w:val="20"/>
                <w:szCs w:val="20"/>
              </w:rPr>
              <w:t xml:space="preserve">) kontraktual dalam kurun waktu tertentu. Gap berdasarkan jatuh tempo tersebut mengindikasikan potensi kebutuhan </w:t>
            </w:r>
            <w:r w:rsidRPr="007007D1">
              <w:rPr>
                <w:rFonts w:ascii="Bookman Old Style" w:eastAsia="Bookman Old Style" w:hAnsi="Bookman Old Style" w:cs="Bookman Old Style"/>
                <w:color w:val="000000" w:themeColor="text1"/>
                <w:sz w:val="20"/>
                <w:szCs w:val="20"/>
              </w:rPr>
              <w:lastRenderedPageBreak/>
              <w:t>likuiditas Bank dalam kurun waktu tertentu apabila terjadi arus keluar (</w:t>
            </w:r>
            <w:r w:rsidRPr="00C84F36">
              <w:rPr>
                <w:rFonts w:ascii="Bookman Old Style" w:eastAsia="Bookman Old Style" w:hAnsi="Bookman Old Style" w:cs="Bookman Old Style"/>
                <w:i/>
                <w:color w:val="000000" w:themeColor="text1"/>
                <w:sz w:val="20"/>
                <w:szCs w:val="20"/>
              </w:rPr>
              <w:t>outflows</w:t>
            </w:r>
            <w:r w:rsidRPr="007007D1">
              <w:rPr>
                <w:rFonts w:ascii="Bookman Old Style" w:eastAsia="Bookman Old Style" w:hAnsi="Bookman Old Style" w:cs="Bookman Old Style"/>
                <w:color w:val="000000" w:themeColor="text1"/>
                <w:sz w:val="20"/>
                <w:szCs w:val="20"/>
              </w:rPr>
              <w:t xml:space="preserve">); </w:t>
            </w:r>
          </w:p>
          <w:p w14:paraId="17A6FC03" w14:textId="7CFCE729" w:rsidR="00910A48" w:rsidRPr="00C84F36" w:rsidRDefault="00910A48" w:rsidP="00A32F86">
            <w:pPr>
              <w:pStyle w:val="ListParagraph"/>
              <w:numPr>
                <w:ilvl w:val="0"/>
                <w:numId w:val="43"/>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konsentrasi Pendanaan, yaitu pemantauan untuk mengidentifikasi sumber-sumber Pendanaan korporasi yang tergolong signifikan apabila terjadi penarikan dana akan menyebabkan permasalahan likuiditas. </w:t>
            </w:r>
          </w:p>
          <w:p w14:paraId="7C1EC512" w14:textId="77777777" w:rsidR="00910A48" w:rsidRPr="007007D1" w:rsidRDefault="00910A48" w:rsidP="00C84F36">
            <w:pPr>
              <w:pStyle w:val="ListParagraph"/>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Indikator konsentrasi Pendanaan dilakukan melalui pemantauan terhadap:</w:t>
            </w:r>
          </w:p>
          <w:p w14:paraId="68E2F8CA" w14:textId="199E4A77" w:rsidR="00910A48" w:rsidRPr="00C84F36" w:rsidRDefault="00910A48" w:rsidP="00A32F86">
            <w:pPr>
              <w:pStyle w:val="ListParagraph"/>
              <w:numPr>
                <w:ilvl w:val="0"/>
                <w:numId w:val="44"/>
              </w:numPr>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persentase sumber Pendanaan yang berasal dari pihak lawan (</w:t>
            </w:r>
            <w:r w:rsidRPr="00C84F36">
              <w:rPr>
                <w:rFonts w:ascii="Bookman Old Style" w:eastAsia="Bookman Old Style" w:hAnsi="Bookman Old Style" w:cs="Bookman Old Style"/>
                <w:i/>
                <w:color w:val="000000" w:themeColor="text1"/>
                <w:sz w:val="20"/>
                <w:szCs w:val="20"/>
              </w:rPr>
              <w:t>counterparty</w:t>
            </w:r>
            <w:r w:rsidRPr="007007D1">
              <w:rPr>
                <w:rFonts w:ascii="Bookman Old Style" w:eastAsia="Bookman Old Style" w:hAnsi="Bookman Old Style" w:cs="Bookman Old Style"/>
                <w:color w:val="000000" w:themeColor="text1"/>
                <w:sz w:val="20"/>
                <w:szCs w:val="20"/>
              </w:rPr>
              <w:t>) yang tergolong signifikan terhadap total kewajiban Bank;</w:t>
            </w:r>
          </w:p>
          <w:p w14:paraId="5552A41C" w14:textId="4E7C42F5" w:rsidR="00910A48" w:rsidRPr="00C84F36" w:rsidRDefault="00910A48" w:rsidP="00C84F36">
            <w:pPr>
              <w:pStyle w:val="ListParagraph"/>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lang w:val="en-US"/>
              </w:rPr>
            </w:pPr>
            <w:r w:rsidRPr="007007D1">
              <w:rPr>
                <w:rFonts w:ascii="Bookman Old Style" w:eastAsia="Bookman Old Style" w:hAnsi="Bookman Old Style" w:cs="Bookman Old Style"/>
                <w:color w:val="000000" w:themeColor="text1"/>
                <w:sz w:val="20"/>
                <w:szCs w:val="20"/>
              </w:rPr>
              <w:t>Sumber Pendanaan yang berasal dari setiap pihak lawan (</w:t>
            </w:r>
            <w:r w:rsidRPr="00C84F36">
              <w:rPr>
                <w:rFonts w:ascii="Bookman Old Style" w:eastAsia="Bookman Old Style" w:hAnsi="Bookman Old Style" w:cs="Bookman Old Style"/>
                <w:i/>
                <w:color w:val="000000" w:themeColor="text1"/>
                <w:sz w:val="20"/>
                <w:szCs w:val="20"/>
              </w:rPr>
              <w:t>counterparty</w:t>
            </w:r>
            <w:r w:rsidRPr="007007D1">
              <w:rPr>
                <w:rFonts w:ascii="Bookman Old Style" w:eastAsia="Bookman Old Style" w:hAnsi="Bookman Old Style" w:cs="Bookman Old Style"/>
                <w:color w:val="000000" w:themeColor="text1"/>
                <w:sz w:val="20"/>
                <w:szCs w:val="20"/>
              </w:rPr>
              <w:t>) yang tergolong signifikan dihitung berdasarkan agregasi dari total seluruh jenis kewajiban kepada satu pihak lawan (</w:t>
            </w:r>
            <w:r w:rsidRPr="00C84F36">
              <w:rPr>
                <w:rFonts w:ascii="Bookman Old Style" w:eastAsia="Bookman Old Style" w:hAnsi="Bookman Old Style" w:cs="Bookman Old Style"/>
                <w:i/>
                <w:color w:val="000000" w:themeColor="text1"/>
                <w:sz w:val="20"/>
                <w:szCs w:val="20"/>
              </w:rPr>
              <w:t>counterparty</w:t>
            </w:r>
            <w:r w:rsidRPr="007007D1">
              <w:rPr>
                <w:rFonts w:ascii="Bookman Old Style" w:eastAsia="Bookman Old Style" w:hAnsi="Bookman Old Style" w:cs="Bookman Old Style"/>
                <w:color w:val="000000" w:themeColor="text1"/>
                <w:sz w:val="20"/>
                <w:szCs w:val="20"/>
              </w:rPr>
              <w:t>) tertentu atau kelompok usaha atau afiliasinya serta seluruh pinjaman langsung, yang dijamin dan tidak dijamin</w:t>
            </w:r>
            <w:r w:rsidR="00C84F36">
              <w:rPr>
                <w:rFonts w:ascii="Bookman Old Style" w:eastAsia="Bookman Old Style" w:hAnsi="Bookman Old Style" w:cs="Bookman Old Style"/>
                <w:color w:val="000000" w:themeColor="text1"/>
                <w:sz w:val="20"/>
                <w:szCs w:val="20"/>
                <w:lang w:val="en-US"/>
              </w:rPr>
              <w:t>.</w:t>
            </w:r>
          </w:p>
          <w:p w14:paraId="5E6E9F56" w14:textId="77777777" w:rsidR="00910A48" w:rsidRPr="007007D1" w:rsidRDefault="00910A48" w:rsidP="00C84F36">
            <w:pPr>
              <w:pStyle w:val="ListParagraph"/>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Pihak lawan (</w:t>
            </w:r>
            <w:r w:rsidRPr="00C84F36">
              <w:rPr>
                <w:rFonts w:ascii="Bookman Old Style" w:eastAsia="Bookman Old Style" w:hAnsi="Bookman Old Style" w:cs="Bookman Old Style"/>
                <w:i/>
                <w:color w:val="000000" w:themeColor="text1"/>
                <w:sz w:val="20"/>
                <w:szCs w:val="20"/>
              </w:rPr>
              <w:t>counterparty</w:t>
            </w:r>
            <w:r w:rsidRPr="007007D1">
              <w:rPr>
                <w:rFonts w:ascii="Bookman Old Style" w:eastAsia="Bookman Old Style" w:hAnsi="Bookman Old Style" w:cs="Bookman Old Style"/>
                <w:color w:val="000000" w:themeColor="text1"/>
                <w:sz w:val="20"/>
                <w:szCs w:val="20"/>
              </w:rPr>
              <w:t xml:space="preserve">) yang tergolong signifikan merupakan satu pihak lawan </w:t>
            </w:r>
            <w:r w:rsidRPr="00C84F36">
              <w:rPr>
                <w:rFonts w:ascii="Bookman Old Style" w:eastAsia="Bookman Old Style" w:hAnsi="Bookman Old Style" w:cs="Bookman Old Style"/>
                <w:color w:val="000000" w:themeColor="text1"/>
                <w:sz w:val="20"/>
                <w:szCs w:val="20"/>
              </w:rPr>
              <w:t>(</w:t>
            </w:r>
            <w:r w:rsidRPr="00C84F36">
              <w:rPr>
                <w:rFonts w:ascii="Bookman Old Style" w:eastAsia="Bookman Old Style" w:hAnsi="Bookman Old Style" w:cs="Bookman Old Style"/>
                <w:i/>
                <w:color w:val="000000" w:themeColor="text1"/>
                <w:sz w:val="20"/>
                <w:szCs w:val="20"/>
              </w:rPr>
              <w:t>counterparty</w:t>
            </w:r>
            <w:r w:rsidRPr="007007D1">
              <w:rPr>
                <w:rFonts w:ascii="Bookman Old Style" w:eastAsia="Bookman Old Style" w:hAnsi="Bookman Old Style" w:cs="Bookman Old Style"/>
                <w:color w:val="000000" w:themeColor="text1"/>
                <w:sz w:val="20"/>
                <w:szCs w:val="20"/>
              </w:rPr>
              <w:t>) atau kelompok usaha atau afiliasi yang dicatat secara agregat memiliki Pendanaan  lebih dari 1% (satu persen) terhadap neraca Bank;</w:t>
            </w:r>
          </w:p>
          <w:p w14:paraId="3795AD37" w14:textId="47FB8F73" w:rsidR="00910A48" w:rsidRPr="00C84F36" w:rsidRDefault="00910A48" w:rsidP="00A32F86">
            <w:pPr>
              <w:pStyle w:val="ListParagraph"/>
              <w:numPr>
                <w:ilvl w:val="0"/>
                <w:numId w:val="44"/>
              </w:numPr>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persentase sumber Pendanaan yang berasal dari setiap produk atau </w:t>
            </w:r>
            <w:r w:rsidR="00C84F36" w:rsidRPr="00C84F36">
              <w:rPr>
                <w:rFonts w:ascii="Bookman Old Style" w:eastAsia="Bookman Old Style" w:hAnsi="Bookman Old Style" w:cs="Bookman Old Style"/>
                <w:color w:val="000000" w:themeColor="text1"/>
                <w:sz w:val="20"/>
                <w:szCs w:val="20"/>
                <w:lang w:val="en-US"/>
              </w:rPr>
              <w:t>instrumen</w:t>
            </w:r>
            <w:r w:rsidRPr="00C84F36">
              <w:rPr>
                <w:rFonts w:ascii="Bookman Old Style" w:eastAsia="Bookman Old Style" w:hAnsi="Bookman Old Style" w:cs="Bookman Old Style"/>
                <w:i/>
                <w:color w:val="000000" w:themeColor="text1"/>
                <w:sz w:val="20"/>
                <w:szCs w:val="20"/>
              </w:rPr>
              <w:t xml:space="preserve"> </w:t>
            </w:r>
            <w:r w:rsidRPr="007007D1">
              <w:rPr>
                <w:rFonts w:ascii="Bookman Old Style" w:eastAsia="Bookman Old Style" w:hAnsi="Bookman Old Style" w:cs="Bookman Old Style"/>
                <w:color w:val="000000" w:themeColor="text1"/>
                <w:sz w:val="20"/>
                <w:szCs w:val="20"/>
              </w:rPr>
              <w:t xml:space="preserve">yang tergolong </w:t>
            </w:r>
            <w:r w:rsidRPr="007007D1">
              <w:rPr>
                <w:rFonts w:ascii="Bookman Old Style" w:eastAsia="Bookman Old Style" w:hAnsi="Bookman Old Style" w:cs="Bookman Old Style"/>
                <w:color w:val="000000" w:themeColor="text1"/>
                <w:sz w:val="20"/>
                <w:szCs w:val="20"/>
              </w:rPr>
              <w:lastRenderedPageBreak/>
              <w:t>signifikan terhadap total kewajiban;</w:t>
            </w:r>
          </w:p>
          <w:p w14:paraId="493E93D3" w14:textId="443F43F0" w:rsidR="00910A48" w:rsidRPr="00C84F36" w:rsidRDefault="00910A48" w:rsidP="00C84F36">
            <w:pPr>
              <w:pStyle w:val="ListParagraph"/>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Sumber Pendanaan yang berasal dari produk atau </w:t>
            </w:r>
            <w:r w:rsidR="00C84F36" w:rsidRPr="00C84F36">
              <w:rPr>
                <w:rFonts w:ascii="Bookman Old Style" w:eastAsia="Bookman Old Style" w:hAnsi="Bookman Old Style" w:cs="Bookman Old Style"/>
                <w:color w:val="000000" w:themeColor="text1"/>
                <w:sz w:val="20"/>
                <w:szCs w:val="20"/>
                <w:lang w:val="en-US"/>
              </w:rPr>
              <w:t xml:space="preserve"> instrumen</w:t>
            </w:r>
            <w:r w:rsidR="00C84F36" w:rsidRPr="007007D1">
              <w:rPr>
                <w:rFonts w:ascii="Bookman Old Style" w:eastAsia="Bookman Old Style" w:hAnsi="Bookman Old Style" w:cs="Bookman Old Style"/>
                <w:color w:val="000000" w:themeColor="text1"/>
                <w:sz w:val="20"/>
                <w:szCs w:val="20"/>
              </w:rPr>
              <w:t xml:space="preserve"> </w:t>
            </w:r>
            <w:r w:rsidRPr="007007D1">
              <w:rPr>
                <w:rFonts w:ascii="Bookman Old Style" w:eastAsia="Bookman Old Style" w:hAnsi="Bookman Old Style" w:cs="Bookman Old Style"/>
                <w:color w:val="000000" w:themeColor="text1"/>
                <w:sz w:val="20"/>
                <w:szCs w:val="20"/>
              </w:rPr>
              <w:t xml:space="preserve"> dihitung untuk masing-masing produk atau </w:t>
            </w:r>
            <w:r w:rsidR="00C84F36" w:rsidRPr="00C84F36">
              <w:rPr>
                <w:rFonts w:ascii="Bookman Old Style" w:eastAsia="Bookman Old Style" w:hAnsi="Bookman Old Style" w:cs="Bookman Old Style"/>
                <w:color w:val="000000" w:themeColor="text1"/>
                <w:sz w:val="20"/>
                <w:szCs w:val="20"/>
                <w:lang w:val="en-US"/>
              </w:rPr>
              <w:t xml:space="preserve"> instrumen</w:t>
            </w:r>
            <w:r w:rsidR="00C84F36" w:rsidRPr="007007D1">
              <w:rPr>
                <w:rFonts w:ascii="Bookman Old Style" w:eastAsia="Bookman Old Style" w:hAnsi="Bookman Old Style" w:cs="Bookman Old Style"/>
                <w:color w:val="000000" w:themeColor="text1"/>
                <w:sz w:val="20"/>
                <w:szCs w:val="20"/>
              </w:rPr>
              <w:t xml:space="preserve"> </w:t>
            </w:r>
            <w:r w:rsidRPr="007007D1">
              <w:rPr>
                <w:rFonts w:ascii="Bookman Old Style" w:eastAsia="Bookman Old Style" w:hAnsi="Bookman Old Style" w:cs="Bookman Old Style"/>
                <w:color w:val="000000" w:themeColor="text1"/>
                <w:sz w:val="20"/>
                <w:szCs w:val="20"/>
              </w:rPr>
              <w:t xml:space="preserve"> Pendanaan yang tergolong signifikan dan secara kelompok untuk jenis produk atau </w:t>
            </w:r>
            <w:r w:rsidR="00C84F36" w:rsidRPr="00C84F36">
              <w:rPr>
                <w:rFonts w:ascii="Bookman Old Style" w:eastAsia="Bookman Old Style" w:hAnsi="Bookman Old Style" w:cs="Bookman Old Style"/>
                <w:color w:val="000000" w:themeColor="text1"/>
                <w:sz w:val="20"/>
                <w:szCs w:val="20"/>
                <w:lang w:val="en-US"/>
              </w:rPr>
              <w:t xml:space="preserve"> instrumen</w:t>
            </w:r>
            <w:r w:rsidR="00C84F36" w:rsidRPr="007007D1">
              <w:rPr>
                <w:rFonts w:ascii="Bookman Old Style" w:eastAsia="Bookman Old Style" w:hAnsi="Bookman Old Style" w:cs="Bookman Old Style"/>
                <w:color w:val="000000" w:themeColor="text1"/>
                <w:sz w:val="20"/>
                <w:szCs w:val="20"/>
              </w:rPr>
              <w:t xml:space="preserve"> </w:t>
            </w:r>
            <w:r w:rsidRPr="007007D1">
              <w:rPr>
                <w:rFonts w:ascii="Bookman Old Style" w:eastAsia="Bookman Old Style" w:hAnsi="Bookman Old Style" w:cs="Bookman Old Style"/>
                <w:color w:val="000000" w:themeColor="text1"/>
                <w:sz w:val="20"/>
                <w:szCs w:val="20"/>
              </w:rPr>
              <w:t xml:space="preserve"> yang serupa.</w:t>
            </w:r>
          </w:p>
          <w:p w14:paraId="00B9F1A1" w14:textId="596B5654" w:rsidR="00910A48" w:rsidRPr="007007D1" w:rsidRDefault="00910A48" w:rsidP="00C84F36">
            <w:pPr>
              <w:pStyle w:val="ListParagraph"/>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Produk atau</w:t>
            </w:r>
            <w:r w:rsidR="00C84F36">
              <w:rPr>
                <w:rFonts w:ascii="Bookman Old Style" w:eastAsia="Bookman Old Style" w:hAnsi="Bookman Old Style" w:cs="Bookman Old Style"/>
                <w:color w:val="000000" w:themeColor="text1"/>
                <w:sz w:val="20"/>
                <w:szCs w:val="20"/>
                <w:lang w:val="en-US"/>
              </w:rPr>
              <w:t xml:space="preserve"> </w:t>
            </w:r>
            <w:r w:rsidR="00C84F36" w:rsidRPr="00C84F36">
              <w:rPr>
                <w:rFonts w:ascii="Bookman Old Style" w:eastAsia="Bookman Old Style" w:hAnsi="Bookman Old Style" w:cs="Bookman Old Style"/>
                <w:color w:val="000000" w:themeColor="text1"/>
                <w:sz w:val="20"/>
                <w:szCs w:val="20"/>
                <w:lang w:val="en-US"/>
              </w:rPr>
              <w:t xml:space="preserve"> instrumen</w:t>
            </w:r>
            <w:r w:rsidR="00C84F36" w:rsidRPr="007007D1">
              <w:rPr>
                <w:rFonts w:ascii="Bookman Old Style" w:eastAsia="Bookman Old Style" w:hAnsi="Bookman Old Style" w:cs="Bookman Old Style"/>
                <w:color w:val="000000" w:themeColor="text1"/>
                <w:sz w:val="20"/>
                <w:szCs w:val="20"/>
              </w:rPr>
              <w:t xml:space="preserve"> </w:t>
            </w:r>
            <w:r w:rsidRPr="007007D1">
              <w:rPr>
                <w:rFonts w:ascii="Bookman Old Style" w:eastAsia="Bookman Old Style" w:hAnsi="Bookman Old Style" w:cs="Bookman Old Style"/>
                <w:color w:val="000000" w:themeColor="text1"/>
                <w:sz w:val="20"/>
                <w:szCs w:val="20"/>
              </w:rPr>
              <w:t xml:space="preserve"> yang tergolong signifikan didefinisikan sebagai sebuah produk atau ectoror atau kelompok produk atau </w:t>
            </w:r>
            <w:r w:rsidRPr="00C84F36">
              <w:rPr>
                <w:rFonts w:ascii="Bookman Old Style" w:eastAsia="Bookman Old Style" w:hAnsi="Bookman Old Style" w:cs="Bookman Old Style"/>
                <w:i/>
                <w:color w:val="000000" w:themeColor="text1"/>
                <w:sz w:val="20"/>
                <w:szCs w:val="20"/>
              </w:rPr>
              <w:t xml:space="preserve">ectoror </w:t>
            </w:r>
            <w:r w:rsidRPr="007007D1">
              <w:rPr>
                <w:rFonts w:ascii="Bookman Old Style" w:eastAsia="Bookman Old Style" w:hAnsi="Bookman Old Style" w:cs="Bookman Old Style"/>
                <w:color w:val="000000" w:themeColor="text1"/>
                <w:sz w:val="20"/>
                <w:szCs w:val="20"/>
              </w:rPr>
              <w:t>yang serupa yang secara agregat berjumlah lebih dari 1% (satu persen) terhadap neraca Bank;</w:t>
            </w:r>
          </w:p>
          <w:p w14:paraId="15572659" w14:textId="374C4E44" w:rsidR="00910A48" w:rsidRPr="00C84F36" w:rsidRDefault="00910A48" w:rsidP="00A32F86">
            <w:pPr>
              <w:pStyle w:val="ListParagraph"/>
              <w:numPr>
                <w:ilvl w:val="0"/>
                <w:numId w:val="44"/>
              </w:numPr>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daftar jumlah aset dan kewajiban berdasarkan mata uang yang tergolong signifikan;</w:t>
            </w:r>
          </w:p>
          <w:p w14:paraId="458899D1" w14:textId="7712095D" w:rsidR="00910A48" w:rsidRPr="00C84F36" w:rsidRDefault="00910A48" w:rsidP="00C84F36">
            <w:pPr>
              <w:pStyle w:val="ListParagraph"/>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Untuk dapat mengetahui jumlah ketidaksesuaian (</w:t>
            </w:r>
            <w:r w:rsidRPr="00C84F36">
              <w:rPr>
                <w:rFonts w:ascii="Bookman Old Style" w:eastAsia="Bookman Old Style" w:hAnsi="Bookman Old Style" w:cs="Bookman Old Style"/>
                <w:i/>
                <w:color w:val="000000" w:themeColor="text1"/>
                <w:sz w:val="20"/>
                <w:szCs w:val="20"/>
              </w:rPr>
              <w:t>mismatch</w:t>
            </w:r>
            <w:r w:rsidRPr="007007D1">
              <w:rPr>
                <w:rFonts w:ascii="Bookman Old Style" w:eastAsia="Bookman Old Style" w:hAnsi="Bookman Old Style" w:cs="Bookman Old Style"/>
                <w:color w:val="000000" w:themeColor="text1"/>
                <w:sz w:val="20"/>
                <w:szCs w:val="20"/>
              </w:rPr>
              <w:t>) mata uang yang tergolong signifikan pada aset dan kewajiban Bank, Bank harus memiliki daftar jumlah aset dan kewajiban untuk setiap mata uang yang tergolong signifikan.</w:t>
            </w:r>
          </w:p>
          <w:p w14:paraId="2481C111" w14:textId="77777777" w:rsidR="00910A48" w:rsidRPr="007007D1" w:rsidRDefault="00910A48" w:rsidP="00C84F36">
            <w:pPr>
              <w:pStyle w:val="ListParagraph"/>
              <w:tabs>
                <w:tab w:val="left" w:pos="1980"/>
                <w:tab w:val="left" w:pos="2520"/>
                <w:tab w:val="left" w:pos="2552"/>
              </w:tabs>
              <w:spacing w:after="0" w:line="240" w:lineRule="auto"/>
              <w:ind w:left="1188"/>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Suatu mata uang tergolong signifikan jika secara agregat denominasi dalam mata uang berjumlah 5% (lima persen) atau lebih dari total kewajiban Bank;</w:t>
            </w:r>
          </w:p>
          <w:p w14:paraId="2A5B4254" w14:textId="2184558C" w:rsidR="00910A48" w:rsidRPr="00C84F36" w:rsidRDefault="00910A48" w:rsidP="00A32F86">
            <w:pPr>
              <w:pStyle w:val="ListParagraph"/>
              <w:numPr>
                <w:ilvl w:val="0"/>
                <w:numId w:val="43"/>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aset tidak terikat </w:t>
            </w:r>
            <w:r w:rsidRPr="00C84F36">
              <w:rPr>
                <w:rFonts w:ascii="Bookman Old Style" w:eastAsia="Bookman Old Style" w:hAnsi="Bookman Old Style" w:cs="Bookman Old Style"/>
                <w:i/>
                <w:color w:val="000000" w:themeColor="text1"/>
                <w:sz w:val="20"/>
                <w:szCs w:val="20"/>
              </w:rPr>
              <w:t>(unencumbered</w:t>
            </w:r>
            <w:r w:rsidRPr="007007D1">
              <w:rPr>
                <w:rFonts w:ascii="Bookman Old Style" w:eastAsia="Bookman Old Style" w:hAnsi="Bookman Old Style" w:cs="Bookman Old Style"/>
                <w:color w:val="000000" w:themeColor="text1"/>
                <w:sz w:val="20"/>
                <w:szCs w:val="20"/>
              </w:rPr>
              <w:t xml:space="preserve">) yang tersedia, yaitu pemantauan melalui </w:t>
            </w:r>
            <w:r w:rsidR="00C84F36">
              <w:rPr>
                <w:rFonts w:ascii="Bookman Old Style" w:eastAsia="Bookman Old Style" w:hAnsi="Bookman Old Style" w:cs="Bookman Old Style"/>
                <w:color w:val="000000" w:themeColor="text1"/>
                <w:sz w:val="20"/>
                <w:szCs w:val="20"/>
                <w:lang w:val="en-US"/>
              </w:rPr>
              <w:t>indikator</w:t>
            </w:r>
            <w:r w:rsidRPr="007007D1">
              <w:rPr>
                <w:rFonts w:ascii="Bookman Old Style" w:eastAsia="Bookman Old Style" w:hAnsi="Bookman Old Style" w:cs="Bookman Old Style"/>
                <w:color w:val="000000" w:themeColor="text1"/>
                <w:sz w:val="20"/>
                <w:szCs w:val="20"/>
              </w:rPr>
              <w:t xml:space="preserve"> aset tidak terikat (</w:t>
            </w:r>
            <w:r w:rsidRPr="00C84F36">
              <w:rPr>
                <w:rFonts w:ascii="Bookman Old Style" w:eastAsia="Bookman Old Style" w:hAnsi="Bookman Old Style" w:cs="Bookman Old Style"/>
                <w:i/>
                <w:color w:val="000000" w:themeColor="text1"/>
                <w:sz w:val="20"/>
                <w:szCs w:val="20"/>
              </w:rPr>
              <w:t>unencumbered</w:t>
            </w:r>
            <w:r w:rsidRPr="007007D1">
              <w:rPr>
                <w:rFonts w:ascii="Bookman Old Style" w:eastAsia="Bookman Old Style" w:hAnsi="Bookman Old Style" w:cs="Bookman Old Style"/>
                <w:color w:val="000000" w:themeColor="text1"/>
                <w:sz w:val="20"/>
                <w:szCs w:val="20"/>
              </w:rPr>
              <w:t>) yang tersedia.</w:t>
            </w:r>
          </w:p>
          <w:p w14:paraId="0A0C603E" w14:textId="77777777" w:rsidR="00910A48" w:rsidRPr="007007D1" w:rsidRDefault="00910A48" w:rsidP="00C84F36">
            <w:pPr>
              <w:pStyle w:val="ListParagraph"/>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Indikator aset tidak terikat (</w:t>
            </w:r>
            <w:r w:rsidRPr="00C84F36">
              <w:rPr>
                <w:rFonts w:ascii="Bookman Old Style" w:eastAsia="Bookman Old Style" w:hAnsi="Bookman Old Style" w:cs="Bookman Old Style"/>
                <w:i/>
                <w:color w:val="000000" w:themeColor="text1"/>
                <w:sz w:val="20"/>
                <w:szCs w:val="20"/>
              </w:rPr>
              <w:t>unencumbered</w:t>
            </w:r>
            <w:r w:rsidRPr="007007D1">
              <w:rPr>
                <w:rFonts w:ascii="Bookman Old Style" w:eastAsia="Bookman Old Style" w:hAnsi="Bookman Old Style" w:cs="Bookman Old Style"/>
                <w:color w:val="000000" w:themeColor="text1"/>
                <w:sz w:val="20"/>
                <w:szCs w:val="20"/>
              </w:rPr>
              <w:t>) yang tersedia dilakukan melalui pemantauan terhadap:</w:t>
            </w:r>
          </w:p>
          <w:p w14:paraId="17D4E831" w14:textId="77777777" w:rsidR="00910A48" w:rsidRPr="007007D1" w:rsidRDefault="00910A48" w:rsidP="00A32F86">
            <w:pPr>
              <w:pStyle w:val="ListParagraph"/>
              <w:numPr>
                <w:ilvl w:val="0"/>
                <w:numId w:val="45"/>
              </w:numPr>
              <w:tabs>
                <w:tab w:val="left" w:pos="1980"/>
                <w:tab w:val="left" w:pos="2520"/>
                <w:tab w:val="left" w:pos="2552"/>
              </w:tabs>
              <w:spacing w:after="0" w:line="240" w:lineRule="auto"/>
              <w:ind w:left="1188" w:hanging="28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aset tidak terikat (</w:t>
            </w:r>
            <w:r w:rsidRPr="00C84F36">
              <w:rPr>
                <w:rFonts w:ascii="Bookman Old Style" w:eastAsia="Bookman Old Style" w:hAnsi="Bookman Old Style" w:cs="Bookman Old Style"/>
                <w:i/>
                <w:color w:val="000000" w:themeColor="text1"/>
                <w:sz w:val="20"/>
                <w:szCs w:val="20"/>
              </w:rPr>
              <w:t>unencumbered</w:t>
            </w:r>
            <w:r w:rsidRPr="007007D1">
              <w:rPr>
                <w:rFonts w:ascii="Bookman Old Style" w:eastAsia="Bookman Old Style" w:hAnsi="Bookman Old Style" w:cs="Bookman Old Style"/>
                <w:color w:val="000000" w:themeColor="text1"/>
                <w:sz w:val="20"/>
                <w:szCs w:val="20"/>
              </w:rPr>
              <w:t>) yang tersedia dan dapat digunakan sebagai agunan di pasar sekunder; dan</w:t>
            </w:r>
          </w:p>
          <w:p w14:paraId="5DDC6615" w14:textId="77777777" w:rsidR="00910A48" w:rsidRPr="007007D1" w:rsidRDefault="00910A48" w:rsidP="00A32F86">
            <w:pPr>
              <w:pStyle w:val="ListParagraph"/>
              <w:numPr>
                <w:ilvl w:val="0"/>
                <w:numId w:val="45"/>
              </w:numPr>
              <w:tabs>
                <w:tab w:val="left" w:pos="1980"/>
                <w:tab w:val="left" w:pos="2520"/>
                <w:tab w:val="left" w:pos="2552"/>
              </w:tabs>
              <w:spacing w:after="0" w:line="240" w:lineRule="auto"/>
              <w:ind w:left="1188" w:hanging="28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aset tidak terikat (</w:t>
            </w:r>
            <w:r w:rsidRPr="00C84F36">
              <w:rPr>
                <w:rFonts w:ascii="Bookman Old Style" w:eastAsia="Bookman Old Style" w:hAnsi="Bookman Old Style" w:cs="Bookman Old Style"/>
                <w:i/>
                <w:color w:val="000000" w:themeColor="text1"/>
                <w:sz w:val="20"/>
                <w:szCs w:val="20"/>
              </w:rPr>
              <w:t>unencumbered</w:t>
            </w:r>
            <w:r w:rsidRPr="007007D1">
              <w:rPr>
                <w:rFonts w:ascii="Bookman Old Style" w:eastAsia="Bookman Old Style" w:hAnsi="Bookman Old Style" w:cs="Bookman Old Style"/>
                <w:color w:val="000000" w:themeColor="text1"/>
                <w:sz w:val="20"/>
                <w:szCs w:val="20"/>
              </w:rPr>
              <w:t>) yang tersedia dan memenuhi persyaratan untuk mendapatkan fasilitas Pendanaan dari bank sentral (</w:t>
            </w:r>
            <w:r w:rsidRPr="00C84F36">
              <w:rPr>
                <w:rFonts w:ascii="Bookman Old Style" w:eastAsia="Bookman Old Style" w:hAnsi="Bookman Old Style" w:cs="Bookman Old Style"/>
                <w:i/>
                <w:color w:val="000000" w:themeColor="text1"/>
                <w:sz w:val="20"/>
                <w:szCs w:val="20"/>
              </w:rPr>
              <w:t>central bank eligible</w:t>
            </w:r>
            <w:r w:rsidRPr="007007D1">
              <w:rPr>
                <w:rFonts w:ascii="Bookman Old Style" w:eastAsia="Bookman Old Style" w:hAnsi="Bookman Old Style" w:cs="Bookman Old Style"/>
                <w:color w:val="000000" w:themeColor="text1"/>
                <w:sz w:val="20"/>
                <w:szCs w:val="20"/>
              </w:rPr>
              <w:t>).</w:t>
            </w:r>
          </w:p>
          <w:p w14:paraId="6B451C00" w14:textId="77777777" w:rsidR="00910A48" w:rsidRPr="007007D1" w:rsidRDefault="00910A48" w:rsidP="00C84F36">
            <w:p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Aset-aset tersebut berpotensi untuk digunakan sebagai agunan sehingga dapat diperhitungkan sebagai HQLA atau untuk memperoleh Pendanaan dari pasar sekunder atau bank sentral;</w:t>
            </w:r>
          </w:p>
          <w:p w14:paraId="7FE1F6E1" w14:textId="75312A7C" w:rsidR="00910A48" w:rsidRPr="00C84F36" w:rsidRDefault="00910A48" w:rsidP="00A32F86">
            <w:pPr>
              <w:pStyle w:val="ListParagraph"/>
              <w:numPr>
                <w:ilvl w:val="0"/>
                <w:numId w:val="43"/>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LCR berdasarkan jenis mata uang yang signifikan, yaitu pemantauan melalui </w:t>
            </w:r>
            <w:r w:rsidR="00C84F36">
              <w:rPr>
                <w:rFonts w:ascii="Bookman Old Style" w:eastAsia="Bookman Old Style" w:hAnsi="Bookman Old Style" w:cs="Bookman Old Style"/>
                <w:color w:val="000000" w:themeColor="text1"/>
                <w:sz w:val="20"/>
                <w:szCs w:val="20"/>
                <w:lang w:val="en-US"/>
              </w:rPr>
              <w:t>indikator</w:t>
            </w:r>
            <w:r w:rsidRPr="00C84F36">
              <w:rPr>
                <w:rFonts w:ascii="Bookman Old Style" w:eastAsia="Bookman Old Style" w:hAnsi="Bookman Old Style" w:cs="Bookman Old Style"/>
                <w:i/>
                <w:color w:val="000000" w:themeColor="text1"/>
                <w:sz w:val="20"/>
                <w:szCs w:val="20"/>
              </w:rPr>
              <w:t xml:space="preserve"> </w:t>
            </w:r>
            <w:r w:rsidRPr="007007D1">
              <w:rPr>
                <w:rFonts w:ascii="Bookman Old Style" w:eastAsia="Bookman Old Style" w:hAnsi="Bookman Old Style" w:cs="Bookman Old Style"/>
                <w:color w:val="000000" w:themeColor="text1"/>
                <w:sz w:val="20"/>
                <w:szCs w:val="20"/>
              </w:rPr>
              <w:t>LCR berdasarkan jenis mata uang yang signifikan untuk memperoleh gambaran potensi ketidaksesuaian (</w:t>
            </w:r>
            <w:r w:rsidRPr="00C84F36">
              <w:rPr>
                <w:rFonts w:ascii="Bookman Old Style" w:eastAsia="Bookman Old Style" w:hAnsi="Bookman Old Style" w:cs="Bookman Old Style"/>
                <w:i/>
                <w:color w:val="000000" w:themeColor="text1"/>
                <w:sz w:val="20"/>
                <w:szCs w:val="20"/>
              </w:rPr>
              <w:t>mismatch</w:t>
            </w:r>
            <w:r w:rsidRPr="007007D1">
              <w:rPr>
                <w:rFonts w:ascii="Bookman Old Style" w:eastAsia="Bookman Old Style" w:hAnsi="Bookman Old Style" w:cs="Bookman Old Style"/>
                <w:color w:val="000000" w:themeColor="text1"/>
                <w:sz w:val="20"/>
                <w:szCs w:val="20"/>
              </w:rPr>
              <w:t>) yang bersumber dari mata uang tertentu.</w:t>
            </w:r>
          </w:p>
          <w:p w14:paraId="2D02CB67" w14:textId="6EFDA5A9" w:rsidR="00910A48" w:rsidRPr="00C84F36" w:rsidRDefault="00910A48" w:rsidP="00C84F36">
            <w:pPr>
              <w:pStyle w:val="ListParagraph"/>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Definisi dan perhitungan LCR untuk mata uang tertentu menggunakan perhitungan LCR namun tidak terdapat persyaratan minimal yang bersifat internasional.</w:t>
            </w:r>
          </w:p>
          <w:p w14:paraId="5F4200B0" w14:textId="77777777" w:rsidR="00910A48" w:rsidRPr="007007D1" w:rsidRDefault="00910A48" w:rsidP="00C84F36">
            <w:pPr>
              <w:pStyle w:val="ListParagraph"/>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Suatu mata uang tergolong signifikan jika jumlah agregat kewajiban dalam mata uang tersebut mencapai 5% (lima persen) atau lebih dari total kewajiban Bank;</w:t>
            </w:r>
          </w:p>
          <w:p w14:paraId="02214AB7" w14:textId="77777777" w:rsidR="00910A48" w:rsidRPr="007007D1" w:rsidRDefault="00910A48" w:rsidP="00A32F86">
            <w:pPr>
              <w:pStyle w:val="ListParagraph"/>
              <w:numPr>
                <w:ilvl w:val="0"/>
                <w:numId w:val="43"/>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C84F36">
              <w:rPr>
                <w:rFonts w:ascii="Bookman Old Style" w:eastAsia="Bookman Old Style" w:hAnsi="Bookman Old Style" w:cs="Bookman Old Style"/>
                <w:i/>
                <w:color w:val="000000" w:themeColor="text1"/>
                <w:sz w:val="20"/>
                <w:szCs w:val="20"/>
              </w:rPr>
              <w:t>monitoring tools</w:t>
            </w:r>
            <w:r w:rsidRPr="007007D1">
              <w:rPr>
                <w:rFonts w:ascii="Bookman Old Style" w:eastAsia="Bookman Old Style" w:hAnsi="Bookman Old Style" w:cs="Bookman Old Style"/>
                <w:color w:val="000000" w:themeColor="text1"/>
                <w:sz w:val="20"/>
                <w:szCs w:val="20"/>
              </w:rPr>
              <w:t xml:space="preserve"> yang berkaitan dengan pasar dilakukan melalui pemantauan terhadap:</w:t>
            </w:r>
          </w:p>
          <w:p w14:paraId="523BFBBD" w14:textId="77777777" w:rsidR="00910A48" w:rsidRPr="007007D1" w:rsidRDefault="00910A48" w:rsidP="00A32F86">
            <w:pPr>
              <w:pStyle w:val="ListParagraph"/>
              <w:numPr>
                <w:ilvl w:val="0"/>
                <w:numId w:val="46"/>
              </w:numPr>
              <w:tabs>
                <w:tab w:val="left" w:pos="1980"/>
                <w:tab w:val="left" w:pos="2520"/>
                <w:tab w:val="left" w:pos="2552"/>
              </w:tabs>
              <w:spacing w:after="0" w:line="240" w:lineRule="auto"/>
              <w:ind w:left="1329"/>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informasi pasar;</w:t>
            </w:r>
          </w:p>
          <w:p w14:paraId="62355069" w14:textId="4A860CCA" w:rsidR="00910A48" w:rsidRPr="007007D1" w:rsidRDefault="00910A48" w:rsidP="00A32F86">
            <w:pPr>
              <w:pStyle w:val="ListParagraph"/>
              <w:numPr>
                <w:ilvl w:val="0"/>
                <w:numId w:val="46"/>
              </w:numPr>
              <w:tabs>
                <w:tab w:val="left" w:pos="1980"/>
                <w:tab w:val="left" w:pos="2520"/>
                <w:tab w:val="left" w:pos="2552"/>
              </w:tabs>
              <w:spacing w:after="0" w:line="240" w:lineRule="auto"/>
              <w:ind w:left="1329"/>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informasi </w:t>
            </w:r>
            <w:r w:rsidR="00C84F36">
              <w:rPr>
                <w:rFonts w:ascii="Bookman Old Style" w:eastAsia="Bookman Old Style" w:hAnsi="Bookman Old Style" w:cs="Bookman Old Style"/>
                <w:color w:val="000000" w:themeColor="text1"/>
                <w:sz w:val="20"/>
                <w:szCs w:val="20"/>
                <w:lang w:val="en-US"/>
              </w:rPr>
              <w:t>s</w:t>
            </w:r>
            <w:r w:rsidRPr="007007D1">
              <w:rPr>
                <w:rFonts w:ascii="Bookman Old Style" w:eastAsia="Bookman Old Style" w:hAnsi="Bookman Old Style" w:cs="Bookman Old Style"/>
                <w:color w:val="000000" w:themeColor="text1"/>
                <w:sz w:val="20"/>
                <w:szCs w:val="20"/>
              </w:rPr>
              <w:t>e</w:t>
            </w:r>
            <w:r w:rsidR="00C84F36">
              <w:rPr>
                <w:rFonts w:ascii="Bookman Old Style" w:eastAsia="Bookman Old Style" w:hAnsi="Bookman Old Style" w:cs="Bookman Old Style"/>
                <w:color w:val="000000" w:themeColor="text1"/>
                <w:sz w:val="20"/>
                <w:szCs w:val="20"/>
                <w:lang w:val="en-US"/>
              </w:rPr>
              <w:t>k</w:t>
            </w:r>
            <w:r w:rsidRPr="007007D1">
              <w:rPr>
                <w:rFonts w:ascii="Bookman Old Style" w:eastAsia="Bookman Old Style" w:hAnsi="Bookman Old Style" w:cs="Bookman Old Style"/>
                <w:color w:val="000000" w:themeColor="text1"/>
                <w:sz w:val="20"/>
                <w:szCs w:val="20"/>
              </w:rPr>
              <w:t>tor keuangan; dan</w:t>
            </w:r>
          </w:p>
          <w:p w14:paraId="325AB951" w14:textId="77777777" w:rsidR="00910A48" w:rsidRPr="007007D1" w:rsidRDefault="00910A48" w:rsidP="00A32F86">
            <w:pPr>
              <w:pStyle w:val="ListParagraph"/>
              <w:numPr>
                <w:ilvl w:val="0"/>
                <w:numId w:val="46"/>
              </w:numPr>
              <w:tabs>
                <w:tab w:val="left" w:pos="1980"/>
                <w:tab w:val="left" w:pos="2520"/>
                <w:tab w:val="left" w:pos="2552"/>
              </w:tabs>
              <w:spacing w:after="0" w:line="240" w:lineRule="auto"/>
              <w:ind w:left="1329"/>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informasi spesifik terkait Bank.</w:t>
            </w:r>
          </w:p>
        </w:tc>
        <w:tc>
          <w:tcPr>
            <w:tcW w:w="3686" w:type="dxa"/>
            <w:shd w:val="clear" w:color="auto" w:fill="auto"/>
          </w:tcPr>
          <w:p w14:paraId="5D8424D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186A38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5471373" w14:textId="77777777" w:rsidTr="00910A48">
        <w:tc>
          <w:tcPr>
            <w:tcW w:w="4794" w:type="dxa"/>
            <w:shd w:val="clear" w:color="auto" w:fill="auto"/>
            <w:vAlign w:val="center"/>
          </w:tcPr>
          <w:p w14:paraId="40B742A2" w14:textId="77777777" w:rsidR="00910A48" w:rsidRPr="007007D1" w:rsidRDefault="00910A48" w:rsidP="00A32F86">
            <w:pPr>
              <w:pStyle w:val="ListParagraph"/>
              <w:numPr>
                <w:ilvl w:val="0"/>
                <w:numId w:val="4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Selain pemantauan likuiditas sebagaimana dimaksud pada ayat (1), Bank wajib melakukan ILAAP yang disesuaikan dengan ukuran, karakteristik, dan kompleksitas usaha Bank.</w:t>
            </w:r>
          </w:p>
        </w:tc>
        <w:tc>
          <w:tcPr>
            <w:tcW w:w="4840" w:type="dxa"/>
            <w:shd w:val="clear" w:color="auto" w:fill="auto"/>
          </w:tcPr>
          <w:p w14:paraId="51841D2A"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545FA5B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C84F36">
              <w:rPr>
                <w:rFonts w:ascii="Bookman Old Style" w:hAnsi="Bookman Old Style"/>
                <w:color w:val="000000"/>
                <w:sz w:val="20"/>
                <w:szCs w:val="20"/>
                <w:lang w:val="en-ID"/>
              </w:rPr>
              <w:t>Cukup</w:t>
            </w:r>
            <w:r w:rsidRPr="007007D1">
              <w:rPr>
                <w:rFonts w:ascii="Bookman Old Style" w:eastAsia="Bookman Old Style" w:hAnsi="Bookman Old Style" w:cs="Bookman Old Style"/>
                <w:color w:val="000000" w:themeColor="text1"/>
                <w:sz w:val="20"/>
                <w:szCs w:val="20"/>
              </w:rPr>
              <w:t xml:space="preserve"> jelas.</w:t>
            </w:r>
          </w:p>
        </w:tc>
        <w:tc>
          <w:tcPr>
            <w:tcW w:w="3686" w:type="dxa"/>
            <w:shd w:val="clear" w:color="auto" w:fill="auto"/>
          </w:tcPr>
          <w:p w14:paraId="7464D53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B555FB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9F379CB" w14:textId="77777777" w:rsidTr="00910A48">
        <w:tc>
          <w:tcPr>
            <w:tcW w:w="4794" w:type="dxa"/>
            <w:shd w:val="clear" w:color="auto" w:fill="auto"/>
            <w:vAlign w:val="center"/>
          </w:tcPr>
          <w:p w14:paraId="42C226A7" w14:textId="77777777" w:rsidR="00910A48" w:rsidRPr="007007D1" w:rsidRDefault="00910A48" w:rsidP="00A32F86">
            <w:pPr>
              <w:pStyle w:val="ListParagraph"/>
              <w:numPr>
                <w:ilvl w:val="0"/>
                <w:numId w:val="4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Metode penyusunan dan penyampaian ILAAP sebagaimana dimaksud pada ayat (2) ditetapkan oleh Otoritas Jasa Keuangan.</w:t>
            </w:r>
          </w:p>
        </w:tc>
        <w:tc>
          <w:tcPr>
            <w:tcW w:w="4840" w:type="dxa"/>
            <w:shd w:val="clear" w:color="auto" w:fill="auto"/>
          </w:tcPr>
          <w:p w14:paraId="2D51A285" w14:textId="77777777" w:rsidR="00910A48" w:rsidRPr="007007D1" w:rsidRDefault="00910A48" w:rsidP="00910A48">
            <w:pPr>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2FD49798"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C84F36">
              <w:rPr>
                <w:rFonts w:ascii="Bookman Old Style" w:hAnsi="Bookman Old Style"/>
                <w:color w:val="000000"/>
                <w:sz w:val="20"/>
                <w:szCs w:val="20"/>
                <w:lang w:val="en-ID"/>
              </w:rPr>
              <w:t>Cukup</w:t>
            </w:r>
            <w:r w:rsidRPr="007007D1">
              <w:rPr>
                <w:rFonts w:ascii="Bookman Old Style" w:eastAsia="Bookman Old Style" w:hAnsi="Bookman Old Style" w:cs="Bookman Old Style"/>
                <w:color w:val="000000" w:themeColor="text1"/>
                <w:sz w:val="20"/>
                <w:szCs w:val="20"/>
              </w:rPr>
              <w:t xml:space="preserve"> jelas.</w:t>
            </w:r>
          </w:p>
        </w:tc>
        <w:tc>
          <w:tcPr>
            <w:tcW w:w="3686" w:type="dxa"/>
            <w:shd w:val="clear" w:color="auto" w:fill="auto"/>
          </w:tcPr>
          <w:p w14:paraId="09C85C7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68F13B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853EE2A" w14:textId="77777777" w:rsidTr="00C84F36">
        <w:tc>
          <w:tcPr>
            <w:tcW w:w="4794" w:type="dxa"/>
            <w:shd w:val="clear" w:color="auto" w:fill="E7E6E6" w:themeFill="background2"/>
            <w:vAlign w:val="center"/>
          </w:tcPr>
          <w:p w14:paraId="2C942A54"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Bagian Keempat</w:t>
            </w:r>
          </w:p>
        </w:tc>
        <w:tc>
          <w:tcPr>
            <w:tcW w:w="4840" w:type="dxa"/>
            <w:shd w:val="clear" w:color="auto" w:fill="E7E6E6" w:themeFill="background2"/>
          </w:tcPr>
          <w:p w14:paraId="4B289A3A"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6FB1885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08C9948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34FEFBD" w14:textId="77777777" w:rsidTr="00C84F36">
        <w:tc>
          <w:tcPr>
            <w:tcW w:w="4794" w:type="dxa"/>
            <w:shd w:val="clear" w:color="auto" w:fill="E7E6E6" w:themeFill="background2"/>
            <w:vAlign w:val="center"/>
          </w:tcPr>
          <w:p w14:paraId="06E4830C" w14:textId="79AA3376"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Perhitungan, Pelaporan, dan Publikasi LCR</w:t>
            </w:r>
          </w:p>
        </w:tc>
        <w:tc>
          <w:tcPr>
            <w:tcW w:w="4840" w:type="dxa"/>
            <w:shd w:val="clear" w:color="auto" w:fill="E7E6E6" w:themeFill="background2"/>
          </w:tcPr>
          <w:p w14:paraId="07842945"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7430019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70BA39F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E139D8E" w14:textId="77777777" w:rsidTr="00C84F36">
        <w:tc>
          <w:tcPr>
            <w:tcW w:w="4794" w:type="dxa"/>
            <w:shd w:val="clear" w:color="auto" w:fill="E7E6E6" w:themeFill="background2"/>
            <w:vAlign w:val="center"/>
          </w:tcPr>
          <w:p w14:paraId="1CACE221"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Pasal 10</w:t>
            </w:r>
          </w:p>
        </w:tc>
        <w:tc>
          <w:tcPr>
            <w:tcW w:w="4840" w:type="dxa"/>
            <w:shd w:val="clear" w:color="auto" w:fill="E7E6E6" w:themeFill="background2"/>
          </w:tcPr>
          <w:p w14:paraId="2F6BD5DE"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10</w:t>
            </w:r>
          </w:p>
        </w:tc>
        <w:tc>
          <w:tcPr>
            <w:tcW w:w="3686" w:type="dxa"/>
            <w:shd w:val="clear" w:color="auto" w:fill="E7E6E6" w:themeFill="background2"/>
          </w:tcPr>
          <w:p w14:paraId="56F8833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16CF699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839FBD1" w14:textId="77777777" w:rsidTr="00910A48">
        <w:tc>
          <w:tcPr>
            <w:tcW w:w="4794" w:type="dxa"/>
            <w:shd w:val="clear" w:color="auto" w:fill="auto"/>
            <w:vAlign w:val="center"/>
          </w:tcPr>
          <w:p w14:paraId="41900B2E" w14:textId="77777777" w:rsidR="00910A48" w:rsidRPr="007007D1" w:rsidRDefault="00910A48" w:rsidP="00910A48">
            <w:pPr>
              <w:tabs>
                <w:tab w:val="left" w:pos="1872"/>
                <w:tab w:val="left" w:pos="2552"/>
              </w:tabs>
              <w:spacing w:after="0" w:line="240" w:lineRule="auto"/>
              <w:ind w:left="30"/>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Bank wajib melakukan:</w:t>
            </w:r>
          </w:p>
        </w:tc>
        <w:tc>
          <w:tcPr>
            <w:tcW w:w="4840" w:type="dxa"/>
            <w:shd w:val="clear" w:color="auto" w:fill="auto"/>
          </w:tcPr>
          <w:p w14:paraId="4E09BF33"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6F8D90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3AB932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AEAB2CB" w14:textId="77777777" w:rsidTr="00C84F36">
        <w:tc>
          <w:tcPr>
            <w:tcW w:w="4794" w:type="dxa"/>
            <w:shd w:val="clear" w:color="auto" w:fill="auto"/>
          </w:tcPr>
          <w:p w14:paraId="037E4C15" w14:textId="77777777" w:rsidR="00910A48" w:rsidRPr="007007D1" w:rsidRDefault="00910A48" w:rsidP="00A32F86">
            <w:pPr>
              <w:pStyle w:val="ListParagraph"/>
              <w:numPr>
                <w:ilvl w:val="0"/>
                <w:numId w:val="17"/>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perhitungan LCR secara harian;</w:t>
            </w:r>
          </w:p>
        </w:tc>
        <w:tc>
          <w:tcPr>
            <w:tcW w:w="4840" w:type="dxa"/>
            <w:shd w:val="clear" w:color="auto" w:fill="auto"/>
          </w:tcPr>
          <w:p w14:paraId="1F397C3A"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a</w:t>
            </w:r>
          </w:p>
          <w:p w14:paraId="7B5F7231"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Bank mendokumentasikan perhitungan LCR secara harian.</w:t>
            </w:r>
          </w:p>
        </w:tc>
        <w:tc>
          <w:tcPr>
            <w:tcW w:w="3686" w:type="dxa"/>
            <w:shd w:val="clear" w:color="auto" w:fill="auto"/>
          </w:tcPr>
          <w:p w14:paraId="17ACB9B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85C606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D13D2DE" w14:textId="77777777" w:rsidTr="00C84F36">
        <w:tc>
          <w:tcPr>
            <w:tcW w:w="4794" w:type="dxa"/>
            <w:shd w:val="clear" w:color="auto" w:fill="auto"/>
          </w:tcPr>
          <w:p w14:paraId="48DA071D" w14:textId="77777777" w:rsidR="00910A48" w:rsidRPr="007007D1" w:rsidRDefault="00910A48" w:rsidP="00A32F86">
            <w:pPr>
              <w:pStyle w:val="ListParagraph"/>
              <w:numPr>
                <w:ilvl w:val="0"/>
                <w:numId w:val="17"/>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 xml:space="preserve">perhitungan dan pelaporan LCR secara bulanan; dan </w:t>
            </w:r>
          </w:p>
        </w:tc>
        <w:tc>
          <w:tcPr>
            <w:tcW w:w="4840" w:type="dxa"/>
            <w:shd w:val="clear" w:color="auto" w:fill="auto"/>
          </w:tcPr>
          <w:p w14:paraId="6F4FB6A1"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b</w:t>
            </w:r>
          </w:p>
          <w:p w14:paraId="601E292F"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001EE31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BFABC3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74EAE59" w14:textId="77777777" w:rsidTr="00C84F36">
        <w:tc>
          <w:tcPr>
            <w:tcW w:w="4794" w:type="dxa"/>
            <w:shd w:val="clear" w:color="auto" w:fill="auto"/>
          </w:tcPr>
          <w:p w14:paraId="1C8D4FB0" w14:textId="77777777" w:rsidR="00910A48" w:rsidRPr="007007D1" w:rsidRDefault="00910A48" w:rsidP="00A32F86">
            <w:pPr>
              <w:pStyle w:val="ListParagraph"/>
              <w:numPr>
                <w:ilvl w:val="0"/>
                <w:numId w:val="1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perhitungan, pelaporan, dan publikasi LCR secara triwulanan,</w:t>
            </w:r>
          </w:p>
        </w:tc>
        <w:tc>
          <w:tcPr>
            <w:tcW w:w="4840" w:type="dxa"/>
            <w:shd w:val="clear" w:color="auto" w:fill="auto"/>
          </w:tcPr>
          <w:p w14:paraId="7436DFE3"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c</w:t>
            </w:r>
          </w:p>
          <w:p w14:paraId="7837F635"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5ED3B1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900306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3D9D214" w14:textId="77777777" w:rsidTr="00C84F36">
        <w:tc>
          <w:tcPr>
            <w:tcW w:w="4794" w:type="dxa"/>
            <w:shd w:val="clear" w:color="auto" w:fill="E7E6E6" w:themeFill="background2"/>
            <w:vAlign w:val="center"/>
          </w:tcPr>
          <w:p w14:paraId="108363A0" w14:textId="77777777" w:rsidR="00910A48" w:rsidRPr="007007D1" w:rsidRDefault="00910A48"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baik individual maupun konsolidasi</w:t>
            </w:r>
          </w:p>
        </w:tc>
        <w:tc>
          <w:tcPr>
            <w:tcW w:w="4840" w:type="dxa"/>
            <w:shd w:val="clear" w:color="auto" w:fill="E7E6E6" w:themeFill="background2"/>
          </w:tcPr>
          <w:p w14:paraId="1B91BC0E"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E7E6E6" w:themeFill="background2"/>
          </w:tcPr>
          <w:p w14:paraId="40E8312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26B1F39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0A43012" w14:textId="77777777" w:rsidTr="00C84F36">
        <w:tc>
          <w:tcPr>
            <w:tcW w:w="4794" w:type="dxa"/>
            <w:shd w:val="clear" w:color="auto" w:fill="E7E6E6" w:themeFill="background2"/>
            <w:vAlign w:val="center"/>
          </w:tcPr>
          <w:p w14:paraId="265CF8EC"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11</w:t>
            </w:r>
          </w:p>
        </w:tc>
        <w:tc>
          <w:tcPr>
            <w:tcW w:w="4840" w:type="dxa"/>
            <w:shd w:val="clear" w:color="auto" w:fill="E7E6E6" w:themeFill="background2"/>
          </w:tcPr>
          <w:p w14:paraId="57C63D4A" w14:textId="77777777" w:rsidR="00910A48" w:rsidRPr="007007D1" w:rsidRDefault="00910A48" w:rsidP="00C84F36">
            <w:pPr>
              <w:tabs>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11</w:t>
            </w:r>
          </w:p>
        </w:tc>
        <w:tc>
          <w:tcPr>
            <w:tcW w:w="3686" w:type="dxa"/>
            <w:shd w:val="clear" w:color="auto" w:fill="E7E6E6" w:themeFill="background2"/>
          </w:tcPr>
          <w:p w14:paraId="6B2A2BA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4BD8A0F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BDD141B" w14:textId="77777777" w:rsidTr="00910A48">
        <w:tc>
          <w:tcPr>
            <w:tcW w:w="4794" w:type="dxa"/>
            <w:shd w:val="clear" w:color="auto" w:fill="auto"/>
            <w:vAlign w:val="center"/>
          </w:tcPr>
          <w:p w14:paraId="45D5048C" w14:textId="77777777" w:rsidR="00C84F36" w:rsidRPr="007007D1" w:rsidRDefault="00C84F36" w:rsidP="00A32F86">
            <w:pPr>
              <w:pStyle w:val="ListParagraph"/>
              <w:numPr>
                <w:ilvl w:val="0"/>
                <w:numId w:val="1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perhitungan LCR harian sebagaimana dimaksud pada Pasal 10 pertama kali dilakukan untuk posisi 1 Januari 2026.</w:t>
            </w:r>
          </w:p>
        </w:tc>
        <w:tc>
          <w:tcPr>
            <w:tcW w:w="4840" w:type="dxa"/>
            <w:vMerge w:val="restart"/>
            <w:shd w:val="clear" w:color="auto" w:fill="auto"/>
          </w:tcPr>
          <w:p w14:paraId="181C38D1" w14:textId="77777777" w:rsidR="00C84F36" w:rsidRPr="007007D1" w:rsidRDefault="00C84F36" w:rsidP="00C84F36">
            <w:pPr>
              <w:tabs>
                <w:tab w:val="left" w:pos="1291"/>
              </w:tabs>
              <w:spacing w:after="0" w:line="240" w:lineRule="auto"/>
              <w:jc w:val="both"/>
              <w:rPr>
                <w:rFonts w:ascii="Bookman Old Style" w:eastAsia="Bookman Old Style" w:hAnsi="Bookman Old Style" w:cs="Bookman Old Style"/>
                <w:color w:val="000000" w:themeColor="text1"/>
                <w:sz w:val="20"/>
                <w:szCs w:val="20"/>
              </w:rPr>
            </w:pPr>
            <w:r w:rsidRPr="00C84F36">
              <w:rPr>
                <w:rFonts w:ascii="Bookman Old Style" w:hAnsi="Bookman Old Style"/>
                <w:color w:val="000000"/>
                <w:sz w:val="20"/>
                <w:szCs w:val="20"/>
                <w:lang w:val="en-ID"/>
              </w:rPr>
              <w:t>Cukup</w:t>
            </w:r>
            <w:r w:rsidRPr="007007D1">
              <w:rPr>
                <w:rFonts w:ascii="Bookman Old Style" w:eastAsia="Bookman Old Style" w:hAnsi="Bookman Old Style" w:cs="Bookman Old Style"/>
                <w:color w:val="000000" w:themeColor="text1"/>
                <w:sz w:val="20"/>
                <w:szCs w:val="20"/>
              </w:rPr>
              <w:t xml:space="preserve"> jelas.</w:t>
            </w:r>
          </w:p>
        </w:tc>
        <w:tc>
          <w:tcPr>
            <w:tcW w:w="3686" w:type="dxa"/>
            <w:shd w:val="clear" w:color="auto" w:fill="auto"/>
          </w:tcPr>
          <w:p w14:paraId="0DBC681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FF3179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D0AF21B" w14:textId="77777777" w:rsidTr="00910A48">
        <w:tc>
          <w:tcPr>
            <w:tcW w:w="4794" w:type="dxa"/>
            <w:shd w:val="clear" w:color="auto" w:fill="auto"/>
            <w:vAlign w:val="center"/>
          </w:tcPr>
          <w:p w14:paraId="6B59539B" w14:textId="77777777" w:rsidR="00C84F36" w:rsidRPr="007007D1" w:rsidRDefault="00C84F36" w:rsidP="00A32F86">
            <w:pPr>
              <w:pStyle w:val="ListParagraph"/>
              <w:numPr>
                <w:ilvl w:val="0"/>
                <w:numId w:val="1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Ketentuan mengenai perhitungan LCR harian mengacu pada Lampiran I  yang merupakan bagian tidak terpisahkan dari Peraturan Otoritas Jasa Keuangan ini. </w:t>
            </w:r>
          </w:p>
        </w:tc>
        <w:tc>
          <w:tcPr>
            <w:tcW w:w="4840" w:type="dxa"/>
            <w:vMerge/>
            <w:shd w:val="clear" w:color="auto" w:fill="auto"/>
          </w:tcPr>
          <w:p w14:paraId="5CE94EA1"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D7A50E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87F772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6B0C9D7E" w14:textId="77777777" w:rsidTr="00910A48">
        <w:tc>
          <w:tcPr>
            <w:tcW w:w="4794" w:type="dxa"/>
            <w:shd w:val="clear" w:color="auto" w:fill="auto"/>
            <w:vAlign w:val="center"/>
          </w:tcPr>
          <w:p w14:paraId="17F6AE9B" w14:textId="77777777" w:rsidR="00C84F36" w:rsidRPr="007007D1" w:rsidRDefault="00C84F36" w:rsidP="00A32F86">
            <w:pPr>
              <w:pStyle w:val="ListParagraph"/>
              <w:numPr>
                <w:ilvl w:val="0"/>
                <w:numId w:val="1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Hasil perhitungan LCR harian menjadi dasar perhitungan LCR dalam pelaporan bulanan dan triwulanan.</w:t>
            </w:r>
          </w:p>
        </w:tc>
        <w:tc>
          <w:tcPr>
            <w:tcW w:w="4840" w:type="dxa"/>
            <w:vMerge/>
            <w:shd w:val="clear" w:color="auto" w:fill="auto"/>
          </w:tcPr>
          <w:p w14:paraId="6D953E02"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178BA6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F94D06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9375B47" w14:textId="77777777" w:rsidTr="00C84F36">
        <w:tc>
          <w:tcPr>
            <w:tcW w:w="4794" w:type="dxa"/>
            <w:shd w:val="clear" w:color="auto" w:fill="auto"/>
            <w:vAlign w:val="center"/>
          </w:tcPr>
          <w:p w14:paraId="5E02D7F1" w14:textId="77777777" w:rsidR="00C84F36" w:rsidRPr="007007D1" w:rsidRDefault="00C84F36" w:rsidP="00A32F86">
            <w:pPr>
              <w:pStyle w:val="ListParagraph"/>
              <w:numPr>
                <w:ilvl w:val="0"/>
                <w:numId w:val="18"/>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lastRenderedPageBreak/>
              <w:t>Otoritas Jasa Keuangan dapat meminta Bank menyampaikan laporan perhitungan LCR harian jika diperlukan .</w:t>
            </w:r>
          </w:p>
        </w:tc>
        <w:tc>
          <w:tcPr>
            <w:tcW w:w="4840" w:type="dxa"/>
            <w:vMerge/>
            <w:shd w:val="clear" w:color="auto" w:fill="auto"/>
          </w:tcPr>
          <w:p w14:paraId="2E232B6B"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6456CC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06BF8E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A77DEB5" w14:textId="77777777" w:rsidTr="00C84F36">
        <w:tc>
          <w:tcPr>
            <w:tcW w:w="4794" w:type="dxa"/>
            <w:shd w:val="clear" w:color="auto" w:fill="E7E6E6" w:themeFill="background2"/>
            <w:vAlign w:val="center"/>
          </w:tcPr>
          <w:p w14:paraId="6BB58B95"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Pasal 12</w:t>
            </w:r>
          </w:p>
        </w:tc>
        <w:tc>
          <w:tcPr>
            <w:tcW w:w="4840" w:type="dxa"/>
            <w:shd w:val="clear" w:color="auto" w:fill="E7E6E6" w:themeFill="background2"/>
          </w:tcPr>
          <w:p w14:paraId="2EB8C1CD"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12</w:t>
            </w:r>
          </w:p>
        </w:tc>
        <w:tc>
          <w:tcPr>
            <w:tcW w:w="3686" w:type="dxa"/>
            <w:shd w:val="clear" w:color="auto" w:fill="E7E6E6" w:themeFill="background2"/>
          </w:tcPr>
          <w:p w14:paraId="00EF93E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E7E6E6" w:themeFill="background2"/>
          </w:tcPr>
          <w:p w14:paraId="0209511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2E001FA" w14:textId="77777777" w:rsidTr="00910A48">
        <w:tc>
          <w:tcPr>
            <w:tcW w:w="4794" w:type="dxa"/>
            <w:shd w:val="clear" w:color="auto" w:fill="auto"/>
            <w:vAlign w:val="center"/>
          </w:tcPr>
          <w:p w14:paraId="23A78974" w14:textId="77777777" w:rsidR="00C84F36" w:rsidRPr="007007D1" w:rsidRDefault="00C84F36" w:rsidP="00A32F86">
            <w:pPr>
              <w:pStyle w:val="ListParagraph"/>
              <w:numPr>
                <w:ilvl w:val="0"/>
                <w:numId w:val="19"/>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Kewajiban perhitungan LCR bulanan sebagaimana dimaksud pada Pasal 10 pertama kali dilakukan untuk untuk posisi laporan tanggal 31 Juli 2025.</w:t>
            </w:r>
          </w:p>
        </w:tc>
        <w:tc>
          <w:tcPr>
            <w:tcW w:w="4840" w:type="dxa"/>
            <w:vMerge w:val="restart"/>
            <w:shd w:val="clear" w:color="auto" w:fill="auto"/>
          </w:tcPr>
          <w:p w14:paraId="6D50DB23"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51F3D02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185BE3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B736E51" w14:textId="77777777" w:rsidTr="00910A48">
        <w:tc>
          <w:tcPr>
            <w:tcW w:w="4794" w:type="dxa"/>
            <w:shd w:val="clear" w:color="auto" w:fill="auto"/>
            <w:vAlign w:val="center"/>
          </w:tcPr>
          <w:p w14:paraId="76B8A929" w14:textId="77777777" w:rsidR="00C84F36" w:rsidRPr="007007D1" w:rsidRDefault="00C84F36" w:rsidP="00A32F86">
            <w:pPr>
              <w:pStyle w:val="ListParagraph"/>
              <w:numPr>
                <w:ilvl w:val="0"/>
                <w:numId w:val="19"/>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Perhitungan LCR bulanan dilakukan berdasarkan rata-rata harian laporan.</w:t>
            </w:r>
          </w:p>
        </w:tc>
        <w:tc>
          <w:tcPr>
            <w:tcW w:w="4840" w:type="dxa"/>
            <w:vMerge/>
            <w:shd w:val="clear" w:color="auto" w:fill="auto"/>
          </w:tcPr>
          <w:p w14:paraId="253E85D4"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AA0DA4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7E29B7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205E597" w14:textId="77777777" w:rsidTr="00910A48">
        <w:tc>
          <w:tcPr>
            <w:tcW w:w="4794" w:type="dxa"/>
            <w:shd w:val="clear" w:color="auto" w:fill="auto"/>
            <w:vAlign w:val="center"/>
          </w:tcPr>
          <w:p w14:paraId="665BC87B" w14:textId="77777777" w:rsidR="00C84F36" w:rsidRPr="007007D1" w:rsidRDefault="00C84F36" w:rsidP="00A32F86">
            <w:pPr>
              <w:pStyle w:val="ListParagraph"/>
              <w:numPr>
                <w:ilvl w:val="0"/>
                <w:numId w:val="19"/>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Bank belum diwajibkan untuk melakukan perhitungan LCR secara harian sebagaimana dimaksud pada Pasal 11 ayat (1), Bank dapat menghitung nilai LCR bulanan berdasarkan posisi akhir bulan laporan.</w:t>
            </w:r>
          </w:p>
        </w:tc>
        <w:tc>
          <w:tcPr>
            <w:tcW w:w="4840" w:type="dxa"/>
            <w:vMerge/>
            <w:shd w:val="clear" w:color="auto" w:fill="auto"/>
          </w:tcPr>
          <w:p w14:paraId="6A26F338"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34D91B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1DB382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E09DA94" w14:textId="77777777" w:rsidTr="00910A48">
        <w:tc>
          <w:tcPr>
            <w:tcW w:w="4794" w:type="dxa"/>
            <w:shd w:val="clear" w:color="auto" w:fill="auto"/>
            <w:vAlign w:val="center"/>
          </w:tcPr>
          <w:p w14:paraId="4745BF41" w14:textId="3A02242A" w:rsidR="00C84F36" w:rsidRPr="007007D1" w:rsidRDefault="00C84F36" w:rsidP="00A32F86">
            <w:pPr>
              <w:pStyle w:val="ListParagraph"/>
              <w:numPr>
                <w:ilvl w:val="0"/>
                <w:numId w:val="19"/>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Penyusunan laporan LCR bulanan menggunakan format sebagaimana tercantum dalam Lampiran</w:t>
            </w:r>
            <w:r w:rsidR="00DB697A">
              <w:rPr>
                <w:rFonts w:ascii="Bookman Old Style" w:hAnsi="Bookman Old Style"/>
                <w:color w:val="000000"/>
                <w:sz w:val="20"/>
                <w:szCs w:val="20"/>
                <w:lang w:val="sv-SE"/>
              </w:rPr>
              <w:t xml:space="preserve"> </w:t>
            </w:r>
            <w:r w:rsidRPr="007007D1">
              <w:rPr>
                <w:rFonts w:ascii="Bookman Old Style" w:hAnsi="Bookman Old Style"/>
                <w:color w:val="000000"/>
                <w:sz w:val="20"/>
                <w:szCs w:val="20"/>
                <w:lang w:val="sv-SE"/>
              </w:rPr>
              <w:t>II, yang merupakan bagian tidak terpisahkan dari Peraturan Otoritas Jasa Keuangan ini.</w:t>
            </w:r>
          </w:p>
        </w:tc>
        <w:tc>
          <w:tcPr>
            <w:tcW w:w="4840" w:type="dxa"/>
            <w:vMerge/>
            <w:shd w:val="clear" w:color="auto" w:fill="auto"/>
          </w:tcPr>
          <w:p w14:paraId="59C6F29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055336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FA1676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7B9E69A" w14:textId="77777777" w:rsidTr="00C84F36">
        <w:tc>
          <w:tcPr>
            <w:tcW w:w="4794" w:type="dxa"/>
            <w:shd w:val="clear" w:color="auto" w:fill="DBDBDB" w:themeFill="accent3" w:themeFillTint="66"/>
            <w:vAlign w:val="center"/>
          </w:tcPr>
          <w:p w14:paraId="2B131DA8"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13</w:t>
            </w:r>
          </w:p>
        </w:tc>
        <w:tc>
          <w:tcPr>
            <w:tcW w:w="4840" w:type="dxa"/>
            <w:shd w:val="clear" w:color="auto" w:fill="DBDBDB" w:themeFill="accent3" w:themeFillTint="66"/>
          </w:tcPr>
          <w:p w14:paraId="17659139" w14:textId="77777777" w:rsidR="00910A48" w:rsidRPr="007007D1" w:rsidRDefault="00910A48" w:rsidP="00C84F36">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13</w:t>
            </w:r>
          </w:p>
        </w:tc>
        <w:tc>
          <w:tcPr>
            <w:tcW w:w="3686" w:type="dxa"/>
            <w:shd w:val="clear" w:color="auto" w:fill="DBDBDB" w:themeFill="accent3" w:themeFillTint="66"/>
          </w:tcPr>
          <w:p w14:paraId="2E80ED5B"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231E97FF" w14:textId="77777777" w:rsidR="00910A48" w:rsidRPr="00BA5B40" w:rsidRDefault="00910A48" w:rsidP="00C84F36">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C84F36" w:rsidRPr="00BA5B40" w14:paraId="125D9009" w14:textId="77777777" w:rsidTr="00910A48">
        <w:tc>
          <w:tcPr>
            <w:tcW w:w="4794" w:type="dxa"/>
            <w:shd w:val="clear" w:color="auto" w:fill="auto"/>
            <w:vAlign w:val="center"/>
          </w:tcPr>
          <w:p w14:paraId="61D0A166"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laporan LCR bulanan</w:t>
            </w:r>
            <w:r w:rsidRPr="007007D1">
              <w:rPr>
                <w:rFonts w:ascii="Bookman Old Style" w:hAnsi="Bookman Old Style"/>
                <w:color w:val="FF0000"/>
                <w:sz w:val="20"/>
                <w:szCs w:val="20"/>
                <w:lang w:val="sv-SE"/>
              </w:rPr>
              <w:t xml:space="preserve"> </w:t>
            </w:r>
            <w:r w:rsidRPr="007007D1">
              <w:rPr>
                <w:rFonts w:ascii="Bookman Old Style" w:hAnsi="Bookman Old Style"/>
                <w:color w:val="000000"/>
                <w:sz w:val="20"/>
                <w:szCs w:val="20"/>
                <w:lang w:val="sv-SE"/>
              </w:rPr>
              <w:t>sebagaimana dimaksud dalam Pasal 10 secara daring melalui sistem pelaporan Otoritas Jasa Keuangan.</w:t>
            </w:r>
          </w:p>
        </w:tc>
        <w:tc>
          <w:tcPr>
            <w:tcW w:w="4840" w:type="dxa"/>
            <w:vMerge w:val="restart"/>
            <w:shd w:val="clear" w:color="auto" w:fill="auto"/>
          </w:tcPr>
          <w:p w14:paraId="1BCC9EC6"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3F3C7C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A44F45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4D5D44A" w14:textId="77777777" w:rsidTr="00910A48">
        <w:tc>
          <w:tcPr>
            <w:tcW w:w="4794" w:type="dxa"/>
            <w:shd w:val="clear" w:color="auto" w:fill="auto"/>
            <w:vAlign w:val="center"/>
          </w:tcPr>
          <w:p w14:paraId="2A6B5D1F"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Tata cara , format, dan jangka waktu penyampaian laporan LCR bulanan dilakukan sesuai dengan Peraturan Otoritas Jasa Keuangan mengenai pelaporan bank umum melalui sistem pelaporan Otoritas Jasa Keuangan.</w:t>
            </w:r>
          </w:p>
        </w:tc>
        <w:tc>
          <w:tcPr>
            <w:tcW w:w="4840" w:type="dxa"/>
            <w:vMerge/>
            <w:shd w:val="clear" w:color="auto" w:fill="auto"/>
          </w:tcPr>
          <w:p w14:paraId="73E03C69"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C7A734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0A5D48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3D406D5" w14:textId="77777777" w:rsidTr="00910A48">
        <w:tc>
          <w:tcPr>
            <w:tcW w:w="4794" w:type="dxa"/>
            <w:shd w:val="clear" w:color="auto" w:fill="auto"/>
            <w:vAlign w:val="center"/>
          </w:tcPr>
          <w:p w14:paraId="4A3E1804"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pelaporan Otoritas Jasa Keuangan sebagaimana dimaksud pada ayat (1) belum tersedia atau terdapat keadaan kahar , penyampaian dilakukan melalui sistem persuratan Otoritas Jasa Keuangan.</w:t>
            </w:r>
          </w:p>
        </w:tc>
        <w:tc>
          <w:tcPr>
            <w:tcW w:w="4840" w:type="dxa"/>
            <w:vMerge/>
            <w:shd w:val="clear" w:color="auto" w:fill="auto"/>
          </w:tcPr>
          <w:p w14:paraId="4B2C1D81"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674C5B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8D1CDE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67AE3611" w14:textId="77777777" w:rsidTr="00910A48">
        <w:tc>
          <w:tcPr>
            <w:tcW w:w="4794" w:type="dxa"/>
            <w:shd w:val="clear" w:color="auto" w:fill="auto"/>
            <w:vAlign w:val="center"/>
          </w:tcPr>
          <w:p w14:paraId="1816E7FB"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Dalam hal sistem persuratan Otoritas Jasa Keuangan sebagaimana dimaksud pada ayat (3) terdapat keadaan kahar , penyampaian dilakukan secara luring.</w:t>
            </w:r>
          </w:p>
        </w:tc>
        <w:tc>
          <w:tcPr>
            <w:tcW w:w="4840" w:type="dxa"/>
            <w:vMerge/>
            <w:shd w:val="clear" w:color="auto" w:fill="auto"/>
          </w:tcPr>
          <w:p w14:paraId="41CE506A"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2EFD03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514BD4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645A87B5" w14:textId="77777777" w:rsidTr="00910A48">
        <w:tc>
          <w:tcPr>
            <w:tcW w:w="4794" w:type="dxa"/>
            <w:shd w:val="clear" w:color="auto" w:fill="auto"/>
            <w:vAlign w:val="center"/>
          </w:tcPr>
          <w:p w14:paraId="215D0BE2"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 xml:space="preserve">Bank wajib menyampaikan laporan LCR bulanan sebagaimana dimaksud pada ayat (1) dan ayat (3) paling lambat: </w:t>
            </w:r>
          </w:p>
        </w:tc>
        <w:tc>
          <w:tcPr>
            <w:tcW w:w="4840" w:type="dxa"/>
            <w:vMerge/>
            <w:shd w:val="clear" w:color="auto" w:fill="auto"/>
          </w:tcPr>
          <w:p w14:paraId="099DB18D"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1B1168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1BA54F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7239ADF" w14:textId="77777777" w:rsidTr="00910A48">
        <w:tc>
          <w:tcPr>
            <w:tcW w:w="4794" w:type="dxa"/>
            <w:shd w:val="clear" w:color="auto" w:fill="auto"/>
            <w:vAlign w:val="center"/>
          </w:tcPr>
          <w:p w14:paraId="001524E3" w14:textId="77777777" w:rsidR="00C84F36" w:rsidRPr="007007D1" w:rsidRDefault="00C84F36" w:rsidP="00A32F86">
            <w:pPr>
              <w:pStyle w:val="ListParagraph"/>
              <w:numPr>
                <w:ilvl w:val="0"/>
                <w:numId w:val="21"/>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en-ID"/>
              </w:rPr>
              <w:t xml:space="preserve">15 (lima belas) hari setelah akhir bulan laporan, untuk laporan LCR bulanan individual; dan </w:t>
            </w:r>
          </w:p>
        </w:tc>
        <w:tc>
          <w:tcPr>
            <w:tcW w:w="4840" w:type="dxa"/>
            <w:vMerge/>
            <w:shd w:val="clear" w:color="auto" w:fill="auto"/>
          </w:tcPr>
          <w:p w14:paraId="4634C72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1C8B68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C0E2EB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74F34D6" w14:textId="77777777" w:rsidTr="00910A48">
        <w:tc>
          <w:tcPr>
            <w:tcW w:w="4794" w:type="dxa"/>
            <w:shd w:val="clear" w:color="auto" w:fill="auto"/>
            <w:vAlign w:val="center"/>
          </w:tcPr>
          <w:p w14:paraId="7BF915CE" w14:textId="77777777" w:rsidR="00C84F36" w:rsidRPr="007007D1" w:rsidRDefault="00C84F36" w:rsidP="00A32F86">
            <w:pPr>
              <w:pStyle w:val="ListParagraph"/>
              <w:numPr>
                <w:ilvl w:val="0"/>
                <w:numId w:val="21"/>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30 (tiga puluh) hari setelah akhir bulan laporan, untuk laporan LCR bulanan secara konsolidasi.</w:t>
            </w:r>
          </w:p>
        </w:tc>
        <w:tc>
          <w:tcPr>
            <w:tcW w:w="4840" w:type="dxa"/>
            <w:vMerge/>
            <w:shd w:val="clear" w:color="auto" w:fill="auto"/>
          </w:tcPr>
          <w:p w14:paraId="1DC673E7"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159265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420544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DA9FC64" w14:textId="77777777" w:rsidTr="00910A48">
        <w:tc>
          <w:tcPr>
            <w:tcW w:w="4794" w:type="dxa"/>
            <w:shd w:val="clear" w:color="auto" w:fill="auto"/>
            <w:vAlign w:val="center"/>
          </w:tcPr>
          <w:p w14:paraId="14AAE34A"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en-ID"/>
              </w:rPr>
              <w:t>Penyampaian laporan LCR bulanan</w:t>
            </w:r>
            <w:r w:rsidRPr="007007D1">
              <w:rPr>
                <w:rFonts w:ascii="Bookman Old Style" w:hAnsi="Bookman Old Style"/>
                <w:color w:val="FF0000"/>
                <w:sz w:val="20"/>
                <w:szCs w:val="20"/>
                <w:lang w:val="en-ID"/>
              </w:rPr>
              <w:t xml:space="preserve"> </w:t>
            </w:r>
            <w:r w:rsidRPr="007007D1">
              <w:rPr>
                <w:rFonts w:ascii="Bookman Old Style" w:hAnsi="Bookman Old Style"/>
                <w:color w:val="000000"/>
                <w:sz w:val="20"/>
                <w:szCs w:val="20"/>
                <w:lang w:val="en-ID"/>
              </w:rPr>
              <w:t xml:space="preserve">sebagaimana dimaksud pada ayat (3) dan ayat (4) disampaikan kepada: </w:t>
            </w:r>
          </w:p>
        </w:tc>
        <w:tc>
          <w:tcPr>
            <w:tcW w:w="4840" w:type="dxa"/>
            <w:vMerge/>
            <w:shd w:val="clear" w:color="auto" w:fill="auto"/>
          </w:tcPr>
          <w:p w14:paraId="7ADE56C9"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EB4531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6E516D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FBF1955" w14:textId="77777777" w:rsidTr="00910A48">
        <w:tc>
          <w:tcPr>
            <w:tcW w:w="4794" w:type="dxa"/>
            <w:shd w:val="clear" w:color="auto" w:fill="auto"/>
            <w:vAlign w:val="center"/>
          </w:tcPr>
          <w:p w14:paraId="3D444A57" w14:textId="77777777" w:rsidR="00C84F36" w:rsidRPr="007007D1" w:rsidRDefault="00C84F36" w:rsidP="00A32F86">
            <w:pPr>
              <w:pStyle w:val="ListParagraph"/>
              <w:numPr>
                <w:ilvl w:val="0"/>
                <w:numId w:val="22"/>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Departemen Pengawasan Bank Syariah terkait bagi Bank yang berkantor pusat atau kantor cabang dari bank yang berkedudukan di luar negeri yang berada di wilayah Provinsi Daerah Khusus Ibukota Jakarta; atau</w:t>
            </w:r>
          </w:p>
        </w:tc>
        <w:tc>
          <w:tcPr>
            <w:tcW w:w="4840" w:type="dxa"/>
            <w:vMerge/>
            <w:shd w:val="clear" w:color="auto" w:fill="auto"/>
          </w:tcPr>
          <w:p w14:paraId="7FE4C66A"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69CD66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9DA1E0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DF18CA6" w14:textId="77777777" w:rsidTr="00910A48">
        <w:tc>
          <w:tcPr>
            <w:tcW w:w="4794" w:type="dxa"/>
            <w:shd w:val="clear" w:color="auto" w:fill="auto"/>
            <w:vAlign w:val="center"/>
          </w:tcPr>
          <w:p w14:paraId="713BB874" w14:textId="77777777" w:rsidR="00C84F36" w:rsidRPr="007007D1" w:rsidRDefault="00C84F36" w:rsidP="00A32F86">
            <w:pPr>
              <w:pStyle w:val="ListParagraph"/>
              <w:numPr>
                <w:ilvl w:val="0"/>
                <w:numId w:val="22"/>
              </w:numPr>
              <w:tabs>
                <w:tab w:val="left" w:pos="1872"/>
              </w:tabs>
              <w:spacing w:after="0" w:line="240" w:lineRule="auto"/>
              <w:jc w:val="both"/>
              <w:rPr>
                <w:rFonts w:ascii="Bookman Old Style" w:hAnsi="Bookman Old Style" w:cstheme="minorHAnsi"/>
                <w:color w:val="000000" w:themeColor="text1"/>
                <w:kern w:val="24"/>
                <w:sz w:val="20"/>
                <w:szCs w:val="20"/>
              </w:rPr>
            </w:pPr>
            <w:r w:rsidRPr="007007D1">
              <w:rPr>
                <w:rFonts w:ascii="Bookman Old Style" w:hAnsi="Bookman Old Style"/>
                <w:color w:val="000000"/>
                <w:sz w:val="20"/>
                <w:szCs w:val="20"/>
                <w:lang w:val="sv-SE"/>
              </w:rPr>
              <w:t>Kantor Otoritas Jasa Keuangan setempat, bagi Bank yang berkantor pusat di luar wilayah Provinsi Daerah Khusus Ibukota Jakarta.</w:t>
            </w:r>
          </w:p>
        </w:tc>
        <w:tc>
          <w:tcPr>
            <w:tcW w:w="4840" w:type="dxa"/>
            <w:vMerge/>
            <w:shd w:val="clear" w:color="auto" w:fill="auto"/>
          </w:tcPr>
          <w:p w14:paraId="1B202D88"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C7F89C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3D498A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9143657" w14:textId="77777777" w:rsidTr="00910A48">
        <w:tc>
          <w:tcPr>
            <w:tcW w:w="4794" w:type="dxa"/>
            <w:shd w:val="clear" w:color="auto" w:fill="auto"/>
            <w:vAlign w:val="center"/>
          </w:tcPr>
          <w:p w14:paraId="06AD7C72" w14:textId="77777777" w:rsidR="00C84F36" w:rsidRPr="007007D1" w:rsidRDefault="00C84F36" w:rsidP="00A32F86">
            <w:pPr>
              <w:pStyle w:val="ListParagraph"/>
              <w:numPr>
                <w:ilvl w:val="0"/>
                <w:numId w:val="2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 xml:space="preserve">Dalam hal batas akhir penyampaian laporan sebagaimana dimaksud pada ayat (3) jatuh pada hari Sabtu, Minggu, dan/atau hari libur, laporan disampaikan pada hari kerja berikutnya. </w:t>
            </w:r>
          </w:p>
        </w:tc>
        <w:tc>
          <w:tcPr>
            <w:tcW w:w="4840" w:type="dxa"/>
            <w:vMerge/>
            <w:shd w:val="clear" w:color="auto" w:fill="auto"/>
          </w:tcPr>
          <w:p w14:paraId="488BE779"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A3BE06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61D9CC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F6E5955" w14:textId="77777777" w:rsidTr="00C84F36">
        <w:tc>
          <w:tcPr>
            <w:tcW w:w="4794" w:type="dxa"/>
            <w:shd w:val="clear" w:color="auto" w:fill="DBDBDB" w:themeFill="accent3" w:themeFillTint="66"/>
            <w:vAlign w:val="center"/>
          </w:tcPr>
          <w:p w14:paraId="77757C59"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Pasal</w:t>
            </w:r>
            <w:r w:rsidRPr="007007D1">
              <w:rPr>
                <w:rFonts w:ascii="Bookman Old Style" w:hAnsi="Bookman Old Style"/>
                <w:color w:val="000000"/>
                <w:sz w:val="20"/>
                <w:szCs w:val="20"/>
                <w:lang w:val="sv-SE"/>
              </w:rPr>
              <w:t>  14</w:t>
            </w:r>
          </w:p>
        </w:tc>
        <w:tc>
          <w:tcPr>
            <w:tcW w:w="4840" w:type="dxa"/>
            <w:shd w:val="clear" w:color="auto" w:fill="DBDBDB" w:themeFill="accent3" w:themeFillTint="66"/>
          </w:tcPr>
          <w:p w14:paraId="71304CE1"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14</w:t>
            </w:r>
          </w:p>
        </w:tc>
        <w:tc>
          <w:tcPr>
            <w:tcW w:w="3686" w:type="dxa"/>
            <w:shd w:val="clear" w:color="auto" w:fill="DBDBDB" w:themeFill="accent3" w:themeFillTint="66"/>
          </w:tcPr>
          <w:p w14:paraId="650238F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215044D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9920303" w14:textId="77777777" w:rsidTr="00910A48">
        <w:tc>
          <w:tcPr>
            <w:tcW w:w="4794" w:type="dxa"/>
            <w:shd w:val="clear" w:color="auto" w:fill="auto"/>
            <w:vAlign w:val="center"/>
          </w:tcPr>
          <w:p w14:paraId="6765C833" w14:textId="77777777" w:rsidR="00C84F36" w:rsidRPr="007007D1" w:rsidRDefault="00C84F36" w:rsidP="00A32F86">
            <w:pPr>
              <w:pStyle w:val="ListParagraph"/>
              <w:numPr>
                <w:ilvl w:val="0"/>
                <w:numId w:val="23"/>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Kewajiban perhitungan LCR triwulanan sebagaimana dimaksud dalam Pasal 10 pertama kali dilakukan untuk untuk posisi laporan bulan September 2025.</w:t>
            </w:r>
          </w:p>
        </w:tc>
        <w:tc>
          <w:tcPr>
            <w:tcW w:w="4840" w:type="dxa"/>
            <w:vMerge w:val="restart"/>
            <w:shd w:val="clear" w:color="auto" w:fill="auto"/>
          </w:tcPr>
          <w:p w14:paraId="46BE40D1"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0BC9682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8AE1615"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CC7142D" w14:textId="77777777" w:rsidTr="00910A48">
        <w:tc>
          <w:tcPr>
            <w:tcW w:w="4794" w:type="dxa"/>
            <w:shd w:val="clear" w:color="auto" w:fill="auto"/>
            <w:vAlign w:val="center"/>
          </w:tcPr>
          <w:p w14:paraId="518A6CB2" w14:textId="77777777" w:rsidR="00C84F36" w:rsidRPr="007007D1" w:rsidRDefault="00C84F36" w:rsidP="00A32F86">
            <w:pPr>
              <w:pStyle w:val="ListParagraph"/>
              <w:numPr>
                <w:ilvl w:val="0"/>
                <w:numId w:val="23"/>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Perhitungan LCR triwulanan dilakukan berdasarkan rata-rata harian laporan.</w:t>
            </w:r>
          </w:p>
        </w:tc>
        <w:tc>
          <w:tcPr>
            <w:tcW w:w="4840" w:type="dxa"/>
            <w:vMerge/>
            <w:shd w:val="clear" w:color="auto" w:fill="auto"/>
          </w:tcPr>
          <w:p w14:paraId="4678C400"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2041DF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2FDC6F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5C1B74B" w14:textId="77777777" w:rsidTr="00910A48">
        <w:tc>
          <w:tcPr>
            <w:tcW w:w="4794" w:type="dxa"/>
            <w:shd w:val="clear" w:color="auto" w:fill="auto"/>
            <w:vAlign w:val="center"/>
          </w:tcPr>
          <w:p w14:paraId="6C5DD464" w14:textId="77777777" w:rsidR="00C84F36" w:rsidRPr="007007D1" w:rsidRDefault="00C84F36" w:rsidP="00A32F86">
            <w:pPr>
              <w:pStyle w:val="ListParagraph"/>
              <w:numPr>
                <w:ilvl w:val="0"/>
                <w:numId w:val="23"/>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lastRenderedPageBreak/>
              <w:t>Dalam hal Bank belum diwajibkan untuk melakukan perhitungan LCR secara harian sebagaimana dimaksud dalam Pasal 11 ayat (1), Bank dapat menghitung nilai LCR triwulanan berdasarkan rata-rata posisi akhir bulan laporan.</w:t>
            </w:r>
          </w:p>
        </w:tc>
        <w:tc>
          <w:tcPr>
            <w:tcW w:w="4840" w:type="dxa"/>
            <w:vMerge/>
            <w:shd w:val="clear" w:color="auto" w:fill="auto"/>
          </w:tcPr>
          <w:p w14:paraId="66A9FC8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24ADA1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C9D333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193A085" w14:textId="77777777" w:rsidTr="00910A48">
        <w:tc>
          <w:tcPr>
            <w:tcW w:w="4794" w:type="dxa"/>
            <w:shd w:val="clear" w:color="auto" w:fill="auto"/>
            <w:vAlign w:val="center"/>
          </w:tcPr>
          <w:p w14:paraId="13A17F95" w14:textId="7F322D1B" w:rsidR="00C84F36" w:rsidRPr="007007D1" w:rsidRDefault="00C84F36" w:rsidP="00A32F86">
            <w:pPr>
              <w:pStyle w:val="ListParagraph"/>
              <w:numPr>
                <w:ilvl w:val="0"/>
                <w:numId w:val="23"/>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Penyusunan laporan LCR triwulanan menggunakan format sebagaimana tercantum dalam Lampiran III, yang merupakan bagian tidak terpisahkan dari Peraturan Otoritas Jasa Keuangan ini.</w:t>
            </w:r>
          </w:p>
        </w:tc>
        <w:tc>
          <w:tcPr>
            <w:tcW w:w="4840" w:type="dxa"/>
            <w:vMerge/>
            <w:shd w:val="clear" w:color="auto" w:fill="auto"/>
          </w:tcPr>
          <w:p w14:paraId="35A8279C"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F04532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3F6E3F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71F6FFE" w14:textId="77777777" w:rsidTr="00C84F36">
        <w:tc>
          <w:tcPr>
            <w:tcW w:w="4794" w:type="dxa"/>
            <w:shd w:val="clear" w:color="auto" w:fill="DBDBDB" w:themeFill="accent3" w:themeFillTint="66"/>
            <w:vAlign w:val="center"/>
          </w:tcPr>
          <w:p w14:paraId="3781CD7B" w14:textId="28957CE6"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w:t>
            </w:r>
            <w:r w:rsidRPr="007007D1">
              <w:rPr>
                <w:rFonts w:ascii="Bookman Old Style" w:hAnsi="Bookman Old Style"/>
                <w:color w:val="000000"/>
                <w:sz w:val="20"/>
                <w:szCs w:val="20"/>
                <w:lang w:val="sv-SE"/>
              </w:rPr>
              <w:t>  15</w:t>
            </w:r>
          </w:p>
        </w:tc>
        <w:tc>
          <w:tcPr>
            <w:tcW w:w="4840" w:type="dxa"/>
            <w:shd w:val="clear" w:color="auto" w:fill="DBDBDB" w:themeFill="accent3" w:themeFillTint="66"/>
          </w:tcPr>
          <w:p w14:paraId="09B4C63F"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15</w:t>
            </w:r>
          </w:p>
        </w:tc>
        <w:tc>
          <w:tcPr>
            <w:tcW w:w="3686" w:type="dxa"/>
            <w:shd w:val="clear" w:color="auto" w:fill="DBDBDB" w:themeFill="accent3" w:themeFillTint="66"/>
          </w:tcPr>
          <w:p w14:paraId="77261B3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0BEE7C3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ABD60B8" w14:textId="77777777" w:rsidTr="00910A48">
        <w:tc>
          <w:tcPr>
            <w:tcW w:w="4794" w:type="dxa"/>
            <w:shd w:val="clear" w:color="auto" w:fill="auto"/>
            <w:vAlign w:val="center"/>
          </w:tcPr>
          <w:p w14:paraId="6C183757"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laporan LCR triwulanan</w:t>
            </w:r>
            <w:r w:rsidRPr="007007D1">
              <w:rPr>
                <w:rFonts w:ascii="Bookman Old Style" w:hAnsi="Bookman Old Style"/>
                <w:color w:val="FF0000"/>
                <w:sz w:val="20"/>
                <w:szCs w:val="20"/>
                <w:lang w:val="sv-SE"/>
              </w:rPr>
              <w:t xml:space="preserve"> </w:t>
            </w:r>
            <w:r w:rsidRPr="007007D1">
              <w:rPr>
                <w:rFonts w:ascii="Bookman Old Style" w:hAnsi="Bookman Old Style"/>
                <w:color w:val="000000"/>
                <w:sz w:val="20"/>
                <w:szCs w:val="20"/>
                <w:lang w:val="sv-SE"/>
              </w:rPr>
              <w:t>sebagaimana dimaksud dalam Pasal 10 secara daring melalui sistem pelaporan Otoritas Jasa Keuangan.</w:t>
            </w:r>
          </w:p>
        </w:tc>
        <w:tc>
          <w:tcPr>
            <w:tcW w:w="4840" w:type="dxa"/>
            <w:vMerge w:val="restart"/>
            <w:shd w:val="clear" w:color="auto" w:fill="auto"/>
          </w:tcPr>
          <w:p w14:paraId="780FFD29"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870182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F5AD58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590A082" w14:textId="77777777" w:rsidTr="00910A48">
        <w:tc>
          <w:tcPr>
            <w:tcW w:w="4794" w:type="dxa"/>
            <w:shd w:val="clear" w:color="auto" w:fill="auto"/>
            <w:vAlign w:val="center"/>
          </w:tcPr>
          <w:p w14:paraId="4E346F26"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Tata cara , format, dan jangka waktu penyampaian laporan LCR triwulanan dilakukan sesuai dengan Peraturan Otoritas Jasa Keuangan mengenai pelaporan bank umum melalui sistem pelaporan Otoritas Jasa Keuangan.</w:t>
            </w:r>
          </w:p>
        </w:tc>
        <w:tc>
          <w:tcPr>
            <w:tcW w:w="4840" w:type="dxa"/>
            <w:vMerge/>
            <w:shd w:val="clear" w:color="auto" w:fill="auto"/>
          </w:tcPr>
          <w:p w14:paraId="4C98EBD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19C1AD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CBEFA2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844FE9D" w14:textId="77777777" w:rsidTr="00910A48">
        <w:tc>
          <w:tcPr>
            <w:tcW w:w="4794" w:type="dxa"/>
            <w:shd w:val="clear" w:color="auto" w:fill="auto"/>
            <w:vAlign w:val="center"/>
          </w:tcPr>
          <w:p w14:paraId="586A8759"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pelaporan Otoritas Jasa Keuangan sebagaimana dimaksud pada ayat (1) belum tersedia atau terdapat keadaan kahar , penyampaian dilakukan melalui sistem persuratan Otoritas Jasa Keuangan.</w:t>
            </w:r>
          </w:p>
        </w:tc>
        <w:tc>
          <w:tcPr>
            <w:tcW w:w="4840" w:type="dxa"/>
            <w:vMerge/>
            <w:shd w:val="clear" w:color="auto" w:fill="auto"/>
          </w:tcPr>
          <w:p w14:paraId="09D73F4C"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1A3F18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9763E6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A9579FA" w14:textId="77777777" w:rsidTr="00910A48">
        <w:tc>
          <w:tcPr>
            <w:tcW w:w="4794" w:type="dxa"/>
            <w:shd w:val="clear" w:color="auto" w:fill="auto"/>
            <w:vAlign w:val="center"/>
          </w:tcPr>
          <w:p w14:paraId="49E896EA"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persuratan Otoritas Jasa Keuangan sebagaimana dimaksud pada ayat (3) terdapat keadaan kahar , penyampaian dilakukan secara luring.</w:t>
            </w:r>
          </w:p>
        </w:tc>
        <w:tc>
          <w:tcPr>
            <w:tcW w:w="4840" w:type="dxa"/>
            <w:vMerge/>
            <w:shd w:val="clear" w:color="auto" w:fill="auto"/>
          </w:tcPr>
          <w:p w14:paraId="7AF26C97"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13CD80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638C2C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58BAECA" w14:textId="77777777" w:rsidTr="00910A48">
        <w:tc>
          <w:tcPr>
            <w:tcW w:w="4794" w:type="dxa"/>
            <w:shd w:val="clear" w:color="auto" w:fill="auto"/>
            <w:vAlign w:val="center"/>
          </w:tcPr>
          <w:p w14:paraId="3375474F"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Bank wajib menyampaikan laporan LCR triwulanan sebagaimana dimaksud pada ayat (1) dan ayat (3) paling lambat: </w:t>
            </w:r>
          </w:p>
        </w:tc>
        <w:tc>
          <w:tcPr>
            <w:tcW w:w="4840" w:type="dxa"/>
            <w:vMerge/>
            <w:shd w:val="clear" w:color="auto" w:fill="auto"/>
          </w:tcPr>
          <w:p w14:paraId="353D7339"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17A1D2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4BD845D"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62AA0265" w14:textId="77777777" w:rsidTr="00910A48">
        <w:tc>
          <w:tcPr>
            <w:tcW w:w="4794" w:type="dxa"/>
            <w:shd w:val="clear" w:color="auto" w:fill="auto"/>
            <w:vAlign w:val="center"/>
          </w:tcPr>
          <w:p w14:paraId="1ABD4E68" w14:textId="77777777" w:rsidR="00C84F36" w:rsidRPr="007007D1" w:rsidRDefault="00C84F36" w:rsidP="00A32F86">
            <w:pPr>
              <w:pStyle w:val="ListParagraph"/>
              <w:numPr>
                <w:ilvl w:val="1"/>
                <w:numId w:val="24"/>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 xml:space="preserve">15 (lima belas) bulan ke dua setelah berakhirnya bulan laporan, untuk laporan posisi akhir bulan Maret, Juni, dan September; dan </w:t>
            </w:r>
          </w:p>
        </w:tc>
        <w:tc>
          <w:tcPr>
            <w:tcW w:w="4840" w:type="dxa"/>
            <w:vMerge/>
            <w:shd w:val="clear" w:color="auto" w:fill="auto"/>
          </w:tcPr>
          <w:p w14:paraId="6B75A92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BE6E79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44EEB6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3659A8E" w14:textId="77777777" w:rsidTr="00910A48">
        <w:tc>
          <w:tcPr>
            <w:tcW w:w="4794" w:type="dxa"/>
            <w:shd w:val="clear" w:color="auto" w:fill="auto"/>
            <w:vAlign w:val="center"/>
          </w:tcPr>
          <w:p w14:paraId="2F2AC212" w14:textId="77777777" w:rsidR="00C84F36" w:rsidRPr="007007D1" w:rsidRDefault="00C84F36" w:rsidP="00A32F86">
            <w:pPr>
              <w:pStyle w:val="ListParagraph"/>
              <w:numPr>
                <w:ilvl w:val="1"/>
                <w:numId w:val="24"/>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lastRenderedPageBreak/>
              <w:t>Akhir bulan Maret tahun berikutnya setelah berakhirnya bulan laporan, untuk laporan posisi akhir bulan Desember.</w:t>
            </w:r>
          </w:p>
        </w:tc>
        <w:tc>
          <w:tcPr>
            <w:tcW w:w="4840" w:type="dxa"/>
            <w:vMerge/>
            <w:shd w:val="clear" w:color="auto" w:fill="auto"/>
          </w:tcPr>
          <w:p w14:paraId="1663FD2A"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4F3F8D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E9D4B7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10C0DAA" w14:textId="77777777" w:rsidTr="00910A48">
        <w:tc>
          <w:tcPr>
            <w:tcW w:w="4794" w:type="dxa"/>
            <w:shd w:val="clear" w:color="auto" w:fill="auto"/>
            <w:vAlign w:val="center"/>
          </w:tcPr>
          <w:p w14:paraId="0BE71095"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Penyampaian laporan LCR triwulanan</w:t>
            </w:r>
            <w:r w:rsidRPr="007007D1">
              <w:rPr>
                <w:rFonts w:ascii="Bookman Old Style" w:hAnsi="Bookman Old Style"/>
                <w:color w:val="FF0000"/>
                <w:sz w:val="20"/>
                <w:szCs w:val="20"/>
                <w:lang w:val="en-ID"/>
              </w:rPr>
              <w:t xml:space="preserve"> </w:t>
            </w:r>
            <w:r w:rsidRPr="007007D1">
              <w:rPr>
                <w:rFonts w:ascii="Bookman Old Style" w:hAnsi="Bookman Old Style"/>
                <w:color w:val="000000"/>
                <w:sz w:val="20"/>
                <w:szCs w:val="20"/>
                <w:lang w:val="en-ID"/>
              </w:rPr>
              <w:t xml:space="preserve">sebagaimana dimaksud pada ayat (3) dan ayat (4) disampaikan kepada: </w:t>
            </w:r>
          </w:p>
        </w:tc>
        <w:tc>
          <w:tcPr>
            <w:tcW w:w="4840" w:type="dxa"/>
            <w:vMerge/>
            <w:shd w:val="clear" w:color="auto" w:fill="auto"/>
          </w:tcPr>
          <w:p w14:paraId="3A73D32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8798E9D"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A60DD0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B4A2ED6" w14:textId="77777777" w:rsidTr="00910A48">
        <w:tc>
          <w:tcPr>
            <w:tcW w:w="4794" w:type="dxa"/>
            <w:shd w:val="clear" w:color="auto" w:fill="auto"/>
            <w:vAlign w:val="center"/>
          </w:tcPr>
          <w:p w14:paraId="36750E79" w14:textId="77777777" w:rsidR="00C84F36" w:rsidRPr="007007D1" w:rsidRDefault="00C84F36" w:rsidP="00A32F86">
            <w:pPr>
              <w:pStyle w:val="ListParagraph"/>
              <w:numPr>
                <w:ilvl w:val="1"/>
                <w:numId w:val="24"/>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Departemen Pengawasan Bank Syariah terkait bagi Bank yang berkantor pusat atau kantor cabang dari bank yang berkedudukan di luar negeri yang berada di wilayah Provinsi Daerah Khusus Ibukota Jakarta; atau</w:t>
            </w:r>
          </w:p>
        </w:tc>
        <w:tc>
          <w:tcPr>
            <w:tcW w:w="4840" w:type="dxa"/>
            <w:vMerge/>
            <w:shd w:val="clear" w:color="auto" w:fill="auto"/>
          </w:tcPr>
          <w:p w14:paraId="43B8F80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A0FBD45"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8DCD7A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38A4B44" w14:textId="77777777" w:rsidTr="00910A48">
        <w:tc>
          <w:tcPr>
            <w:tcW w:w="4794" w:type="dxa"/>
            <w:shd w:val="clear" w:color="auto" w:fill="auto"/>
            <w:vAlign w:val="center"/>
          </w:tcPr>
          <w:p w14:paraId="37F38350" w14:textId="77777777" w:rsidR="00C84F36" w:rsidRPr="007007D1" w:rsidRDefault="00C84F36" w:rsidP="00A32F86">
            <w:pPr>
              <w:pStyle w:val="ListParagraph"/>
              <w:numPr>
                <w:ilvl w:val="1"/>
                <w:numId w:val="24"/>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Kantor Otoritas Jasa Keuangan setempat, bagi Bank yang berkantor pusat di luar wilayah Provinsi Daerah Khusus Ibukota Jakarta.</w:t>
            </w:r>
          </w:p>
        </w:tc>
        <w:tc>
          <w:tcPr>
            <w:tcW w:w="4840" w:type="dxa"/>
            <w:vMerge/>
            <w:shd w:val="clear" w:color="auto" w:fill="auto"/>
          </w:tcPr>
          <w:p w14:paraId="1401570D"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275500A" w14:textId="77777777" w:rsidR="00C84F36" w:rsidRPr="00BA5B40" w:rsidRDefault="00C84F36" w:rsidP="00910A48">
            <w:pPr>
              <w:pStyle w:val="ListParagraph"/>
              <w:numPr>
                <w:ilvl w:val="1"/>
                <w:numId w:val="1"/>
              </w:num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98C399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D936C41" w14:textId="77777777" w:rsidTr="00910A48">
        <w:tc>
          <w:tcPr>
            <w:tcW w:w="4794" w:type="dxa"/>
            <w:shd w:val="clear" w:color="auto" w:fill="auto"/>
            <w:vAlign w:val="center"/>
          </w:tcPr>
          <w:p w14:paraId="7B7661BE" w14:textId="77777777" w:rsidR="00C84F36" w:rsidRPr="007007D1" w:rsidRDefault="00C84F36" w:rsidP="00A32F86">
            <w:pPr>
              <w:pStyle w:val="ListParagraph"/>
              <w:numPr>
                <w:ilvl w:val="0"/>
                <w:numId w:val="2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Dalam hal batas akhir penyampaian laporan sebagaimana dimaksud pada ayat (3) jatuh pada hari Sabtu, Minggu, dan/atau hari libur, laporan disampaikan pada hari kerja berikutnya.</w:t>
            </w:r>
          </w:p>
        </w:tc>
        <w:tc>
          <w:tcPr>
            <w:tcW w:w="4840" w:type="dxa"/>
            <w:vMerge/>
            <w:shd w:val="clear" w:color="auto" w:fill="auto"/>
          </w:tcPr>
          <w:p w14:paraId="0790A166"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28C84C5"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3CE54AD"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6C74767" w14:textId="77777777" w:rsidTr="00C84F36">
        <w:tc>
          <w:tcPr>
            <w:tcW w:w="4794" w:type="dxa"/>
            <w:shd w:val="clear" w:color="auto" w:fill="DBDBDB" w:themeFill="accent3" w:themeFillTint="66"/>
            <w:vAlign w:val="center"/>
          </w:tcPr>
          <w:p w14:paraId="2BACD9BF"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w:t>
            </w:r>
            <w:r w:rsidRPr="007007D1">
              <w:rPr>
                <w:rFonts w:ascii="Bookman Old Style" w:hAnsi="Bookman Old Style"/>
                <w:color w:val="000000"/>
                <w:sz w:val="20"/>
                <w:szCs w:val="20"/>
                <w:lang w:val="sv-SE"/>
              </w:rPr>
              <w:t>  16</w:t>
            </w:r>
          </w:p>
        </w:tc>
        <w:tc>
          <w:tcPr>
            <w:tcW w:w="4840" w:type="dxa"/>
            <w:shd w:val="clear" w:color="auto" w:fill="DBDBDB" w:themeFill="accent3" w:themeFillTint="66"/>
            <w:vAlign w:val="center"/>
          </w:tcPr>
          <w:p w14:paraId="212A4FF4"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16</w:t>
            </w:r>
          </w:p>
        </w:tc>
        <w:tc>
          <w:tcPr>
            <w:tcW w:w="3686" w:type="dxa"/>
            <w:shd w:val="clear" w:color="auto" w:fill="DBDBDB" w:themeFill="accent3" w:themeFillTint="66"/>
          </w:tcPr>
          <w:p w14:paraId="6F49F5C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03664DE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8F655EF" w14:textId="77777777" w:rsidTr="00C84F36">
        <w:tc>
          <w:tcPr>
            <w:tcW w:w="4794" w:type="dxa"/>
            <w:shd w:val="clear" w:color="auto" w:fill="auto"/>
            <w:vAlign w:val="center"/>
          </w:tcPr>
          <w:p w14:paraId="260ADB8A" w14:textId="77777777"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mempublikasikan laporan LCR triwulanan sebagaimana dimaksud pada Pasal 10 pertama kali dilakukan untuk untuk posisi laporan bulan Juni 2026 .</w:t>
            </w:r>
          </w:p>
        </w:tc>
        <w:tc>
          <w:tcPr>
            <w:tcW w:w="4840" w:type="dxa"/>
            <w:shd w:val="clear" w:color="auto" w:fill="auto"/>
          </w:tcPr>
          <w:p w14:paraId="0994FB8D"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Ayat (1)</w:t>
            </w:r>
          </w:p>
          <w:p w14:paraId="33830F77"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5F5076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4298C4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706D1B7" w14:textId="77777777" w:rsidTr="00C84F36">
        <w:tc>
          <w:tcPr>
            <w:tcW w:w="4794" w:type="dxa"/>
            <w:shd w:val="clear" w:color="auto" w:fill="auto"/>
            <w:vAlign w:val="center"/>
          </w:tcPr>
          <w:p w14:paraId="0D4B6DC5" w14:textId="77777777"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mempublikasikan perhitungan dan/atau nilai LCR triwulanan sebagaimana dimaksud pada ayat (1) untuk posisi bulan Maret, Juni, September, dan Desember.</w:t>
            </w:r>
          </w:p>
        </w:tc>
        <w:tc>
          <w:tcPr>
            <w:tcW w:w="4840" w:type="dxa"/>
            <w:shd w:val="clear" w:color="auto" w:fill="auto"/>
          </w:tcPr>
          <w:p w14:paraId="21BEDE08"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Ayat (2)</w:t>
            </w:r>
          </w:p>
          <w:p w14:paraId="3258ACFA"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0EF0C50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5C30E4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01A381C" w14:textId="77777777" w:rsidTr="00C84F36">
        <w:tc>
          <w:tcPr>
            <w:tcW w:w="4794" w:type="dxa"/>
            <w:shd w:val="clear" w:color="auto" w:fill="auto"/>
            <w:vAlign w:val="center"/>
          </w:tcPr>
          <w:p w14:paraId="0BA84E39" w14:textId="77777777"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Publikasi perhitungan dan/atau nilai LCR triwulanan sebagaimana dimaksud pada Pasal 10 melalui:</w:t>
            </w:r>
          </w:p>
        </w:tc>
        <w:tc>
          <w:tcPr>
            <w:tcW w:w="4840" w:type="dxa"/>
            <w:shd w:val="clear" w:color="auto" w:fill="auto"/>
          </w:tcPr>
          <w:p w14:paraId="52CD9408"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Ayat (3)</w:t>
            </w:r>
          </w:p>
        </w:tc>
        <w:tc>
          <w:tcPr>
            <w:tcW w:w="3686" w:type="dxa"/>
            <w:shd w:val="clear" w:color="auto" w:fill="auto"/>
          </w:tcPr>
          <w:p w14:paraId="33B4E10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D28C4F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D08FEAC" w14:textId="77777777" w:rsidTr="00910A48">
        <w:tc>
          <w:tcPr>
            <w:tcW w:w="4794" w:type="dxa"/>
            <w:shd w:val="clear" w:color="auto" w:fill="auto"/>
            <w:vAlign w:val="center"/>
          </w:tcPr>
          <w:p w14:paraId="68E78354" w14:textId="77777777" w:rsidR="00910A48" w:rsidRPr="007007D1" w:rsidRDefault="00910A48" w:rsidP="00A32F86">
            <w:pPr>
              <w:pStyle w:val="ListParagraph"/>
              <w:numPr>
                <w:ilvl w:val="1"/>
                <w:numId w:val="25"/>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eastAsia="Bookman Old Style" w:hAnsi="Bookman Old Style"/>
                <w:color w:val="000000"/>
                <w:sz w:val="20"/>
                <w:szCs w:val="20"/>
                <w:lang w:val="en-ID"/>
              </w:rPr>
              <w:t xml:space="preserve">situs </w:t>
            </w:r>
            <w:r w:rsidRPr="007007D1">
              <w:rPr>
                <w:rFonts w:ascii="Bookman Old Style" w:eastAsia="Bookman Old Style" w:hAnsi="Bookman Old Style"/>
                <w:i/>
                <w:iCs/>
                <w:color w:val="000000"/>
                <w:sz w:val="20"/>
                <w:szCs w:val="20"/>
                <w:lang w:val="en-ID"/>
              </w:rPr>
              <w:t>web</w:t>
            </w:r>
            <w:r w:rsidRPr="007007D1">
              <w:rPr>
                <w:rFonts w:ascii="Bookman Old Style" w:eastAsia="Bookman Old Style" w:hAnsi="Bookman Old Style"/>
                <w:color w:val="000000"/>
                <w:sz w:val="20"/>
                <w:szCs w:val="20"/>
                <w:lang w:val="en-ID"/>
              </w:rPr>
              <w:t xml:space="preserve"> Bank untuk perhitungan dan nilai LCR secara triwulanan; dan </w:t>
            </w:r>
          </w:p>
        </w:tc>
        <w:tc>
          <w:tcPr>
            <w:tcW w:w="4840" w:type="dxa"/>
            <w:shd w:val="clear" w:color="auto" w:fill="auto"/>
          </w:tcPr>
          <w:p w14:paraId="14A622B5" w14:textId="77777777" w:rsidR="00910A48" w:rsidRPr="007007D1" w:rsidRDefault="00910A48" w:rsidP="00910A48">
            <w:pPr>
              <w:tabs>
                <w:tab w:val="left" w:pos="480"/>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a</w:t>
            </w:r>
          </w:p>
          <w:p w14:paraId="448E3087"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C84F36">
              <w:rPr>
                <w:rFonts w:ascii="Bookman Old Style" w:hAnsi="Bookman Old Style"/>
                <w:color w:val="000000"/>
                <w:sz w:val="20"/>
                <w:szCs w:val="20"/>
                <w:lang w:val="en-ID"/>
              </w:rPr>
              <w:lastRenderedPageBreak/>
              <w:t>Pencantuman</w:t>
            </w:r>
            <w:r w:rsidRPr="007007D1">
              <w:rPr>
                <w:rFonts w:ascii="Bookman Old Style" w:eastAsia="Bookman Old Style" w:hAnsi="Bookman Old Style" w:cs="Bookman Old Style"/>
                <w:color w:val="000000" w:themeColor="text1"/>
                <w:sz w:val="20"/>
                <w:szCs w:val="20"/>
              </w:rPr>
              <w:t xml:space="preserve"> dalam situs web Bank dilakukan secara rinci dengan memuat perhitungan LCR.</w:t>
            </w:r>
          </w:p>
        </w:tc>
        <w:tc>
          <w:tcPr>
            <w:tcW w:w="3686" w:type="dxa"/>
            <w:shd w:val="clear" w:color="auto" w:fill="auto"/>
          </w:tcPr>
          <w:p w14:paraId="1DE87C6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AF9D26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4BE254F" w14:textId="77777777" w:rsidTr="00C84F36">
        <w:tc>
          <w:tcPr>
            <w:tcW w:w="4794" w:type="dxa"/>
            <w:shd w:val="clear" w:color="auto" w:fill="auto"/>
          </w:tcPr>
          <w:p w14:paraId="3D1EFD1A" w14:textId="77777777" w:rsidR="00910A48" w:rsidRPr="007007D1" w:rsidRDefault="00910A48" w:rsidP="00A32F86">
            <w:pPr>
              <w:pStyle w:val="ListParagraph"/>
              <w:numPr>
                <w:ilvl w:val="1"/>
                <w:numId w:val="25"/>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eastAsia="Bookman Old Style" w:hAnsi="Bookman Old Style"/>
                <w:color w:val="000000"/>
                <w:sz w:val="20"/>
                <w:szCs w:val="20"/>
                <w:lang w:val="en-ID"/>
              </w:rPr>
              <w:t>paling sedikit 1 (satu) surat kabar harian cetak berbahasa Indonesia yang memiliki peredaran luas dan secara daring (</w:t>
            </w:r>
            <w:r w:rsidRPr="007007D1">
              <w:rPr>
                <w:rFonts w:ascii="Bookman Old Style" w:eastAsia="Bookman Old Style" w:hAnsi="Bookman Old Style"/>
                <w:i/>
                <w:iCs/>
                <w:color w:val="000000"/>
                <w:sz w:val="20"/>
                <w:szCs w:val="20"/>
                <w:lang w:val="en-ID"/>
              </w:rPr>
              <w:t>online</w:t>
            </w:r>
            <w:r w:rsidRPr="007007D1">
              <w:rPr>
                <w:rFonts w:ascii="Bookman Old Style" w:eastAsia="Bookman Old Style" w:hAnsi="Bookman Old Style"/>
                <w:color w:val="000000"/>
                <w:sz w:val="20"/>
                <w:szCs w:val="20"/>
                <w:lang w:val="en-ID"/>
              </w:rPr>
              <w:t>)</w:t>
            </w:r>
            <w:r w:rsidRPr="007007D1">
              <w:rPr>
                <w:rFonts w:ascii="Bookman Old Style" w:eastAsia="Bookman Old Style" w:hAnsi="Bookman Old Style"/>
                <w:i/>
                <w:iCs/>
                <w:color w:val="000000"/>
                <w:sz w:val="20"/>
                <w:szCs w:val="20"/>
                <w:lang w:val="en-ID"/>
              </w:rPr>
              <w:t xml:space="preserve"> </w:t>
            </w:r>
            <w:r w:rsidRPr="007007D1">
              <w:rPr>
                <w:rFonts w:ascii="Bookman Old Style" w:eastAsia="Bookman Old Style" w:hAnsi="Bookman Old Style"/>
                <w:color w:val="000000"/>
                <w:sz w:val="20"/>
                <w:szCs w:val="20"/>
                <w:lang w:val="en-ID"/>
              </w:rPr>
              <w:t>yang dicantumkan pada laporan publikasi triwulanan.</w:t>
            </w:r>
          </w:p>
        </w:tc>
        <w:tc>
          <w:tcPr>
            <w:tcW w:w="4840" w:type="dxa"/>
            <w:shd w:val="clear" w:color="auto" w:fill="auto"/>
          </w:tcPr>
          <w:p w14:paraId="68E0A882"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b</w:t>
            </w:r>
          </w:p>
          <w:p w14:paraId="0DAD69CF"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Pencantuman dalam surat kabar harian cetak berbahasa Indonesia dilakukan dengan </w:t>
            </w:r>
            <w:r w:rsidRPr="00C84F36">
              <w:rPr>
                <w:rFonts w:ascii="Bookman Old Style" w:hAnsi="Bookman Old Style"/>
                <w:color w:val="000000"/>
                <w:sz w:val="20"/>
                <w:szCs w:val="20"/>
                <w:lang w:val="en-ID"/>
              </w:rPr>
              <w:t>mencantumkan</w:t>
            </w:r>
            <w:r w:rsidRPr="007007D1">
              <w:rPr>
                <w:rFonts w:ascii="Bookman Old Style" w:eastAsia="Bookman Old Style" w:hAnsi="Bookman Old Style" w:cs="Bookman Old Style"/>
                <w:color w:val="000000" w:themeColor="text1"/>
                <w:sz w:val="20"/>
                <w:szCs w:val="20"/>
              </w:rPr>
              <w:t xml:space="preserve"> nilai LCR dalam bentuk perbandingan dengan nilai LCR triwulanan periode sebelumnya.</w:t>
            </w:r>
          </w:p>
          <w:p w14:paraId="50C0D0D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Surat kabar harian cetak berbahasa Indonesia yang memiliki peredaran luas di tempat kedudukan kantor pusat Bank.</w:t>
            </w:r>
          </w:p>
        </w:tc>
        <w:tc>
          <w:tcPr>
            <w:tcW w:w="3686" w:type="dxa"/>
            <w:shd w:val="clear" w:color="auto" w:fill="auto"/>
          </w:tcPr>
          <w:p w14:paraId="10197DA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CF5976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AD96EF2" w14:textId="77777777" w:rsidTr="00910A48">
        <w:tc>
          <w:tcPr>
            <w:tcW w:w="4794" w:type="dxa"/>
            <w:shd w:val="clear" w:color="auto" w:fill="auto"/>
            <w:vAlign w:val="center"/>
          </w:tcPr>
          <w:p w14:paraId="7DAA07D6" w14:textId="77777777"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Kewajiban  publikasi perhitungan dan nilai LCR triwulanan sebagaimana dimaksud pada ayat (3) huruf a dilakukan paling lambat: </w:t>
            </w:r>
          </w:p>
        </w:tc>
        <w:tc>
          <w:tcPr>
            <w:tcW w:w="4840" w:type="dxa"/>
            <w:shd w:val="clear" w:color="auto" w:fill="auto"/>
          </w:tcPr>
          <w:p w14:paraId="7EFB8929"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12C9E3CE"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66351DB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EC0F08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2D15C0E" w14:textId="77777777" w:rsidTr="00910A48">
        <w:tc>
          <w:tcPr>
            <w:tcW w:w="4794" w:type="dxa"/>
            <w:shd w:val="clear" w:color="auto" w:fill="auto"/>
            <w:vAlign w:val="center"/>
          </w:tcPr>
          <w:p w14:paraId="32822151" w14:textId="77777777" w:rsidR="00910A48" w:rsidRPr="007007D1" w:rsidRDefault="00910A48" w:rsidP="00A32F86">
            <w:pPr>
              <w:pStyle w:val="ListParagraph"/>
              <w:numPr>
                <w:ilvl w:val="1"/>
                <w:numId w:val="25"/>
              </w:numPr>
              <w:tabs>
                <w:tab w:val="left" w:pos="1872"/>
                <w:tab w:val="left" w:pos="2552"/>
              </w:tabs>
              <w:spacing w:after="0" w:line="240" w:lineRule="auto"/>
              <w:ind w:left="739"/>
              <w:jc w:val="both"/>
              <w:rPr>
                <w:rFonts w:ascii="Bookman Old Style" w:hAnsi="Bookman Old Style" w:cstheme="minorHAnsi"/>
                <w:noProof/>
                <w:color w:val="000000" w:themeColor="text1"/>
                <w:sz w:val="20"/>
                <w:szCs w:val="20"/>
              </w:rPr>
            </w:pPr>
            <w:r w:rsidRPr="007007D1">
              <w:rPr>
                <w:rFonts w:ascii="Bookman Old Style" w:hAnsi="Bookman Old Style"/>
                <w:color w:val="000000"/>
                <w:sz w:val="20"/>
                <w:szCs w:val="20"/>
                <w:lang w:val="sv-SE"/>
              </w:rPr>
              <w:t>tanggal 15 bulan kedua setelah berakhirnya bulan laporan, untuk laporan posisi akhir bulan Maret, Juni, dan September; dan</w:t>
            </w:r>
          </w:p>
        </w:tc>
        <w:tc>
          <w:tcPr>
            <w:tcW w:w="4840" w:type="dxa"/>
            <w:shd w:val="clear" w:color="auto" w:fill="auto"/>
          </w:tcPr>
          <w:p w14:paraId="4544ED61"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0536AA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B2E1B1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970AAD0" w14:textId="77777777" w:rsidTr="00910A48">
        <w:tc>
          <w:tcPr>
            <w:tcW w:w="4794" w:type="dxa"/>
            <w:shd w:val="clear" w:color="auto" w:fill="auto"/>
            <w:vAlign w:val="center"/>
          </w:tcPr>
          <w:p w14:paraId="44C55722" w14:textId="77777777" w:rsidR="00910A48" w:rsidRPr="007007D1" w:rsidRDefault="00910A48" w:rsidP="00A32F86">
            <w:pPr>
              <w:pStyle w:val="ListParagraph"/>
              <w:numPr>
                <w:ilvl w:val="1"/>
                <w:numId w:val="25"/>
              </w:numPr>
              <w:tabs>
                <w:tab w:val="left" w:pos="1872"/>
                <w:tab w:val="left" w:pos="2552"/>
              </w:tabs>
              <w:spacing w:after="0" w:line="240" w:lineRule="auto"/>
              <w:ind w:left="739"/>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akhir bulan Maret tahun berikutnya setelah berakhirnya bulan laporan, untuk laporan posisi akhir bulan Desember.</w:t>
            </w:r>
          </w:p>
        </w:tc>
        <w:tc>
          <w:tcPr>
            <w:tcW w:w="4840" w:type="dxa"/>
            <w:shd w:val="clear" w:color="auto" w:fill="auto"/>
          </w:tcPr>
          <w:p w14:paraId="61AC8938"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319095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287A92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58E0868" w14:textId="77777777" w:rsidTr="00910A48">
        <w:tc>
          <w:tcPr>
            <w:tcW w:w="4794" w:type="dxa"/>
            <w:shd w:val="clear" w:color="auto" w:fill="auto"/>
            <w:vAlign w:val="center"/>
          </w:tcPr>
          <w:p w14:paraId="4255B425" w14:textId="70DC49A8"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 xml:space="preserve">Tata cara, format, dan jangka waktu publikasi laporan LCR triwulanan sebagaimana dimaksud pada ayat (3) huruf b dilakukan sesuai dengan Peraturan Otoritas Jasa Keuangan mengenai transparansi dan publikasi laporan Bank. </w:t>
            </w:r>
          </w:p>
        </w:tc>
        <w:tc>
          <w:tcPr>
            <w:tcW w:w="4840" w:type="dxa"/>
            <w:shd w:val="clear" w:color="auto" w:fill="auto"/>
          </w:tcPr>
          <w:p w14:paraId="6CECCD53"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(5)</w:t>
            </w:r>
          </w:p>
          <w:p w14:paraId="538DD9D8"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03EB148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C7E54F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4CC3A9B" w14:textId="77777777" w:rsidTr="00910A48">
        <w:tc>
          <w:tcPr>
            <w:tcW w:w="4794" w:type="dxa"/>
            <w:shd w:val="clear" w:color="auto" w:fill="auto"/>
            <w:vAlign w:val="center"/>
          </w:tcPr>
          <w:p w14:paraId="74E549AE" w14:textId="77777777"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dinyatakan tidak mempublikasikan nilai LCR triwulanan melalui surat kabar sebagaimana dimaksud pada ayat (3) apabila dalam laporan publikasi triwulanan yang diumumkan tidak mencantumkan informasi mengenai nilai LCR.</w:t>
            </w:r>
          </w:p>
        </w:tc>
        <w:tc>
          <w:tcPr>
            <w:tcW w:w="4840" w:type="dxa"/>
            <w:shd w:val="clear" w:color="auto" w:fill="auto"/>
          </w:tcPr>
          <w:p w14:paraId="1B48987E"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(6)</w:t>
            </w:r>
          </w:p>
          <w:p w14:paraId="4B0ECC0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1B6E3F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05555E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EE66415" w14:textId="77777777" w:rsidTr="00910A48">
        <w:tc>
          <w:tcPr>
            <w:tcW w:w="4794" w:type="dxa"/>
            <w:shd w:val="clear" w:color="auto" w:fill="auto"/>
            <w:vAlign w:val="center"/>
          </w:tcPr>
          <w:p w14:paraId="39F12A0B" w14:textId="77777777" w:rsidR="00910A48" w:rsidRPr="007007D1" w:rsidRDefault="00910A48" w:rsidP="00A32F86">
            <w:pPr>
              <w:pStyle w:val="ListParagraph"/>
              <w:numPr>
                <w:ilvl w:val="0"/>
                <w:numId w:val="25"/>
              </w:numPr>
              <w:tabs>
                <w:tab w:val="left" w:pos="1872"/>
                <w:tab w:val="left" w:pos="2552"/>
              </w:tabs>
              <w:spacing w:after="0" w:line="240" w:lineRule="auto"/>
              <w:jc w:val="both"/>
              <w:rPr>
                <w:rFonts w:ascii="Bookman Old Style" w:hAnsi="Bookman Old Style" w:cstheme="minorHAnsi"/>
                <w:noProof/>
                <w:color w:val="000000" w:themeColor="text1"/>
                <w:sz w:val="20"/>
                <w:szCs w:val="20"/>
              </w:rPr>
            </w:pPr>
            <w:r w:rsidRPr="007007D1">
              <w:rPr>
                <w:rFonts w:ascii="Bookman Old Style" w:hAnsi="Bookman Old Style"/>
                <w:color w:val="000000"/>
                <w:sz w:val="20"/>
                <w:szCs w:val="20"/>
                <w:lang w:val="sv-SE"/>
              </w:rPr>
              <w:t xml:space="preserve">Bank  wajib memelihara pengumuman laporan LCR triwulanan pada situs web </w:t>
            </w:r>
            <w:r w:rsidRPr="007007D1">
              <w:rPr>
                <w:rFonts w:ascii="Bookman Old Style" w:hAnsi="Bookman Old Style"/>
                <w:color w:val="000000"/>
                <w:sz w:val="20"/>
                <w:szCs w:val="20"/>
                <w:lang w:val="sv-SE"/>
              </w:rPr>
              <w:lastRenderedPageBreak/>
              <w:t>Bank sebagaimana dimaksud pada ayat (3) huruf a paling kurang untuk 5 (lima) tahun buku terakhir.</w:t>
            </w:r>
          </w:p>
        </w:tc>
        <w:tc>
          <w:tcPr>
            <w:tcW w:w="4840" w:type="dxa"/>
            <w:shd w:val="clear" w:color="auto" w:fill="auto"/>
          </w:tcPr>
          <w:p w14:paraId="73E6CAC0"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Ayat (7)</w:t>
            </w:r>
          </w:p>
          <w:p w14:paraId="77FD1105"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Contoh:</w:t>
            </w:r>
          </w:p>
          <w:p w14:paraId="4282F4F6"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Laporan LCR triwulanan posisi akhir bulan Juni 2026 wajib dipelihara di situs web Bank sampai dengan bulan Juni 2031.</w:t>
            </w:r>
          </w:p>
        </w:tc>
        <w:tc>
          <w:tcPr>
            <w:tcW w:w="3686" w:type="dxa"/>
            <w:shd w:val="clear" w:color="auto" w:fill="auto"/>
          </w:tcPr>
          <w:p w14:paraId="34FC5CD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0830F1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BEB29D4" w14:textId="77777777" w:rsidTr="00C84F36">
        <w:tc>
          <w:tcPr>
            <w:tcW w:w="4794" w:type="dxa"/>
            <w:shd w:val="clear" w:color="auto" w:fill="DBDBDB" w:themeFill="accent3" w:themeFillTint="66"/>
            <w:vAlign w:val="center"/>
          </w:tcPr>
          <w:p w14:paraId="779A5018"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noProof/>
                <w:color w:val="000000" w:themeColor="text1"/>
                <w:sz w:val="20"/>
                <w:szCs w:val="20"/>
              </w:rPr>
            </w:pPr>
            <w:r w:rsidRPr="007007D1">
              <w:rPr>
                <w:rFonts w:ascii="Bookman Old Style" w:hAnsi="Bookman Old Style"/>
                <w:color w:val="000000" w:themeColor="text1"/>
                <w:sz w:val="20"/>
                <w:szCs w:val="20"/>
                <w:lang w:val="sv-SE"/>
              </w:rPr>
              <w:t>Bagian Kelima</w:t>
            </w:r>
          </w:p>
        </w:tc>
        <w:tc>
          <w:tcPr>
            <w:tcW w:w="4840" w:type="dxa"/>
            <w:shd w:val="clear" w:color="auto" w:fill="DBDBDB" w:themeFill="accent3" w:themeFillTint="66"/>
          </w:tcPr>
          <w:p w14:paraId="75FF9A15"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69C7111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14E763C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6B1D1F5" w14:textId="77777777" w:rsidTr="00C84F36">
        <w:tc>
          <w:tcPr>
            <w:tcW w:w="4794" w:type="dxa"/>
            <w:shd w:val="clear" w:color="auto" w:fill="DBDBDB" w:themeFill="accent3" w:themeFillTint="66"/>
            <w:vAlign w:val="center"/>
          </w:tcPr>
          <w:p w14:paraId="57B05267"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Tahapan Pemenuhan LCR</w:t>
            </w:r>
          </w:p>
        </w:tc>
        <w:tc>
          <w:tcPr>
            <w:tcW w:w="4840" w:type="dxa"/>
            <w:shd w:val="clear" w:color="auto" w:fill="DBDBDB" w:themeFill="accent3" w:themeFillTint="66"/>
          </w:tcPr>
          <w:p w14:paraId="22560F96"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5AA0C2F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6465210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C9694D7" w14:textId="77777777" w:rsidTr="00C84F36">
        <w:tc>
          <w:tcPr>
            <w:tcW w:w="4794" w:type="dxa"/>
            <w:shd w:val="clear" w:color="auto" w:fill="DBDBDB" w:themeFill="accent3" w:themeFillTint="66"/>
            <w:vAlign w:val="center"/>
          </w:tcPr>
          <w:p w14:paraId="3ED05C80"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w:t>
            </w:r>
            <w:r w:rsidRPr="007007D1">
              <w:rPr>
                <w:rFonts w:ascii="Bookman Old Style" w:hAnsi="Bookman Old Style"/>
                <w:color w:val="000000"/>
                <w:sz w:val="20"/>
                <w:szCs w:val="20"/>
                <w:lang w:val="sv-SE"/>
              </w:rPr>
              <w:t>  17</w:t>
            </w:r>
          </w:p>
        </w:tc>
        <w:tc>
          <w:tcPr>
            <w:tcW w:w="4840" w:type="dxa"/>
            <w:shd w:val="clear" w:color="auto" w:fill="DBDBDB" w:themeFill="accent3" w:themeFillTint="66"/>
            <w:vAlign w:val="center"/>
          </w:tcPr>
          <w:p w14:paraId="5A7972B0"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17</w:t>
            </w:r>
          </w:p>
        </w:tc>
        <w:tc>
          <w:tcPr>
            <w:tcW w:w="3686" w:type="dxa"/>
            <w:shd w:val="clear" w:color="auto" w:fill="DBDBDB" w:themeFill="accent3" w:themeFillTint="66"/>
          </w:tcPr>
          <w:p w14:paraId="0031C22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0FF1069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9A5FCB9" w14:textId="77777777" w:rsidTr="00C84F36">
        <w:tc>
          <w:tcPr>
            <w:tcW w:w="4794" w:type="dxa"/>
            <w:shd w:val="clear" w:color="auto" w:fill="auto"/>
            <w:vAlign w:val="center"/>
          </w:tcPr>
          <w:p w14:paraId="27D8D6FA" w14:textId="77777777" w:rsidR="00C84F36" w:rsidRPr="007007D1" w:rsidRDefault="00C84F36" w:rsidP="00A32F86">
            <w:pPr>
              <w:pStyle w:val="ListParagraph"/>
              <w:numPr>
                <w:ilvl w:val="0"/>
                <w:numId w:val="26"/>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pemenuhan LCR dilakukan secara bertahap.</w:t>
            </w:r>
          </w:p>
        </w:tc>
        <w:tc>
          <w:tcPr>
            <w:tcW w:w="4840" w:type="dxa"/>
            <w:vMerge w:val="restart"/>
            <w:shd w:val="clear" w:color="auto" w:fill="auto"/>
          </w:tcPr>
          <w:p w14:paraId="44BBFCD4"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Cukup jelas.</w:t>
            </w:r>
          </w:p>
        </w:tc>
        <w:tc>
          <w:tcPr>
            <w:tcW w:w="3686" w:type="dxa"/>
            <w:shd w:val="clear" w:color="auto" w:fill="auto"/>
          </w:tcPr>
          <w:p w14:paraId="7ADF19D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BEF629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67833BD" w14:textId="77777777" w:rsidTr="00910A48">
        <w:tc>
          <w:tcPr>
            <w:tcW w:w="4794" w:type="dxa"/>
            <w:shd w:val="clear" w:color="auto" w:fill="auto"/>
            <w:vAlign w:val="center"/>
          </w:tcPr>
          <w:p w14:paraId="3FDCEBB8" w14:textId="77777777" w:rsidR="00C84F36" w:rsidRPr="007007D1" w:rsidRDefault="00C84F36" w:rsidP="00A32F86">
            <w:pPr>
              <w:pStyle w:val="ListParagraph"/>
              <w:numPr>
                <w:ilvl w:val="0"/>
                <w:numId w:val="26"/>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Tahapan pemenuhan LCR sebagaimana dimaksud pada ayat (1) ditetapkan paling sedikit:</w:t>
            </w:r>
          </w:p>
        </w:tc>
        <w:tc>
          <w:tcPr>
            <w:tcW w:w="4840" w:type="dxa"/>
            <w:vMerge/>
            <w:shd w:val="clear" w:color="auto" w:fill="auto"/>
          </w:tcPr>
          <w:p w14:paraId="194BD99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DE8723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9719BF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EEA5BD2" w14:textId="77777777" w:rsidTr="00910A48">
        <w:tc>
          <w:tcPr>
            <w:tcW w:w="4794" w:type="dxa"/>
            <w:shd w:val="clear" w:color="auto" w:fill="auto"/>
            <w:vAlign w:val="center"/>
          </w:tcPr>
          <w:p w14:paraId="4C657C34" w14:textId="77777777" w:rsidR="00C84F36" w:rsidRPr="007007D1" w:rsidRDefault="00C84F36" w:rsidP="00A32F86">
            <w:pPr>
              <w:pStyle w:val="ListParagraph"/>
              <w:numPr>
                <w:ilvl w:val="1"/>
                <w:numId w:val="26"/>
              </w:numPr>
              <w:tabs>
                <w:tab w:val="left" w:pos="1872"/>
                <w:tab w:val="left" w:pos="2552"/>
              </w:tabs>
              <w:spacing w:after="0" w:line="240" w:lineRule="auto"/>
              <w:ind w:left="72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80% (delapan puluh persen) sejak tanggal 30 Juni 2026;</w:t>
            </w:r>
          </w:p>
        </w:tc>
        <w:tc>
          <w:tcPr>
            <w:tcW w:w="4840" w:type="dxa"/>
            <w:vMerge/>
            <w:shd w:val="clear" w:color="auto" w:fill="auto"/>
          </w:tcPr>
          <w:p w14:paraId="6C5AA69D"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CB6B91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8E6878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D9190AF" w14:textId="77777777" w:rsidTr="00910A48">
        <w:tc>
          <w:tcPr>
            <w:tcW w:w="4794" w:type="dxa"/>
            <w:shd w:val="clear" w:color="auto" w:fill="auto"/>
            <w:vAlign w:val="center"/>
          </w:tcPr>
          <w:p w14:paraId="7FD18B4F" w14:textId="77777777" w:rsidR="00C84F36" w:rsidRPr="007007D1" w:rsidRDefault="00C84F36" w:rsidP="00A32F86">
            <w:pPr>
              <w:pStyle w:val="ListParagraph"/>
              <w:numPr>
                <w:ilvl w:val="1"/>
                <w:numId w:val="26"/>
              </w:numPr>
              <w:tabs>
                <w:tab w:val="left" w:pos="1872"/>
                <w:tab w:val="left" w:pos="2552"/>
              </w:tabs>
              <w:spacing w:after="0" w:line="240" w:lineRule="auto"/>
              <w:ind w:left="72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90% (sembilan puluh persen) sejak tanggal 30 Juni 2027; dan</w:t>
            </w:r>
          </w:p>
        </w:tc>
        <w:tc>
          <w:tcPr>
            <w:tcW w:w="4840" w:type="dxa"/>
            <w:vMerge/>
            <w:shd w:val="clear" w:color="auto" w:fill="auto"/>
          </w:tcPr>
          <w:p w14:paraId="24DA5800"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76ECD0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0BCFF0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F5D81F7" w14:textId="77777777" w:rsidTr="00910A48">
        <w:tc>
          <w:tcPr>
            <w:tcW w:w="4794" w:type="dxa"/>
            <w:shd w:val="clear" w:color="auto" w:fill="auto"/>
            <w:vAlign w:val="center"/>
          </w:tcPr>
          <w:p w14:paraId="24683FD3" w14:textId="77777777" w:rsidR="00C84F36" w:rsidRPr="007007D1" w:rsidRDefault="00C84F36" w:rsidP="00A32F86">
            <w:pPr>
              <w:pStyle w:val="ListParagraph"/>
              <w:numPr>
                <w:ilvl w:val="1"/>
                <w:numId w:val="26"/>
              </w:numPr>
              <w:tabs>
                <w:tab w:val="left" w:pos="1872"/>
                <w:tab w:val="left" w:pos="2552"/>
              </w:tabs>
              <w:spacing w:after="0" w:line="240" w:lineRule="auto"/>
              <w:ind w:left="72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100% (seratus persen) sejak tanggal 30 Juni 2028;</w:t>
            </w:r>
          </w:p>
        </w:tc>
        <w:tc>
          <w:tcPr>
            <w:tcW w:w="4840" w:type="dxa"/>
            <w:vMerge/>
            <w:shd w:val="clear" w:color="auto" w:fill="auto"/>
          </w:tcPr>
          <w:p w14:paraId="4E65489C"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E9F630A"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3A72C5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657699D" w14:textId="77777777" w:rsidTr="00910A48">
        <w:tc>
          <w:tcPr>
            <w:tcW w:w="4794" w:type="dxa"/>
            <w:shd w:val="clear" w:color="auto" w:fill="auto"/>
            <w:vAlign w:val="center"/>
          </w:tcPr>
          <w:p w14:paraId="614FB194" w14:textId="77777777" w:rsidR="00C84F36" w:rsidRPr="007007D1" w:rsidRDefault="00C84F36" w:rsidP="00A32F86">
            <w:pPr>
              <w:pStyle w:val="ListParagraph"/>
              <w:numPr>
                <w:ilvl w:val="0"/>
                <w:numId w:val="26"/>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Bank wajib memenuhi LCR sebagaimana tahapan dimaksud pada ayat (2).</w:t>
            </w:r>
          </w:p>
        </w:tc>
        <w:tc>
          <w:tcPr>
            <w:tcW w:w="4840" w:type="dxa"/>
            <w:vMerge/>
            <w:shd w:val="clear" w:color="auto" w:fill="auto"/>
          </w:tcPr>
          <w:p w14:paraId="495C543B"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61830A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90E581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BD7AECF" w14:textId="77777777" w:rsidTr="00C84F36">
        <w:tc>
          <w:tcPr>
            <w:tcW w:w="4794" w:type="dxa"/>
            <w:shd w:val="clear" w:color="auto" w:fill="DBDBDB" w:themeFill="accent3" w:themeFillTint="66"/>
            <w:vAlign w:val="center"/>
          </w:tcPr>
          <w:p w14:paraId="727B8965"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Pasal 18</w:t>
            </w:r>
          </w:p>
        </w:tc>
        <w:tc>
          <w:tcPr>
            <w:tcW w:w="4840" w:type="dxa"/>
            <w:shd w:val="clear" w:color="auto" w:fill="DBDBDB" w:themeFill="accent3" w:themeFillTint="66"/>
            <w:vAlign w:val="center"/>
          </w:tcPr>
          <w:p w14:paraId="0852CDF9"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18</w:t>
            </w:r>
          </w:p>
        </w:tc>
        <w:tc>
          <w:tcPr>
            <w:tcW w:w="3686" w:type="dxa"/>
            <w:shd w:val="clear" w:color="auto" w:fill="DBDBDB" w:themeFill="accent3" w:themeFillTint="66"/>
          </w:tcPr>
          <w:p w14:paraId="6BB47AA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05D3726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4F5EA51" w14:textId="77777777" w:rsidTr="00C84F36">
        <w:tc>
          <w:tcPr>
            <w:tcW w:w="4794" w:type="dxa"/>
            <w:shd w:val="clear" w:color="auto" w:fill="auto"/>
            <w:vAlign w:val="center"/>
          </w:tcPr>
          <w:p w14:paraId="3C59FE30" w14:textId="138579E9" w:rsidR="00C84F36" w:rsidRPr="007007D1" w:rsidRDefault="00C84F36" w:rsidP="00A32F86">
            <w:pPr>
              <w:pStyle w:val="ListParagraph"/>
              <w:numPr>
                <w:ilvl w:val="0"/>
                <w:numId w:val="2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Bank wajib menginformasikan kepada Otoritas Jasa Keuangan dan melakukan langkah-langkah dalam hal tidak mampu dan/atau </w:t>
            </w:r>
            <w:r>
              <w:rPr>
                <w:rFonts w:ascii="Bookman Old Style" w:hAnsi="Bookman Old Style"/>
                <w:color w:val="000000"/>
                <w:sz w:val="20"/>
                <w:szCs w:val="20"/>
                <w:lang w:val="sv-SE"/>
              </w:rPr>
              <w:t>4</w:t>
            </w:r>
            <w:r w:rsidRPr="007007D1">
              <w:rPr>
                <w:rFonts w:ascii="Bookman Old Style" w:hAnsi="Bookman Old Style"/>
                <w:color w:val="000000"/>
                <w:sz w:val="20"/>
                <w:szCs w:val="20"/>
                <w:lang w:val="sv-SE"/>
              </w:rPr>
              <w:t xml:space="preserve"> sesuai dengan tahapan sebagaimana dimaksud pada Pasal 17 ayat (2).</w:t>
            </w:r>
          </w:p>
        </w:tc>
        <w:tc>
          <w:tcPr>
            <w:tcW w:w="4840" w:type="dxa"/>
            <w:vMerge w:val="restart"/>
            <w:shd w:val="clear" w:color="auto" w:fill="auto"/>
          </w:tcPr>
          <w:p w14:paraId="637939BF"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Cukup jelas.</w:t>
            </w:r>
          </w:p>
        </w:tc>
        <w:tc>
          <w:tcPr>
            <w:tcW w:w="3686" w:type="dxa"/>
            <w:shd w:val="clear" w:color="auto" w:fill="auto"/>
          </w:tcPr>
          <w:p w14:paraId="3CA94B1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5B1E6F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2A7ED8F" w14:textId="77777777" w:rsidTr="00910A48">
        <w:tc>
          <w:tcPr>
            <w:tcW w:w="4794" w:type="dxa"/>
            <w:shd w:val="clear" w:color="auto" w:fill="auto"/>
            <w:vAlign w:val="center"/>
          </w:tcPr>
          <w:p w14:paraId="792B10CB" w14:textId="77777777" w:rsidR="00C84F36" w:rsidRPr="007007D1" w:rsidRDefault="00C84F36" w:rsidP="00A32F86">
            <w:pPr>
              <w:pStyle w:val="ListParagraph"/>
              <w:numPr>
                <w:ilvl w:val="0"/>
                <w:numId w:val="2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Langkah-langkah sebagaimana dimaksud pada ayat (1) mencakup:</w:t>
            </w:r>
          </w:p>
        </w:tc>
        <w:tc>
          <w:tcPr>
            <w:tcW w:w="4840" w:type="dxa"/>
            <w:vMerge/>
            <w:shd w:val="clear" w:color="auto" w:fill="auto"/>
          </w:tcPr>
          <w:p w14:paraId="0430471E"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B24F7A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43EA76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5824020" w14:textId="77777777" w:rsidTr="00910A48">
        <w:tc>
          <w:tcPr>
            <w:tcW w:w="4794" w:type="dxa"/>
            <w:shd w:val="clear" w:color="auto" w:fill="auto"/>
            <w:vAlign w:val="center"/>
          </w:tcPr>
          <w:p w14:paraId="0F515F11" w14:textId="77777777" w:rsidR="00C84F36" w:rsidRPr="007007D1" w:rsidRDefault="00C84F36" w:rsidP="00A32F86">
            <w:pPr>
              <w:pStyle w:val="ListParagraph"/>
              <w:numPr>
                <w:ilvl w:val="1"/>
                <w:numId w:val="27"/>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menganalisis kondisi likuiditas Bank yang meliputi:</w:t>
            </w:r>
          </w:p>
        </w:tc>
        <w:tc>
          <w:tcPr>
            <w:tcW w:w="4840" w:type="dxa"/>
            <w:vMerge/>
            <w:shd w:val="clear" w:color="auto" w:fill="auto"/>
          </w:tcPr>
          <w:p w14:paraId="3FB8DA08"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19129F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904BAE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BC4083E" w14:textId="77777777" w:rsidTr="00910A48">
        <w:tc>
          <w:tcPr>
            <w:tcW w:w="4794" w:type="dxa"/>
            <w:shd w:val="clear" w:color="auto" w:fill="auto"/>
            <w:vAlign w:val="center"/>
          </w:tcPr>
          <w:p w14:paraId="60E2E52A" w14:textId="77777777" w:rsidR="00C84F36" w:rsidRPr="007007D1" w:rsidRDefault="00C84F36" w:rsidP="00A32F86">
            <w:pPr>
              <w:pStyle w:val="ListParagraph"/>
              <w:numPr>
                <w:ilvl w:val="1"/>
                <w:numId w:val="28"/>
              </w:numPr>
              <w:tabs>
                <w:tab w:val="left" w:pos="1872"/>
                <w:tab w:val="left" w:pos="2552"/>
              </w:tabs>
              <w:spacing w:after="0" w:line="240" w:lineRule="auto"/>
              <w:jc w:val="both"/>
              <w:rPr>
                <w:rFonts w:ascii="Bookman Old Style" w:hAnsi="Bookman Old Style" w:cstheme="minorHAnsi"/>
                <w:noProof/>
                <w:color w:val="000000" w:themeColor="text1"/>
                <w:sz w:val="20"/>
                <w:szCs w:val="20"/>
              </w:rPr>
            </w:pPr>
            <w:r w:rsidRPr="007007D1">
              <w:rPr>
                <w:rFonts w:ascii="Bookman Old Style" w:hAnsi="Bookman Old Style"/>
                <w:color w:val="000000"/>
                <w:sz w:val="20"/>
                <w:szCs w:val="20"/>
                <w:lang w:val="sv-SE"/>
              </w:rPr>
              <w:t xml:space="preserve">alasan atau faktor yang berpotensi atau menyebabkan kegagalan Bank dalam memenuhi persyaratan LCR sesuai tahapan sebagaimana dimaksud pada Pasal 17 ayat (2); </w:t>
            </w:r>
          </w:p>
        </w:tc>
        <w:tc>
          <w:tcPr>
            <w:tcW w:w="4840" w:type="dxa"/>
            <w:vMerge/>
            <w:shd w:val="clear" w:color="auto" w:fill="auto"/>
          </w:tcPr>
          <w:p w14:paraId="7B7E586B"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912EAB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5C46E3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875E651" w14:textId="77777777" w:rsidTr="00910A48">
        <w:tc>
          <w:tcPr>
            <w:tcW w:w="4794" w:type="dxa"/>
            <w:shd w:val="clear" w:color="auto" w:fill="auto"/>
            <w:vAlign w:val="center"/>
          </w:tcPr>
          <w:p w14:paraId="2A7D2670" w14:textId="77777777" w:rsidR="00C84F36" w:rsidRPr="007007D1" w:rsidRDefault="00C84F36" w:rsidP="00A32F86">
            <w:pPr>
              <w:pStyle w:val="ListParagraph"/>
              <w:numPr>
                <w:ilvl w:val="1"/>
                <w:numId w:val="28"/>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eastAsia="Bookman Old Style" w:hAnsi="Bookman Old Style"/>
                <w:color w:val="000000"/>
                <w:sz w:val="20"/>
                <w:szCs w:val="20"/>
                <w:lang w:val="en-ID"/>
              </w:rPr>
              <w:lastRenderedPageBreak/>
              <w:t xml:space="preserve">langkah-langkah yang telah dan akan dilakukan untuk memperbaiki kondisi likuiditas; dan </w:t>
            </w:r>
          </w:p>
        </w:tc>
        <w:tc>
          <w:tcPr>
            <w:tcW w:w="4840" w:type="dxa"/>
            <w:vMerge/>
            <w:shd w:val="clear" w:color="auto" w:fill="auto"/>
          </w:tcPr>
          <w:p w14:paraId="1E387087"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641BCB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2F191D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D19FDFF" w14:textId="77777777" w:rsidTr="00910A48">
        <w:tc>
          <w:tcPr>
            <w:tcW w:w="4794" w:type="dxa"/>
            <w:shd w:val="clear" w:color="auto" w:fill="auto"/>
            <w:vAlign w:val="center"/>
          </w:tcPr>
          <w:p w14:paraId="7E115DC8" w14:textId="31EA3E53" w:rsidR="00C84F36" w:rsidRPr="007007D1" w:rsidRDefault="00C84F36" w:rsidP="00A32F86">
            <w:pPr>
              <w:pStyle w:val="ListParagraph"/>
              <w:numPr>
                <w:ilvl w:val="1"/>
                <w:numId w:val="28"/>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eastAsia="Bookman Old Style" w:hAnsi="Bookman Old Style"/>
                <w:color w:val="000000"/>
                <w:sz w:val="20"/>
                <w:szCs w:val="20"/>
                <w:lang w:val="en-ID"/>
              </w:rPr>
              <w:t xml:space="preserve">jangka waktu </w:t>
            </w:r>
            <w:r>
              <w:rPr>
                <w:rFonts w:ascii="Bookman Old Style" w:eastAsia="Bookman Old Style" w:hAnsi="Bookman Old Style"/>
                <w:color w:val="000000"/>
                <w:sz w:val="20"/>
                <w:szCs w:val="20"/>
                <w:lang w:val="en-ID"/>
              </w:rPr>
              <w:t>s</w:t>
            </w:r>
            <w:r w:rsidRPr="007007D1">
              <w:rPr>
                <w:rFonts w:ascii="Bookman Old Style" w:eastAsia="Bookman Old Style" w:hAnsi="Bookman Old Style"/>
                <w:color w:val="000000"/>
                <w:sz w:val="20"/>
                <w:szCs w:val="20"/>
                <w:lang w:val="en-ID"/>
              </w:rPr>
              <w:t xml:space="preserve">tres likuiditas yang diperkirakan oleh Bank; </w:t>
            </w:r>
          </w:p>
        </w:tc>
        <w:tc>
          <w:tcPr>
            <w:tcW w:w="4840" w:type="dxa"/>
            <w:vMerge/>
            <w:shd w:val="clear" w:color="auto" w:fill="auto"/>
          </w:tcPr>
          <w:p w14:paraId="7B47AFD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83305B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86EC8C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A492D53" w14:textId="77777777" w:rsidTr="00910A48">
        <w:tc>
          <w:tcPr>
            <w:tcW w:w="4794" w:type="dxa"/>
            <w:shd w:val="clear" w:color="auto" w:fill="auto"/>
            <w:vAlign w:val="center"/>
          </w:tcPr>
          <w:p w14:paraId="2931E8D8" w14:textId="77777777" w:rsidR="00C84F36" w:rsidRPr="007007D1" w:rsidRDefault="00C84F36" w:rsidP="00A32F86">
            <w:pPr>
              <w:pStyle w:val="ListParagraph"/>
              <w:numPr>
                <w:ilvl w:val="1"/>
                <w:numId w:val="27"/>
              </w:numPr>
              <w:tabs>
                <w:tab w:val="left" w:pos="1872"/>
                <w:tab w:val="left" w:pos="2552"/>
              </w:tabs>
              <w:spacing w:after="0" w:line="240" w:lineRule="auto"/>
              <w:ind w:left="727"/>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menyampaikan laporan analisis atas kondisi likuiditas Bank sebagaimana dimaksud pada huruf a dan informasi lebih lanjut terkait kondisi likuiditas Bank kepada Otoritas Jasa Keuangan; dan</w:t>
            </w:r>
          </w:p>
        </w:tc>
        <w:tc>
          <w:tcPr>
            <w:tcW w:w="4840" w:type="dxa"/>
            <w:vMerge/>
            <w:shd w:val="clear" w:color="auto" w:fill="auto"/>
          </w:tcPr>
          <w:p w14:paraId="7ABE6BB3"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636ABE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A6EDE0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6DBE72C" w14:textId="77777777" w:rsidTr="00910A48">
        <w:tc>
          <w:tcPr>
            <w:tcW w:w="4794" w:type="dxa"/>
            <w:shd w:val="clear" w:color="auto" w:fill="auto"/>
            <w:vAlign w:val="center"/>
          </w:tcPr>
          <w:p w14:paraId="645CC77B" w14:textId="77777777" w:rsidR="00C84F36" w:rsidRPr="007007D1" w:rsidRDefault="00C84F36" w:rsidP="00A32F86">
            <w:pPr>
              <w:pStyle w:val="ListParagraph"/>
              <w:numPr>
                <w:ilvl w:val="1"/>
                <w:numId w:val="27"/>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mengambil langkah-langkah yang diperlukan untuk memperbaiki kondisi likuiditas antara lain meliputi:</w:t>
            </w:r>
          </w:p>
        </w:tc>
        <w:tc>
          <w:tcPr>
            <w:tcW w:w="4840" w:type="dxa"/>
            <w:vMerge/>
            <w:shd w:val="clear" w:color="auto" w:fill="auto"/>
          </w:tcPr>
          <w:p w14:paraId="565D9D1D"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0613CC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D66411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656681D1" w14:textId="77777777" w:rsidTr="00910A48">
        <w:tc>
          <w:tcPr>
            <w:tcW w:w="4794" w:type="dxa"/>
            <w:shd w:val="clear" w:color="auto" w:fill="auto"/>
            <w:vAlign w:val="center"/>
          </w:tcPr>
          <w:p w14:paraId="5D405854" w14:textId="77777777" w:rsidR="00C84F36" w:rsidRPr="007007D1" w:rsidRDefault="00C84F36" w:rsidP="00A32F86">
            <w:pPr>
              <w:pStyle w:val="ListParagraph"/>
              <w:numPr>
                <w:ilvl w:val="1"/>
                <w:numId w:val="29"/>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pengurangan eksposur Bank terhadap risiko likuiditas;</w:t>
            </w:r>
          </w:p>
        </w:tc>
        <w:tc>
          <w:tcPr>
            <w:tcW w:w="4840" w:type="dxa"/>
            <w:vMerge/>
            <w:shd w:val="clear" w:color="auto" w:fill="auto"/>
          </w:tcPr>
          <w:p w14:paraId="08896416"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9D1641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0FA178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C760342" w14:textId="77777777" w:rsidTr="00910A48">
        <w:tc>
          <w:tcPr>
            <w:tcW w:w="4794" w:type="dxa"/>
            <w:shd w:val="clear" w:color="auto" w:fill="auto"/>
            <w:vAlign w:val="center"/>
          </w:tcPr>
          <w:p w14:paraId="288F29F6" w14:textId="77777777" w:rsidR="00C84F36" w:rsidRPr="007007D1" w:rsidRDefault="00C84F36" w:rsidP="00A32F86">
            <w:pPr>
              <w:pStyle w:val="ListParagraph"/>
              <w:numPr>
                <w:ilvl w:val="1"/>
                <w:numId w:val="29"/>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penguatan kebijakan, proses, dan prosedur manajemen risiko likuiditas Bank; dan/atau</w:t>
            </w:r>
          </w:p>
        </w:tc>
        <w:tc>
          <w:tcPr>
            <w:tcW w:w="4840" w:type="dxa"/>
            <w:vMerge/>
            <w:shd w:val="clear" w:color="auto" w:fill="auto"/>
          </w:tcPr>
          <w:p w14:paraId="17497F96"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9B0605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E6C514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984D81F" w14:textId="77777777" w:rsidTr="00910A48">
        <w:tc>
          <w:tcPr>
            <w:tcW w:w="4794" w:type="dxa"/>
            <w:shd w:val="clear" w:color="auto" w:fill="auto"/>
            <w:vAlign w:val="center"/>
          </w:tcPr>
          <w:p w14:paraId="7667A9F4" w14:textId="77777777" w:rsidR="00C84F36" w:rsidRPr="007007D1" w:rsidRDefault="00C84F36" w:rsidP="00A32F86">
            <w:pPr>
              <w:pStyle w:val="ListParagraph"/>
              <w:numPr>
                <w:ilvl w:val="1"/>
                <w:numId w:val="29"/>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penyempurnaan rencana pendanaan darurat (</w:t>
            </w:r>
            <w:r w:rsidRPr="007007D1">
              <w:rPr>
                <w:rFonts w:ascii="Bookman Old Style" w:hAnsi="Bookman Old Style"/>
                <w:i/>
                <w:iCs/>
                <w:color w:val="000000"/>
                <w:sz w:val="20"/>
                <w:szCs w:val="20"/>
                <w:lang w:val="sv-SE"/>
              </w:rPr>
              <w:t>contingency funding plan</w:t>
            </w:r>
            <w:r w:rsidRPr="007007D1">
              <w:rPr>
                <w:rFonts w:ascii="Bookman Old Style" w:hAnsi="Bookman Old Style"/>
                <w:color w:val="000000"/>
                <w:sz w:val="20"/>
                <w:szCs w:val="20"/>
                <w:lang w:val="sv-SE"/>
              </w:rPr>
              <w:t>) Bank.</w:t>
            </w:r>
          </w:p>
        </w:tc>
        <w:tc>
          <w:tcPr>
            <w:tcW w:w="4840" w:type="dxa"/>
            <w:vMerge/>
            <w:shd w:val="clear" w:color="auto" w:fill="auto"/>
          </w:tcPr>
          <w:p w14:paraId="01EFF193"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D1358A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A3D377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1F90F91" w14:textId="77777777" w:rsidTr="00910A48">
        <w:tc>
          <w:tcPr>
            <w:tcW w:w="4794" w:type="dxa"/>
            <w:shd w:val="clear" w:color="auto" w:fill="auto"/>
            <w:vAlign w:val="center"/>
          </w:tcPr>
          <w:p w14:paraId="3863F095" w14:textId="77777777" w:rsidR="00C84F36" w:rsidRPr="007007D1" w:rsidRDefault="00C84F36" w:rsidP="00A32F86">
            <w:pPr>
              <w:pStyle w:val="ListParagraph"/>
              <w:numPr>
                <w:ilvl w:val="0"/>
                <w:numId w:val="2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dapat menggunakan HQLA yang menyebabkan LCR Bank menjadi kurang dari 100% (seratus persen) dengan persetujuan Otoritas Jasa Keuangan, dalam hal kondisi likuiditas Bank sebagaimana dimaksud pada ayat (1) berpotensi mengganggu kelangsungan usaha Bank.</w:t>
            </w:r>
          </w:p>
        </w:tc>
        <w:tc>
          <w:tcPr>
            <w:tcW w:w="4840" w:type="dxa"/>
            <w:vMerge/>
            <w:shd w:val="clear" w:color="auto" w:fill="auto"/>
          </w:tcPr>
          <w:p w14:paraId="6D115D5E"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E37C5CD"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CAC1D9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22B6BC1" w14:textId="77777777" w:rsidTr="001A4A10">
        <w:tc>
          <w:tcPr>
            <w:tcW w:w="4794" w:type="dxa"/>
            <w:shd w:val="clear" w:color="auto" w:fill="FFF2CC" w:themeFill="accent4" w:themeFillTint="33"/>
            <w:vAlign w:val="center"/>
          </w:tcPr>
          <w:p w14:paraId="4AD6E6FF" w14:textId="77777777" w:rsidR="00910A48" w:rsidRPr="007007D1" w:rsidRDefault="00910A48" w:rsidP="001A4A10">
            <w:pPr>
              <w:tabs>
                <w:tab w:val="left" w:pos="1872"/>
                <w:tab w:val="left" w:pos="2552"/>
              </w:tabs>
              <w:spacing w:after="0" w:line="240" w:lineRule="auto"/>
              <w:ind w:left="30"/>
              <w:jc w:val="center"/>
              <w:rPr>
                <w:rFonts w:ascii="Bookman Old Style" w:eastAsia="Times New Roman" w:hAnsi="Bookman Old Style"/>
                <w:color w:val="000000" w:themeColor="text1"/>
                <w:sz w:val="20"/>
                <w:szCs w:val="20"/>
              </w:rPr>
            </w:pPr>
            <w:r w:rsidRPr="007007D1">
              <w:rPr>
                <w:rFonts w:ascii="Bookman Old Style" w:hAnsi="Bookman Old Style"/>
                <w:color w:val="000000" w:themeColor="text1"/>
                <w:sz w:val="20"/>
                <w:szCs w:val="20"/>
                <w:lang w:val="sv-SE"/>
              </w:rPr>
              <w:t>BAB III</w:t>
            </w:r>
          </w:p>
        </w:tc>
        <w:tc>
          <w:tcPr>
            <w:tcW w:w="4840" w:type="dxa"/>
            <w:shd w:val="clear" w:color="auto" w:fill="FFF2CC" w:themeFill="accent4" w:themeFillTint="33"/>
          </w:tcPr>
          <w:p w14:paraId="31689CC2"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FFF2CC" w:themeFill="accent4" w:themeFillTint="33"/>
          </w:tcPr>
          <w:p w14:paraId="155279F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FFF2CC" w:themeFill="accent4" w:themeFillTint="33"/>
          </w:tcPr>
          <w:p w14:paraId="181E017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86B1931" w14:textId="77777777" w:rsidTr="001A4A10">
        <w:tc>
          <w:tcPr>
            <w:tcW w:w="4794" w:type="dxa"/>
            <w:shd w:val="clear" w:color="auto" w:fill="FFF2CC" w:themeFill="accent4" w:themeFillTint="33"/>
            <w:vAlign w:val="center"/>
          </w:tcPr>
          <w:p w14:paraId="66D19B0F" w14:textId="77777777" w:rsidR="00910A48" w:rsidRPr="007007D1" w:rsidRDefault="00910A48" w:rsidP="001A4A10">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RASIO PENDANAAN STABIL BERSIH  (</w:t>
            </w:r>
            <w:r w:rsidRPr="007007D1">
              <w:rPr>
                <w:rFonts w:ascii="Bookman Old Style" w:hAnsi="Bookman Old Style"/>
                <w:i/>
                <w:iCs/>
                <w:color w:val="000000"/>
                <w:sz w:val="20"/>
                <w:szCs w:val="20"/>
                <w:lang w:val="sv-SE"/>
              </w:rPr>
              <w:t>NET STABLE FUNDING RATIO</w:t>
            </w:r>
            <w:r w:rsidRPr="007007D1">
              <w:rPr>
                <w:rFonts w:ascii="Bookman Old Style" w:hAnsi="Bookman Old Style"/>
                <w:color w:val="000000"/>
                <w:sz w:val="20"/>
                <w:szCs w:val="20"/>
                <w:lang w:val="sv-SE"/>
              </w:rPr>
              <w:t>)</w:t>
            </w:r>
          </w:p>
        </w:tc>
        <w:tc>
          <w:tcPr>
            <w:tcW w:w="4840" w:type="dxa"/>
            <w:shd w:val="clear" w:color="auto" w:fill="FFF2CC" w:themeFill="accent4" w:themeFillTint="33"/>
          </w:tcPr>
          <w:p w14:paraId="12368763"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FFF2CC" w:themeFill="accent4" w:themeFillTint="33"/>
          </w:tcPr>
          <w:p w14:paraId="50F49AE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FFF2CC" w:themeFill="accent4" w:themeFillTint="33"/>
          </w:tcPr>
          <w:p w14:paraId="52E6B99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72BF179" w14:textId="77777777" w:rsidTr="001A4A10">
        <w:tc>
          <w:tcPr>
            <w:tcW w:w="4794" w:type="dxa"/>
            <w:shd w:val="clear" w:color="auto" w:fill="DBDBDB" w:themeFill="accent3" w:themeFillTint="66"/>
            <w:vAlign w:val="center"/>
          </w:tcPr>
          <w:p w14:paraId="3FB25B3F" w14:textId="77777777" w:rsidR="00910A48" w:rsidRPr="007007D1" w:rsidRDefault="00910A48" w:rsidP="001A4A10">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Bagian Kesatu</w:t>
            </w:r>
          </w:p>
        </w:tc>
        <w:tc>
          <w:tcPr>
            <w:tcW w:w="4840" w:type="dxa"/>
            <w:shd w:val="clear" w:color="auto" w:fill="DBDBDB" w:themeFill="accent3" w:themeFillTint="66"/>
          </w:tcPr>
          <w:p w14:paraId="38634FD6" w14:textId="77777777" w:rsidR="00910A48" w:rsidRPr="007007D1" w:rsidRDefault="00910A48" w:rsidP="001A4A10">
            <w:pPr>
              <w:tabs>
                <w:tab w:val="left" w:pos="1980"/>
                <w:tab w:val="left" w:pos="2520"/>
                <w:tab w:val="left" w:pos="2552"/>
              </w:tabs>
              <w:spacing w:after="0" w:line="240" w:lineRule="auto"/>
              <w:ind w:left="1985"/>
              <w:jc w:val="center"/>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54FA9750" w14:textId="77777777" w:rsidR="00910A48" w:rsidRPr="00BA5B40" w:rsidRDefault="00910A48" w:rsidP="001A4A10">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2C8BB859" w14:textId="77777777" w:rsidR="00910A48" w:rsidRPr="00BA5B40" w:rsidRDefault="00910A48" w:rsidP="001A4A10">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5FFEA516" w14:textId="77777777" w:rsidTr="001A4A10">
        <w:tc>
          <w:tcPr>
            <w:tcW w:w="4794" w:type="dxa"/>
            <w:shd w:val="clear" w:color="auto" w:fill="DBDBDB" w:themeFill="accent3" w:themeFillTint="66"/>
            <w:vAlign w:val="center"/>
          </w:tcPr>
          <w:p w14:paraId="3BDB58D8" w14:textId="77777777" w:rsidR="00910A48" w:rsidRPr="007007D1" w:rsidRDefault="00910A48" w:rsidP="001A4A10">
            <w:pPr>
              <w:tabs>
                <w:tab w:val="left" w:pos="1872"/>
                <w:tab w:val="left" w:pos="2552"/>
              </w:tabs>
              <w:spacing w:after="0" w:line="240" w:lineRule="auto"/>
              <w:ind w:left="30"/>
              <w:jc w:val="center"/>
              <w:rPr>
                <w:rFonts w:ascii="Bookman Old Style" w:hAnsi="Bookman Old Style"/>
                <w:color w:val="000000" w:themeColor="text1"/>
                <w:sz w:val="20"/>
                <w:szCs w:val="20"/>
              </w:rPr>
            </w:pPr>
            <w:r w:rsidRPr="007007D1">
              <w:rPr>
                <w:rFonts w:ascii="Bookman Old Style" w:hAnsi="Bookman Old Style"/>
                <w:color w:val="000000"/>
                <w:sz w:val="20"/>
                <w:szCs w:val="20"/>
                <w:lang w:val="en-ID"/>
              </w:rPr>
              <w:t>Pendanaan Stabil yang Tersedia (</w:t>
            </w:r>
            <w:r w:rsidRPr="007007D1">
              <w:rPr>
                <w:rFonts w:ascii="Bookman Old Style" w:hAnsi="Bookman Old Style"/>
                <w:i/>
                <w:iCs/>
                <w:color w:val="000000"/>
                <w:sz w:val="20"/>
                <w:szCs w:val="20"/>
                <w:lang w:val="en-ID"/>
              </w:rPr>
              <w:t>Available Stable Funding</w:t>
            </w:r>
            <w:r w:rsidRPr="007007D1">
              <w:rPr>
                <w:rFonts w:ascii="Bookman Old Style" w:hAnsi="Bookman Old Style"/>
                <w:color w:val="000000"/>
                <w:sz w:val="20"/>
                <w:szCs w:val="20"/>
                <w:lang w:val="en-ID"/>
              </w:rPr>
              <w:t>)</w:t>
            </w:r>
            <w:r w:rsidRPr="007007D1">
              <w:rPr>
                <w:rFonts w:ascii="Bookman Old Style" w:hAnsi="Bookman Old Style"/>
                <w:i/>
                <w:iCs/>
                <w:color w:val="000000"/>
                <w:sz w:val="20"/>
                <w:szCs w:val="20"/>
                <w:lang w:val="en-ID"/>
              </w:rPr>
              <w:t xml:space="preserve"> </w:t>
            </w:r>
            <w:r w:rsidRPr="007007D1">
              <w:rPr>
                <w:rFonts w:ascii="Bookman Old Style" w:hAnsi="Bookman Old Style"/>
                <w:color w:val="000000"/>
                <w:sz w:val="20"/>
                <w:szCs w:val="20"/>
                <w:lang w:val="en-ID"/>
              </w:rPr>
              <w:t>dan Pendanaan Stabil yang Diperlukan (</w:t>
            </w:r>
            <w:r w:rsidRPr="007007D1">
              <w:rPr>
                <w:rFonts w:ascii="Bookman Old Style" w:hAnsi="Bookman Old Style"/>
                <w:i/>
                <w:iCs/>
                <w:color w:val="000000"/>
                <w:sz w:val="20"/>
                <w:szCs w:val="20"/>
                <w:lang w:val="en-ID"/>
              </w:rPr>
              <w:t>Required Stable Funding</w:t>
            </w:r>
            <w:r w:rsidRPr="007007D1">
              <w:rPr>
                <w:rFonts w:ascii="Bookman Old Style" w:hAnsi="Bookman Old Style"/>
                <w:color w:val="000000"/>
                <w:sz w:val="20"/>
                <w:szCs w:val="20"/>
                <w:lang w:val="en-ID"/>
              </w:rPr>
              <w:t>)</w:t>
            </w:r>
          </w:p>
        </w:tc>
        <w:tc>
          <w:tcPr>
            <w:tcW w:w="4840" w:type="dxa"/>
            <w:shd w:val="clear" w:color="auto" w:fill="DBDBDB" w:themeFill="accent3" w:themeFillTint="66"/>
          </w:tcPr>
          <w:p w14:paraId="68EC1E8C" w14:textId="77777777" w:rsidR="00910A48" w:rsidRPr="007007D1" w:rsidRDefault="00910A48" w:rsidP="001A4A10">
            <w:pPr>
              <w:tabs>
                <w:tab w:val="left" w:pos="1980"/>
                <w:tab w:val="left" w:pos="2520"/>
                <w:tab w:val="left" w:pos="2552"/>
              </w:tabs>
              <w:spacing w:after="0" w:line="240" w:lineRule="auto"/>
              <w:ind w:left="1985"/>
              <w:jc w:val="center"/>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455CD705" w14:textId="77777777" w:rsidR="00910A48" w:rsidRPr="00BA5B40" w:rsidRDefault="00910A48" w:rsidP="001A4A10">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15B1C5D1" w14:textId="77777777" w:rsidR="00910A48" w:rsidRPr="00BA5B40" w:rsidRDefault="00910A48" w:rsidP="001A4A10">
            <w:pPr>
              <w:tabs>
                <w:tab w:val="left" w:pos="1980"/>
                <w:tab w:val="left" w:pos="2520"/>
                <w:tab w:val="left" w:pos="2552"/>
              </w:tabs>
              <w:spacing w:after="0" w:line="240" w:lineRule="auto"/>
              <w:jc w:val="center"/>
              <w:rPr>
                <w:rFonts w:ascii="Bookman Old Style" w:eastAsia="Bookman Old Style" w:hAnsi="Bookman Old Style" w:cs="Bookman Old Style"/>
                <w:color w:val="000000" w:themeColor="text1"/>
                <w:sz w:val="20"/>
                <w:szCs w:val="20"/>
              </w:rPr>
            </w:pPr>
          </w:p>
        </w:tc>
      </w:tr>
      <w:tr w:rsidR="00910A48" w:rsidRPr="00BA5B40" w14:paraId="01CE101A" w14:textId="77777777" w:rsidTr="00C84F36">
        <w:tc>
          <w:tcPr>
            <w:tcW w:w="4794" w:type="dxa"/>
            <w:shd w:val="clear" w:color="auto" w:fill="DBDBDB" w:themeFill="accent3" w:themeFillTint="66"/>
            <w:vAlign w:val="center"/>
          </w:tcPr>
          <w:p w14:paraId="471025B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19</w:t>
            </w:r>
          </w:p>
        </w:tc>
        <w:tc>
          <w:tcPr>
            <w:tcW w:w="4840" w:type="dxa"/>
            <w:shd w:val="clear" w:color="auto" w:fill="DBDBDB" w:themeFill="accent3" w:themeFillTint="66"/>
          </w:tcPr>
          <w:p w14:paraId="5184C150"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19</w:t>
            </w:r>
          </w:p>
        </w:tc>
        <w:tc>
          <w:tcPr>
            <w:tcW w:w="3686" w:type="dxa"/>
            <w:shd w:val="clear" w:color="auto" w:fill="DBDBDB" w:themeFill="accent3" w:themeFillTint="66"/>
          </w:tcPr>
          <w:p w14:paraId="6CF90B5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29356E1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1E3F5D4" w14:textId="77777777" w:rsidTr="00910A48">
        <w:tc>
          <w:tcPr>
            <w:tcW w:w="4794" w:type="dxa"/>
            <w:shd w:val="clear" w:color="auto" w:fill="auto"/>
            <w:vAlign w:val="center"/>
          </w:tcPr>
          <w:p w14:paraId="594C6672" w14:textId="77777777" w:rsidR="00910A48" w:rsidRPr="007007D1" w:rsidRDefault="00910A48" w:rsidP="00A32F86">
            <w:pPr>
              <w:pStyle w:val="ListParagraph"/>
              <w:numPr>
                <w:ilvl w:val="0"/>
                <w:numId w:val="3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Untuk pemenuhan NSFR sebagaimana dimaksud dalam Pasal 2 ayat (6), Bank wajib menghitung ASF dan RSF.</w:t>
            </w:r>
          </w:p>
        </w:tc>
        <w:tc>
          <w:tcPr>
            <w:tcW w:w="4840" w:type="dxa"/>
            <w:shd w:val="clear" w:color="auto" w:fill="auto"/>
          </w:tcPr>
          <w:p w14:paraId="63031BAD"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(1)</w:t>
            </w:r>
          </w:p>
          <w:p w14:paraId="09499AC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67C3C9D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D2224A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5BE3B82" w14:textId="77777777" w:rsidTr="00C84F36">
        <w:tc>
          <w:tcPr>
            <w:tcW w:w="4794" w:type="dxa"/>
            <w:shd w:val="clear" w:color="auto" w:fill="auto"/>
          </w:tcPr>
          <w:p w14:paraId="215A887B" w14:textId="77777777" w:rsidR="00910A48" w:rsidRPr="007007D1" w:rsidRDefault="00910A48" w:rsidP="00A32F86">
            <w:pPr>
              <w:pStyle w:val="ListParagraph"/>
              <w:numPr>
                <w:ilvl w:val="0"/>
                <w:numId w:val="3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Nilai ASF yang diperhitungkan dalam perhitungan NSFR merupakan penjumlahan dari seluruh hasil perkalian antara seluruh nilai tercatat (</w:t>
            </w:r>
            <w:r w:rsidRPr="007007D1">
              <w:rPr>
                <w:rFonts w:ascii="Bookman Old Style" w:hAnsi="Bookman Old Style"/>
                <w:i/>
                <w:iCs/>
                <w:color w:val="000000"/>
                <w:sz w:val="20"/>
                <w:szCs w:val="20"/>
                <w:lang w:val="sv-SE"/>
              </w:rPr>
              <w:t>carrying value</w:t>
            </w:r>
            <w:r w:rsidRPr="007007D1">
              <w:rPr>
                <w:rFonts w:ascii="Bookman Old Style" w:hAnsi="Bookman Old Style"/>
                <w:color w:val="000000"/>
                <w:sz w:val="20"/>
                <w:szCs w:val="20"/>
                <w:lang w:val="sv-SE"/>
              </w:rPr>
              <w:t>) liabilitas dan ekuitas pada laporan posisi keuangan (neraca) dengan faktor ASF.</w:t>
            </w:r>
          </w:p>
        </w:tc>
        <w:tc>
          <w:tcPr>
            <w:tcW w:w="4840" w:type="dxa"/>
            <w:shd w:val="clear" w:color="auto" w:fill="auto"/>
          </w:tcPr>
          <w:p w14:paraId="29328E96"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1394C7F1"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Nilai tercatat (</w:t>
            </w:r>
            <w:r w:rsidRPr="00C84F36">
              <w:rPr>
                <w:rFonts w:ascii="Bookman Old Style" w:eastAsia="Bookman Old Style" w:hAnsi="Bookman Old Style" w:cs="Bookman Old Style"/>
                <w:i/>
                <w:color w:val="000000" w:themeColor="text1"/>
                <w:sz w:val="20"/>
                <w:szCs w:val="20"/>
              </w:rPr>
              <w:t>carrying value</w:t>
            </w:r>
            <w:r w:rsidRPr="007007D1">
              <w:rPr>
                <w:rFonts w:ascii="Bookman Old Style" w:eastAsia="Bookman Old Style" w:hAnsi="Bookman Old Style" w:cs="Bookman Old Style"/>
                <w:color w:val="000000" w:themeColor="text1"/>
                <w:sz w:val="20"/>
                <w:szCs w:val="20"/>
              </w:rPr>
              <w:t>) yang diperhitungkan adalah nilai tercatat (</w:t>
            </w:r>
            <w:r w:rsidRPr="00C84F36">
              <w:rPr>
                <w:rFonts w:ascii="Bookman Old Style" w:eastAsia="Bookman Old Style" w:hAnsi="Bookman Old Style" w:cs="Bookman Old Style"/>
                <w:i/>
                <w:color w:val="000000" w:themeColor="text1"/>
                <w:sz w:val="20"/>
                <w:szCs w:val="20"/>
              </w:rPr>
              <w:t>carrying value</w:t>
            </w:r>
            <w:r w:rsidRPr="007007D1">
              <w:rPr>
                <w:rFonts w:ascii="Bookman Old Style" w:eastAsia="Bookman Old Style" w:hAnsi="Bookman Old Style" w:cs="Bookman Old Style"/>
                <w:color w:val="000000" w:themeColor="text1"/>
                <w:sz w:val="20"/>
                <w:szCs w:val="20"/>
              </w:rPr>
              <w:t>) sebelum faktor pengurang berdasarkan pengaturan (</w:t>
            </w:r>
            <w:r w:rsidRPr="00C84F36">
              <w:rPr>
                <w:rFonts w:ascii="Bookman Old Style" w:eastAsia="Bookman Old Style" w:hAnsi="Bookman Old Style" w:cs="Bookman Old Style"/>
                <w:i/>
                <w:color w:val="000000" w:themeColor="text1"/>
                <w:sz w:val="20"/>
                <w:szCs w:val="20"/>
              </w:rPr>
              <w:t>regulatory deductions</w:t>
            </w:r>
            <w:r w:rsidRPr="007007D1">
              <w:rPr>
                <w:rFonts w:ascii="Bookman Old Style" w:eastAsia="Bookman Old Style" w:hAnsi="Bookman Old Style" w:cs="Bookman Old Style"/>
                <w:color w:val="000000" w:themeColor="text1"/>
                <w:sz w:val="20"/>
                <w:szCs w:val="20"/>
              </w:rPr>
              <w:t>), atau penyesuaian lain.</w:t>
            </w:r>
          </w:p>
          <w:p w14:paraId="4DC72BE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Contoh:</w:t>
            </w:r>
          </w:p>
          <w:p w14:paraId="6CEC6ECC"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Modal inti (Tier 1) dan modal pelengkap (Tier 2) tidak memperhitungkan faktor-faktor yang menjadi pengurang modal sebagaimana dimaksud dalam Peraturan Otoritas Jasa Keuangan mengenai Kewajiban Penyediaan Modal Minimum Bank Umum Syariah .</w:t>
            </w:r>
          </w:p>
        </w:tc>
        <w:tc>
          <w:tcPr>
            <w:tcW w:w="3686" w:type="dxa"/>
            <w:shd w:val="clear" w:color="auto" w:fill="auto"/>
          </w:tcPr>
          <w:p w14:paraId="45636A3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1EDAAC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1942BA9" w14:textId="77777777" w:rsidTr="00C84F36">
        <w:tc>
          <w:tcPr>
            <w:tcW w:w="4794" w:type="dxa"/>
            <w:shd w:val="clear" w:color="auto" w:fill="auto"/>
          </w:tcPr>
          <w:p w14:paraId="4DFDDD8A" w14:textId="77777777" w:rsidR="00910A48" w:rsidRPr="007007D1" w:rsidRDefault="00910A48" w:rsidP="00A32F86">
            <w:pPr>
              <w:pStyle w:val="ListParagraph"/>
              <w:numPr>
                <w:ilvl w:val="0"/>
                <w:numId w:val="3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Nilai RSF yang diperhitungkan dalam perhitungkan NSFR merupakan penjumlahan dari seluruh hasil perkalian antara seluruh nilai tercatat (</w:t>
            </w:r>
            <w:r w:rsidRPr="007007D1">
              <w:rPr>
                <w:rFonts w:ascii="Bookman Old Style" w:hAnsi="Bookman Old Style"/>
                <w:i/>
                <w:iCs/>
                <w:color w:val="000000"/>
                <w:sz w:val="20"/>
                <w:szCs w:val="20"/>
                <w:lang w:val="sv-SE"/>
              </w:rPr>
              <w:t>carrying value</w:t>
            </w:r>
            <w:r w:rsidRPr="007007D1">
              <w:rPr>
                <w:rFonts w:ascii="Bookman Old Style" w:hAnsi="Bookman Old Style"/>
                <w:color w:val="000000"/>
                <w:sz w:val="20"/>
                <w:szCs w:val="20"/>
                <w:lang w:val="sv-SE"/>
              </w:rPr>
              <w:t>) aset pada laporan posisi keuangan (neraca) dan seluruh nilai transaksi rekening administratif pada laporan komitmen dan kontinjensi dengan faktor RSF.</w:t>
            </w:r>
          </w:p>
        </w:tc>
        <w:tc>
          <w:tcPr>
            <w:tcW w:w="4840" w:type="dxa"/>
            <w:shd w:val="clear" w:color="auto" w:fill="auto"/>
          </w:tcPr>
          <w:p w14:paraId="1F28E5E1"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7F07AE0B" w14:textId="2F0FFC6F"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Yang dimaksud dengan “seluruh nilai tercatat (</w:t>
            </w:r>
            <w:r w:rsidRPr="00C84F36">
              <w:rPr>
                <w:rFonts w:ascii="Bookman Old Style" w:eastAsia="Bookman Old Style" w:hAnsi="Bookman Old Style" w:cs="Bookman Old Style"/>
                <w:i/>
                <w:color w:val="000000" w:themeColor="text1"/>
                <w:sz w:val="20"/>
                <w:szCs w:val="20"/>
              </w:rPr>
              <w:t>carrying value</w:t>
            </w:r>
            <w:r w:rsidRPr="007007D1">
              <w:rPr>
                <w:rFonts w:ascii="Bookman Old Style" w:eastAsia="Bookman Old Style" w:hAnsi="Bookman Old Style" w:cs="Bookman Old Style"/>
                <w:color w:val="000000" w:themeColor="text1"/>
                <w:sz w:val="20"/>
                <w:szCs w:val="20"/>
              </w:rPr>
              <w:t>) aset pada laporan posisi keuangan” dalam ketentuan ini termasuk giro wajib minimum sebagaimana diatur dalam ketentuan peraturan perundang-undangan mengenai giro wajib minimum .</w:t>
            </w:r>
          </w:p>
          <w:p w14:paraId="64ACDCDF" w14:textId="158B75D1"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Untuk aset pada laporan posisi keuangan, nilai tercatat (</w:t>
            </w:r>
            <w:r w:rsidRPr="00C84F36">
              <w:rPr>
                <w:rFonts w:ascii="Bookman Old Style" w:eastAsia="Bookman Old Style" w:hAnsi="Bookman Old Style" w:cs="Bookman Old Style"/>
                <w:i/>
                <w:color w:val="000000" w:themeColor="text1"/>
                <w:sz w:val="20"/>
                <w:szCs w:val="20"/>
              </w:rPr>
              <w:t>carrying value</w:t>
            </w:r>
            <w:r w:rsidRPr="007007D1">
              <w:rPr>
                <w:rFonts w:ascii="Bookman Old Style" w:eastAsia="Bookman Old Style" w:hAnsi="Bookman Old Style" w:cs="Bookman Old Style"/>
                <w:color w:val="000000" w:themeColor="text1"/>
                <w:sz w:val="20"/>
                <w:szCs w:val="20"/>
              </w:rPr>
              <w:t>) yang diperhitungkan adalah nilai tercatat (</w:t>
            </w:r>
            <w:r w:rsidRPr="00C84F36">
              <w:rPr>
                <w:rFonts w:ascii="Bookman Old Style" w:eastAsia="Bookman Old Style" w:hAnsi="Bookman Old Style" w:cs="Bookman Old Style"/>
                <w:i/>
                <w:color w:val="000000" w:themeColor="text1"/>
                <w:sz w:val="20"/>
                <w:szCs w:val="20"/>
              </w:rPr>
              <w:t>carrying value</w:t>
            </w:r>
            <w:r w:rsidRPr="007007D1">
              <w:rPr>
                <w:rFonts w:ascii="Bookman Old Style" w:eastAsia="Bookman Old Style" w:hAnsi="Bookman Old Style" w:cs="Bookman Old Style"/>
                <w:color w:val="000000" w:themeColor="text1"/>
                <w:sz w:val="20"/>
                <w:szCs w:val="20"/>
              </w:rPr>
              <w:t>) aset setelah dikurangi dengan Cadangan Kerugian Penurunan Nilai (CKPN) atas aset yang dihitung sesuai standar akuntansi keuangan.</w:t>
            </w:r>
          </w:p>
          <w:p w14:paraId="56A2410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Khusus untuk aset yang penurunan nilai atas aset tersebut dihitung secara kolektif, CKPN yang dapat dikurangkan adalah CKPN atas aset yang telah teridentifikasi mengalami penurunan nilai secara individu.</w:t>
            </w:r>
          </w:p>
        </w:tc>
        <w:tc>
          <w:tcPr>
            <w:tcW w:w="3686" w:type="dxa"/>
            <w:shd w:val="clear" w:color="auto" w:fill="auto"/>
          </w:tcPr>
          <w:p w14:paraId="29A5D0E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94D326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20971E1" w14:textId="77777777" w:rsidTr="00910A48">
        <w:tc>
          <w:tcPr>
            <w:tcW w:w="4794" w:type="dxa"/>
            <w:shd w:val="clear" w:color="auto" w:fill="auto"/>
            <w:vAlign w:val="center"/>
          </w:tcPr>
          <w:p w14:paraId="2C5B9E61" w14:textId="55C513CA" w:rsidR="00910A48" w:rsidRPr="007007D1" w:rsidRDefault="00910A48" w:rsidP="00A32F86">
            <w:pPr>
              <w:pStyle w:val="ListParagraph"/>
              <w:numPr>
                <w:ilvl w:val="0"/>
                <w:numId w:val="30"/>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Ketentuan mengenai perhitungan nilai ASF dan RSF sebagaimana dimaksud pada ayat (2) dan ayat (3) mengacu pada Lampiran</w:t>
            </w:r>
            <w:r w:rsidR="00DB697A">
              <w:rPr>
                <w:rFonts w:ascii="Bookman Old Style" w:hAnsi="Bookman Old Style"/>
                <w:color w:val="000000"/>
                <w:sz w:val="20"/>
                <w:szCs w:val="20"/>
                <w:lang w:val="sv-SE"/>
              </w:rPr>
              <w:t xml:space="preserve"> </w:t>
            </w:r>
            <w:r w:rsidRPr="007007D1">
              <w:rPr>
                <w:rFonts w:ascii="Bookman Old Style" w:hAnsi="Bookman Old Style"/>
                <w:color w:val="000000"/>
                <w:sz w:val="20"/>
                <w:szCs w:val="20"/>
                <w:lang w:val="sv-SE"/>
              </w:rPr>
              <w:t>IV  yang merupakan bagian tidak terpisahkan dari Peraturan Otoritas Jasa Keuangan ini.</w:t>
            </w:r>
          </w:p>
        </w:tc>
        <w:tc>
          <w:tcPr>
            <w:tcW w:w="4840" w:type="dxa"/>
            <w:shd w:val="clear" w:color="auto" w:fill="auto"/>
          </w:tcPr>
          <w:p w14:paraId="51D7BA9E"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5C1F1A66"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304498D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2A9400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341DC1E" w14:textId="77777777" w:rsidTr="00C84F36">
        <w:tc>
          <w:tcPr>
            <w:tcW w:w="4794" w:type="dxa"/>
            <w:shd w:val="clear" w:color="auto" w:fill="DBDBDB" w:themeFill="accent3" w:themeFillTint="66"/>
            <w:vAlign w:val="center"/>
          </w:tcPr>
          <w:p w14:paraId="7F62A6D1"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Bagian Kedua</w:t>
            </w:r>
          </w:p>
        </w:tc>
        <w:tc>
          <w:tcPr>
            <w:tcW w:w="4840" w:type="dxa"/>
            <w:shd w:val="clear" w:color="auto" w:fill="DBDBDB" w:themeFill="accent3" w:themeFillTint="66"/>
          </w:tcPr>
          <w:p w14:paraId="06A69737"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4003D30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6DC46AC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1DF367B" w14:textId="77777777" w:rsidTr="00C84F36">
        <w:tc>
          <w:tcPr>
            <w:tcW w:w="4794" w:type="dxa"/>
            <w:shd w:val="clear" w:color="auto" w:fill="DBDBDB" w:themeFill="accent3" w:themeFillTint="66"/>
            <w:vAlign w:val="center"/>
          </w:tcPr>
          <w:p w14:paraId="30A633C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olor w:val="000000"/>
                <w:sz w:val="20"/>
                <w:szCs w:val="20"/>
                <w:lang w:val="en-ID"/>
              </w:rPr>
            </w:pPr>
            <w:r w:rsidRPr="007007D1">
              <w:rPr>
                <w:rFonts w:ascii="Bookman Old Style" w:hAnsi="Bookman Old Style"/>
                <w:color w:val="000000"/>
                <w:sz w:val="20"/>
                <w:szCs w:val="20"/>
                <w:lang w:val="en-ID"/>
              </w:rPr>
              <w:t>Pemantauan, Pelaporan, dan Publikasi Rasio Pendanaan Stabil Bersih (</w:t>
            </w:r>
            <w:r w:rsidRPr="007007D1">
              <w:rPr>
                <w:rFonts w:ascii="Bookman Old Style" w:hAnsi="Bookman Old Style"/>
                <w:i/>
                <w:iCs/>
                <w:color w:val="000000"/>
                <w:sz w:val="20"/>
                <w:szCs w:val="20"/>
                <w:lang w:val="en-ID"/>
              </w:rPr>
              <w:t>Net Stable Funding Ratio</w:t>
            </w:r>
            <w:r w:rsidRPr="007007D1">
              <w:rPr>
                <w:rFonts w:ascii="Bookman Old Style" w:hAnsi="Bookman Old Style"/>
                <w:color w:val="000000"/>
                <w:sz w:val="20"/>
                <w:szCs w:val="20"/>
                <w:lang w:val="en-ID"/>
              </w:rPr>
              <w:t>)</w:t>
            </w:r>
          </w:p>
        </w:tc>
        <w:tc>
          <w:tcPr>
            <w:tcW w:w="4840" w:type="dxa"/>
            <w:shd w:val="clear" w:color="auto" w:fill="DBDBDB" w:themeFill="accent3" w:themeFillTint="66"/>
          </w:tcPr>
          <w:p w14:paraId="731E358F"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68F992F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49886D8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20759AD" w14:textId="77777777" w:rsidTr="00C84F36">
        <w:tc>
          <w:tcPr>
            <w:tcW w:w="4794" w:type="dxa"/>
            <w:shd w:val="clear" w:color="auto" w:fill="DBDBDB" w:themeFill="accent3" w:themeFillTint="66"/>
            <w:vAlign w:val="center"/>
          </w:tcPr>
          <w:p w14:paraId="3B39BD03" w14:textId="22339D2F"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en-US"/>
              </w:rPr>
              <w:t>Pasal</w:t>
            </w:r>
            <w:r w:rsidRPr="007007D1">
              <w:rPr>
                <w:rFonts w:ascii="Bookman Old Style" w:hAnsi="Bookman Old Style"/>
                <w:color w:val="000000"/>
                <w:sz w:val="20"/>
                <w:szCs w:val="20"/>
                <w:lang w:val="en-US"/>
              </w:rPr>
              <w:t> 20</w:t>
            </w:r>
          </w:p>
        </w:tc>
        <w:tc>
          <w:tcPr>
            <w:tcW w:w="4840" w:type="dxa"/>
            <w:shd w:val="clear" w:color="auto" w:fill="DBDBDB" w:themeFill="accent3" w:themeFillTint="66"/>
            <w:vAlign w:val="center"/>
          </w:tcPr>
          <w:p w14:paraId="3114FC00"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20</w:t>
            </w:r>
          </w:p>
        </w:tc>
        <w:tc>
          <w:tcPr>
            <w:tcW w:w="3686" w:type="dxa"/>
            <w:shd w:val="clear" w:color="auto" w:fill="DBDBDB" w:themeFill="accent3" w:themeFillTint="66"/>
          </w:tcPr>
          <w:p w14:paraId="0D1452A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5FB3DBE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2DCF4BB" w14:textId="77777777" w:rsidTr="00910A48">
        <w:tc>
          <w:tcPr>
            <w:tcW w:w="4794" w:type="dxa"/>
            <w:shd w:val="clear" w:color="auto" w:fill="auto"/>
            <w:vAlign w:val="center"/>
          </w:tcPr>
          <w:p w14:paraId="3F07FCE4" w14:textId="77777777" w:rsidR="00910A48" w:rsidRPr="007007D1" w:rsidRDefault="00910A48"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Bank wajib:</w:t>
            </w:r>
          </w:p>
        </w:tc>
        <w:tc>
          <w:tcPr>
            <w:tcW w:w="4840" w:type="dxa"/>
            <w:shd w:val="clear" w:color="auto" w:fill="auto"/>
            <w:vAlign w:val="center"/>
          </w:tcPr>
          <w:p w14:paraId="307D95C3"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Cukup jelas.</w:t>
            </w:r>
          </w:p>
        </w:tc>
        <w:tc>
          <w:tcPr>
            <w:tcW w:w="3686" w:type="dxa"/>
            <w:shd w:val="clear" w:color="auto" w:fill="auto"/>
          </w:tcPr>
          <w:p w14:paraId="5CE738F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D8282B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4ED586B" w14:textId="77777777" w:rsidTr="00910A48">
        <w:tc>
          <w:tcPr>
            <w:tcW w:w="4794" w:type="dxa"/>
            <w:shd w:val="clear" w:color="auto" w:fill="auto"/>
            <w:vAlign w:val="center"/>
          </w:tcPr>
          <w:p w14:paraId="71A56C64" w14:textId="77777777" w:rsidR="00910A48" w:rsidRPr="007007D1" w:rsidRDefault="00910A48" w:rsidP="00A32F86">
            <w:pPr>
              <w:pStyle w:val="ListParagraph"/>
              <w:numPr>
                <w:ilvl w:val="0"/>
                <w:numId w:val="3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eastAsia="Bookman Old Style" w:hAnsi="Bookman Old Style"/>
                <w:color w:val="000000"/>
                <w:sz w:val="20"/>
                <w:szCs w:val="20"/>
                <w:lang w:val="en-ID"/>
              </w:rPr>
              <w:t xml:space="preserve">melakukan pemantauan pemenuhan NSFR; </w:t>
            </w:r>
          </w:p>
        </w:tc>
        <w:tc>
          <w:tcPr>
            <w:tcW w:w="4840" w:type="dxa"/>
            <w:shd w:val="clear" w:color="auto" w:fill="auto"/>
          </w:tcPr>
          <w:p w14:paraId="723C3CF3"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BFB3A8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001177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C41B472" w14:textId="77777777" w:rsidTr="00910A48">
        <w:tc>
          <w:tcPr>
            <w:tcW w:w="4794" w:type="dxa"/>
            <w:shd w:val="clear" w:color="auto" w:fill="auto"/>
            <w:vAlign w:val="center"/>
          </w:tcPr>
          <w:p w14:paraId="2065B8D8" w14:textId="77777777" w:rsidR="00910A48" w:rsidRPr="007007D1" w:rsidRDefault="00910A48" w:rsidP="00A32F86">
            <w:pPr>
              <w:pStyle w:val="ListParagraph"/>
              <w:numPr>
                <w:ilvl w:val="0"/>
                <w:numId w:val="3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eastAsia="Bookman Old Style" w:hAnsi="Bookman Old Style"/>
                <w:color w:val="000000"/>
                <w:sz w:val="20"/>
                <w:szCs w:val="20"/>
                <w:lang w:val="en-ID"/>
              </w:rPr>
              <w:t xml:space="preserve">menyampaikan laporan perhitungan NSFR; dan </w:t>
            </w:r>
          </w:p>
        </w:tc>
        <w:tc>
          <w:tcPr>
            <w:tcW w:w="4840" w:type="dxa"/>
            <w:shd w:val="clear" w:color="auto" w:fill="auto"/>
          </w:tcPr>
          <w:p w14:paraId="7971043E"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FBCAD3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44D159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16E2BCB" w14:textId="77777777" w:rsidTr="00910A48">
        <w:tc>
          <w:tcPr>
            <w:tcW w:w="4794" w:type="dxa"/>
            <w:shd w:val="clear" w:color="auto" w:fill="auto"/>
            <w:vAlign w:val="center"/>
          </w:tcPr>
          <w:p w14:paraId="1FB43F8D" w14:textId="77777777" w:rsidR="00910A48" w:rsidRPr="007007D1" w:rsidRDefault="00910A48" w:rsidP="00A32F86">
            <w:pPr>
              <w:pStyle w:val="ListParagraph"/>
              <w:numPr>
                <w:ilvl w:val="0"/>
                <w:numId w:val="3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eastAsia="Bookman Old Style" w:hAnsi="Bookman Old Style"/>
                <w:color w:val="000000"/>
                <w:sz w:val="20"/>
                <w:szCs w:val="20"/>
                <w:lang w:val="en-ID"/>
              </w:rPr>
              <w:t xml:space="preserve">mempublikasikan Laporan NSFR, </w:t>
            </w:r>
          </w:p>
        </w:tc>
        <w:tc>
          <w:tcPr>
            <w:tcW w:w="4840" w:type="dxa"/>
            <w:shd w:val="clear" w:color="auto" w:fill="auto"/>
          </w:tcPr>
          <w:p w14:paraId="60F6B84C"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4091EA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CEA3E8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9BBC54A" w14:textId="77777777" w:rsidTr="00910A48">
        <w:tc>
          <w:tcPr>
            <w:tcW w:w="4794" w:type="dxa"/>
            <w:shd w:val="clear" w:color="auto" w:fill="auto"/>
            <w:vAlign w:val="center"/>
          </w:tcPr>
          <w:p w14:paraId="5A92E7A8" w14:textId="77777777" w:rsidR="00910A48" w:rsidRPr="007007D1" w:rsidRDefault="00910A48"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baik secara individu maupun konsolidasi.</w:t>
            </w:r>
          </w:p>
        </w:tc>
        <w:tc>
          <w:tcPr>
            <w:tcW w:w="4840" w:type="dxa"/>
            <w:shd w:val="clear" w:color="auto" w:fill="auto"/>
          </w:tcPr>
          <w:p w14:paraId="50CDFADC"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91DBA2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47BBAD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6B6C16A" w14:textId="77777777" w:rsidTr="00C84F36">
        <w:tc>
          <w:tcPr>
            <w:tcW w:w="4794" w:type="dxa"/>
            <w:shd w:val="clear" w:color="auto" w:fill="DBDBDB" w:themeFill="accent3" w:themeFillTint="66"/>
            <w:vAlign w:val="center"/>
          </w:tcPr>
          <w:p w14:paraId="238C730A"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en-US"/>
              </w:rPr>
              <w:t>Pasal 21</w:t>
            </w:r>
          </w:p>
        </w:tc>
        <w:tc>
          <w:tcPr>
            <w:tcW w:w="4840" w:type="dxa"/>
            <w:shd w:val="clear" w:color="auto" w:fill="DBDBDB" w:themeFill="accent3" w:themeFillTint="66"/>
          </w:tcPr>
          <w:p w14:paraId="5E26013A"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Pasal 21</w:t>
            </w:r>
          </w:p>
        </w:tc>
        <w:tc>
          <w:tcPr>
            <w:tcW w:w="3686" w:type="dxa"/>
            <w:shd w:val="clear" w:color="auto" w:fill="DBDBDB" w:themeFill="accent3" w:themeFillTint="66"/>
          </w:tcPr>
          <w:p w14:paraId="7309E98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5E51E47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1EEF584" w14:textId="77777777" w:rsidTr="00910A48">
        <w:tc>
          <w:tcPr>
            <w:tcW w:w="4794" w:type="dxa"/>
            <w:shd w:val="clear" w:color="auto" w:fill="auto"/>
            <w:vAlign w:val="center"/>
          </w:tcPr>
          <w:p w14:paraId="2C26AF9D" w14:textId="77777777" w:rsidR="00910A48" w:rsidRPr="007007D1" w:rsidRDefault="00910A48" w:rsidP="00A32F86">
            <w:pPr>
              <w:pStyle w:val="ListParagraph"/>
              <w:numPr>
                <w:ilvl w:val="0"/>
                <w:numId w:val="3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memantau pemenuhan NSFR secara bulanan.</w:t>
            </w:r>
          </w:p>
        </w:tc>
        <w:tc>
          <w:tcPr>
            <w:tcW w:w="4840" w:type="dxa"/>
            <w:shd w:val="clear" w:color="auto" w:fill="auto"/>
          </w:tcPr>
          <w:p w14:paraId="632BE509"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(1)</w:t>
            </w:r>
          </w:p>
          <w:p w14:paraId="25FE83A8"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300D816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129F6D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D711A7E" w14:textId="77777777" w:rsidTr="00910A48">
        <w:tc>
          <w:tcPr>
            <w:tcW w:w="4794" w:type="dxa"/>
            <w:shd w:val="clear" w:color="auto" w:fill="auto"/>
            <w:vAlign w:val="center"/>
          </w:tcPr>
          <w:p w14:paraId="174D7BE8" w14:textId="77777777" w:rsidR="00910A48" w:rsidRPr="007007D1" w:rsidRDefault="00910A48" w:rsidP="00A32F86">
            <w:pPr>
              <w:pStyle w:val="ListParagraph"/>
              <w:numPr>
                <w:ilvl w:val="0"/>
                <w:numId w:val="3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pemantauan pemenuhan NSFR sebagaimana dimaksud pada ayat (1) pertama kali dilakukan untuk untuk posisi akhir bulan Juli 2025.</w:t>
            </w:r>
          </w:p>
        </w:tc>
        <w:tc>
          <w:tcPr>
            <w:tcW w:w="4840" w:type="dxa"/>
            <w:shd w:val="clear" w:color="auto" w:fill="auto"/>
          </w:tcPr>
          <w:p w14:paraId="12973A8B"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4EAD9001"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737A685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A0142E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4902008" w14:textId="77777777" w:rsidTr="00C84F36">
        <w:tc>
          <w:tcPr>
            <w:tcW w:w="4794" w:type="dxa"/>
            <w:shd w:val="clear" w:color="auto" w:fill="auto"/>
          </w:tcPr>
          <w:p w14:paraId="57124DE8" w14:textId="77777777" w:rsidR="00910A48" w:rsidRPr="007007D1" w:rsidRDefault="00910A48" w:rsidP="00A32F86">
            <w:pPr>
              <w:pStyle w:val="ListParagraph"/>
              <w:numPr>
                <w:ilvl w:val="0"/>
                <w:numId w:val="3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Pemantauan sebagaimana dimaksud pada ayat (1) dilakukan oleh Bank dengan menyusun Kertas Kerja NSFR dan Laporan NSFR berdasarkan posisi akhir bulan laporan.</w:t>
            </w:r>
          </w:p>
        </w:tc>
        <w:tc>
          <w:tcPr>
            <w:tcW w:w="4840" w:type="dxa"/>
            <w:shd w:val="clear" w:color="auto" w:fill="auto"/>
          </w:tcPr>
          <w:p w14:paraId="744399F7"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60768D0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Format Laporan NSFR disusun mengacu pada </w:t>
            </w:r>
            <w:r w:rsidRPr="00C84F36">
              <w:rPr>
                <w:rFonts w:ascii="Bookman Old Style" w:eastAsia="Bookman Old Style" w:hAnsi="Bookman Old Style" w:cs="Bookman Old Style"/>
                <w:i/>
                <w:color w:val="000000" w:themeColor="text1"/>
                <w:sz w:val="20"/>
                <w:szCs w:val="20"/>
              </w:rPr>
              <w:t>Basel Committee on Banking Supervisio</w:t>
            </w:r>
            <w:r w:rsidRPr="007007D1">
              <w:rPr>
                <w:rFonts w:ascii="Bookman Old Style" w:eastAsia="Bookman Old Style" w:hAnsi="Bookman Old Style" w:cs="Bookman Old Style"/>
                <w:color w:val="000000" w:themeColor="text1"/>
                <w:sz w:val="20"/>
                <w:szCs w:val="20"/>
              </w:rPr>
              <w:t xml:space="preserve">n (BCBS) pada dokumen Basel III: </w:t>
            </w:r>
            <w:r w:rsidRPr="00C84F36">
              <w:rPr>
                <w:rFonts w:ascii="Bookman Old Style" w:eastAsia="Bookman Old Style" w:hAnsi="Bookman Old Style" w:cs="Bookman Old Style"/>
                <w:i/>
                <w:color w:val="000000" w:themeColor="text1"/>
                <w:sz w:val="20"/>
                <w:szCs w:val="20"/>
              </w:rPr>
              <w:t>The Net Stable Funding Ratio dan Islamic Financial Services Board</w:t>
            </w:r>
            <w:r w:rsidRPr="007007D1">
              <w:rPr>
                <w:rFonts w:ascii="Bookman Old Style" w:eastAsia="Bookman Old Style" w:hAnsi="Bookman Old Style" w:cs="Bookman Old Style"/>
                <w:color w:val="000000" w:themeColor="text1"/>
                <w:sz w:val="20"/>
                <w:szCs w:val="20"/>
              </w:rPr>
              <w:t xml:space="preserve"> (IFSB) pada dokumen GN-6 </w:t>
            </w:r>
            <w:r w:rsidRPr="00C84F36">
              <w:rPr>
                <w:rFonts w:ascii="Bookman Old Style" w:eastAsia="Bookman Old Style" w:hAnsi="Bookman Old Style" w:cs="Bookman Old Style"/>
                <w:i/>
                <w:color w:val="000000" w:themeColor="text1"/>
                <w:sz w:val="20"/>
                <w:szCs w:val="20"/>
              </w:rPr>
              <w:t>Guidance Note on Quantitative Measures for Liquidity Risk Management in Institutions Offering Islamic Financial Services [Excluding Islamic Insurance (takaful) Institutions and Islamic Collective Investment Schemes]</w:t>
            </w:r>
            <w:r w:rsidRPr="007007D1">
              <w:rPr>
                <w:rFonts w:ascii="Bookman Old Style" w:eastAsia="Bookman Old Style" w:hAnsi="Bookman Old Style" w:cs="Bookman Old Style"/>
                <w:color w:val="000000" w:themeColor="text1"/>
                <w:sz w:val="20"/>
                <w:szCs w:val="20"/>
              </w:rPr>
              <w:t>.</w:t>
            </w:r>
          </w:p>
        </w:tc>
        <w:tc>
          <w:tcPr>
            <w:tcW w:w="3686" w:type="dxa"/>
            <w:shd w:val="clear" w:color="auto" w:fill="auto"/>
          </w:tcPr>
          <w:p w14:paraId="3F0CCF0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9704EE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B68A407" w14:textId="77777777" w:rsidTr="00910A48">
        <w:tc>
          <w:tcPr>
            <w:tcW w:w="4794" w:type="dxa"/>
            <w:shd w:val="clear" w:color="auto" w:fill="auto"/>
            <w:vAlign w:val="center"/>
          </w:tcPr>
          <w:p w14:paraId="78298F25" w14:textId="77777777" w:rsidR="00910A48" w:rsidRPr="007007D1" w:rsidRDefault="00910A48" w:rsidP="00A32F86">
            <w:pPr>
              <w:pStyle w:val="ListParagraph"/>
              <w:numPr>
                <w:ilvl w:val="0"/>
                <w:numId w:val="3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Laporan NSFR sebagaimana dimaksud pada ayat (3) paling sedikit memuat informasi:</w:t>
            </w:r>
          </w:p>
        </w:tc>
        <w:tc>
          <w:tcPr>
            <w:tcW w:w="4840" w:type="dxa"/>
            <w:shd w:val="clear" w:color="auto" w:fill="auto"/>
          </w:tcPr>
          <w:p w14:paraId="6D65802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69F1CF1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7CA2F32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2582AA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71B3549" w14:textId="77777777" w:rsidTr="00910A48">
        <w:tc>
          <w:tcPr>
            <w:tcW w:w="4794" w:type="dxa"/>
            <w:shd w:val="clear" w:color="auto" w:fill="auto"/>
            <w:vAlign w:val="center"/>
          </w:tcPr>
          <w:p w14:paraId="58698133" w14:textId="1D3EABA0" w:rsidR="00910A48" w:rsidRPr="007007D1" w:rsidRDefault="00910A48" w:rsidP="00A32F86">
            <w:pPr>
              <w:pStyle w:val="ListParagraph"/>
              <w:numPr>
                <w:ilvl w:val="1"/>
                <w:numId w:val="32"/>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bookmarkStart w:id="4" w:name="RANGE!A215"/>
            <w:r w:rsidRPr="007007D1">
              <w:rPr>
                <w:rFonts w:ascii="Bookman Old Style" w:hAnsi="Bookman Old Style"/>
                <w:color w:val="000000"/>
                <w:sz w:val="20"/>
                <w:szCs w:val="20"/>
                <w:lang w:val="sv-SE"/>
              </w:rPr>
              <w:t>perhitungan NSFR; dan</w:t>
            </w:r>
            <w:bookmarkEnd w:id="4"/>
          </w:p>
        </w:tc>
        <w:tc>
          <w:tcPr>
            <w:tcW w:w="4840" w:type="dxa"/>
            <w:shd w:val="clear" w:color="auto" w:fill="auto"/>
          </w:tcPr>
          <w:p w14:paraId="628E6781"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C25A1D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ABFB1F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723D5AA" w14:textId="77777777" w:rsidTr="00910A48">
        <w:tc>
          <w:tcPr>
            <w:tcW w:w="4794" w:type="dxa"/>
            <w:shd w:val="clear" w:color="auto" w:fill="auto"/>
            <w:vAlign w:val="center"/>
          </w:tcPr>
          <w:p w14:paraId="79D80237" w14:textId="77777777" w:rsidR="00910A48" w:rsidRPr="007007D1" w:rsidRDefault="00910A48" w:rsidP="00A32F86">
            <w:pPr>
              <w:pStyle w:val="ListParagraph"/>
              <w:numPr>
                <w:ilvl w:val="1"/>
                <w:numId w:val="32"/>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analisis perkembangan NSFR.</w:t>
            </w:r>
          </w:p>
        </w:tc>
        <w:tc>
          <w:tcPr>
            <w:tcW w:w="4840" w:type="dxa"/>
            <w:shd w:val="clear" w:color="auto" w:fill="auto"/>
          </w:tcPr>
          <w:p w14:paraId="6ED9E9DE"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8EDED7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ABB1BB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5A3CEC0" w14:textId="77777777" w:rsidTr="00910A48">
        <w:tc>
          <w:tcPr>
            <w:tcW w:w="4794" w:type="dxa"/>
            <w:shd w:val="clear" w:color="auto" w:fill="auto"/>
            <w:vAlign w:val="center"/>
          </w:tcPr>
          <w:p w14:paraId="54C8907B" w14:textId="77777777" w:rsidR="00910A48" w:rsidRPr="007007D1" w:rsidRDefault="00910A48" w:rsidP="00A32F86">
            <w:pPr>
              <w:pStyle w:val="ListParagraph"/>
              <w:numPr>
                <w:ilvl w:val="0"/>
                <w:numId w:val="3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Analisis perkembangan NSFR sebagaimana dimaksud pada ayat (4) huruf b paling sedikit menjelaskan:</w:t>
            </w:r>
          </w:p>
        </w:tc>
        <w:tc>
          <w:tcPr>
            <w:tcW w:w="4840" w:type="dxa"/>
            <w:shd w:val="clear" w:color="auto" w:fill="auto"/>
            <w:vAlign w:val="center"/>
          </w:tcPr>
          <w:p w14:paraId="2D5BA197"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Ayat (5)</w:t>
            </w:r>
          </w:p>
        </w:tc>
        <w:tc>
          <w:tcPr>
            <w:tcW w:w="3686" w:type="dxa"/>
            <w:shd w:val="clear" w:color="auto" w:fill="auto"/>
          </w:tcPr>
          <w:p w14:paraId="2F52EEB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B9C48D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18D03A1" w14:textId="77777777" w:rsidTr="00910A48">
        <w:tc>
          <w:tcPr>
            <w:tcW w:w="4794" w:type="dxa"/>
            <w:shd w:val="clear" w:color="auto" w:fill="auto"/>
            <w:vAlign w:val="center"/>
          </w:tcPr>
          <w:p w14:paraId="083F89C0" w14:textId="77777777" w:rsidR="00910A48" w:rsidRPr="007007D1" w:rsidRDefault="00910A48" w:rsidP="00A32F86">
            <w:pPr>
              <w:pStyle w:val="ListParagraph"/>
              <w:numPr>
                <w:ilvl w:val="1"/>
                <w:numId w:val="32"/>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faktor utama yang mempengaruhi perhitungan NSFR;</w:t>
            </w:r>
          </w:p>
        </w:tc>
        <w:tc>
          <w:tcPr>
            <w:tcW w:w="4840" w:type="dxa"/>
            <w:shd w:val="clear" w:color="auto" w:fill="auto"/>
            <w:vAlign w:val="center"/>
          </w:tcPr>
          <w:p w14:paraId="089430BE"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themeColor="text1"/>
                <w:sz w:val="20"/>
                <w:szCs w:val="20"/>
                <w:lang w:val="en-US"/>
              </w:rPr>
            </w:pPr>
            <w:r w:rsidRPr="007007D1">
              <w:rPr>
                <w:rFonts w:ascii="Bookman Old Style" w:hAnsi="Bookman Old Style"/>
                <w:color w:val="000000" w:themeColor="text1"/>
                <w:sz w:val="20"/>
                <w:szCs w:val="20"/>
                <w:lang w:val="en-US"/>
              </w:rPr>
              <w:t>Huruf a</w:t>
            </w:r>
          </w:p>
          <w:p w14:paraId="381EA006" w14:textId="77777777" w:rsidR="00910A48" w:rsidRPr="007007D1" w:rsidRDefault="00910A48" w:rsidP="00C84F36">
            <w:pPr>
              <w:tabs>
                <w:tab w:val="left" w:pos="1291"/>
              </w:tabs>
              <w:spacing w:after="0" w:line="240" w:lineRule="auto"/>
              <w:ind w:left="567"/>
              <w:jc w:val="both"/>
              <w:rPr>
                <w:rFonts w:ascii="Bookman Old Style" w:hAnsi="Bookman Old Style"/>
                <w:color w:val="000000"/>
                <w:sz w:val="20"/>
                <w:szCs w:val="20"/>
              </w:rPr>
            </w:pPr>
            <w:r w:rsidRPr="00C84F36">
              <w:rPr>
                <w:rFonts w:ascii="Bookman Old Style" w:eastAsia="Bookman Old Style" w:hAnsi="Bookman Old Style" w:cs="Bookman Old Style"/>
                <w:color w:val="000000" w:themeColor="text1"/>
                <w:sz w:val="20"/>
                <w:szCs w:val="20"/>
              </w:rPr>
              <w:t>Cukup</w:t>
            </w:r>
            <w:r w:rsidRPr="007007D1">
              <w:rPr>
                <w:rFonts w:ascii="Bookman Old Style" w:hAnsi="Bookman Old Style"/>
                <w:color w:val="000000" w:themeColor="text1"/>
                <w:sz w:val="20"/>
                <w:szCs w:val="20"/>
                <w:lang w:val="en-US"/>
              </w:rPr>
              <w:t xml:space="preserve"> jelas.</w:t>
            </w:r>
          </w:p>
        </w:tc>
        <w:tc>
          <w:tcPr>
            <w:tcW w:w="3686" w:type="dxa"/>
            <w:shd w:val="clear" w:color="auto" w:fill="auto"/>
          </w:tcPr>
          <w:p w14:paraId="09EDC61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1D55E3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A5D470A" w14:textId="77777777" w:rsidTr="00910A48">
        <w:tc>
          <w:tcPr>
            <w:tcW w:w="4794" w:type="dxa"/>
            <w:shd w:val="clear" w:color="auto" w:fill="auto"/>
            <w:vAlign w:val="center"/>
          </w:tcPr>
          <w:p w14:paraId="49D11D8B" w14:textId="77777777" w:rsidR="00910A48" w:rsidRPr="007007D1" w:rsidRDefault="00910A48" w:rsidP="00A32F86">
            <w:pPr>
              <w:pStyle w:val="ListParagraph"/>
              <w:numPr>
                <w:ilvl w:val="1"/>
                <w:numId w:val="32"/>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faktor atau kondisi yang menyebabkan penurunan atau peningkatan NSFR; dan</w:t>
            </w:r>
          </w:p>
        </w:tc>
        <w:tc>
          <w:tcPr>
            <w:tcW w:w="4840" w:type="dxa"/>
            <w:shd w:val="clear" w:color="auto" w:fill="auto"/>
          </w:tcPr>
          <w:p w14:paraId="7667372F"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b</w:t>
            </w:r>
          </w:p>
          <w:p w14:paraId="70BCF02C"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Contoh: terdapat perubahan strategi dan struktur pendanaan</w:t>
            </w:r>
          </w:p>
        </w:tc>
        <w:tc>
          <w:tcPr>
            <w:tcW w:w="3686" w:type="dxa"/>
            <w:shd w:val="clear" w:color="auto" w:fill="auto"/>
          </w:tcPr>
          <w:p w14:paraId="1B56A99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6B5DFF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67F03EA" w14:textId="77777777" w:rsidTr="00C84F36">
        <w:tc>
          <w:tcPr>
            <w:tcW w:w="4794" w:type="dxa"/>
            <w:shd w:val="clear" w:color="auto" w:fill="auto"/>
          </w:tcPr>
          <w:p w14:paraId="177B3BB4" w14:textId="77777777" w:rsidR="00910A48" w:rsidRPr="007007D1" w:rsidRDefault="00910A48" w:rsidP="00A32F86">
            <w:pPr>
              <w:pStyle w:val="ListParagraph"/>
              <w:numPr>
                <w:ilvl w:val="1"/>
                <w:numId w:val="32"/>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komposisi aset dan liabilitas yang saling bergantung (</w:t>
            </w:r>
            <w:r w:rsidRPr="007007D1">
              <w:rPr>
                <w:rFonts w:ascii="Bookman Old Style" w:hAnsi="Bookman Old Style"/>
                <w:i/>
                <w:iCs/>
                <w:color w:val="000000"/>
                <w:sz w:val="20"/>
                <w:szCs w:val="20"/>
                <w:lang w:val="sv-SE"/>
              </w:rPr>
              <w:t>interdependent</w:t>
            </w:r>
            <w:r w:rsidRPr="007007D1">
              <w:rPr>
                <w:rFonts w:ascii="Bookman Old Style" w:hAnsi="Bookman Old Style"/>
                <w:color w:val="000000"/>
                <w:sz w:val="20"/>
                <w:szCs w:val="20"/>
                <w:lang w:val="sv-SE"/>
              </w:rPr>
              <w:t>) serta keterkaitan transaksi antara aset dan liabilitas.</w:t>
            </w:r>
          </w:p>
        </w:tc>
        <w:tc>
          <w:tcPr>
            <w:tcW w:w="4840" w:type="dxa"/>
            <w:shd w:val="clear" w:color="auto" w:fill="auto"/>
          </w:tcPr>
          <w:p w14:paraId="6DAE1F89"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c</w:t>
            </w:r>
          </w:p>
          <w:p w14:paraId="4BFCBEFC"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Yang dimaksud dengan “saling bergantung (interdependent)” adalah aset dan liabilitas tertentu saling bergantung satu sama lain berdasarkan perjanjian kontraktual sehingga liabilitas tidak akan jatuh tempo selama aset yang terkait masih tercatat di laporan posisi keuangan, arus pembayaran pokok dari aset yang terkait hanya dapat digunakan untuk melunasi liabilitas yang terkait, dan liabilitas yang terkait tidak dapat digunakan untuk mendanai aset lain.</w:t>
            </w:r>
          </w:p>
        </w:tc>
        <w:tc>
          <w:tcPr>
            <w:tcW w:w="3686" w:type="dxa"/>
            <w:shd w:val="clear" w:color="auto" w:fill="auto"/>
          </w:tcPr>
          <w:p w14:paraId="3A3798E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1F170B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DFC48AD" w14:textId="77777777" w:rsidTr="00910A48">
        <w:tc>
          <w:tcPr>
            <w:tcW w:w="4794" w:type="dxa"/>
            <w:shd w:val="clear" w:color="auto" w:fill="auto"/>
            <w:vAlign w:val="center"/>
          </w:tcPr>
          <w:p w14:paraId="71C5E825" w14:textId="77777777" w:rsidR="00910A48" w:rsidRPr="007007D1" w:rsidRDefault="00910A48" w:rsidP="00A32F86">
            <w:pPr>
              <w:pStyle w:val="ListParagraph"/>
              <w:numPr>
                <w:ilvl w:val="0"/>
                <w:numId w:val="3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mendokumentasikan Kertas Kerja NSFR dan Laporan NSFR sebagaimana dimaksud pada ayat (3).</w:t>
            </w:r>
          </w:p>
        </w:tc>
        <w:tc>
          <w:tcPr>
            <w:tcW w:w="4840" w:type="dxa"/>
            <w:shd w:val="clear" w:color="auto" w:fill="auto"/>
          </w:tcPr>
          <w:p w14:paraId="5067D6DD"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(6)</w:t>
            </w:r>
          </w:p>
          <w:p w14:paraId="3AAACD3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58F137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CEA925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DB697A" w:rsidRPr="00BA5B40" w14:paraId="23794F3F" w14:textId="77777777" w:rsidTr="00910A48">
        <w:tc>
          <w:tcPr>
            <w:tcW w:w="4794" w:type="dxa"/>
            <w:shd w:val="clear" w:color="auto" w:fill="auto"/>
            <w:vAlign w:val="center"/>
          </w:tcPr>
          <w:p w14:paraId="35C5E383" w14:textId="77777777" w:rsidR="00DB697A" w:rsidRDefault="00DB697A" w:rsidP="00A32F86">
            <w:pPr>
              <w:pStyle w:val="ListParagraph"/>
              <w:numPr>
                <w:ilvl w:val="0"/>
                <w:numId w:val="32"/>
              </w:numPr>
              <w:tabs>
                <w:tab w:val="left" w:pos="1872"/>
                <w:tab w:val="left" w:pos="2552"/>
              </w:tabs>
              <w:spacing w:after="0" w:line="240" w:lineRule="auto"/>
              <w:jc w:val="both"/>
              <w:rPr>
                <w:rFonts w:ascii="Bookman Old Style" w:hAnsi="Bookman Old Style"/>
                <w:color w:val="000000"/>
                <w:sz w:val="20"/>
                <w:szCs w:val="20"/>
                <w:lang w:val="sv-SE"/>
              </w:rPr>
            </w:pPr>
            <w:r>
              <w:rPr>
                <w:rFonts w:ascii="Bookman Old Style" w:hAnsi="Bookman Old Style"/>
                <w:color w:val="000000"/>
                <w:sz w:val="20"/>
                <w:szCs w:val="20"/>
                <w:lang w:val="sv-SE"/>
              </w:rPr>
              <w:t>Ketentuan mengenai penyusunan Kertas Kerja</w:t>
            </w:r>
            <w:r w:rsidR="007201F6">
              <w:rPr>
                <w:rFonts w:ascii="Bookman Old Style" w:hAnsi="Bookman Old Style"/>
                <w:color w:val="000000"/>
                <w:sz w:val="20"/>
                <w:szCs w:val="20"/>
                <w:lang w:val="sv-SE"/>
              </w:rPr>
              <w:t xml:space="preserve"> </w:t>
            </w:r>
            <w:r w:rsidRPr="00DB697A">
              <w:rPr>
                <w:rFonts w:ascii="Bookman Old Style" w:hAnsi="Bookman Old Style"/>
                <w:color w:val="000000"/>
                <w:sz w:val="20"/>
                <w:szCs w:val="20"/>
                <w:lang w:val="sv-SE"/>
              </w:rPr>
              <w:t xml:space="preserve">NSFR dan Laporan NSFR sebagaimana dimaksud </w:t>
            </w:r>
            <w:r w:rsidR="007201F6">
              <w:rPr>
                <w:rFonts w:ascii="Bookman Old Style" w:hAnsi="Bookman Old Style"/>
                <w:color w:val="000000"/>
                <w:sz w:val="20"/>
                <w:szCs w:val="20"/>
                <w:lang w:val="sv-SE"/>
              </w:rPr>
              <w:t>pada ayat</w:t>
            </w:r>
            <w:r w:rsidRPr="00DB697A">
              <w:rPr>
                <w:rFonts w:ascii="Bookman Old Style" w:hAnsi="Bookman Old Style"/>
                <w:color w:val="000000"/>
                <w:sz w:val="20"/>
                <w:szCs w:val="20"/>
                <w:lang w:val="sv-SE"/>
              </w:rPr>
              <w:t xml:space="preserve"> </w:t>
            </w:r>
            <w:r w:rsidR="007201F6">
              <w:rPr>
                <w:rFonts w:ascii="Bookman Old Style" w:hAnsi="Bookman Old Style"/>
                <w:color w:val="000000"/>
                <w:sz w:val="20"/>
                <w:szCs w:val="20"/>
                <w:lang w:val="sv-SE"/>
              </w:rPr>
              <w:t>(3</w:t>
            </w:r>
            <w:r w:rsidRPr="00DB697A">
              <w:rPr>
                <w:rFonts w:ascii="Bookman Old Style" w:hAnsi="Bookman Old Style"/>
                <w:color w:val="000000"/>
                <w:sz w:val="20"/>
                <w:szCs w:val="20"/>
                <w:lang w:val="sv-SE"/>
              </w:rPr>
              <w:t>) mengacu pada Lampiran IV, Lampiran V, dan Lampiran VI yang merupakan bagian tidak terpisahkan dari Peraturan Otoritas Jasa Keuangan ini.</w:t>
            </w:r>
          </w:p>
          <w:p w14:paraId="72D51DA7" w14:textId="77777777" w:rsidR="007201F6" w:rsidRDefault="007201F6" w:rsidP="007201F6">
            <w:pPr>
              <w:pStyle w:val="ListParagraph"/>
              <w:tabs>
                <w:tab w:val="left" w:pos="1872"/>
                <w:tab w:val="left" w:pos="2552"/>
              </w:tabs>
              <w:spacing w:after="0" w:line="240" w:lineRule="auto"/>
              <w:ind w:left="360"/>
              <w:jc w:val="both"/>
              <w:rPr>
                <w:rFonts w:ascii="Bookman Old Style" w:hAnsi="Bookman Old Style"/>
                <w:color w:val="000000"/>
                <w:sz w:val="20"/>
                <w:szCs w:val="20"/>
                <w:lang w:val="sv-SE"/>
              </w:rPr>
            </w:pPr>
          </w:p>
          <w:p w14:paraId="487D34C0" w14:textId="03B5DC67" w:rsidR="007201F6" w:rsidRPr="007007D1" w:rsidRDefault="007201F6" w:rsidP="007201F6">
            <w:pPr>
              <w:pStyle w:val="ListParagraph"/>
              <w:tabs>
                <w:tab w:val="left" w:pos="1872"/>
                <w:tab w:val="left" w:pos="2552"/>
              </w:tabs>
              <w:spacing w:after="0" w:line="240" w:lineRule="auto"/>
              <w:ind w:left="360"/>
              <w:jc w:val="both"/>
              <w:rPr>
                <w:rFonts w:ascii="Bookman Old Style" w:hAnsi="Bookman Old Style"/>
                <w:color w:val="000000"/>
                <w:sz w:val="20"/>
                <w:szCs w:val="20"/>
                <w:lang w:val="sv-SE"/>
              </w:rPr>
            </w:pPr>
          </w:p>
        </w:tc>
        <w:tc>
          <w:tcPr>
            <w:tcW w:w="4840" w:type="dxa"/>
            <w:shd w:val="clear" w:color="auto" w:fill="auto"/>
          </w:tcPr>
          <w:p w14:paraId="68D23680" w14:textId="77777777" w:rsidR="00DB697A" w:rsidRDefault="007201F6"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lang w:val="en-US"/>
              </w:rPr>
            </w:pPr>
            <w:r>
              <w:rPr>
                <w:rFonts w:ascii="Bookman Old Style" w:eastAsia="Bookman Old Style" w:hAnsi="Bookman Old Style" w:cs="Bookman Old Style"/>
                <w:color w:val="000000" w:themeColor="text1"/>
                <w:sz w:val="20"/>
                <w:szCs w:val="20"/>
                <w:lang w:val="en-US"/>
              </w:rPr>
              <w:t>Ayat (7)</w:t>
            </w:r>
          </w:p>
          <w:p w14:paraId="065D7B5A" w14:textId="192D3A3D" w:rsidR="007201F6" w:rsidRPr="007201F6" w:rsidRDefault="007201F6" w:rsidP="007201F6">
            <w:pPr>
              <w:tabs>
                <w:tab w:val="left" w:pos="1980"/>
                <w:tab w:val="left" w:pos="2520"/>
                <w:tab w:val="left" w:pos="2552"/>
              </w:tabs>
              <w:spacing w:after="0" w:line="240" w:lineRule="auto"/>
              <w:ind w:left="482"/>
              <w:rPr>
                <w:rFonts w:ascii="Bookman Old Style" w:eastAsia="Bookman Old Style" w:hAnsi="Bookman Old Style" w:cs="Bookman Old Style"/>
                <w:color w:val="000000" w:themeColor="text1"/>
                <w:sz w:val="20"/>
                <w:szCs w:val="20"/>
                <w:lang w:val="en-US"/>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B51D7C1" w14:textId="77777777" w:rsidR="00DB697A" w:rsidRPr="00BA5B40" w:rsidRDefault="00DB697A"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DCED976" w14:textId="77777777" w:rsidR="00DB697A" w:rsidRPr="00BA5B40" w:rsidRDefault="00DB697A"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4B590C7" w14:textId="77777777" w:rsidTr="00910A48">
        <w:tc>
          <w:tcPr>
            <w:tcW w:w="4794" w:type="dxa"/>
            <w:shd w:val="clear" w:color="auto" w:fill="auto"/>
            <w:vAlign w:val="center"/>
          </w:tcPr>
          <w:p w14:paraId="027CFC7A" w14:textId="77777777" w:rsidR="00910A48" w:rsidRPr="007007D1" w:rsidRDefault="00910A48" w:rsidP="00DB697A">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lastRenderedPageBreak/>
              <w:t>Pasal 22</w:t>
            </w:r>
          </w:p>
        </w:tc>
        <w:tc>
          <w:tcPr>
            <w:tcW w:w="4840" w:type="dxa"/>
            <w:shd w:val="clear" w:color="auto" w:fill="auto"/>
            <w:vAlign w:val="center"/>
          </w:tcPr>
          <w:p w14:paraId="0FEE8FE4"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22</w:t>
            </w:r>
          </w:p>
        </w:tc>
        <w:tc>
          <w:tcPr>
            <w:tcW w:w="3686" w:type="dxa"/>
            <w:shd w:val="clear" w:color="auto" w:fill="auto"/>
          </w:tcPr>
          <w:p w14:paraId="4E12E0D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5478B3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0A1AD4F" w14:textId="77777777" w:rsidTr="00C84F36">
        <w:tc>
          <w:tcPr>
            <w:tcW w:w="4794" w:type="dxa"/>
            <w:shd w:val="clear" w:color="auto" w:fill="auto"/>
            <w:vAlign w:val="center"/>
          </w:tcPr>
          <w:p w14:paraId="24801888" w14:textId="77777777" w:rsidR="00910A48" w:rsidRPr="007007D1" w:rsidRDefault="00910A48" w:rsidP="00A32F86">
            <w:pPr>
              <w:pStyle w:val="ListParagraph"/>
              <w:numPr>
                <w:ilvl w:val="0"/>
                <w:numId w:val="33"/>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Kertas Kerja NSFR dan Laporan NSFR berdasarkan posisi akhir triwulan laporan kepada Otoritas Jasa Keuangan.</w:t>
            </w:r>
          </w:p>
        </w:tc>
        <w:tc>
          <w:tcPr>
            <w:tcW w:w="4840" w:type="dxa"/>
            <w:shd w:val="clear" w:color="auto" w:fill="auto"/>
          </w:tcPr>
          <w:p w14:paraId="6139E502"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Cukup jelas.</w:t>
            </w:r>
          </w:p>
        </w:tc>
        <w:tc>
          <w:tcPr>
            <w:tcW w:w="3686" w:type="dxa"/>
            <w:shd w:val="clear" w:color="auto" w:fill="auto"/>
          </w:tcPr>
          <w:p w14:paraId="0513622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3A8751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DC3A2CD" w14:textId="77777777" w:rsidTr="00910A48">
        <w:tc>
          <w:tcPr>
            <w:tcW w:w="4794" w:type="dxa"/>
            <w:shd w:val="clear" w:color="auto" w:fill="auto"/>
            <w:vAlign w:val="center"/>
          </w:tcPr>
          <w:p w14:paraId="55826605" w14:textId="77777777" w:rsidR="00910A48" w:rsidRPr="007007D1" w:rsidRDefault="00910A48" w:rsidP="00A32F86">
            <w:pPr>
              <w:pStyle w:val="ListParagraph"/>
              <w:numPr>
                <w:ilvl w:val="0"/>
                <w:numId w:val="33"/>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Posisi akhir triwulan laporan sebagaimana dimaksud pada ayat (1) merupakan laporan untuk posisi akhir bulan Maret, bulan Juni, bulan September, dan bulan Desember.</w:t>
            </w:r>
          </w:p>
        </w:tc>
        <w:tc>
          <w:tcPr>
            <w:tcW w:w="4840" w:type="dxa"/>
            <w:shd w:val="clear" w:color="auto" w:fill="auto"/>
          </w:tcPr>
          <w:p w14:paraId="0690C21C"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A73678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857076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1582745" w14:textId="77777777" w:rsidTr="00910A48">
        <w:tc>
          <w:tcPr>
            <w:tcW w:w="4794" w:type="dxa"/>
            <w:shd w:val="clear" w:color="auto" w:fill="auto"/>
            <w:vAlign w:val="center"/>
          </w:tcPr>
          <w:p w14:paraId="55498F01" w14:textId="77777777" w:rsidR="00910A48" w:rsidRPr="007007D1" w:rsidRDefault="00910A48" w:rsidP="00A32F86">
            <w:pPr>
              <w:pStyle w:val="ListParagraph"/>
              <w:numPr>
                <w:ilvl w:val="0"/>
                <w:numId w:val="33"/>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penyampaian kertas kerja NSFR dan Laporan NSFR sebagaimana dimaksud pada ayat (1) pertama kali dilakukan untuk untuk posisi akhir bulan September 2025.</w:t>
            </w:r>
          </w:p>
        </w:tc>
        <w:tc>
          <w:tcPr>
            <w:tcW w:w="4840" w:type="dxa"/>
            <w:shd w:val="clear" w:color="auto" w:fill="auto"/>
          </w:tcPr>
          <w:p w14:paraId="01FFEF03"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280EAC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6BCBAD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BD30DF2" w14:textId="77777777" w:rsidTr="00910A48">
        <w:tc>
          <w:tcPr>
            <w:tcW w:w="4794" w:type="dxa"/>
            <w:shd w:val="clear" w:color="auto" w:fill="auto"/>
            <w:vAlign w:val="center"/>
          </w:tcPr>
          <w:p w14:paraId="2DE723C9" w14:textId="77777777" w:rsidR="00910A48" w:rsidRPr="007007D1" w:rsidRDefault="00910A48"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w:t>
            </w:r>
            <w:r w:rsidRPr="007007D1">
              <w:rPr>
                <w:rFonts w:ascii="Bookman Old Style" w:hAnsi="Bookman Old Style"/>
                <w:color w:val="000000"/>
                <w:sz w:val="20"/>
                <w:szCs w:val="20"/>
                <w:lang w:val="sv-SE"/>
              </w:rPr>
              <w:t>  23</w:t>
            </w:r>
          </w:p>
        </w:tc>
        <w:tc>
          <w:tcPr>
            <w:tcW w:w="4840" w:type="dxa"/>
            <w:shd w:val="clear" w:color="auto" w:fill="auto"/>
            <w:vAlign w:val="center"/>
          </w:tcPr>
          <w:p w14:paraId="1754A5D2"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23</w:t>
            </w:r>
          </w:p>
        </w:tc>
        <w:tc>
          <w:tcPr>
            <w:tcW w:w="3686" w:type="dxa"/>
            <w:shd w:val="clear" w:color="auto" w:fill="auto"/>
          </w:tcPr>
          <w:p w14:paraId="256A396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729DB6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530B6D0" w14:textId="77777777" w:rsidTr="00C84F36">
        <w:tc>
          <w:tcPr>
            <w:tcW w:w="4794" w:type="dxa"/>
            <w:shd w:val="clear" w:color="auto" w:fill="auto"/>
            <w:vAlign w:val="center"/>
          </w:tcPr>
          <w:p w14:paraId="0ACAC107" w14:textId="77777777" w:rsidR="00910A48" w:rsidRPr="007007D1" w:rsidRDefault="00910A48" w:rsidP="00A32F86">
            <w:pPr>
              <w:pStyle w:val="ListParagraph"/>
              <w:numPr>
                <w:ilvl w:val="0"/>
                <w:numId w:val="3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Kertas Kerja NSFR dan Laporan NSFR sebagaimana dimaksud dalam Pasal 22 ayat (1) paling lambat:</w:t>
            </w:r>
          </w:p>
        </w:tc>
        <w:tc>
          <w:tcPr>
            <w:tcW w:w="4840" w:type="dxa"/>
            <w:shd w:val="clear" w:color="auto" w:fill="auto"/>
          </w:tcPr>
          <w:p w14:paraId="1F5BE14B"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sz w:val="20"/>
                <w:szCs w:val="20"/>
                <w:lang w:val="en-US"/>
              </w:rPr>
              <w:t>Ayat (1)</w:t>
            </w:r>
          </w:p>
          <w:p w14:paraId="22DEB31E"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C84F36">
              <w:rPr>
                <w:rFonts w:ascii="Bookman Old Style" w:eastAsia="Bookman Old Style" w:hAnsi="Bookman Old Style" w:cs="Bookman Old Style"/>
                <w:color w:val="000000" w:themeColor="text1"/>
                <w:sz w:val="20"/>
                <w:szCs w:val="20"/>
              </w:rPr>
              <w:t>Cukup</w:t>
            </w:r>
            <w:r w:rsidRPr="007007D1">
              <w:rPr>
                <w:rFonts w:ascii="Bookman Old Style" w:hAnsi="Bookman Old Style"/>
                <w:color w:val="000000"/>
                <w:sz w:val="20"/>
                <w:szCs w:val="20"/>
                <w:lang w:val="en-US"/>
              </w:rPr>
              <w:t xml:space="preserve"> jelas.</w:t>
            </w:r>
          </w:p>
        </w:tc>
        <w:tc>
          <w:tcPr>
            <w:tcW w:w="3686" w:type="dxa"/>
            <w:shd w:val="clear" w:color="auto" w:fill="auto"/>
          </w:tcPr>
          <w:p w14:paraId="548A5A9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AC1504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1A892FF" w14:textId="77777777" w:rsidTr="00C84F36">
        <w:tc>
          <w:tcPr>
            <w:tcW w:w="4794" w:type="dxa"/>
            <w:shd w:val="clear" w:color="auto" w:fill="auto"/>
            <w:vAlign w:val="center"/>
          </w:tcPr>
          <w:p w14:paraId="78E2244C" w14:textId="77777777" w:rsidR="00910A48" w:rsidRPr="007007D1" w:rsidRDefault="00910A48" w:rsidP="00A32F86">
            <w:pPr>
              <w:pStyle w:val="ListParagraph"/>
              <w:numPr>
                <w:ilvl w:val="1"/>
                <w:numId w:val="34"/>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tanggal 15 (lima belas) setelah akhir bulan laporan, untuk Kertas Kerja NSFR dan Laporan NSFR secara individu; dan</w:t>
            </w:r>
          </w:p>
        </w:tc>
        <w:tc>
          <w:tcPr>
            <w:tcW w:w="4840" w:type="dxa"/>
            <w:shd w:val="clear" w:color="auto" w:fill="auto"/>
          </w:tcPr>
          <w:p w14:paraId="1697768A"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BAB5A9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7BEE6C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DEF2AE0" w14:textId="77777777" w:rsidTr="00C84F36">
        <w:tc>
          <w:tcPr>
            <w:tcW w:w="4794" w:type="dxa"/>
            <w:shd w:val="clear" w:color="auto" w:fill="auto"/>
            <w:vAlign w:val="center"/>
          </w:tcPr>
          <w:p w14:paraId="7B1C22A4" w14:textId="77777777" w:rsidR="00910A48" w:rsidRPr="007007D1" w:rsidRDefault="00910A48" w:rsidP="00A32F86">
            <w:pPr>
              <w:pStyle w:val="ListParagraph"/>
              <w:numPr>
                <w:ilvl w:val="1"/>
                <w:numId w:val="34"/>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akhir bulan setelah akhir bulan laporan, untuk Kertas Kerja NSFR dan Laporan NSFR secara konsolidasi. </w:t>
            </w:r>
          </w:p>
        </w:tc>
        <w:tc>
          <w:tcPr>
            <w:tcW w:w="4840" w:type="dxa"/>
            <w:shd w:val="clear" w:color="auto" w:fill="auto"/>
          </w:tcPr>
          <w:p w14:paraId="0169DDE6"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5727ED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47815F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4F5C97F9" w14:textId="77777777" w:rsidTr="00C84F36">
        <w:tc>
          <w:tcPr>
            <w:tcW w:w="4794" w:type="dxa"/>
            <w:shd w:val="clear" w:color="auto" w:fill="auto"/>
            <w:vAlign w:val="center"/>
          </w:tcPr>
          <w:p w14:paraId="4B4CA92B" w14:textId="77777777" w:rsidR="00910A48" w:rsidRPr="007007D1" w:rsidRDefault="00910A48" w:rsidP="00A32F86">
            <w:pPr>
              <w:pStyle w:val="ListParagraph"/>
              <w:numPr>
                <w:ilvl w:val="0"/>
                <w:numId w:val="3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Kertas Kerja NSFR dan Laporan NSFR sebagaimana dimaksud pada ayat (1) secara daring (</w:t>
            </w:r>
            <w:r w:rsidRPr="007007D1">
              <w:rPr>
                <w:rFonts w:ascii="Bookman Old Style" w:hAnsi="Bookman Old Style"/>
                <w:i/>
                <w:iCs/>
                <w:color w:val="000000"/>
                <w:sz w:val="20"/>
                <w:szCs w:val="20"/>
                <w:lang w:val="sv-SE"/>
              </w:rPr>
              <w:t>online</w:t>
            </w:r>
            <w:r w:rsidRPr="007007D1">
              <w:rPr>
                <w:rFonts w:ascii="Bookman Old Style" w:hAnsi="Bookman Old Style"/>
                <w:color w:val="000000"/>
                <w:sz w:val="20"/>
                <w:szCs w:val="20"/>
                <w:lang w:val="sv-SE"/>
              </w:rPr>
              <w:t>) melalui sistem pelaporan Otoritas Jasa Keuangan.</w:t>
            </w:r>
          </w:p>
        </w:tc>
        <w:tc>
          <w:tcPr>
            <w:tcW w:w="4840" w:type="dxa"/>
            <w:shd w:val="clear" w:color="auto" w:fill="auto"/>
          </w:tcPr>
          <w:p w14:paraId="5702AFA3"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sz w:val="20"/>
                <w:szCs w:val="20"/>
                <w:lang w:val="en-US"/>
              </w:rPr>
              <w:t>Ayat (2)</w:t>
            </w:r>
          </w:p>
          <w:p w14:paraId="1D18D1F7"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en-US"/>
              </w:rPr>
              <w:t xml:space="preserve">Cukup </w:t>
            </w:r>
            <w:r w:rsidRPr="00C84F36">
              <w:rPr>
                <w:rFonts w:ascii="Bookman Old Style" w:eastAsia="Bookman Old Style" w:hAnsi="Bookman Old Style" w:cs="Bookman Old Style"/>
                <w:color w:val="000000" w:themeColor="text1"/>
                <w:sz w:val="20"/>
                <w:szCs w:val="20"/>
              </w:rPr>
              <w:t>jelas</w:t>
            </w:r>
            <w:r w:rsidRPr="007007D1">
              <w:rPr>
                <w:rFonts w:ascii="Bookman Old Style" w:hAnsi="Bookman Old Style"/>
                <w:color w:val="000000"/>
                <w:sz w:val="20"/>
                <w:szCs w:val="20"/>
                <w:lang w:val="en-US"/>
              </w:rPr>
              <w:t>.</w:t>
            </w:r>
          </w:p>
        </w:tc>
        <w:tc>
          <w:tcPr>
            <w:tcW w:w="3686" w:type="dxa"/>
            <w:shd w:val="clear" w:color="auto" w:fill="auto"/>
          </w:tcPr>
          <w:p w14:paraId="5C3BAAB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8116BA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B18DA2C" w14:textId="77777777" w:rsidTr="00C84F36">
        <w:tc>
          <w:tcPr>
            <w:tcW w:w="4794" w:type="dxa"/>
            <w:shd w:val="clear" w:color="auto" w:fill="auto"/>
            <w:vAlign w:val="center"/>
          </w:tcPr>
          <w:p w14:paraId="2E3F1A47" w14:textId="77777777" w:rsidR="00910A48" w:rsidRPr="007007D1" w:rsidRDefault="00910A48" w:rsidP="00A32F86">
            <w:pPr>
              <w:pStyle w:val="ListParagraph"/>
              <w:numPr>
                <w:ilvl w:val="0"/>
                <w:numId w:val="3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pelaporan Otoritas Jasa Keuangan sebagaimana dimaksud pada ayat (3) belum tersedia, Bank wajib menyampaikan Kertas Kerja NSFR dan Laporan NSFR secara luring.</w:t>
            </w:r>
          </w:p>
        </w:tc>
        <w:tc>
          <w:tcPr>
            <w:tcW w:w="4840" w:type="dxa"/>
            <w:shd w:val="clear" w:color="auto" w:fill="auto"/>
          </w:tcPr>
          <w:p w14:paraId="45DFE212"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sz w:val="20"/>
                <w:szCs w:val="20"/>
                <w:lang w:val="en-US"/>
              </w:rPr>
              <w:t>Ayat (3)</w:t>
            </w:r>
          </w:p>
          <w:p w14:paraId="38F0A2EF"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en-US"/>
              </w:rPr>
              <w:t xml:space="preserve">Cukup </w:t>
            </w:r>
            <w:r w:rsidRPr="00C84F36">
              <w:rPr>
                <w:rFonts w:ascii="Bookman Old Style" w:eastAsia="Bookman Old Style" w:hAnsi="Bookman Old Style" w:cs="Bookman Old Style"/>
                <w:color w:val="000000" w:themeColor="text1"/>
                <w:sz w:val="20"/>
                <w:szCs w:val="20"/>
              </w:rPr>
              <w:t>jelas</w:t>
            </w:r>
            <w:r w:rsidRPr="007007D1">
              <w:rPr>
                <w:rFonts w:ascii="Bookman Old Style" w:hAnsi="Bookman Old Style"/>
                <w:color w:val="000000"/>
                <w:sz w:val="20"/>
                <w:szCs w:val="20"/>
                <w:lang w:val="en-US"/>
              </w:rPr>
              <w:t>.</w:t>
            </w:r>
          </w:p>
        </w:tc>
        <w:tc>
          <w:tcPr>
            <w:tcW w:w="3686" w:type="dxa"/>
            <w:shd w:val="clear" w:color="auto" w:fill="auto"/>
          </w:tcPr>
          <w:p w14:paraId="02A76ED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C54C51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FDDEB6F" w14:textId="77777777" w:rsidTr="00C84F36">
        <w:tc>
          <w:tcPr>
            <w:tcW w:w="4794" w:type="dxa"/>
            <w:shd w:val="clear" w:color="auto" w:fill="auto"/>
            <w:vAlign w:val="center"/>
          </w:tcPr>
          <w:p w14:paraId="53768EFE" w14:textId="77777777" w:rsidR="00910A48" w:rsidRPr="007007D1" w:rsidRDefault="00910A48" w:rsidP="00A32F86">
            <w:pPr>
              <w:pStyle w:val="ListParagraph"/>
              <w:numPr>
                <w:ilvl w:val="0"/>
                <w:numId w:val="34"/>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Penyampaian secara luring sebagaimana dimaksud pada ayat (4) disampaikan kepada:</w:t>
            </w:r>
          </w:p>
        </w:tc>
        <w:tc>
          <w:tcPr>
            <w:tcW w:w="4840" w:type="dxa"/>
            <w:shd w:val="clear" w:color="auto" w:fill="auto"/>
          </w:tcPr>
          <w:p w14:paraId="06588B48"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sz w:val="20"/>
                <w:szCs w:val="20"/>
                <w:lang w:val="en-US"/>
              </w:rPr>
              <w:t>Ayat (4)</w:t>
            </w:r>
          </w:p>
          <w:p w14:paraId="0DE3F6F1"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en-US"/>
              </w:rPr>
              <w:t xml:space="preserve">Cukup </w:t>
            </w:r>
            <w:r w:rsidRPr="00C84F36">
              <w:rPr>
                <w:rFonts w:ascii="Bookman Old Style" w:eastAsia="Bookman Old Style" w:hAnsi="Bookman Old Style" w:cs="Bookman Old Style"/>
                <w:color w:val="000000" w:themeColor="text1"/>
                <w:sz w:val="20"/>
                <w:szCs w:val="20"/>
              </w:rPr>
              <w:t>jelas</w:t>
            </w:r>
            <w:r w:rsidRPr="007007D1">
              <w:rPr>
                <w:rFonts w:ascii="Bookman Old Style" w:hAnsi="Bookman Old Style"/>
                <w:color w:val="000000"/>
                <w:sz w:val="20"/>
                <w:szCs w:val="20"/>
                <w:lang w:val="en-US"/>
              </w:rPr>
              <w:t>.</w:t>
            </w:r>
          </w:p>
        </w:tc>
        <w:tc>
          <w:tcPr>
            <w:tcW w:w="3686" w:type="dxa"/>
            <w:shd w:val="clear" w:color="auto" w:fill="auto"/>
          </w:tcPr>
          <w:p w14:paraId="7D852E5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950126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D5D17D2" w14:textId="77777777" w:rsidTr="00910A48">
        <w:tc>
          <w:tcPr>
            <w:tcW w:w="4794" w:type="dxa"/>
            <w:shd w:val="clear" w:color="auto" w:fill="auto"/>
            <w:vAlign w:val="center"/>
          </w:tcPr>
          <w:p w14:paraId="4F9DACDB" w14:textId="77777777" w:rsidR="00910A48" w:rsidRPr="007007D1" w:rsidRDefault="00910A48" w:rsidP="00A32F86">
            <w:pPr>
              <w:pStyle w:val="ListParagraph"/>
              <w:numPr>
                <w:ilvl w:val="1"/>
                <w:numId w:val="34"/>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Departemen Pengawasan Bank Syariah terkait bagi Bank yang berkantor pusat atau kantor cabang dari bank yang berkedudukan di luar negeri yang berada di wilayah Provinsi Daerah Khusus Ibukota Jakarta; atau</w:t>
            </w:r>
          </w:p>
        </w:tc>
        <w:tc>
          <w:tcPr>
            <w:tcW w:w="4840" w:type="dxa"/>
            <w:shd w:val="clear" w:color="auto" w:fill="auto"/>
          </w:tcPr>
          <w:p w14:paraId="6EFD3BDA"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3EE026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CDFB62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71D4A67" w14:textId="77777777" w:rsidTr="00910A48">
        <w:tc>
          <w:tcPr>
            <w:tcW w:w="4794" w:type="dxa"/>
            <w:shd w:val="clear" w:color="auto" w:fill="auto"/>
            <w:vAlign w:val="center"/>
          </w:tcPr>
          <w:p w14:paraId="47679899" w14:textId="77777777" w:rsidR="00910A48" w:rsidRPr="007007D1" w:rsidRDefault="00910A48" w:rsidP="00A32F86">
            <w:pPr>
              <w:pStyle w:val="ListParagraph"/>
              <w:numPr>
                <w:ilvl w:val="1"/>
                <w:numId w:val="34"/>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Kantor Otoritas Jasa Keuangan setempat, bagi Bank yang berkantor pusat di luar wilayah Provinsi Daerah Khusus Ibukota Jakarta.</w:t>
            </w:r>
          </w:p>
        </w:tc>
        <w:tc>
          <w:tcPr>
            <w:tcW w:w="4840" w:type="dxa"/>
            <w:shd w:val="clear" w:color="auto" w:fill="auto"/>
          </w:tcPr>
          <w:p w14:paraId="6C560018"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A4E82B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0FA8DC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3CA0A6B" w14:textId="77777777" w:rsidTr="00910A48">
        <w:tc>
          <w:tcPr>
            <w:tcW w:w="4794" w:type="dxa"/>
            <w:shd w:val="clear" w:color="auto" w:fill="auto"/>
            <w:vAlign w:val="center"/>
          </w:tcPr>
          <w:p w14:paraId="19BC463C" w14:textId="77777777" w:rsidR="00910A48" w:rsidRPr="007007D1" w:rsidRDefault="00910A48" w:rsidP="00910A48">
            <w:pPr>
              <w:tabs>
                <w:tab w:val="left" w:pos="1872"/>
                <w:tab w:val="left" w:pos="2552"/>
              </w:tabs>
              <w:spacing w:after="0" w:line="240" w:lineRule="auto"/>
              <w:ind w:left="30"/>
              <w:jc w:val="both"/>
              <w:rPr>
                <w:rFonts w:ascii="Bookman Old Style" w:hAnsi="Bookman Old Style"/>
                <w:color w:val="000000" w:themeColor="text1"/>
                <w:sz w:val="20"/>
                <w:szCs w:val="20"/>
              </w:rPr>
            </w:pPr>
            <w:r w:rsidRPr="007007D1">
              <w:rPr>
                <w:rFonts w:ascii="Bookman Old Style" w:hAnsi="Bookman Old Style"/>
                <w:color w:val="000000" w:themeColor="text1"/>
                <w:sz w:val="20"/>
                <w:szCs w:val="20"/>
                <w:lang w:val="sv-SE"/>
              </w:rPr>
              <w:t>Pasal 24</w:t>
            </w:r>
          </w:p>
        </w:tc>
        <w:tc>
          <w:tcPr>
            <w:tcW w:w="4840" w:type="dxa"/>
            <w:shd w:val="clear" w:color="auto" w:fill="auto"/>
          </w:tcPr>
          <w:p w14:paraId="66DF2617"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Pasal 24</w:t>
            </w:r>
          </w:p>
        </w:tc>
        <w:tc>
          <w:tcPr>
            <w:tcW w:w="3686" w:type="dxa"/>
            <w:shd w:val="clear" w:color="auto" w:fill="auto"/>
          </w:tcPr>
          <w:p w14:paraId="19C5265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B5C6CE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545D91F" w14:textId="77777777" w:rsidTr="00C84F36">
        <w:tc>
          <w:tcPr>
            <w:tcW w:w="4794" w:type="dxa"/>
            <w:shd w:val="clear" w:color="auto" w:fill="auto"/>
            <w:vAlign w:val="center"/>
          </w:tcPr>
          <w:p w14:paraId="58FE8F6C"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Bank wajib mempublikasikan dan mengungkapkan Laporan NSFR berdasarkan posisi akhir triwulan laporan sebagaimana dimaksud dalam Pasal 22 ayat (1) untuk posisi akhir bulan Maret, bulan Juni, bulan September, dan bulan Desember.</w:t>
            </w:r>
          </w:p>
        </w:tc>
        <w:tc>
          <w:tcPr>
            <w:tcW w:w="4840" w:type="dxa"/>
            <w:shd w:val="clear" w:color="auto" w:fill="auto"/>
          </w:tcPr>
          <w:p w14:paraId="38D1194C"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sz w:val="20"/>
                <w:szCs w:val="20"/>
                <w:lang w:val="en-US"/>
              </w:rPr>
              <w:t>Ayat (1)</w:t>
            </w:r>
          </w:p>
          <w:p w14:paraId="48C44423"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en-US"/>
              </w:rPr>
              <w:t xml:space="preserve">Cukup </w:t>
            </w:r>
            <w:r w:rsidRPr="00C84F36">
              <w:rPr>
                <w:rFonts w:ascii="Bookman Old Style" w:eastAsia="Bookman Old Style" w:hAnsi="Bookman Old Style" w:cs="Bookman Old Style"/>
                <w:color w:val="000000" w:themeColor="text1"/>
                <w:sz w:val="20"/>
                <w:szCs w:val="20"/>
              </w:rPr>
              <w:t>jelas</w:t>
            </w:r>
            <w:r w:rsidRPr="007007D1">
              <w:rPr>
                <w:rFonts w:ascii="Bookman Old Style" w:hAnsi="Bookman Old Style"/>
                <w:color w:val="000000"/>
                <w:sz w:val="20"/>
                <w:szCs w:val="20"/>
                <w:lang w:val="en-US"/>
              </w:rPr>
              <w:t>.</w:t>
            </w:r>
          </w:p>
        </w:tc>
        <w:tc>
          <w:tcPr>
            <w:tcW w:w="3686" w:type="dxa"/>
            <w:shd w:val="clear" w:color="auto" w:fill="auto"/>
          </w:tcPr>
          <w:p w14:paraId="2C76D02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51C2F0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2252FE6" w14:textId="77777777" w:rsidTr="00C84F36">
        <w:tc>
          <w:tcPr>
            <w:tcW w:w="4794" w:type="dxa"/>
            <w:shd w:val="clear" w:color="auto" w:fill="auto"/>
            <w:vAlign w:val="center"/>
          </w:tcPr>
          <w:p w14:paraId="63A7341B"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publikasi dan pengungkapan Laporan NSFR sebagaimana dimaksud pada ayat (1) pertama kali dilakukan untuk untuk posisi akhir bulan Juni 2026.</w:t>
            </w:r>
          </w:p>
        </w:tc>
        <w:tc>
          <w:tcPr>
            <w:tcW w:w="4840" w:type="dxa"/>
            <w:shd w:val="clear" w:color="auto" w:fill="auto"/>
          </w:tcPr>
          <w:p w14:paraId="2086D257"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sz w:val="20"/>
                <w:szCs w:val="20"/>
                <w:lang w:val="en-US"/>
              </w:rPr>
            </w:pPr>
            <w:r w:rsidRPr="007007D1">
              <w:rPr>
                <w:rFonts w:ascii="Bookman Old Style" w:hAnsi="Bookman Old Style"/>
                <w:color w:val="000000"/>
                <w:sz w:val="20"/>
                <w:szCs w:val="20"/>
                <w:lang w:val="en-US"/>
              </w:rPr>
              <w:t>Ayat (2)</w:t>
            </w:r>
          </w:p>
          <w:p w14:paraId="6F4027F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sz w:val="20"/>
                <w:szCs w:val="20"/>
                <w:lang w:val="en-US"/>
              </w:rPr>
              <w:t xml:space="preserve">Cukup </w:t>
            </w:r>
            <w:r w:rsidRPr="00C84F36">
              <w:rPr>
                <w:rFonts w:ascii="Bookman Old Style" w:eastAsia="Bookman Old Style" w:hAnsi="Bookman Old Style" w:cs="Bookman Old Style"/>
                <w:color w:val="000000" w:themeColor="text1"/>
                <w:sz w:val="20"/>
                <w:szCs w:val="20"/>
              </w:rPr>
              <w:t>jelas</w:t>
            </w:r>
            <w:r w:rsidRPr="007007D1">
              <w:rPr>
                <w:rFonts w:ascii="Bookman Old Style" w:hAnsi="Bookman Old Style"/>
                <w:color w:val="000000"/>
                <w:sz w:val="20"/>
                <w:szCs w:val="20"/>
                <w:lang w:val="en-US"/>
              </w:rPr>
              <w:t>.</w:t>
            </w:r>
          </w:p>
        </w:tc>
        <w:tc>
          <w:tcPr>
            <w:tcW w:w="3686" w:type="dxa"/>
            <w:shd w:val="clear" w:color="auto" w:fill="auto"/>
          </w:tcPr>
          <w:p w14:paraId="0B4A698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0BF337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D69BE77" w14:textId="77777777" w:rsidTr="00C84F36">
        <w:tc>
          <w:tcPr>
            <w:tcW w:w="4794" w:type="dxa"/>
            <w:shd w:val="clear" w:color="auto" w:fill="auto"/>
            <w:vAlign w:val="center"/>
          </w:tcPr>
          <w:p w14:paraId="67AB46B8"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Publikasi dan pengungkapan Laporan NSFR posisi akhir triwulan laporan sebagaimana dimaksud pada ayat (1) wajib dilakukan melalui:</w:t>
            </w:r>
          </w:p>
        </w:tc>
        <w:tc>
          <w:tcPr>
            <w:tcW w:w="4840" w:type="dxa"/>
            <w:shd w:val="clear" w:color="auto" w:fill="auto"/>
          </w:tcPr>
          <w:p w14:paraId="30C4FB94"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Ayat (3)</w:t>
            </w:r>
          </w:p>
        </w:tc>
        <w:tc>
          <w:tcPr>
            <w:tcW w:w="3686" w:type="dxa"/>
            <w:shd w:val="clear" w:color="auto" w:fill="auto"/>
          </w:tcPr>
          <w:p w14:paraId="0FF43B7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79A819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FC92AF6" w14:textId="77777777" w:rsidTr="00C84F36">
        <w:tc>
          <w:tcPr>
            <w:tcW w:w="4794" w:type="dxa"/>
            <w:shd w:val="clear" w:color="auto" w:fill="auto"/>
          </w:tcPr>
          <w:p w14:paraId="0CBCC1D0" w14:textId="77777777" w:rsidR="00910A48" w:rsidRPr="007007D1" w:rsidRDefault="00910A48" w:rsidP="00A32F86">
            <w:pPr>
              <w:pStyle w:val="ListParagraph"/>
              <w:numPr>
                <w:ilvl w:val="1"/>
                <w:numId w:val="35"/>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situs web Bank untuk Laporan NSFR posisi akhir triwulan laporan; dan </w:t>
            </w:r>
          </w:p>
        </w:tc>
        <w:tc>
          <w:tcPr>
            <w:tcW w:w="4840" w:type="dxa"/>
            <w:shd w:val="clear" w:color="auto" w:fill="auto"/>
          </w:tcPr>
          <w:p w14:paraId="4063EF4D"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Huruf a</w:t>
            </w:r>
          </w:p>
          <w:p w14:paraId="54E0334A"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Pencantuman dalam situs web Bank dilakukan secara rinci dengan memuat perhitungan NSFR dalam bentuk perbandingan dengan perhitungan NSFR triwulanan periode sebelumnya. </w:t>
            </w:r>
          </w:p>
          <w:p w14:paraId="381C8150"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Yang dimaksud dengan ”situs web Bank” adalah situs web berdomain Indonesia yang bukan merupakan bagian dari situs </w:t>
            </w:r>
            <w:r w:rsidRPr="007007D1">
              <w:rPr>
                <w:rFonts w:ascii="Bookman Old Style" w:eastAsia="Bookman Old Style" w:hAnsi="Bookman Old Style" w:cs="Bookman Old Style"/>
                <w:color w:val="000000" w:themeColor="text1"/>
                <w:sz w:val="20"/>
                <w:szCs w:val="20"/>
              </w:rPr>
              <w:lastRenderedPageBreak/>
              <w:t xml:space="preserve">web entitas induk atau kelompok usaha Bank. </w:t>
            </w:r>
          </w:p>
          <w:p w14:paraId="3899B553"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Pengumuman laporan pada situs web Bank ditempatkan pada halaman yang mudah diakses, misalnya dengan memberikan tautan khusus untuk laporan publikasi NSFR pada halaman depan situs web Bank.</w:t>
            </w:r>
          </w:p>
        </w:tc>
        <w:tc>
          <w:tcPr>
            <w:tcW w:w="3686" w:type="dxa"/>
            <w:shd w:val="clear" w:color="auto" w:fill="auto"/>
          </w:tcPr>
          <w:p w14:paraId="7BCE142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BE7342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46FB471" w14:textId="77777777" w:rsidTr="00910A48">
        <w:tc>
          <w:tcPr>
            <w:tcW w:w="4794" w:type="dxa"/>
            <w:shd w:val="clear" w:color="auto" w:fill="auto"/>
            <w:vAlign w:val="center"/>
          </w:tcPr>
          <w:p w14:paraId="43821B4C" w14:textId="77777777" w:rsidR="00910A48" w:rsidRPr="007007D1" w:rsidRDefault="00910A48" w:rsidP="00A32F86">
            <w:pPr>
              <w:pStyle w:val="ListParagraph"/>
              <w:numPr>
                <w:ilvl w:val="1"/>
                <w:numId w:val="35"/>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paling sedikit 1 (satu) surat kabar harian cetak berbahasa Indonesia yang memiliki peredaran luas, situs web Bank, dan secara daring untuk nilai persentase NSFR posisi akhir triwulan laporan yang dicantumkan pada laporan publikasi triwulanan.</w:t>
            </w:r>
          </w:p>
        </w:tc>
        <w:tc>
          <w:tcPr>
            <w:tcW w:w="4840" w:type="dxa"/>
            <w:shd w:val="clear" w:color="auto" w:fill="auto"/>
          </w:tcPr>
          <w:p w14:paraId="715E1D1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Huruf b</w:t>
            </w:r>
          </w:p>
          <w:p w14:paraId="428E8CB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Publikasi dalam surat kabar harian cetak berbahasa Indonesia dilakukan dengan mencantumkan nilai NSFR dalam bentuk perbandingan dengan nilai NSFR triwulanan periode tahun sebelumnya.</w:t>
            </w:r>
          </w:p>
          <w:p w14:paraId="71BA0DE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Surat kabar harian cetak berbahasa Indonesia yang memiliki peredaran luas di tempat kedudukan kantor pusat Bank atau di tempat kedudukan kantor cabang dari bank yang berkedudukan di luar negeri.</w:t>
            </w:r>
          </w:p>
        </w:tc>
        <w:tc>
          <w:tcPr>
            <w:tcW w:w="3686" w:type="dxa"/>
            <w:shd w:val="clear" w:color="auto" w:fill="auto"/>
          </w:tcPr>
          <w:p w14:paraId="09B3DED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47981A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2B7C125" w14:textId="77777777" w:rsidTr="00910A48">
        <w:tc>
          <w:tcPr>
            <w:tcW w:w="4794" w:type="dxa"/>
            <w:shd w:val="clear" w:color="auto" w:fill="auto"/>
            <w:vAlign w:val="center"/>
          </w:tcPr>
          <w:p w14:paraId="5C6A258C"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publikasi Laporan NSFR posisi akhir triwulan sebagaimana dimaksud pada ayat (3) huruf a dilakukan paling lambat:</w:t>
            </w:r>
          </w:p>
        </w:tc>
        <w:tc>
          <w:tcPr>
            <w:tcW w:w="4840" w:type="dxa"/>
            <w:shd w:val="clear" w:color="auto" w:fill="auto"/>
          </w:tcPr>
          <w:p w14:paraId="6F2F452C"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037D969C"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0407884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0031E8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80796FA" w14:textId="77777777" w:rsidTr="00910A48">
        <w:tc>
          <w:tcPr>
            <w:tcW w:w="4794" w:type="dxa"/>
            <w:shd w:val="clear" w:color="auto" w:fill="auto"/>
            <w:vAlign w:val="center"/>
          </w:tcPr>
          <w:p w14:paraId="5E796B93" w14:textId="77777777" w:rsidR="00910A48" w:rsidRPr="007007D1" w:rsidRDefault="00910A48" w:rsidP="00A32F86">
            <w:pPr>
              <w:pStyle w:val="ListParagraph"/>
              <w:numPr>
                <w:ilvl w:val="1"/>
                <w:numId w:val="35"/>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tanggal 15 bulan kedua setelah berakhirnya bulan laporan untuk laporan posisi akhir bulan Maret, bulan Juni, dan bulan September; dan </w:t>
            </w:r>
          </w:p>
        </w:tc>
        <w:tc>
          <w:tcPr>
            <w:tcW w:w="4840" w:type="dxa"/>
            <w:shd w:val="clear" w:color="auto" w:fill="auto"/>
          </w:tcPr>
          <w:p w14:paraId="7320DD03"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ECBC18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9CC91F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9A2AD33" w14:textId="77777777" w:rsidTr="00910A48">
        <w:tc>
          <w:tcPr>
            <w:tcW w:w="4794" w:type="dxa"/>
            <w:shd w:val="clear" w:color="auto" w:fill="auto"/>
            <w:vAlign w:val="center"/>
          </w:tcPr>
          <w:p w14:paraId="1637D927" w14:textId="77777777" w:rsidR="00910A48" w:rsidRPr="007007D1" w:rsidRDefault="00910A48" w:rsidP="00A32F86">
            <w:pPr>
              <w:pStyle w:val="ListParagraph"/>
              <w:numPr>
                <w:ilvl w:val="1"/>
                <w:numId w:val="35"/>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akhir bulan Maret tahun berikutnya setelah berakhirnya bulan laporan, untuk laporan akhir bulan Desember.</w:t>
            </w:r>
          </w:p>
        </w:tc>
        <w:tc>
          <w:tcPr>
            <w:tcW w:w="4840" w:type="dxa"/>
            <w:shd w:val="clear" w:color="auto" w:fill="auto"/>
          </w:tcPr>
          <w:p w14:paraId="779268F5"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6D17D4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DBF295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12DD2F0" w14:textId="77777777" w:rsidTr="00910A48">
        <w:tc>
          <w:tcPr>
            <w:tcW w:w="4794" w:type="dxa"/>
            <w:shd w:val="clear" w:color="auto" w:fill="auto"/>
            <w:vAlign w:val="center"/>
          </w:tcPr>
          <w:p w14:paraId="50DB6441"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Tata cara, format, dan jangka waktu penyampaian laporan publikasi triwulanan untuk nilai persentase NSFR triwulanan sebagaimana dimaksud pada ayat (3) huruf b dilakukan sesuai tata cara, format, dan jangka waktu publikasi sebagaimana diatur dalam Peraturan Otoritas Jasa </w:t>
            </w:r>
            <w:r w:rsidRPr="007007D1">
              <w:rPr>
                <w:rFonts w:ascii="Bookman Old Style" w:hAnsi="Bookman Old Style"/>
                <w:color w:val="000000"/>
                <w:sz w:val="20"/>
                <w:szCs w:val="20"/>
                <w:lang w:val="sv-SE"/>
              </w:rPr>
              <w:lastRenderedPageBreak/>
              <w:t>Keuangan mengenai transparansi dan publikasi laporan Bank.</w:t>
            </w:r>
          </w:p>
        </w:tc>
        <w:tc>
          <w:tcPr>
            <w:tcW w:w="4840" w:type="dxa"/>
            <w:shd w:val="clear" w:color="auto" w:fill="auto"/>
          </w:tcPr>
          <w:p w14:paraId="0BA1EC9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Ayat (5)</w:t>
            </w:r>
          </w:p>
          <w:p w14:paraId="5DFDB0DF"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6877434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25E27E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973F03F" w14:textId="77777777" w:rsidTr="00910A48">
        <w:tc>
          <w:tcPr>
            <w:tcW w:w="4794" w:type="dxa"/>
            <w:shd w:val="clear" w:color="auto" w:fill="auto"/>
            <w:vAlign w:val="center"/>
          </w:tcPr>
          <w:p w14:paraId="46020AFE"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dinyatakan tidak mempublikasikan nilai NSFR posisi akhir triwulan sebagaimana dimaksud pada ayat (1) dalam hal laporan publikasi triwulanan yang diumumkan tidak mencantumkan informasi mengenai nilai persentase NSFR posisi akhir triwulan laporan.</w:t>
            </w:r>
          </w:p>
        </w:tc>
        <w:tc>
          <w:tcPr>
            <w:tcW w:w="4840" w:type="dxa"/>
            <w:shd w:val="clear" w:color="auto" w:fill="auto"/>
          </w:tcPr>
          <w:p w14:paraId="576C88E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(6)</w:t>
            </w:r>
          </w:p>
          <w:p w14:paraId="79CC6BC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324F2F5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2D8279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DDFB051" w14:textId="77777777" w:rsidTr="00910A48">
        <w:tc>
          <w:tcPr>
            <w:tcW w:w="4794" w:type="dxa"/>
            <w:shd w:val="clear" w:color="auto" w:fill="auto"/>
            <w:vAlign w:val="center"/>
          </w:tcPr>
          <w:p w14:paraId="4FD48EA8" w14:textId="77777777" w:rsidR="00910A48" w:rsidRPr="007007D1" w:rsidRDefault="00910A48" w:rsidP="00A32F86">
            <w:pPr>
              <w:pStyle w:val="ListParagraph"/>
              <w:numPr>
                <w:ilvl w:val="0"/>
                <w:numId w:val="35"/>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memelihara pengumuman Laporan NSFR posisi akhir triwulan laporan pada situs web Bank sebagaimana dimaksud pada ayat (3) huruf a paling sedikit untuk 5 (lima) tahun buku terakhir.</w:t>
            </w:r>
          </w:p>
        </w:tc>
        <w:tc>
          <w:tcPr>
            <w:tcW w:w="4840" w:type="dxa"/>
            <w:shd w:val="clear" w:color="auto" w:fill="auto"/>
          </w:tcPr>
          <w:p w14:paraId="2871A0D8"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(7)</w:t>
            </w:r>
          </w:p>
          <w:p w14:paraId="2A3441D5"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Contoh: Laporan NSFR posisi akhir bulan Juni 2026 dipelihara pada situs web Bank sampai dengan bulan Juni 2031.</w:t>
            </w:r>
          </w:p>
        </w:tc>
        <w:tc>
          <w:tcPr>
            <w:tcW w:w="3686" w:type="dxa"/>
            <w:shd w:val="clear" w:color="auto" w:fill="auto"/>
          </w:tcPr>
          <w:p w14:paraId="31CE472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18D1EB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79F7EB1" w14:textId="77777777" w:rsidTr="00C84F36">
        <w:tc>
          <w:tcPr>
            <w:tcW w:w="4794" w:type="dxa"/>
            <w:shd w:val="clear" w:color="auto" w:fill="DBDBDB" w:themeFill="accent3" w:themeFillTint="66"/>
            <w:vAlign w:val="center"/>
          </w:tcPr>
          <w:p w14:paraId="797BCD7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Bagian Ketiga</w:t>
            </w:r>
          </w:p>
        </w:tc>
        <w:tc>
          <w:tcPr>
            <w:tcW w:w="4840" w:type="dxa"/>
            <w:shd w:val="clear" w:color="auto" w:fill="DBDBDB" w:themeFill="accent3" w:themeFillTint="66"/>
          </w:tcPr>
          <w:p w14:paraId="1D875236"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6B69A9C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4FA2E7B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0E952EDC" w14:textId="77777777" w:rsidTr="00C84F36">
        <w:tc>
          <w:tcPr>
            <w:tcW w:w="4794" w:type="dxa"/>
            <w:shd w:val="clear" w:color="auto" w:fill="DBDBDB" w:themeFill="accent3" w:themeFillTint="66"/>
            <w:vAlign w:val="center"/>
          </w:tcPr>
          <w:p w14:paraId="7CCC1CC5"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Tahapan Pemenuhan NSFR dan Rencana Tindak</w:t>
            </w:r>
          </w:p>
        </w:tc>
        <w:tc>
          <w:tcPr>
            <w:tcW w:w="4840" w:type="dxa"/>
            <w:shd w:val="clear" w:color="auto" w:fill="DBDBDB" w:themeFill="accent3" w:themeFillTint="66"/>
          </w:tcPr>
          <w:p w14:paraId="3D78B4EB"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DBDBDB" w:themeFill="accent3" w:themeFillTint="66"/>
          </w:tcPr>
          <w:p w14:paraId="5AC15EE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4761D0D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FBB29C0" w14:textId="77777777" w:rsidTr="00C84F36">
        <w:tc>
          <w:tcPr>
            <w:tcW w:w="4794" w:type="dxa"/>
            <w:shd w:val="clear" w:color="auto" w:fill="DBDBDB" w:themeFill="accent3" w:themeFillTint="66"/>
            <w:vAlign w:val="center"/>
          </w:tcPr>
          <w:p w14:paraId="0C33593C"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25</w:t>
            </w:r>
          </w:p>
        </w:tc>
        <w:tc>
          <w:tcPr>
            <w:tcW w:w="4840" w:type="dxa"/>
            <w:shd w:val="clear" w:color="auto" w:fill="DBDBDB" w:themeFill="accent3" w:themeFillTint="66"/>
          </w:tcPr>
          <w:p w14:paraId="28F305D3"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25</w:t>
            </w:r>
          </w:p>
        </w:tc>
        <w:tc>
          <w:tcPr>
            <w:tcW w:w="3686" w:type="dxa"/>
            <w:shd w:val="clear" w:color="auto" w:fill="DBDBDB" w:themeFill="accent3" w:themeFillTint="66"/>
          </w:tcPr>
          <w:p w14:paraId="0E333DE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5ED9AC7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25563A9" w14:textId="77777777" w:rsidTr="00910A48">
        <w:tc>
          <w:tcPr>
            <w:tcW w:w="4794" w:type="dxa"/>
            <w:shd w:val="clear" w:color="auto" w:fill="auto"/>
            <w:vAlign w:val="center"/>
          </w:tcPr>
          <w:p w14:paraId="2A3D8BA2" w14:textId="77777777" w:rsidR="00C84F36" w:rsidRPr="007007D1" w:rsidRDefault="00C84F36" w:rsidP="00A32F86">
            <w:pPr>
              <w:pStyle w:val="ListParagraph"/>
              <w:numPr>
                <w:ilvl w:val="0"/>
                <w:numId w:val="36"/>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Kewajiban pemenuhan NSFR dilakukan secara bertahap.</w:t>
            </w:r>
          </w:p>
        </w:tc>
        <w:tc>
          <w:tcPr>
            <w:tcW w:w="4840" w:type="dxa"/>
            <w:vMerge w:val="restart"/>
            <w:shd w:val="clear" w:color="auto" w:fill="auto"/>
          </w:tcPr>
          <w:p w14:paraId="16229A60"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889042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B713D9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253CF18" w14:textId="77777777" w:rsidTr="00910A48">
        <w:tc>
          <w:tcPr>
            <w:tcW w:w="4794" w:type="dxa"/>
            <w:shd w:val="clear" w:color="auto" w:fill="auto"/>
            <w:vAlign w:val="center"/>
          </w:tcPr>
          <w:p w14:paraId="30DD2A01" w14:textId="77777777" w:rsidR="00C84F36" w:rsidRPr="007007D1" w:rsidRDefault="00C84F36" w:rsidP="00A32F86">
            <w:pPr>
              <w:pStyle w:val="ListParagraph"/>
              <w:numPr>
                <w:ilvl w:val="0"/>
                <w:numId w:val="36"/>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Tahapan pemenuhan NSFR sebagaimana dimaksud pada ayat (1) ditetapkan paling sedikit:</w:t>
            </w:r>
          </w:p>
        </w:tc>
        <w:tc>
          <w:tcPr>
            <w:tcW w:w="4840" w:type="dxa"/>
            <w:vMerge/>
            <w:shd w:val="clear" w:color="auto" w:fill="auto"/>
          </w:tcPr>
          <w:p w14:paraId="2FA13983"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728259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A35F06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84D2695" w14:textId="77777777" w:rsidTr="00910A48">
        <w:tc>
          <w:tcPr>
            <w:tcW w:w="4794" w:type="dxa"/>
            <w:shd w:val="clear" w:color="auto" w:fill="auto"/>
            <w:vAlign w:val="center"/>
          </w:tcPr>
          <w:p w14:paraId="243CB059" w14:textId="77777777" w:rsidR="00C84F36" w:rsidRPr="007007D1" w:rsidRDefault="00C84F36" w:rsidP="00A32F86">
            <w:pPr>
              <w:pStyle w:val="ListParagraph"/>
              <w:numPr>
                <w:ilvl w:val="1"/>
                <w:numId w:val="36"/>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80% (delapan puluh persen) pada posisi 30 Juni 2026;</w:t>
            </w:r>
          </w:p>
        </w:tc>
        <w:tc>
          <w:tcPr>
            <w:tcW w:w="4840" w:type="dxa"/>
            <w:vMerge/>
            <w:shd w:val="clear" w:color="auto" w:fill="auto"/>
          </w:tcPr>
          <w:p w14:paraId="47461DF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7F9AD6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07E4C9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72367A0" w14:textId="77777777" w:rsidTr="00910A48">
        <w:tc>
          <w:tcPr>
            <w:tcW w:w="4794" w:type="dxa"/>
            <w:shd w:val="clear" w:color="auto" w:fill="auto"/>
            <w:vAlign w:val="center"/>
          </w:tcPr>
          <w:p w14:paraId="02CDE0FF" w14:textId="77777777" w:rsidR="00C84F36" w:rsidRPr="007007D1" w:rsidRDefault="00C84F36" w:rsidP="00A32F86">
            <w:pPr>
              <w:pStyle w:val="ListParagraph"/>
              <w:numPr>
                <w:ilvl w:val="1"/>
                <w:numId w:val="36"/>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90% (sembilan puluh persen) pada posisi 30 Juni 2027; dan</w:t>
            </w:r>
          </w:p>
        </w:tc>
        <w:tc>
          <w:tcPr>
            <w:tcW w:w="4840" w:type="dxa"/>
            <w:vMerge/>
            <w:shd w:val="clear" w:color="auto" w:fill="auto"/>
          </w:tcPr>
          <w:p w14:paraId="2F3D5953"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F9891F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B24357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A022FC8" w14:textId="77777777" w:rsidTr="00910A48">
        <w:tc>
          <w:tcPr>
            <w:tcW w:w="4794" w:type="dxa"/>
            <w:shd w:val="clear" w:color="auto" w:fill="auto"/>
            <w:vAlign w:val="center"/>
          </w:tcPr>
          <w:p w14:paraId="644B3FDC" w14:textId="77777777" w:rsidR="00C84F36" w:rsidRPr="007007D1" w:rsidRDefault="00C84F36" w:rsidP="00A32F86">
            <w:pPr>
              <w:pStyle w:val="ListParagraph"/>
              <w:numPr>
                <w:ilvl w:val="1"/>
                <w:numId w:val="36"/>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100% (seratus persen) pada posisi 30 Juni 2028;</w:t>
            </w:r>
          </w:p>
        </w:tc>
        <w:tc>
          <w:tcPr>
            <w:tcW w:w="4840" w:type="dxa"/>
            <w:vMerge/>
            <w:shd w:val="clear" w:color="auto" w:fill="auto"/>
          </w:tcPr>
          <w:p w14:paraId="35DDD9DA"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AFB4E7F"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5FF30D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6F6950FC" w14:textId="77777777" w:rsidTr="00910A48">
        <w:tc>
          <w:tcPr>
            <w:tcW w:w="4794" w:type="dxa"/>
            <w:shd w:val="clear" w:color="auto" w:fill="auto"/>
            <w:vAlign w:val="center"/>
          </w:tcPr>
          <w:p w14:paraId="60EFC68C" w14:textId="77777777" w:rsidR="00C84F36" w:rsidRPr="007007D1" w:rsidRDefault="00C84F36" w:rsidP="00A32F86">
            <w:pPr>
              <w:pStyle w:val="ListParagraph"/>
              <w:numPr>
                <w:ilvl w:val="0"/>
                <w:numId w:val="36"/>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memenuhi NSFR sebagaimana tahapan dimaksud pada ayat (2) dan ayat (3).</w:t>
            </w:r>
          </w:p>
        </w:tc>
        <w:tc>
          <w:tcPr>
            <w:tcW w:w="4840" w:type="dxa"/>
            <w:vMerge/>
            <w:shd w:val="clear" w:color="auto" w:fill="auto"/>
          </w:tcPr>
          <w:p w14:paraId="69A0E038"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5BC6ABB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FB78B5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D34AA06" w14:textId="77777777" w:rsidTr="00C84F36">
        <w:tc>
          <w:tcPr>
            <w:tcW w:w="4794" w:type="dxa"/>
            <w:shd w:val="clear" w:color="auto" w:fill="DBDBDB" w:themeFill="accent3" w:themeFillTint="66"/>
            <w:vAlign w:val="center"/>
          </w:tcPr>
          <w:p w14:paraId="3654BF5F"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26</w:t>
            </w:r>
          </w:p>
        </w:tc>
        <w:tc>
          <w:tcPr>
            <w:tcW w:w="4840" w:type="dxa"/>
            <w:shd w:val="clear" w:color="auto" w:fill="DBDBDB" w:themeFill="accent3" w:themeFillTint="66"/>
          </w:tcPr>
          <w:p w14:paraId="6C3E61AC"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Pasal 26</w:t>
            </w:r>
          </w:p>
        </w:tc>
        <w:tc>
          <w:tcPr>
            <w:tcW w:w="3686" w:type="dxa"/>
            <w:shd w:val="clear" w:color="auto" w:fill="DBDBDB" w:themeFill="accent3" w:themeFillTint="66"/>
          </w:tcPr>
          <w:p w14:paraId="3035EC3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1FB4913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5917D4B" w14:textId="77777777" w:rsidTr="00C84F36">
        <w:tc>
          <w:tcPr>
            <w:tcW w:w="4794" w:type="dxa"/>
            <w:shd w:val="clear" w:color="auto" w:fill="auto"/>
          </w:tcPr>
          <w:p w14:paraId="186B925B"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Dalam hal Bank tidak mampu memenuhi NSFR sesuai tahapan sebagaimana dimaksud dalam Pasal 23 ayat (2), berdasarkan hasil pemantauan dalam Pasal 21 ayat (1), Bank wajib menyusun </w:t>
            </w:r>
            <w:r w:rsidRPr="007007D1">
              <w:rPr>
                <w:rFonts w:ascii="Bookman Old Style" w:hAnsi="Bookman Old Style"/>
                <w:color w:val="000000"/>
                <w:sz w:val="20"/>
                <w:szCs w:val="20"/>
                <w:lang w:val="sv-SE"/>
              </w:rPr>
              <w:lastRenderedPageBreak/>
              <w:t>Rencana Tindak Pemenuhan NSFR baik secara individu maupun konsolidasi dan menyampaikan kepada Otoritas Jasa Keuangan.</w:t>
            </w:r>
          </w:p>
        </w:tc>
        <w:tc>
          <w:tcPr>
            <w:tcW w:w="4840" w:type="dxa"/>
            <w:shd w:val="clear" w:color="auto" w:fill="auto"/>
          </w:tcPr>
          <w:p w14:paraId="71DA6F5E"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lastRenderedPageBreak/>
              <w:t>Ayat (1)</w:t>
            </w:r>
          </w:p>
          <w:p w14:paraId="63EF5FD5"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Rencana Tindak Pemenuhan NSFR memuat langkah perbaikan yang akan dilaksanakan oleh Bank untuk </w:t>
            </w:r>
            <w:r w:rsidRPr="007007D1">
              <w:rPr>
                <w:rFonts w:ascii="Bookman Old Style" w:eastAsia="Bookman Old Style" w:hAnsi="Bookman Old Style" w:cs="Bookman Old Style"/>
                <w:color w:val="000000" w:themeColor="text1"/>
                <w:sz w:val="20"/>
                <w:szCs w:val="20"/>
              </w:rPr>
              <w:lastRenderedPageBreak/>
              <w:t>memperbaiki kondisi likuiditas Bank dan target waktu penyelesaian, antara lain:</w:t>
            </w:r>
          </w:p>
          <w:p w14:paraId="713C63CA" w14:textId="77777777" w:rsidR="00910A48" w:rsidRPr="007007D1" w:rsidRDefault="00910A48" w:rsidP="00A32F86">
            <w:pPr>
              <w:pStyle w:val="ListParagraph"/>
              <w:numPr>
                <w:ilvl w:val="0"/>
                <w:numId w:val="48"/>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penambahan jumlah dana stabil yang tersedia;</w:t>
            </w:r>
          </w:p>
          <w:p w14:paraId="34CD2E6D" w14:textId="77777777" w:rsidR="00910A48" w:rsidRPr="007007D1" w:rsidRDefault="00910A48" w:rsidP="00A32F86">
            <w:pPr>
              <w:pStyle w:val="ListParagraph"/>
              <w:numPr>
                <w:ilvl w:val="0"/>
                <w:numId w:val="48"/>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pembatasan eksposur Bank terhadap risiko likuiditas melalui pembatasan ekspansi pembiayaan jangka panjang; dan/atau </w:t>
            </w:r>
          </w:p>
          <w:p w14:paraId="3E7AD0C2" w14:textId="77777777" w:rsidR="00910A48" w:rsidRPr="007007D1" w:rsidRDefault="00910A48" w:rsidP="00A32F86">
            <w:pPr>
              <w:pStyle w:val="ListParagraph"/>
              <w:numPr>
                <w:ilvl w:val="0"/>
                <w:numId w:val="48"/>
              </w:numPr>
              <w:tabs>
                <w:tab w:val="left" w:pos="1980"/>
                <w:tab w:val="left" w:pos="2520"/>
                <w:tab w:val="left" w:pos="2552"/>
              </w:tabs>
              <w:spacing w:after="0" w:line="240" w:lineRule="auto"/>
              <w:ind w:left="904"/>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penguatan kebijakan, proses, dan prosedur Bank terkait manajemen risiko likuiditas.</w:t>
            </w:r>
          </w:p>
          <w:p w14:paraId="08A76F0F"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Rencana Tindak Pemenuhan NSFR yang disampaikan oleh Bank merupakan komitmen Bank kepada Otoritas Jasa Keuangan.</w:t>
            </w:r>
          </w:p>
        </w:tc>
        <w:tc>
          <w:tcPr>
            <w:tcW w:w="3686" w:type="dxa"/>
            <w:shd w:val="clear" w:color="auto" w:fill="auto"/>
          </w:tcPr>
          <w:p w14:paraId="1A5C37F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EDCBED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BF8C03B" w14:textId="77777777" w:rsidTr="00C84F36">
        <w:tc>
          <w:tcPr>
            <w:tcW w:w="4794" w:type="dxa"/>
            <w:shd w:val="clear" w:color="auto" w:fill="auto"/>
          </w:tcPr>
          <w:p w14:paraId="49807B84"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olor w:val="000000" w:themeColor="text1"/>
                <w:sz w:val="20"/>
                <w:szCs w:val="20"/>
              </w:rPr>
            </w:pPr>
            <w:r w:rsidRPr="007007D1">
              <w:rPr>
                <w:rFonts w:ascii="Bookman Old Style" w:hAnsi="Bookman Old Style"/>
                <w:color w:val="000000"/>
                <w:sz w:val="20"/>
                <w:szCs w:val="20"/>
                <w:lang w:val="sv-SE"/>
              </w:rPr>
              <w:t>Ketentuan mengenai format Rencana Tindak Pemenuhan NSFR sebagaimana dimaksud pada ayat (1) mengacu pada Lampiran VII yang merupakan bagian tidak terpisahkan dari Peraturan Otoritas Jasa Keuangan ini.</w:t>
            </w:r>
          </w:p>
        </w:tc>
        <w:tc>
          <w:tcPr>
            <w:tcW w:w="4840" w:type="dxa"/>
            <w:shd w:val="clear" w:color="auto" w:fill="auto"/>
          </w:tcPr>
          <w:p w14:paraId="610F458D"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21EC20D2"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7AB3CFA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F32692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8744682" w14:textId="77777777" w:rsidTr="00910A48">
        <w:tc>
          <w:tcPr>
            <w:tcW w:w="4794" w:type="dxa"/>
            <w:shd w:val="clear" w:color="auto" w:fill="auto"/>
            <w:vAlign w:val="center"/>
          </w:tcPr>
          <w:p w14:paraId="00F360B8"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Otoritas Jasa Keuangan berwenang meminta Bank untuk melakukan penyesuaian terhadap Rencana Tindak Pemenuhan NSFR sebagaimana dimaksud pada ayat (1).</w:t>
            </w:r>
          </w:p>
        </w:tc>
        <w:tc>
          <w:tcPr>
            <w:tcW w:w="4840" w:type="dxa"/>
            <w:shd w:val="clear" w:color="auto" w:fill="auto"/>
          </w:tcPr>
          <w:p w14:paraId="13D218B0"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(3)</w:t>
            </w:r>
          </w:p>
          <w:p w14:paraId="7E09C0FF"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573DF0A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E46428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57B6484" w14:textId="77777777" w:rsidTr="00910A48">
        <w:tc>
          <w:tcPr>
            <w:tcW w:w="4794" w:type="dxa"/>
            <w:shd w:val="clear" w:color="auto" w:fill="auto"/>
            <w:vAlign w:val="center"/>
          </w:tcPr>
          <w:p w14:paraId="4FC1CC0E"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Rencana Tindak Pemenuhan NSFR baik secara individu maupun konsolidasi sebagaimana dimaksud pada ayat 1 paling lambat akhir bulan berikutnya sejak Bank menghadapi kondisi sebagaimana dimaksud pada ayat (1).</w:t>
            </w:r>
          </w:p>
        </w:tc>
        <w:tc>
          <w:tcPr>
            <w:tcW w:w="4840" w:type="dxa"/>
            <w:shd w:val="clear" w:color="auto" w:fill="auto"/>
          </w:tcPr>
          <w:p w14:paraId="58BE255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(4)</w:t>
            </w:r>
          </w:p>
          <w:p w14:paraId="11AAE51B"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Dalam hal Bank tidak mampu memenuhi NSFR sampai dengan 80% (seratus persen) pada bulan Juli 2026, Bank wajib menyampaikan Rencana Tindak Pemenuhan NSFR baik secara individu dan konsolidasi paling lambat tanggal 31 Agustus 2026.</w:t>
            </w:r>
          </w:p>
        </w:tc>
        <w:tc>
          <w:tcPr>
            <w:tcW w:w="3686" w:type="dxa"/>
            <w:shd w:val="clear" w:color="auto" w:fill="auto"/>
          </w:tcPr>
          <w:p w14:paraId="6423EB4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1055AD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B7355F5" w14:textId="77777777" w:rsidTr="00910A48">
        <w:tc>
          <w:tcPr>
            <w:tcW w:w="4794" w:type="dxa"/>
            <w:shd w:val="clear" w:color="auto" w:fill="auto"/>
            <w:vAlign w:val="center"/>
          </w:tcPr>
          <w:p w14:paraId="79CBF770"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Rencana Tindak Pemenuhan NSFR sebagaimana dimaksud pada ayat (1) secara daring melalui sistem pelaporan Otoritas Jasa Keuangan.</w:t>
            </w:r>
          </w:p>
        </w:tc>
        <w:tc>
          <w:tcPr>
            <w:tcW w:w="4840" w:type="dxa"/>
            <w:shd w:val="clear" w:color="auto" w:fill="auto"/>
          </w:tcPr>
          <w:p w14:paraId="20E07B93"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(5)</w:t>
            </w:r>
          </w:p>
          <w:p w14:paraId="5EF181DB"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720F8506"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86F288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D1BF7D3" w14:textId="77777777" w:rsidTr="00910A48">
        <w:tc>
          <w:tcPr>
            <w:tcW w:w="4794" w:type="dxa"/>
            <w:shd w:val="clear" w:color="auto" w:fill="auto"/>
            <w:vAlign w:val="center"/>
          </w:tcPr>
          <w:p w14:paraId="52B55C56"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Dalam hal sistem pelaporan Otoritas Jasa Keuangan sebagaimana dimaksud pada ayat (5) belum tersedia atau terdapat keadaan kahar, Bank wajib menyampaikan Rencana Tindak Pemenuhan NSFR melalui sistem persuratan Otoritas Jasa Keuangan.</w:t>
            </w:r>
          </w:p>
        </w:tc>
        <w:tc>
          <w:tcPr>
            <w:tcW w:w="4840" w:type="dxa"/>
            <w:shd w:val="clear" w:color="auto" w:fill="auto"/>
          </w:tcPr>
          <w:p w14:paraId="12A44243"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(6)</w:t>
            </w:r>
          </w:p>
          <w:p w14:paraId="428EB0D9"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77234A9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FF2B52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1697F8E" w14:textId="77777777" w:rsidTr="00910A48">
        <w:tc>
          <w:tcPr>
            <w:tcW w:w="4794" w:type="dxa"/>
            <w:shd w:val="clear" w:color="auto" w:fill="auto"/>
            <w:vAlign w:val="center"/>
          </w:tcPr>
          <w:p w14:paraId="74FF3A02"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persuratan Otoritas Jasa Keuangan sebagaimana dimaksud pada ayat (4) terdapat keadaan kahar , penyampaian dilakukan secara luring.</w:t>
            </w:r>
          </w:p>
        </w:tc>
        <w:tc>
          <w:tcPr>
            <w:tcW w:w="4840" w:type="dxa"/>
            <w:shd w:val="clear" w:color="auto" w:fill="auto"/>
          </w:tcPr>
          <w:p w14:paraId="7E614F31"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(7)</w:t>
            </w:r>
          </w:p>
          <w:p w14:paraId="7627FD5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772FCEA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017858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F965DAC" w14:textId="77777777" w:rsidTr="00910A48">
        <w:tc>
          <w:tcPr>
            <w:tcW w:w="4794" w:type="dxa"/>
            <w:shd w:val="clear" w:color="auto" w:fill="auto"/>
            <w:vAlign w:val="center"/>
          </w:tcPr>
          <w:p w14:paraId="674F2E52" w14:textId="77777777" w:rsidR="00910A48" w:rsidRPr="007007D1" w:rsidRDefault="00910A48" w:rsidP="00A32F86">
            <w:pPr>
              <w:pStyle w:val="ListParagraph"/>
              <w:numPr>
                <w:ilvl w:val="0"/>
                <w:numId w:val="37"/>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Penyampaian secara luring sebagaimana dimaksud pada ayat (7) disampaikan kepada:</w:t>
            </w:r>
          </w:p>
        </w:tc>
        <w:tc>
          <w:tcPr>
            <w:tcW w:w="4840" w:type="dxa"/>
            <w:shd w:val="clear" w:color="auto" w:fill="auto"/>
          </w:tcPr>
          <w:p w14:paraId="63B0EF0E"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(8)</w:t>
            </w:r>
          </w:p>
          <w:p w14:paraId="15CFE22D"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6324960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0D9BDDB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7EF5FFF" w14:textId="77777777" w:rsidTr="00910A48">
        <w:tc>
          <w:tcPr>
            <w:tcW w:w="4794" w:type="dxa"/>
            <w:shd w:val="clear" w:color="auto" w:fill="auto"/>
            <w:vAlign w:val="center"/>
          </w:tcPr>
          <w:p w14:paraId="36946A4C" w14:textId="77777777" w:rsidR="00910A48" w:rsidRPr="007007D1" w:rsidRDefault="00910A48" w:rsidP="00A32F86">
            <w:pPr>
              <w:pStyle w:val="ListParagraph"/>
              <w:numPr>
                <w:ilvl w:val="1"/>
                <w:numId w:val="37"/>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Departemen Pengawasan Bank terkait bagi Bank yang berkantor pusat atau kantor cabang dari bank yang berkedudukan di luar negeri yang berada di wilayah Provinsi Daerah Khusus Ibukota Jakarta; atau </w:t>
            </w:r>
          </w:p>
        </w:tc>
        <w:tc>
          <w:tcPr>
            <w:tcW w:w="4840" w:type="dxa"/>
            <w:shd w:val="clear" w:color="auto" w:fill="auto"/>
          </w:tcPr>
          <w:p w14:paraId="76BEC524"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F9DE6A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7A5350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B42ECD8" w14:textId="77777777" w:rsidTr="00910A48">
        <w:tc>
          <w:tcPr>
            <w:tcW w:w="4794" w:type="dxa"/>
            <w:shd w:val="clear" w:color="auto" w:fill="auto"/>
            <w:vAlign w:val="center"/>
          </w:tcPr>
          <w:p w14:paraId="1542A46A" w14:textId="77777777" w:rsidR="00910A48" w:rsidRPr="007007D1" w:rsidRDefault="00910A48" w:rsidP="00A32F86">
            <w:pPr>
              <w:pStyle w:val="ListParagraph"/>
              <w:numPr>
                <w:ilvl w:val="1"/>
                <w:numId w:val="37"/>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Kantor Otoritas Jasa Keuangan setempat, bagi Bank yang berkantor pusat di luar wilayah Provinsi Daerah Khusus Ibukota Jakarta.</w:t>
            </w:r>
          </w:p>
        </w:tc>
        <w:tc>
          <w:tcPr>
            <w:tcW w:w="4840" w:type="dxa"/>
            <w:shd w:val="clear" w:color="auto" w:fill="auto"/>
          </w:tcPr>
          <w:p w14:paraId="38AA23C4"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22AE4F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29E3AC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266A7DE" w14:textId="77777777" w:rsidTr="00C84F36">
        <w:tc>
          <w:tcPr>
            <w:tcW w:w="4794" w:type="dxa"/>
            <w:shd w:val="clear" w:color="auto" w:fill="DBDBDB" w:themeFill="accent3" w:themeFillTint="66"/>
            <w:vAlign w:val="center"/>
          </w:tcPr>
          <w:p w14:paraId="1184E5A0"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27</w:t>
            </w:r>
          </w:p>
        </w:tc>
        <w:tc>
          <w:tcPr>
            <w:tcW w:w="4840" w:type="dxa"/>
            <w:shd w:val="clear" w:color="auto" w:fill="DBDBDB" w:themeFill="accent3" w:themeFillTint="66"/>
          </w:tcPr>
          <w:p w14:paraId="3269E5B8"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Pasal 27</w:t>
            </w:r>
          </w:p>
        </w:tc>
        <w:tc>
          <w:tcPr>
            <w:tcW w:w="3686" w:type="dxa"/>
            <w:shd w:val="clear" w:color="auto" w:fill="DBDBDB" w:themeFill="accent3" w:themeFillTint="66"/>
          </w:tcPr>
          <w:p w14:paraId="239E9F5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1753516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1EC05C6" w14:textId="77777777" w:rsidTr="00910A48">
        <w:tc>
          <w:tcPr>
            <w:tcW w:w="4794" w:type="dxa"/>
            <w:shd w:val="clear" w:color="auto" w:fill="auto"/>
            <w:vAlign w:val="center"/>
          </w:tcPr>
          <w:p w14:paraId="6742EC7A" w14:textId="77777777" w:rsidR="00910A48" w:rsidRPr="007007D1" w:rsidRDefault="00910A48" w:rsidP="00A32F86">
            <w:pPr>
              <w:pStyle w:val="ListParagraph"/>
              <w:numPr>
                <w:ilvl w:val="0"/>
                <w:numId w:val="3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laporan pelaksanaan Rencana Tindak Pemenuhan NSFR sebagaimana dimaksud dalam Pasal 23 ayat (3) huruf b kepada Otoritas Jasa Keuangan paling lama 10 (sepuluh) hari kerja setelah target waktu penyelesaian Rencana Tindak Pemenuhan NSFR.</w:t>
            </w:r>
          </w:p>
        </w:tc>
        <w:tc>
          <w:tcPr>
            <w:tcW w:w="4840" w:type="dxa"/>
            <w:shd w:val="clear" w:color="auto" w:fill="auto"/>
          </w:tcPr>
          <w:p w14:paraId="0D76F5D7"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(1)</w:t>
            </w:r>
          </w:p>
          <w:p w14:paraId="27C1F3B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Target waktu penyelesaian Rencana Tindak Pemenuhan NSFR meliputi target waktu penyelesaian setiap tahapan Rencana Tindak Pemenuhan NSFR maupun penyelesaian secara keseluruhan.</w:t>
            </w:r>
          </w:p>
        </w:tc>
        <w:tc>
          <w:tcPr>
            <w:tcW w:w="3686" w:type="dxa"/>
            <w:shd w:val="clear" w:color="auto" w:fill="auto"/>
          </w:tcPr>
          <w:p w14:paraId="56AEF58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10D9A7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202128A" w14:textId="77777777" w:rsidTr="00C84F36">
        <w:tc>
          <w:tcPr>
            <w:tcW w:w="4794" w:type="dxa"/>
            <w:shd w:val="clear" w:color="auto" w:fill="auto"/>
          </w:tcPr>
          <w:p w14:paraId="66A65365" w14:textId="77777777" w:rsidR="00C84F36" w:rsidRPr="007007D1" w:rsidRDefault="00C84F36" w:rsidP="00A32F86">
            <w:pPr>
              <w:pStyle w:val="ListParagraph"/>
              <w:numPr>
                <w:ilvl w:val="0"/>
                <w:numId w:val="3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Laporan pelaksanaan Rencana Tindak Pemenuhan NSFR sebagaimana dimaksud pada ayat (1) memuat paling sedikit:</w:t>
            </w:r>
          </w:p>
        </w:tc>
        <w:tc>
          <w:tcPr>
            <w:tcW w:w="4840" w:type="dxa"/>
            <w:vMerge w:val="restart"/>
            <w:shd w:val="clear" w:color="auto" w:fill="auto"/>
          </w:tcPr>
          <w:p w14:paraId="15DA3B10" w14:textId="77777777" w:rsidR="00C84F36" w:rsidRPr="007007D1" w:rsidRDefault="00C84F36"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Ayat (2)</w:t>
            </w:r>
          </w:p>
          <w:p w14:paraId="70188178" w14:textId="77777777" w:rsidR="00C84F36" w:rsidRPr="007007D1" w:rsidRDefault="00C84F36"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Laporan pelaksanaan Rencana Tindak Pemenuhan NSFR yang disampaikan oleh Bank antara lain memuat penjelasan mengenai realisasi pelaksanaan Rencana Tindak Pemenuhan NSFR, disertai bukti </w:t>
            </w:r>
            <w:r w:rsidRPr="007007D1">
              <w:rPr>
                <w:rFonts w:ascii="Bookman Old Style" w:eastAsia="Bookman Old Style" w:hAnsi="Bookman Old Style" w:cs="Bookman Old Style"/>
                <w:color w:val="000000" w:themeColor="text1"/>
                <w:sz w:val="20"/>
                <w:szCs w:val="20"/>
              </w:rPr>
              <w:lastRenderedPageBreak/>
              <w:t>pelaksanaan dan/atau dokumen pendukung terkait.</w:t>
            </w:r>
          </w:p>
        </w:tc>
        <w:tc>
          <w:tcPr>
            <w:tcW w:w="3686" w:type="dxa"/>
            <w:shd w:val="clear" w:color="auto" w:fill="auto"/>
          </w:tcPr>
          <w:p w14:paraId="772BBC5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3E48D0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2A63E6D" w14:textId="77777777" w:rsidTr="00C84F36">
        <w:tc>
          <w:tcPr>
            <w:tcW w:w="4794" w:type="dxa"/>
            <w:shd w:val="clear" w:color="auto" w:fill="auto"/>
          </w:tcPr>
          <w:p w14:paraId="348E144C" w14:textId="77777777" w:rsidR="00C84F36" w:rsidRPr="007007D1" w:rsidRDefault="00C84F36" w:rsidP="00A32F86">
            <w:pPr>
              <w:pStyle w:val="ListParagraph"/>
              <w:numPr>
                <w:ilvl w:val="1"/>
                <w:numId w:val="38"/>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tindakan perbaikan yang telah dilakukan oleh Bank;</w:t>
            </w:r>
          </w:p>
        </w:tc>
        <w:tc>
          <w:tcPr>
            <w:tcW w:w="4840" w:type="dxa"/>
            <w:vMerge/>
            <w:shd w:val="clear" w:color="auto" w:fill="auto"/>
          </w:tcPr>
          <w:p w14:paraId="49AD6B1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CF350FE"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D76D3C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B39B625" w14:textId="77777777" w:rsidTr="00C84F36">
        <w:tc>
          <w:tcPr>
            <w:tcW w:w="4794" w:type="dxa"/>
            <w:shd w:val="clear" w:color="auto" w:fill="auto"/>
          </w:tcPr>
          <w:p w14:paraId="0EB58EA1" w14:textId="77777777" w:rsidR="00C84F36" w:rsidRPr="007007D1" w:rsidRDefault="00C84F36" w:rsidP="00A32F86">
            <w:pPr>
              <w:pStyle w:val="ListParagraph"/>
              <w:numPr>
                <w:ilvl w:val="1"/>
                <w:numId w:val="38"/>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kendala dalam melaksanakan tindakan perbaikan; dan</w:t>
            </w:r>
          </w:p>
        </w:tc>
        <w:tc>
          <w:tcPr>
            <w:tcW w:w="4840" w:type="dxa"/>
            <w:vMerge/>
            <w:shd w:val="clear" w:color="auto" w:fill="auto"/>
          </w:tcPr>
          <w:p w14:paraId="662D5E59"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5896E7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45EFDC1"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26F33FE" w14:textId="77777777" w:rsidTr="00C84F36">
        <w:tc>
          <w:tcPr>
            <w:tcW w:w="4794" w:type="dxa"/>
            <w:shd w:val="clear" w:color="auto" w:fill="auto"/>
          </w:tcPr>
          <w:p w14:paraId="300D8BE6" w14:textId="77777777" w:rsidR="00C84F36" w:rsidRPr="007007D1" w:rsidRDefault="00C84F36" w:rsidP="00A32F86">
            <w:pPr>
              <w:pStyle w:val="ListParagraph"/>
              <w:numPr>
                <w:ilvl w:val="1"/>
                <w:numId w:val="38"/>
              </w:numPr>
              <w:tabs>
                <w:tab w:val="left" w:pos="1872"/>
                <w:tab w:val="left" w:pos="2552"/>
              </w:tabs>
              <w:spacing w:after="0" w:line="240" w:lineRule="auto"/>
              <w:ind w:left="727"/>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lastRenderedPageBreak/>
              <w:t>waktu pelaksanaan perbaikan.</w:t>
            </w:r>
          </w:p>
        </w:tc>
        <w:tc>
          <w:tcPr>
            <w:tcW w:w="4840" w:type="dxa"/>
            <w:vMerge/>
            <w:shd w:val="clear" w:color="auto" w:fill="auto"/>
          </w:tcPr>
          <w:p w14:paraId="12BCC3F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EB659D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4A1135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7B1373A" w14:textId="77777777" w:rsidTr="00910A48">
        <w:tc>
          <w:tcPr>
            <w:tcW w:w="4794" w:type="dxa"/>
            <w:shd w:val="clear" w:color="auto" w:fill="auto"/>
            <w:vAlign w:val="center"/>
          </w:tcPr>
          <w:p w14:paraId="4F2A4CC6" w14:textId="77777777" w:rsidR="00910A48" w:rsidRPr="007007D1" w:rsidRDefault="00910A48" w:rsidP="00A32F86">
            <w:pPr>
              <w:pStyle w:val="ListParagraph"/>
              <w:numPr>
                <w:ilvl w:val="0"/>
                <w:numId w:val="3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wajib menyampaikan laporan pelaksanaan Rencana Tindak Pemenuhan NSFR sebagaimana dimaksud pada ayat (1) secara daring melalui sistem pelaporan Otoritas Jasa Keuangan.</w:t>
            </w:r>
          </w:p>
        </w:tc>
        <w:tc>
          <w:tcPr>
            <w:tcW w:w="4840" w:type="dxa"/>
            <w:shd w:val="clear" w:color="auto" w:fill="auto"/>
          </w:tcPr>
          <w:p w14:paraId="24D015EF"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Ayat (3) </w:t>
            </w:r>
          </w:p>
          <w:p w14:paraId="5DE628AC"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61B326D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0E54C6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0E30874" w14:textId="77777777" w:rsidTr="00910A48">
        <w:tc>
          <w:tcPr>
            <w:tcW w:w="4794" w:type="dxa"/>
            <w:shd w:val="clear" w:color="auto" w:fill="auto"/>
            <w:vAlign w:val="center"/>
          </w:tcPr>
          <w:p w14:paraId="14A0992B" w14:textId="77777777" w:rsidR="00910A48" w:rsidRPr="007007D1" w:rsidRDefault="00910A48" w:rsidP="00A32F86">
            <w:pPr>
              <w:pStyle w:val="ListParagraph"/>
              <w:numPr>
                <w:ilvl w:val="0"/>
                <w:numId w:val="3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pelaporan Otoritas Jasa Keuangan sebagaimana dimaksud pada ayat (3) belum tersedia atau terdapat keadaan kahar, Bank wajib menyampaikan laporan pelaksanaan Rencana Tindak Pemenuhan NSFR melalui sistem persuratan Otoritas Jasa Keuangan.</w:t>
            </w:r>
          </w:p>
        </w:tc>
        <w:tc>
          <w:tcPr>
            <w:tcW w:w="4840" w:type="dxa"/>
            <w:shd w:val="clear" w:color="auto" w:fill="auto"/>
          </w:tcPr>
          <w:p w14:paraId="7020CC14"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Ayat (4) </w:t>
            </w:r>
          </w:p>
          <w:p w14:paraId="354203B7"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095656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E60567E"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CB6E75D" w14:textId="77777777" w:rsidTr="00910A48">
        <w:tc>
          <w:tcPr>
            <w:tcW w:w="4794" w:type="dxa"/>
            <w:shd w:val="clear" w:color="auto" w:fill="auto"/>
            <w:vAlign w:val="center"/>
          </w:tcPr>
          <w:p w14:paraId="70C7F419" w14:textId="77777777" w:rsidR="00910A48" w:rsidRPr="007007D1" w:rsidRDefault="00910A48" w:rsidP="00A32F86">
            <w:pPr>
              <w:pStyle w:val="ListParagraph"/>
              <w:numPr>
                <w:ilvl w:val="0"/>
                <w:numId w:val="3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Dalam hal sistem persuratan Otoritas Jasa Keuangan sebagaimana dimaksud pada ayat (4) terdapat keadaan kahar , penyampaian dilakukan secara luring.</w:t>
            </w:r>
          </w:p>
        </w:tc>
        <w:tc>
          <w:tcPr>
            <w:tcW w:w="4840" w:type="dxa"/>
            <w:shd w:val="clear" w:color="auto" w:fill="auto"/>
          </w:tcPr>
          <w:p w14:paraId="41EC587F" w14:textId="77777777" w:rsidR="00910A48" w:rsidRPr="007007D1" w:rsidRDefault="00910A48"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Ayat (5) </w:t>
            </w:r>
          </w:p>
          <w:p w14:paraId="230BCBE4" w14:textId="77777777" w:rsidR="00910A48" w:rsidRPr="007007D1" w:rsidRDefault="00910A48"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1699B5C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1E080B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06E7442" w14:textId="77777777" w:rsidTr="00910A48">
        <w:tc>
          <w:tcPr>
            <w:tcW w:w="4794" w:type="dxa"/>
            <w:shd w:val="clear" w:color="auto" w:fill="auto"/>
            <w:vAlign w:val="center"/>
          </w:tcPr>
          <w:p w14:paraId="4FD6B06D" w14:textId="77777777" w:rsidR="00C84F36" w:rsidRPr="007007D1" w:rsidRDefault="00C84F36" w:rsidP="00A32F86">
            <w:pPr>
              <w:pStyle w:val="ListParagraph"/>
              <w:numPr>
                <w:ilvl w:val="0"/>
                <w:numId w:val="38"/>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Penyampaian secara luring sebagaimana dimaksud pada ayat (5) disampaikan kepada:</w:t>
            </w:r>
          </w:p>
        </w:tc>
        <w:tc>
          <w:tcPr>
            <w:tcW w:w="4840" w:type="dxa"/>
            <w:vMerge w:val="restart"/>
            <w:shd w:val="clear" w:color="auto" w:fill="auto"/>
          </w:tcPr>
          <w:p w14:paraId="7A3B3709" w14:textId="77777777" w:rsidR="00C84F36" w:rsidRPr="007007D1" w:rsidRDefault="00C84F36" w:rsidP="00910A48">
            <w:pPr>
              <w:tabs>
                <w:tab w:val="left" w:pos="1980"/>
                <w:tab w:val="left" w:pos="2520"/>
                <w:tab w:val="left" w:pos="2552"/>
              </w:tabs>
              <w:spacing w:after="0" w:line="240" w:lineRule="auto"/>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 xml:space="preserve">Ayat (6) </w:t>
            </w:r>
          </w:p>
          <w:p w14:paraId="4CBB549F" w14:textId="77777777" w:rsidR="00C84F36" w:rsidRPr="007007D1" w:rsidRDefault="00C84F36" w:rsidP="00C84F36">
            <w:pPr>
              <w:tabs>
                <w:tab w:val="left" w:pos="1291"/>
              </w:tabs>
              <w:spacing w:after="0" w:line="240" w:lineRule="auto"/>
              <w:ind w:left="567"/>
              <w:jc w:val="both"/>
              <w:rPr>
                <w:rFonts w:ascii="Bookman Old Style" w:eastAsia="Bookman Old Style" w:hAnsi="Bookman Old Style" w:cs="Bookman Old Style"/>
                <w:color w:val="000000" w:themeColor="text1"/>
                <w:sz w:val="20"/>
                <w:szCs w:val="20"/>
              </w:rPr>
            </w:pPr>
            <w:r w:rsidRPr="007007D1">
              <w:rPr>
                <w:rFonts w:ascii="Bookman Old Style" w:eastAsia="Bookman Old Style" w:hAnsi="Bookman Old Style" w:cs="Bookman Old Style"/>
                <w:color w:val="000000" w:themeColor="text1"/>
                <w:sz w:val="20"/>
                <w:szCs w:val="20"/>
              </w:rPr>
              <w:t>Cukup jelas.</w:t>
            </w:r>
          </w:p>
        </w:tc>
        <w:tc>
          <w:tcPr>
            <w:tcW w:w="3686" w:type="dxa"/>
            <w:shd w:val="clear" w:color="auto" w:fill="auto"/>
          </w:tcPr>
          <w:p w14:paraId="49AA3772"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21DE88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6941585" w14:textId="77777777" w:rsidTr="00910A48">
        <w:tc>
          <w:tcPr>
            <w:tcW w:w="4794" w:type="dxa"/>
            <w:shd w:val="clear" w:color="auto" w:fill="auto"/>
            <w:vAlign w:val="center"/>
          </w:tcPr>
          <w:p w14:paraId="586EF36C" w14:textId="77777777" w:rsidR="00C84F36" w:rsidRPr="007007D1" w:rsidRDefault="00C84F36" w:rsidP="00A32F86">
            <w:pPr>
              <w:pStyle w:val="ListParagraph"/>
              <w:numPr>
                <w:ilvl w:val="0"/>
                <w:numId w:val="39"/>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Departemen Pengawasan Bank terkait bagi Bank yang berkantor pusat atau kantor cabang dari bank yang berkedudukan di luar negeri yang berada di wilayah Provinsi Daerah Khusus Ibukota Jakarta; atau </w:t>
            </w:r>
          </w:p>
        </w:tc>
        <w:tc>
          <w:tcPr>
            <w:tcW w:w="4840" w:type="dxa"/>
            <w:vMerge/>
            <w:shd w:val="clear" w:color="auto" w:fill="auto"/>
          </w:tcPr>
          <w:p w14:paraId="337D625B"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C331B0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FA0601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6974952" w14:textId="77777777" w:rsidTr="00910A48">
        <w:tc>
          <w:tcPr>
            <w:tcW w:w="4794" w:type="dxa"/>
            <w:shd w:val="clear" w:color="auto" w:fill="auto"/>
            <w:vAlign w:val="center"/>
          </w:tcPr>
          <w:p w14:paraId="3A0A7931" w14:textId="77777777" w:rsidR="00C84F36" w:rsidRPr="007007D1" w:rsidRDefault="00C84F36" w:rsidP="00A32F86">
            <w:pPr>
              <w:pStyle w:val="ListParagraph"/>
              <w:numPr>
                <w:ilvl w:val="0"/>
                <w:numId w:val="39"/>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Kantor Otoritas Jasa Keuangan setempat, bagi Bank yang berkantor pusat di luar wilayah Provinsi Daerah Khusus Ibukota Jakarta.</w:t>
            </w:r>
          </w:p>
        </w:tc>
        <w:tc>
          <w:tcPr>
            <w:tcW w:w="4840" w:type="dxa"/>
            <w:vMerge/>
            <w:shd w:val="clear" w:color="auto" w:fill="auto"/>
          </w:tcPr>
          <w:p w14:paraId="3ED81987"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35829E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84B94C5"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8185AF1" w14:textId="77777777" w:rsidTr="001A4A10">
        <w:tc>
          <w:tcPr>
            <w:tcW w:w="4794" w:type="dxa"/>
            <w:shd w:val="clear" w:color="auto" w:fill="FFF2CC" w:themeFill="accent4" w:themeFillTint="33"/>
            <w:vAlign w:val="center"/>
          </w:tcPr>
          <w:p w14:paraId="64E49D03"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BAB IV</w:t>
            </w:r>
          </w:p>
        </w:tc>
        <w:tc>
          <w:tcPr>
            <w:tcW w:w="4840" w:type="dxa"/>
            <w:shd w:val="clear" w:color="auto" w:fill="FFF2CC" w:themeFill="accent4" w:themeFillTint="33"/>
          </w:tcPr>
          <w:p w14:paraId="31686E35"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FFF2CC" w:themeFill="accent4" w:themeFillTint="33"/>
          </w:tcPr>
          <w:p w14:paraId="0E58B33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FFF2CC" w:themeFill="accent4" w:themeFillTint="33"/>
          </w:tcPr>
          <w:p w14:paraId="7BE0BF5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3C6C5CE" w14:textId="77777777" w:rsidTr="001A4A10">
        <w:tc>
          <w:tcPr>
            <w:tcW w:w="4794" w:type="dxa"/>
            <w:shd w:val="clear" w:color="auto" w:fill="FFF2CC" w:themeFill="accent4" w:themeFillTint="33"/>
            <w:vAlign w:val="center"/>
          </w:tcPr>
          <w:p w14:paraId="5965CB8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SANKSI</w:t>
            </w:r>
          </w:p>
        </w:tc>
        <w:tc>
          <w:tcPr>
            <w:tcW w:w="4840" w:type="dxa"/>
            <w:shd w:val="clear" w:color="auto" w:fill="FFF2CC" w:themeFill="accent4" w:themeFillTint="33"/>
          </w:tcPr>
          <w:p w14:paraId="313EF81B"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FFF2CC" w:themeFill="accent4" w:themeFillTint="33"/>
          </w:tcPr>
          <w:p w14:paraId="57C0DE67"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FFF2CC" w:themeFill="accent4" w:themeFillTint="33"/>
          </w:tcPr>
          <w:p w14:paraId="1D20F0E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1A4A10" w:rsidRPr="00BA5B40" w14:paraId="1DC7AA70" w14:textId="77777777" w:rsidTr="001A4A10">
        <w:tc>
          <w:tcPr>
            <w:tcW w:w="4794" w:type="dxa"/>
            <w:shd w:val="clear" w:color="auto" w:fill="auto"/>
            <w:vAlign w:val="center"/>
          </w:tcPr>
          <w:p w14:paraId="50A34C20" w14:textId="77777777" w:rsidR="001A4A10" w:rsidRPr="007007D1" w:rsidRDefault="001A4A10" w:rsidP="00C84F36">
            <w:pPr>
              <w:tabs>
                <w:tab w:val="left" w:pos="1872"/>
                <w:tab w:val="left" w:pos="2552"/>
              </w:tabs>
              <w:spacing w:after="0" w:line="240" w:lineRule="auto"/>
              <w:ind w:left="30"/>
              <w:jc w:val="center"/>
              <w:rPr>
                <w:rFonts w:ascii="Bookman Old Style" w:hAnsi="Bookman Old Style"/>
                <w:color w:val="000000" w:themeColor="text1"/>
                <w:sz w:val="20"/>
                <w:szCs w:val="20"/>
                <w:lang w:val="sv-SE"/>
              </w:rPr>
            </w:pPr>
          </w:p>
        </w:tc>
        <w:tc>
          <w:tcPr>
            <w:tcW w:w="4840" w:type="dxa"/>
            <w:shd w:val="clear" w:color="auto" w:fill="auto"/>
          </w:tcPr>
          <w:p w14:paraId="23AC4E6E" w14:textId="77777777" w:rsidR="001A4A10" w:rsidRPr="007007D1" w:rsidRDefault="001A4A10"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449A489" w14:textId="77777777" w:rsidR="001A4A10" w:rsidRPr="00BA5B40" w:rsidRDefault="001A4A10"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839D5B1" w14:textId="77777777" w:rsidR="001A4A10" w:rsidRPr="00BA5B40" w:rsidRDefault="001A4A10"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F828917" w14:textId="77777777" w:rsidTr="00C84F36">
        <w:tc>
          <w:tcPr>
            <w:tcW w:w="4794" w:type="dxa"/>
            <w:shd w:val="clear" w:color="auto" w:fill="DBDBDB" w:themeFill="accent3" w:themeFillTint="66"/>
            <w:vAlign w:val="center"/>
          </w:tcPr>
          <w:p w14:paraId="4B9F3B4A"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Pasal 28</w:t>
            </w:r>
          </w:p>
        </w:tc>
        <w:tc>
          <w:tcPr>
            <w:tcW w:w="4840" w:type="dxa"/>
            <w:shd w:val="clear" w:color="auto" w:fill="DBDBDB" w:themeFill="accent3" w:themeFillTint="66"/>
            <w:vAlign w:val="center"/>
          </w:tcPr>
          <w:p w14:paraId="36B25C5A"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28</w:t>
            </w:r>
          </w:p>
        </w:tc>
        <w:tc>
          <w:tcPr>
            <w:tcW w:w="3686" w:type="dxa"/>
            <w:shd w:val="clear" w:color="auto" w:fill="DBDBDB" w:themeFill="accent3" w:themeFillTint="66"/>
          </w:tcPr>
          <w:p w14:paraId="738DB3B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1E33AD0D"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AF9AAF2" w14:textId="77777777" w:rsidTr="00C84F36">
        <w:tc>
          <w:tcPr>
            <w:tcW w:w="4794" w:type="dxa"/>
            <w:shd w:val="clear" w:color="auto" w:fill="auto"/>
            <w:vAlign w:val="center"/>
          </w:tcPr>
          <w:p w14:paraId="0DD20822" w14:textId="77777777" w:rsidR="00C84F36" w:rsidRPr="007007D1" w:rsidRDefault="00C84F36"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 xml:space="preserve">Bank yang tidak memenuhi Peraturan Otoritas Jasa Keuangan ini dan melanggar ketentuan sebagaimana diatur dalam Pasal 2 ayat (1), </w:t>
            </w:r>
            <w:r w:rsidRPr="007007D1">
              <w:rPr>
                <w:rFonts w:ascii="Bookman Old Style" w:hAnsi="Bookman Old Style"/>
                <w:color w:val="000000" w:themeColor="text1"/>
                <w:sz w:val="20"/>
                <w:szCs w:val="20"/>
                <w:lang w:val="sv-SE"/>
              </w:rPr>
              <w:lastRenderedPageBreak/>
              <w:t xml:space="preserve">Pasal 4 ayat (1), ayat (2), Pasal 9 ayat (1), ayat (2), Pasal 10, Pasal 13 ayat (1), ayat (5), Pasal 15 ayat (1), ayat (5), Pasal 16 ayat (1), ayat (2), ayat (7), Pasal 17 ayat (3), Pasal 18 ayat (1), Pasal 19 ayat (1), Pasal 20, Pasal 21ayat (1), ayat (6), Pasal 22 ayat (1), Pasal 23 ayat (1), ayat (2). Ayat (3), Pasal 24 ayat (1), ayat (3), ayat (7), Pasal 25 ayat (3), Pasal 26 ayat (1), Pasal 26 ayat (4), ayat (5), ayat (6), Pasal 27 ayat (1), ayat (3), ayat (4) dikenakan sanksi administratif berupa: </w:t>
            </w:r>
          </w:p>
        </w:tc>
        <w:tc>
          <w:tcPr>
            <w:tcW w:w="4840" w:type="dxa"/>
            <w:vMerge w:val="restart"/>
            <w:shd w:val="clear" w:color="auto" w:fill="auto"/>
          </w:tcPr>
          <w:p w14:paraId="4D8EAC7C"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lastRenderedPageBreak/>
              <w:t>Cukup jelas.</w:t>
            </w:r>
          </w:p>
        </w:tc>
        <w:tc>
          <w:tcPr>
            <w:tcW w:w="3686" w:type="dxa"/>
            <w:shd w:val="clear" w:color="auto" w:fill="auto"/>
          </w:tcPr>
          <w:p w14:paraId="757BEA5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DDAB90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420F078C" w14:textId="77777777" w:rsidTr="00910A48">
        <w:tc>
          <w:tcPr>
            <w:tcW w:w="4794" w:type="dxa"/>
            <w:shd w:val="clear" w:color="auto" w:fill="auto"/>
            <w:vAlign w:val="center"/>
          </w:tcPr>
          <w:p w14:paraId="171FD87D" w14:textId="77777777" w:rsidR="00C84F36" w:rsidRPr="007007D1" w:rsidRDefault="00C84F36" w:rsidP="00A32F86">
            <w:pPr>
              <w:pStyle w:val="ListParagraph"/>
              <w:numPr>
                <w:ilvl w:val="0"/>
                <w:numId w:val="40"/>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teguran tertulis;</w:t>
            </w:r>
          </w:p>
        </w:tc>
        <w:tc>
          <w:tcPr>
            <w:tcW w:w="4840" w:type="dxa"/>
            <w:vMerge/>
            <w:shd w:val="clear" w:color="auto" w:fill="auto"/>
          </w:tcPr>
          <w:p w14:paraId="3BC0ED55"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35D990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68C3FEB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EB1F6C7" w14:textId="77777777" w:rsidTr="00910A48">
        <w:tc>
          <w:tcPr>
            <w:tcW w:w="4794" w:type="dxa"/>
            <w:shd w:val="clear" w:color="auto" w:fill="auto"/>
            <w:vAlign w:val="center"/>
          </w:tcPr>
          <w:p w14:paraId="55A15CA0" w14:textId="77777777" w:rsidR="00C84F36" w:rsidRPr="007007D1" w:rsidRDefault="00C84F36" w:rsidP="00A32F86">
            <w:pPr>
              <w:pStyle w:val="ListParagraph"/>
              <w:numPr>
                <w:ilvl w:val="0"/>
                <w:numId w:val="40"/>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 xml:space="preserve">penundaan pembagian dividen atas seluruh kepemilikan saham dari pemegang saham yang melakukan setoran modal; </w:t>
            </w:r>
          </w:p>
        </w:tc>
        <w:tc>
          <w:tcPr>
            <w:tcW w:w="4840" w:type="dxa"/>
            <w:vMerge/>
            <w:shd w:val="clear" w:color="auto" w:fill="auto"/>
          </w:tcPr>
          <w:p w14:paraId="2A6B4D01"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175E1E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26819C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D787AE7" w14:textId="77777777" w:rsidTr="00910A48">
        <w:tc>
          <w:tcPr>
            <w:tcW w:w="4794" w:type="dxa"/>
            <w:shd w:val="clear" w:color="auto" w:fill="auto"/>
            <w:vAlign w:val="center"/>
          </w:tcPr>
          <w:p w14:paraId="0C552A6E" w14:textId="77777777" w:rsidR="00C84F36" w:rsidRPr="007007D1" w:rsidRDefault="00C84F36" w:rsidP="00A32F86">
            <w:pPr>
              <w:pStyle w:val="ListParagraph"/>
              <w:numPr>
                <w:ilvl w:val="0"/>
                <w:numId w:val="40"/>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pembekuan kegiatan usaha tertentu; </w:t>
            </w:r>
          </w:p>
        </w:tc>
        <w:tc>
          <w:tcPr>
            <w:tcW w:w="4840" w:type="dxa"/>
            <w:vMerge/>
            <w:shd w:val="clear" w:color="auto" w:fill="auto"/>
          </w:tcPr>
          <w:p w14:paraId="3A49746F"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2F04A23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FCED970"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C6583C6" w14:textId="77777777" w:rsidTr="00910A48">
        <w:tc>
          <w:tcPr>
            <w:tcW w:w="4794" w:type="dxa"/>
            <w:shd w:val="clear" w:color="auto" w:fill="auto"/>
            <w:vAlign w:val="center"/>
          </w:tcPr>
          <w:p w14:paraId="320FA1E5" w14:textId="77777777" w:rsidR="00C84F36" w:rsidRPr="007007D1" w:rsidRDefault="00C84F36" w:rsidP="00A32F86">
            <w:pPr>
              <w:pStyle w:val="ListParagraph"/>
              <w:numPr>
                <w:ilvl w:val="0"/>
                <w:numId w:val="40"/>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en-ID"/>
              </w:rPr>
              <w:t xml:space="preserve">larangan pembukaan jaringan kantor; </w:t>
            </w:r>
          </w:p>
        </w:tc>
        <w:tc>
          <w:tcPr>
            <w:tcW w:w="4840" w:type="dxa"/>
            <w:vMerge/>
            <w:shd w:val="clear" w:color="auto" w:fill="auto"/>
          </w:tcPr>
          <w:p w14:paraId="1CC2ADF4"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398225C"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E6B1085"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29B01B7C" w14:textId="77777777" w:rsidTr="00910A48">
        <w:tc>
          <w:tcPr>
            <w:tcW w:w="4794" w:type="dxa"/>
            <w:shd w:val="clear" w:color="auto" w:fill="auto"/>
            <w:vAlign w:val="center"/>
          </w:tcPr>
          <w:p w14:paraId="3D7D2B61" w14:textId="77777777" w:rsidR="00C84F36" w:rsidRPr="007007D1" w:rsidRDefault="00C84F36" w:rsidP="00A32F86">
            <w:pPr>
              <w:pStyle w:val="ListParagraph"/>
              <w:numPr>
                <w:ilvl w:val="0"/>
                <w:numId w:val="40"/>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penurunan tingkat kesehatan Bank; dan/atau </w:t>
            </w:r>
          </w:p>
        </w:tc>
        <w:tc>
          <w:tcPr>
            <w:tcW w:w="4840" w:type="dxa"/>
            <w:vMerge/>
            <w:shd w:val="clear" w:color="auto" w:fill="auto"/>
          </w:tcPr>
          <w:p w14:paraId="05F60A06"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4AEB3D3B"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D98CAFD"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AEE1992" w14:textId="77777777" w:rsidTr="00910A48">
        <w:tc>
          <w:tcPr>
            <w:tcW w:w="4794" w:type="dxa"/>
            <w:shd w:val="clear" w:color="auto" w:fill="auto"/>
            <w:vAlign w:val="center"/>
          </w:tcPr>
          <w:p w14:paraId="641B3A23" w14:textId="17D3E251" w:rsidR="00C84F36" w:rsidRPr="001A4A10" w:rsidRDefault="00C84F36" w:rsidP="00A32F86">
            <w:pPr>
              <w:pStyle w:val="ListParagraph"/>
              <w:numPr>
                <w:ilvl w:val="0"/>
                <w:numId w:val="40"/>
              </w:numPr>
              <w:tabs>
                <w:tab w:val="left" w:pos="1872"/>
                <w:tab w:val="left" w:pos="2552"/>
              </w:tabs>
              <w:spacing w:after="0" w:line="240" w:lineRule="auto"/>
              <w:ind w:left="585"/>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 xml:space="preserve">larangan sebagai pihak utama bagi pihak utama Bank sesuai dengan Peraturan Otoritas Jasa Keuangan mengenai penilaian kembali pihak utama lembaga jasa keuangan. </w:t>
            </w:r>
          </w:p>
        </w:tc>
        <w:tc>
          <w:tcPr>
            <w:tcW w:w="4840" w:type="dxa"/>
            <w:vMerge/>
            <w:shd w:val="clear" w:color="auto" w:fill="auto"/>
          </w:tcPr>
          <w:p w14:paraId="0392459B"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1D850C93"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14401EE6"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93D64BE" w14:textId="77777777" w:rsidTr="00C84F36">
        <w:tc>
          <w:tcPr>
            <w:tcW w:w="4794" w:type="dxa"/>
            <w:shd w:val="clear" w:color="auto" w:fill="DBDBDB" w:themeFill="accent3" w:themeFillTint="66"/>
            <w:vAlign w:val="center"/>
          </w:tcPr>
          <w:p w14:paraId="1B57E2D6"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rPr>
              <w:t>Pasal 29</w:t>
            </w:r>
          </w:p>
        </w:tc>
        <w:tc>
          <w:tcPr>
            <w:tcW w:w="4840" w:type="dxa"/>
            <w:shd w:val="clear" w:color="auto" w:fill="DBDBDB" w:themeFill="accent3" w:themeFillTint="66"/>
            <w:vAlign w:val="center"/>
          </w:tcPr>
          <w:p w14:paraId="15A5FBB2"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29</w:t>
            </w:r>
          </w:p>
        </w:tc>
        <w:tc>
          <w:tcPr>
            <w:tcW w:w="3686" w:type="dxa"/>
            <w:shd w:val="clear" w:color="auto" w:fill="DBDBDB" w:themeFill="accent3" w:themeFillTint="66"/>
          </w:tcPr>
          <w:p w14:paraId="1BB587E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1E2A564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0C1081D2" w14:textId="77777777" w:rsidTr="00C84F36">
        <w:tc>
          <w:tcPr>
            <w:tcW w:w="4794" w:type="dxa"/>
            <w:shd w:val="clear" w:color="auto" w:fill="auto"/>
            <w:vAlign w:val="center"/>
          </w:tcPr>
          <w:p w14:paraId="234EC3A3" w14:textId="77777777" w:rsidR="00C84F36" w:rsidRPr="007007D1" w:rsidRDefault="00C84F36" w:rsidP="00A32F86">
            <w:pPr>
              <w:pStyle w:val="ListParagraph"/>
              <w:numPr>
                <w:ilvl w:val="0"/>
                <w:numId w:val="4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rPr>
              <w:t>Selain sanksi sebagaimana dimaksud dalam Pasal 28, Bank yang terlambat menyampaikan laporan LCR bulanan dan triwulanan sebagaimana dimaksud dalam Pasal 13 ayat (5) dan Pasal 15 ayat (5) dikenakan sanksi administrasi berupa denda sebesar Rp1.000.000,00 (satu juta rupiah) per hari kerja keterlambatan atau paling banyak Rp50.000.000,00 (lima puluh juta rupiah).</w:t>
            </w:r>
          </w:p>
        </w:tc>
        <w:tc>
          <w:tcPr>
            <w:tcW w:w="4840" w:type="dxa"/>
            <w:vMerge w:val="restart"/>
            <w:shd w:val="clear" w:color="auto" w:fill="auto"/>
          </w:tcPr>
          <w:p w14:paraId="1FB40C4C" w14:textId="77777777" w:rsidR="00C84F36" w:rsidRPr="007007D1"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Cukup jelas.</w:t>
            </w:r>
          </w:p>
        </w:tc>
        <w:tc>
          <w:tcPr>
            <w:tcW w:w="3686" w:type="dxa"/>
            <w:shd w:val="clear" w:color="auto" w:fill="auto"/>
          </w:tcPr>
          <w:p w14:paraId="59488F68"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FB273C7"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5CD406FA" w14:textId="77777777" w:rsidTr="00910A48">
        <w:tc>
          <w:tcPr>
            <w:tcW w:w="4794" w:type="dxa"/>
            <w:shd w:val="clear" w:color="auto" w:fill="auto"/>
            <w:vAlign w:val="center"/>
          </w:tcPr>
          <w:p w14:paraId="705117AC" w14:textId="77777777" w:rsidR="00C84F36" w:rsidRPr="007007D1" w:rsidRDefault="00C84F36" w:rsidP="00A32F86">
            <w:pPr>
              <w:pStyle w:val="ListParagraph"/>
              <w:numPr>
                <w:ilvl w:val="0"/>
                <w:numId w:val="41"/>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rPr>
              <w:t xml:space="preserve">Bank yang tidak mencantumkan nilai LCR dalam laporan publikasi triwulanan </w:t>
            </w:r>
            <w:r w:rsidRPr="007007D1">
              <w:rPr>
                <w:rFonts w:ascii="Bookman Old Style" w:hAnsi="Bookman Old Style"/>
                <w:color w:val="000000"/>
                <w:sz w:val="20"/>
                <w:szCs w:val="20"/>
              </w:rPr>
              <w:lastRenderedPageBreak/>
              <w:t>dikenakan sanksi sesuai Peraturan Otoritas Jasa Keuangan mengenai transparansi dan publikasi laporan Bank.</w:t>
            </w:r>
          </w:p>
        </w:tc>
        <w:tc>
          <w:tcPr>
            <w:tcW w:w="4840" w:type="dxa"/>
            <w:vMerge/>
            <w:shd w:val="clear" w:color="auto" w:fill="auto"/>
          </w:tcPr>
          <w:p w14:paraId="72061F23" w14:textId="77777777" w:rsidR="00C84F36" w:rsidRPr="007007D1" w:rsidRDefault="00C84F36"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FE57314"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07CBFB9" w14:textId="77777777" w:rsidR="00C84F36" w:rsidRPr="00BA5B40" w:rsidRDefault="00C84F36"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28B69EF9" w14:textId="77777777" w:rsidTr="00C84F36">
        <w:tc>
          <w:tcPr>
            <w:tcW w:w="4794" w:type="dxa"/>
            <w:shd w:val="clear" w:color="auto" w:fill="DBDBDB" w:themeFill="accent3" w:themeFillTint="66"/>
            <w:vAlign w:val="center"/>
          </w:tcPr>
          <w:p w14:paraId="4D1C9EC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en-US"/>
              </w:rPr>
              <w:t>Pasal 30</w:t>
            </w:r>
          </w:p>
        </w:tc>
        <w:tc>
          <w:tcPr>
            <w:tcW w:w="4840" w:type="dxa"/>
            <w:shd w:val="clear" w:color="auto" w:fill="DBDBDB" w:themeFill="accent3" w:themeFillTint="66"/>
            <w:vAlign w:val="center"/>
          </w:tcPr>
          <w:p w14:paraId="5E051396"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30</w:t>
            </w:r>
          </w:p>
        </w:tc>
        <w:tc>
          <w:tcPr>
            <w:tcW w:w="3686" w:type="dxa"/>
            <w:shd w:val="clear" w:color="auto" w:fill="DBDBDB" w:themeFill="accent3" w:themeFillTint="66"/>
          </w:tcPr>
          <w:p w14:paraId="03CD37AA"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72DD23E3"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A4E694B" w14:textId="77777777" w:rsidTr="00C84F36">
        <w:tc>
          <w:tcPr>
            <w:tcW w:w="4794" w:type="dxa"/>
            <w:shd w:val="clear" w:color="auto" w:fill="auto"/>
            <w:vAlign w:val="center"/>
          </w:tcPr>
          <w:p w14:paraId="00FD7254" w14:textId="77777777" w:rsidR="00910A48" w:rsidRPr="007007D1" w:rsidRDefault="00910A48" w:rsidP="00A32F86">
            <w:pPr>
              <w:pStyle w:val="ListParagraph"/>
              <w:numPr>
                <w:ilvl w:val="0"/>
                <w:numId w:val="42"/>
              </w:numPr>
              <w:tabs>
                <w:tab w:val="left" w:pos="1872"/>
              </w:tabs>
              <w:spacing w:after="0" w:line="240" w:lineRule="auto"/>
              <w:ind w:right="17"/>
              <w:jc w:val="both"/>
              <w:rPr>
                <w:rFonts w:ascii="Bookman Old Style" w:hAnsi="Bookman Old Style" w:cstheme="minorHAnsi"/>
                <w:sz w:val="20"/>
                <w:szCs w:val="20"/>
              </w:rPr>
            </w:pPr>
            <w:r w:rsidRPr="007007D1">
              <w:rPr>
                <w:rFonts w:ascii="Bookman Old Style" w:hAnsi="Bookman Old Style"/>
                <w:color w:val="000000"/>
                <w:sz w:val="20"/>
                <w:szCs w:val="20"/>
              </w:rPr>
              <w:t>Selain sanksi sebagaimana dimaksud dalam Pasal 28, Bank yang terlambat menyampaikan Kertas Kerja NSFR dan Laporan NSFR posisi akhir triwulan laporan sebagaimana dimaksud dalam Pasal 23 ayat (1) dikenakan sanksi administrasi berupa denda sebesar Rp1.000.000,00 (satu juta rupiah) per hari kerja keterlambatan atau paling banyak Rp50.000.000,00 (lima puluh juta rupiah).</w:t>
            </w:r>
          </w:p>
        </w:tc>
        <w:tc>
          <w:tcPr>
            <w:tcW w:w="4840" w:type="dxa"/>
            <w:shd w:val="clear" w:color="auto" w:fill="auto"/>
          </w:tcPr>
          <w:p w14:paraId="1617B904" w14:textId="77777777" w:rsidR="00910A48" w:rsidRPr="007007D1" w:rsidRDefault="00910A48" w:rsidP="00910A48">
            <w:pPr>
              <w:tabs>
                <w:tab w:val="left" w:pos="1980"/>
                <w:tab w:val="left" w:pos="2520"/>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Cukup jelas.</w:t>
            </w:r>
          </w:p>
        </w:tc>
        <w:tc>
          <w:tcPr>
            <w:tcW w:w="3686" w:type="dxa"/>
            <w:shd w:val="clear" w:color="auto" w:fill="auto"/>
          </w:tcPr>
          <w:p w14:paraId="2721804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B43277B"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8B10F03" w14:textId="77777777" w:rsidTr="00910A48">
        <w:tc>
          <w:tcPr>
            <w:tcW w:w="4794" w:type="dxa"/>
            <w:shd w:val="clear" w:color="auto" w:fill="auto"/>
            <w:vAlign w:val="center"/>
          </w:tcPr>
          <w:p w14:paraId="1E40EDE3" w14:textId="77777777" w:rsidR="00910A48" w:rsidRPr="00C84F36" w:rsidRDefault="00910A48" w:rsidP="00A32F86">
            <w:pPr>
              <w:pStyle w:val="ListParagraph"/>
              <w:numPr>
                <w:ilvl w:val="0"/>
                <w:numId w:val="42"/>
              </w:numPr>
              <w:tabs>
                <w:tab w:val="left" w:pos="1872"/>
                <w:tab w:val="left" w:pos="2552"/>
              </w:tabs>
              <w:spacing w:after="0" w:line="240" w:lineRule="auto"/>
              <w:jc w:val="both"/>
              <w:rPr>
                <w:rFonts w:ascii="Bookman Old Style" w:hAnsi="Bookman Old Style" w:cstheme="minorHAnsi"/>
                <w:color w:val="000000" w:themeColor="text1"/>
                <w:sz w:val="20"/>
                <w:szCs w:val="20"/>
              </w:rPr>
            </w:pPr>
            <w:r w:rsidRPr="007007D1">
              <w:rPr>
                <w:rFonts w:ascii="Bookman Old Style" w:hAnsi="Bookman Old Style"/>
                <w:color w:val="000000"/>
                <w:sz w:val="20"/>
                <w:szCs w:val="20"/>
                <w:lang w:val="sv-SE"/>
              </w:rPr>
              <w:t>Bank yang tidak mencantumkan nilai persentase NSFR posisi akhir triwulan laporan dalam laporan publikasi triwulanan sebagaimana dimaksud dalam Pasal 23 ayat (2) huruf b dikenakan sanksi sesuai dengan ketentuan Otoritas Jasa Keuangan yang mengatur mengenai transparansi dan publikasi laporan Bank.</w:t>
            </w:r>
          </w:p>
          <w:p w14:paraId="5D2A4F0A" w14:textId="65CDABB3" w:rsidR="00C84F36" w:rsidRPr="007007D1" w:rsidRDefault="00C84F36" w:rsidP="00C84F36">
            <w:pPr>
              <w:pStyle w:val="ListParagraph"/>
              <w:tabs>
                <w:tab w:val="left" w:pos="1872"/>
                <w:tab w:val="left" w:pos="2552"/>
              </w:tabs>
              <w:spacing w:after="0" w:line="240" w:lineRule="auto"/>
              <w:ind w:left="360"/>
              <w:jc w:val="both"/>
              <w:rPr>
                <w:rFonts w:ascii="Bookman Old Style" w:hAnsi="Bookman Old Style" w:cstheme="minorHAnsi"/>
                <w:color w:val="000000" w:themeColor="text1"/>
                <w:sz w:val="20"/>
                <w:szCs w:val="20"/>
              </w:rPr>
            </w:pPr>
          </w:p>
        </w:tc>
        <w:tc>
          <w:tcPr>
            <w:tcW w:w="4840" w:type="dxa"/>
            <w:shd w:val="clear" w:color="auto" w:fill="auto"/>
          </w:tcPr>
          <w:p w14:paraId="3B2728F2"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685A9E7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77EDB5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3B18AF91" w14:textId="77777777" w:rsidTr="001A4A10">
        <w:tc>
          <w:tcPr>
            <w:tcW w:w="4794" w:type="dxa"/>
            <w:shd w:val="clear" w:color="auto" w:fill="FFF2CC" w:themeFill="accent4" w:themeFillTint="33"/>
            <w:vAlign w:val="center"/>
          </w:tcPr>
          <w:p w14:paraId="1B99DCB4"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BAB V</w:t>
            </w:r>
          </w:p>
        </w:tc>
        <w:tc>
          <w:tcPr>
            <w:tcW w:w="4840" w:type="dxa"/>
            <w:shd w:val="clear" w:color="auto" w:fill="FFF2CC" w:themeFill="accent4" w:themeFillTint="33"/>
          </w:tcPr>
          <w:p w14:paraId="78B4AD78"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FFF2CC" w:themeFill="accent4" w:themeFillTint="33"/>
          </w:tcPr>
          <w:p w14:paraId="466FCAC1"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FFF2CC" w:themeFill="accent4" w:themeFillTint="33"/>
          </w:tcPr>
          <w:p w14:paraId="49C2392F"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66A7D299" w14:textId="77777777" w:rsidTr="001A4A10">
        <w:tc>
          <w:tcPr>
            <w:tcW w:w="4794" w:type="dxa"/>
            <w:shd w:val="clear" w:color="auto" w:fill="FFF2CC" w:themeFill="accent4" w:themeFillTint="33"/>
            <w:vAlign w:val="center"/>
          </w:tcPr>
          <w:p w14:paraId="3D14324E" w14:textId="77777777" w:rsidR="00910A48" w:rsidRPr="007007D1" w:rsidRDefault="00910A48" w:rsidP="00C84F36">
            <w:pPr>
              <w:tabs>
                <w:tab w:val="left" w:pos="1872"/>
                <w:tab w:val="left" w:pos="255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sv-SE"/>
              </w:rPr>
              <w:t>KETENTUAN PENUTUP</w:t>
            </w:r>
          </w:p>
        </w:tc>
        <w:tc>
          <w:tcPr>
            <w:tcW w:w="4840" w:type="dxa"/>
            <w:shd w:val="clear" w:color="auto" w:fill="FFF2CC" w:themeFill="accent4" w:themeFillTint="33"/>
          </w:tcPr>
          <w:p w14:paraId="4ADAB200"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FFF2CC" w:themeFill="accent4" w:themeFillTint="33"/>
          </w:tcPr>
          <w:p w14:paraId="42EB97C5"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FFF2CC" w:themeFill="accent4" w:themeFillTint="33"/>
          </w:tcPr>
          <w:p w14:paraId="632A3E6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1A4A10" w:rsidRPr="00BA5B40" w14:paraId="785357D7" w14:textId="77777777" w:rsidTr="001A4A10">
        <w:tc>
          <w:tcPr>
            <w:tcW w:w="4794" w:type="dxa"/>
            <w:shd w:val="clear" w:color="auto" w:fill="auto"/>
            <w:vAlign w:val="center"/>
          </w:tcPr>
          <w:p w14:paraId="0E3B9DC2" w14:textId="77777777" w:rsidR="001A4A10" w:rsidRPr="007007D1" w:rsidRDefault="001A4A10" w:rsidP="00C84F36">
            <w:pPr>
              <w:tabs>
                <w:tab w:val="left" w:pos="1872"/>
                <w:tab w:val="left" w:pos="2552"/>
              </w:tabs>
              <w:spacing w:after="0" w:line="240" w:lineRule="auto"/>
              <w:ind w:left="30"/>
              <w:jc w:val="center"/>
              <w:rPr>
                <w:rFonts w:ascii="Bookman Old Style" w:hAnsi="Bookman Old Style"/>
                <w:color w:val="000000" w:themeColor="text1"/>
                <w:sz w:val="20"/>
                <w:szCs w:val="20"/>
                <w:lang w:val="sv-SE"/>
              </w:rPr>
            </w:pPr>
          </w:p>
        </w:tc>
        <w:tc>
          <w:tcPr>
            <w:tcW w:w="4840" w:type="dxa"/>
            <w:shd w:val="clear" w:color="auto" w:fill="auto"/>
          </w:tcPr>
          <w:p w14:paraId="201FE13D" w14:textId="77777777" w:rsidR="001A4A10" w:rsidRPr="007007D1" w:rsidRDefault="001A4A10"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021098C3" w14:textId="77777777" w:rsidR="001A4A10" w:rsidRPr="00BA5B40" w:rsidRDefault="001A4A10"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51C11BC6" w14:textId="77777777" w:rsidR="001A4A10" w:rsidRPr="00BA5B40" w:rsidRDefault="001A4A10"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5DBB0496" w14:textId="77777777" w:rsidTr="00C84F36">
        <w:tc>
          <w:tcPr>
            <w:tcW w:w="4794" w:type="dxa"/>
            <w:shd w:val="clear" w:color="auto" w:fill="DBDBDB" w:themeFill="accent3" w:themeFillTint="66"/>
            <w:vAlign w:val="center"/>
          </w:tcPr>
          <w:p w14:paraId="4F471CBC" w14:textId="77777777" w:rsidR="00910A48" w:rsidRPr="007007D1" w:rsidRDefault="00910A48" w:rsidP="00C84F36">
            <w:pPr>
              <w:tabs>
                <w:tab w:val="left" w:pos="1872"/>
              </w:tabs>
              <w:spacing w:after="0" w:line="240" w:lineRule="auto"/>
              <w:ind w:left="30"/>
              <w:jc w:val="center"/>
              <w:rPr>
                <w:rFonts w:ascii="Bookman Old Style" w:hAnsi="Bookman Old Style" w:cstheme="minorHAnsi"/>
                <w:color w:val="000000" w:themeColor="text1"/>
                <w:sz w:val="20"/>
                <w:szCs w:val="20"/>
              </w:rPr>
            </w:pPr>
            <w:r w:rsidRPr="007007D1">
              <w:rPr>
                <w:rFonts w:ascii="Bookman Old Style" w:hAnsi="Bookman Old Style"/>
                <w:color w:val="000000" w:themeColor="text1"/>
                <w:sz w:val="20"/>
                <w:szCs w:val="20"/>
                <w:lang w:val="it-IT"/>
              </w:rPr>
              <w:t>Pasal 31</w:t>
            </w:r>
          </w:p>
        </w:tc>
        <w:tc>
          <w:tcPr>
            <w:tcW w:w="4840" w:type="dxa"/>
            <w:shd w:val="clear" w:color="auto" w:fill="DBDBDB" w:themeFill="accent3" w:themeFillTint="66"/>
            <w:vAlign w:val="center"/>
          </w:tcPr>
          <w:p w14:paraId="76263A60"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en-US"/>
              </w:rPr>
              <w:t>Pasal 31</w:t>
            </w:r>
          </w:p>
        </w:tc>
        <w:tc>
          <w:tcPr>
            <w:tcW w:w="3686" w:type="dxa"/>
            <w:shd w:val="clear" w:color="auto" w:fill="DBDBDB" w:themeFill="accent3" w:themeFillTint="66"/>
          </w:tcPr>
          <w:p w14:paraId="339A6C29"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DBDBDB" w:themeFill="accent3" w:themeFillTint="66"/>
          </w:tcPr>
          <w:p w14:paraId="46344154"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19739233" w14:textId="77777777" w:rsidTr="00910A48">
        <w:tc>
          <w:tcPr>
            <w:tcW w:w="4794" w:type="dxa"/>
            <w:shd w:val="clear" w:color="auto" w:fill="auto"/>
            <w:vAlign w:val="center"/>
          </w:tcPr>
          <w:p w14:paraId="1B4CA11E" w14:textId="77777777" w:rsidR="00910A48" w:rsidRDefault="00910A48" w:rsidP="00910A48">
            <w:pPr>
              <w:tabs>
                <w:tab w:val="left" w:pos="1872"/>
                <w:tab w:val="left" w:pos="2552"/>
              </w:tabs>
              <w:spacing w:after="0" w:line="240" w:lineRule="auto"/>
              <w:ind w:left="30"/>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Peraturan Otoritas Jasa Keuangan ini mulai berlaku pada tanggal diundangkan.</w:t>
            </w:r>
          </w:p>
          <w:p w14:paraId="6AABDCDC" w14:textId="606B9C00" w:rsidR="00C84F36" w:rsidRPr="007007D1" w:rsidRDefault="00C84F36"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p>
        </w:tc>
        <w:tc>
          <w:tcPr>
            <w:tcW w:w="4840" w:type="dxa"/>
            <w:shd w:val="clear" w:color="auto" w:fill="auto"/>
            <w:vAlign w:val="center"/>
          </w:tcPr>
          <w:p w14:paraId="5E44D31D" w14:textId="77777777" w:rsidR="00910A48" w:rsidRPr="007007D1"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r w:rsidRPr="007007D1">
              <w:rPr>
                <w:rFonts w:ascii="Bookman Old Style" w:hAnsi="Bookman Old Style"/>
                <w:color w:val="000000" w:themeColor="text1"/>
                <w:sz w:val="20"/>
                <w:szCs w:val="20"/>
                <w:lang w:val="sv-SE"/>
              </w:rPr>
              <w:t>Cukup jelas.</w:t>
            </w:r>
          </w:p>
        </w:tc>
        <w:tc>
          <w:tcPr>
            <w:tcW w:w="3686" w:type="dxa"/>
            <w:shd w:val="clear" w:color="auto" w:fill="auto"/>
          </w:tcPr>
          <w:p w14:paraId="1163EEA8"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41C764D2"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910A48" w:rsidRPr="00BA5B40" w14:paraId="700BF0BD" w14:textId="77777777" w:rsidTr="00910A48">
        <w:tc>
          <w:tcPr>
            <w:tcW w:w="4794" w:type="dxa"/>
            <w:shd w:val="clear" w:color="auto" w:fill="auto"/>
            <w:vAlign w:val="center"/>
          </w:tcPr>
          <w:p w14:paraId="77AA6EDA" w14:textId="77777777" w:rsidR="00910A48" w:rsidRDefault="00910A48" w:rsidP="00910A48">
            <w:pPr>
              <w:tabs>
                <w:tab w:val="left" w:pos="1872"/>
                <w:tab w:val="left" w:pos="2552"/>
              </w:tabs>
              <w:spacing w:after="0" w:line="240" w:lineRule="auto"/>
              <w:ind w:left="30"/>
              <w:jc w:val="both"/>
              <w:rPr>
                <w:rFonts w:ascii="Bookman Old Style" w:hAnsi="Bookman Old Style"/>
                <w:color w:val="000000" w:themeColor="text1"/>
                <w:sz w:val="20"/>
                <w:szCs w:val="20"/>
                <w:lang w:val="sv-SE"/>
              </w:rPr>
            </w:pPr>
            <w:r w:rsidRPr="007007D1">
              <w:rPr>
                <w:rFonts w:ascii="Bookman Old Style" w:hAnsi="Bookman Old Style"/>
                <w:color w:val="000000" w:themeColor="text1"/>
                <w:sz w:val="20"/>
                <w:szCs w:val="20"/>
                <w:lang w:val="sv-SE"/>
              </w:rPr>
              <w:t>Agar setiap orang mengetahuinya, memerintahkan pengundangan Peraturan Otoritas Jasa Keuangan ini dengan penempatannya dalam Lembaran Negara Republik Indonesia.</w:t>
            </w:r>
          </w:p>
          <w:p w14:paraId="01BC7411" w14:textId="0607E35F" w:rsidR="00C84F36" w:rsidRPr="007007D1" w:rsidRDefault="00C84F36" w:rsidP="00910A48">
            <w:pPr>
              <w:tabs>
                <w:tab w:val="left" w:pos="1872"/>
                <w:tab w:val="left" w:pos="2552"/>
              </w:tabs>
              <w:spacing w:after="0" w:line="240" w:lineRule="auto"/>
              <w:ind w:left="30"/>
              <w:jc w:val="both"/>
              <w:rPr>
                <w:rFonts w:ascii="Bookman Old Style" w:hAnsi="Bookman Old Style" w:cstheme="minorHAnsi"/>
                <w:color w:val="000000" w:themeColor="text1"/>
                <w:sz w:val="20"/>
                <w:szCs w:val="20"/>
              </w:rPr>
            </w:pPr>
          </w:p>
        </w:tc>
        <w:tc>
          <w:tcPr>
            <w:tcW w:w="4840" w:type="dxa"/>
            <w:shd w:val="clear" w:color="auto" w:fill="auto"/>
          </w:tcPr>
          <w:p w14:paraId="35BD52DE" w14:textId="77777777" w:rsidR="00910A48" w:rsidRPr="007007D1" w:rsidRDefault="00910A48" w:rsidP="00910A48">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3B20EC50"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7916857C" w14:textId="77777777" w:rsidR="00910A48" w:rsidRPr="00BA5B40" w:rsidRDefault="00910A48" w:rsidP="00910A48">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390B7362" w14:textId="77777777" w:rsidTr="00DB697A">
        <w:tc>
          <w:tcPr>
            <w:tcW w:w="4794" w:type="dxa"/>
            <w:shd w:val="clear" w:color="auto" w:fill="auto"/>
          </w:tcPr>
          <w:p w14:paraId="4B5B98D0" w14:textId="77777777"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t>Ditetapkan di Jakarta</w:t>
            </w:r>
          </w:p>
          <w:p w14:paraId="14022E0B" w14:textId="77777777"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t xml:space="preserve">pada tanggal         </w:t>
            </w:r>
          </w:p>
          <w:p w14:paraId="32AD249A" w14:textId="77777777"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lastRenderedPageBreak/>
              <w:t xml:space="preserve">      </w:t>
            </w:r>
          </w:p>
          <w:p w14:paraId="37620229" w14:textId="77777777" w:rsidR="00C84F36" w:rsidRPr="004D7F5E" w:rsidRDefault="00C84F36" w:rsidP="00C84F36">
            <w:pPr>
              <w:widowControl w:val="0"/>
              <w:spacing w:after="0" w:line="240" w:lineRule="auto"/>
              <w:ind w:left="176"/>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t>KETUA DEWAN KOMISIONER</w:t>
            </w:r>
          </w:p>
          <w:p w14:paraId="45F9AD0B" w14:textId="77777777" w:rsidR="00C84F36" w:rsidRPr="00BF4C58" w:rsidRDefault="00C84F36" w:rsidP="00C84F36">
            <w:pPr>
              <w:widowControl w:val="0"/>
              <w:spacing w:after="0" w:line="240" w:lineRule="auto"/>
              <w:ind w:left="176"/>
              <w:rPr>
                <w:rFonts w:ascii="Bookman Old Style" w:eastAsia="Bookman Old Style" w:hAnsi="Bookman Old Style" w:cs="Bookman Old Style"/>
                <w:noProof/>
                <w:sz w:val="20"/>
                <w:szCs w:val="20"/>
              </w:rPr>
            </w:pPr>
            <w:r w:rsidRPr="00BF4C58">
              <w:rPr>
                <w:rFonts w:ascii="Bookman Old Style" w:eastAsia="Bookman Old Style" w:hAnsi="Bookman Old Style" w:cs="Bookman Old Style"/>
                <w:noProof/>
                <w:sz w:val="20"/>
                <w:szCs w:val="20"/>
              </w:rPr>
              <w:t>OTORITAS JASA KEUANGAN</w:t>
            </w:r>
          </w:p>
          <w:p w14:paraId="16706A25" w14:textId="77777777" w:rsidR="00C84F36" w:rsidRPr="00BF4C58" w:rsidRDefault="00C84F36" w:rsidP="00C84F36">
            <w:pPr>
              <w:widowControl w:val="0"/>
              <w:spacing w:after="0" w:line="240" w:lineRule="auto"/>
              <w:ind w:left="176"/>
              <w:rPr>
                <w:rFonts w:ascii="Bookman Old Style" w:eastAsia="Bookman Old Style" w:hAnsi="Bookman Old Style" w:cs="Bookman Old Style"/>
                <w:noProof/>
                <w:sz w:val="20"/>
                <w:szCs w:val="20"/>
              </w:rPr>
            </w:pPr>
            <w:r w:rsidRPr="00BF4C58">
              <w:rPr>
                <w:rFonts w:ascii="Bookman Old Style" w:eastAsia="Bookman Old Style" w:hAnsi="Bookman Old Style" w:cs="Bookman Old Style"/>
                <w:noProof/>
                <w:sz w:val="20"/>
                <w:szCs w:val="20"/>
              </w:rPr>
              <w:t>REPUBLIK INDONESIA,</w:t>
            </w:r>
          </w:p>
          <w:p w14:paraId="71A4DD89" w14:textId="77777777" w:rsidR="00C84F36" w:rsidRPr="00BF4C58" w:rsidRDefault="00C84F36" w:rsidP="00C84F36">
            <w:pPr>
              <w:widowControl w:val="0"/>
              <w:spacing w:after="0" w:line="240" w:lineRule="auto"/>
              <w:ind w:left="176"/>
              <w:jc w:val="center"/>
              <w:rPr>
                <w:rFonts w:ascii="Bookman Old Style" w:eastAsia="Bookman Old Style" w:hAnsi="Bookman Old Style" w:cs="Bookman Old Style"/>
                <w:noProof/>
                <w:sz w:val="20"/>
                <w:szCs w:val="20"/>
              </w:rPr>
            </w:pPr>
          </w:p>
          <w:p w14:paraId="5CD3D7A4" w14:textId="77777777" w:rsidR="00C84F36" w:rsidRPr="00BF4C58" w:rsidRDefault="00C84F36" w:rsidP="00C84F36">
            <w:pPr>
              <w:widowControl w:val="0"/>
              <w:spacing w:after="0" w:line="240" w:lineRule="auto"/>
              <w:ind w:left="176"/>
              <w:jc w:val="center"/>
              <w:rPr>
                <w:rFonts w:ascii="Bookman Old Style" w:eastAsia="Bookman Old Style" w:hAnsi="Bookman Old Style" w:cs="Bookman Old Style"/>
                <w:noProof/>
                <w:sz w:val="20"/>
                <w:szCs w:val="20"/>
              </w:rPr>
            </w:pPr>
          </w:p>
          <w:p w14:paraId="4604869E" w14:textId="77777777" w:rsidR="00C84F36" w:rsidRPr="00BF4C58" w:rsidRDefault="00C84F36" w:rsidP="00C84F36">
            <w:pPr>
              <w:widowControl w:val="0"/>
              <w:spacing w:after="0" w:line="240" w:lineRule="auto"/>
              <w:ind w:left="176"/>
              <w:jc w:val="center"/>
              <w:rPr>
                <w:rFonts w:ascii="Bookman Old Style" w:eastAsia="Bookman Old Style" w:hAnsi="Bookman Old Style" w:cs="Bookman Old Style"/>
                <w:noProof/>
                <w:sz w:val="20"/>
                <w:szCs w:val="20"/>
              </w:rPr>
            </w:pPr>
          </w:p>
          <w:p w14:paraId="3D6610D5" w14:textId="77777777" w:rsidR="00C84F36" w:rsidRDefault="00B03AEA" w:rsidP="001A4A10">
            <w:pPr>
              <w:tabs>
                <w:tab w:val="left" w:pos="1872"/>
                <w:tab w:val="left" w:pos="2552"/>
              </w:tabs>
              <w:spacing w:after="0" w:line="240" w:lineRule="auto"/>
              <w:ind w:left="30"/>
              <w:jc w:val="both"/>
              <w:rPr>
                <w:rFonts w:ascii="Bookman Old Style" w:eastAsia="Bookman Old Style" w:hAnsi="Bookman Old Style" w:cs="Bookman Old Style"/>
                <w:noProof/>
                <w:sz w:val="20"/>
                <w:szCs w:val="20"/>
              </w:rPr>
            </w:pPr>
            <w:sdt>
              <w:sdtPr>
                <w:rPr>
                  <w:rFonts w:ascii="Bookman Old Style" w:hAnsi="Bookman Old Style"/>
                  <w:noProof/>
                  <w:sz w:val="20"/>
                  <w:szCs w:val="20"/>
                </w:rPr>
                <w:tag w:val="goog_rdk_29"/>
                <w:id w:val="-1198697921"/>
                <w:showingPlcHdr/>
              </w:sdtPr>
              <w:sdtContent>
                <w:r w:rsidR="00C84F36" w:rsidRPr="00BF4C58">
                  <w:rPr>
                    <w:rFonts w:ascii="Bookman Old Style" w:hAnsi="Bookman Old Style"/>
                    <w:noProof/>
                    <w:sz w:val="20"/>
                    <w:szCs w:val="20"/>
                  </w:rPr>
                  <w:t xml:space="preserve">     </w:t>
                </w:r>
              </w:sdtContent>
            </w:sdt>
            <w:r w:rsidR="00C84F36" w:rsidRPr="00BF4C58">
              <w:rPr>
                <w:rFonts w:ascii="Bookman Old Style" w:eastAsia="Bookman Old Style" w:hAnsi="Bookman Old Style" w:cs="Bookman Old Style"/>
                <w:noProof/>
                <w:sz w:val="20"/>
                <w:szCs w:val="20"/>
              </w:rPr>
              <w:t>MAHENDRA SIREGAR</w:t>
            </w:r>
          </w:p>
          <w:p w14:paraId="4AB5AB4F" w14:textId="2983B93D" w:rsidR="001A4A10" w:rsidRPr="001A4A10" w:rsidRDefault="001A4A10" w:rsidP="001A4A10">
            <w:pPr>
              <w:tabs>
                <w:tab w:val="left" w:pos="1872"/>
                <w:tab w:val="left" w:pos="2552"/>
              </w:tabs>
              <w:spacing w:after="0" w:line="240" w:lineRule="auto"/>
              <w:ind w:left="30"/>
              <w:jc w:val="both"/>
              <w:rPr>
                <w:rFonts w:ascii="Bookman Old Style" w:eastAsia="Bookman Old Style" w:hAnsi="Bookman Old Style" w:cs="Bookman Old Style"/>
                <w:noProof/>
                <w:sz w:val="20"/>
                <w:szCs w:val="20"/>
              </w:rPr>
            </w:pPr>
          </w:p>
        </w:tc>
        <w:tc>
          <w:tcPr>
            <w:tcW w:w="4840" w:type="dxa"/>
            <w:shd w:val="clear" w:color="auto" w:fill="auto"/>
          </w:tcPr>
          <w:p w14:paraId="3679D336" w14:textId="77777777" w:rsidR="00C84F36" w:rsidRPr="007007D1" w:rsidRDefault="00C84F36" w:rsidP="00C84F36">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AA88C77" w14:textId="77777777" w:rsidR="00C84F36" w:rsidRPr="00BA5B40" w:rsidRDefault="00C84F36" w:rsidP="00C84F36">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F21A6DF" w14:textId="77777777" w:rsidR="00C84F36" w:rsidRPr="00BA5B40" w:rsidRDefault="00C84F36" w:rsidP="00C84F36">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7B85CE76" w14:textId="77777777" w:rsidTr="00DB697A">
        <w:tc>
          <w:tcPr>
            <w:tcW w:w="4794" w:type="dxa"/>
            <w:shd w:val="clear" w:color="auto" w:fill="auto"/>
          </w:tcPr>
          <w:p w14:paraId="6F2D9F64" w14:textId="77777777"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t>Diundangkan di Jakarta</w:t>
            </w:r>
          </w:p>
          <w:p w14:paraId="4448BE08" w14:textId="77777777"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t xml:space="preserve">pada tanggal                  </w:t>
            </w:r>
          </w:p>
          <w:p w14:paraId="35AF18BE" w14:textId="77777777"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p>
          <w:p w14:paraId="1954F0B7" w14:textId="71E7238B"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4D7F5E">
              <w:rPr>
                <w:rFonts w:ascii="Bookman Old Style" w:eastAsia="Bookman Old Style" w:hAnsi="Bookman Old Style" w:cs="Bookman Old Style"/>
                <w:noProof/>
                <w:sz w:val="20"/>
                <w:szCs w:val="20"/>
                <w:lang w:val="fi-FI"/>
              </w:rPr>
              <w:t xml:space="preserve">MENTERI HUKUM </w:t>
            </w:r>
          </w:p>
          <w:p w14:paraId="6AA35F17" w14:textId="77777777" w:rsidR="00C84F36" w:rsidRPr="00C01D18" w:rsidRDefault="00C84F36" w:rsidP="00C84F36">
            <w:pPr>
              <w:widowControl w:val="0"/>
              <w:spacing w:after="0" w:line="240" w:lineRule="auto"/>
              <w:ind w:left="176"/>
              <w:jc w:val="both"/>
              <w:rPr>
                <w:rFonts w:ascii="Bookman Old Style" w:eastAsia="Bookman Old Style" w:hAnsi="Bookman Old Style" w:cs="Bookman Old Style"/>
                <w:noProof/>
                <w:sz w:val="20"/>
                <w:szCs w:val="20"/>
              </w:rPr>
            </w:pPr>
            <w:r w:rsidRPr="00C01D18">
              <w:rPr>
                <w:rFonts w:ascii="Bookman Old Style" w:eastAsia="Bookman Old Style" w:hAnsi="Bookman Old Style" w:cs="Bookman Old Style"/>
                <w:noProof/>
                <w:sz w:val="20"/>
                <w:szCs w:val="20"/>
              </w:rPr>
              <w:t>REPUBLIK INDONESIA,</w:t>
            </w:r>
          </w:p>
          <w:p w14:paraId="1883E18E" w14:textId="77777777" w:rsidR="00C84F36" w:rsidRPr="00C01D18" w:rsidRDefault="00C84F36" w:rsidP="00C84F36">
            <w:pPr>
              <w:widowControl w:val="0"/>
              <w:spacing w:after="0" w:line="240" w:lineRule="auto"/>
              <w:ind w:left="176"/>
              <w:jc w:val="both"/>
              <w:rPr>
                <w:rFonts w:ascii="Bookman Old Style" w:eastAsia="Bookman Old Style" w:hAnsi="Bookman Old Style" w:cs="Bookman Old Style"/>
                <w:noProof/>
                <w:sz w:val="20"/>
                <w:szCs w:val="20"/>
              </w:rPr>
            </w:pPr>
          </w:p>
          <w:p w14:paraId="1670C327" w14:textId="77777777" w:rsidR="00C84F36" w:rsidRPr="00C01D18" w:rsidRDefault="00C84F36" w:rsidP="00C84F36">
            <w:pPr>
              <w:widowControl w:val="0"/>
              <w:spacing w:after="0" w:line="240" w:lineRule="auto"/>
              <w:ind w:left="176"/>
              <w:jc w:val="both"/>
              <w:rPr>
                <w:rFonts w:ascii="Bookman Old Style" w:eastAsia="Bookman Old Style" w:hAnsi="Bookman Old Style" w:cs="Bookman Old Style"/>
                <w:noProof/>
                <w:sz w:val="20"/>
                <w:szCs w:val="20"/>
              </w:rPr>
            </w:pPr>
          </w:p>
          <w:p w14:paraId="7EFB7C57" w14:textId="77777777" w:rsidR="00C84F36" w:rsidRPr="00C01D18" w:rsidRDefault="00C84F36" w:rsidP="00C84F36">
            <w:pPr>
              <w:widowControl w:val="0"/>
              <w:spacing w:after="0" w:line="240" w:lineRule="auto"/>
              <w:ind w:left="176"/>
              <w:jc w:val="both"/>
              <w:rPr>
                <w:rFonts w:ascii="Bookman Old Style" w:eastAsia="Bookman Old Style" w:hAnsi="Bookman Old Style" w:cs="Bookman Old Style"/>
                <w:noProof/>
                <w:sz w:val="20"/>
                <w:szCs w:val="20"/>
              </w:rPr>
            </w:pPr>
          </w:p>
          <w:p w14:paraId="7AA5D3DE" w14:textId="1FC7F31E" w:rsidR="00C84F36" w:rsidRPr="00C84F36" w:rsidRDefault="00C84F36" w:rsidP="00C84F36">
            <w:pPr>
              <w:widowControl w:val="0"/>
              <w:spacing w:after="0" w:line="240" w:lineRule="auto"/>
              <w:ind w:left="176"/>
              <w:jc w:val="both"/>
              <w:rPr>
                <w:rFonts w:ascii="Bookman Old Style" w:eastAsia="Bookman Old Style" w:hAnsi="Bookman Old Style" w:cs="Bookman Old Style"/>
                <w:color w:val="000000" w:themeColor="text1"/>
                <w:sz w:val="20"/>
                <w:szCs w:val="20"/>
              </w:rPr>
            </w:pPr>
            <w:r w:rsidRPr="00F90BE7">
              <w:rPr>
                <w:rFonts w:ascii="Bookman Old Style" w:eastAsia="Bookman Old Style" w:hAnsi="Bookman Old Style" w:cs="Bookman Old Style"/>
                <w:color w:val="000000" w:themeColor="text1"/>
                <w:sz w:val="20"/>
                <w:szCs w:val="20"/>
              </w:rPr>
              <w:t>SUPRATMAN ANDI AGTAS</w:t>
            </w:r>
          </w:p>
        </w:tc>
        <w:tc>
          <w:tcPr>
            <w:tcW w:w="4840" w:type="dxa"/>
            <w:shd w:val="clear" w:color="auto" w:fill="auto"/>
          </w:tcPr>
          <w:p w14:paraId="46BDEAF4" w14:textId="77777777" w:rsidR="00C84F36" w:rsidRPr="007007D1" w:rsidRDefault="00C84F36" w:rsidP="00C84F36">
            <w:pPr>
              <w:tabs>
                <w:tab w:val="left" w:pos="1980"/>
                <w:tab w:val="left" w:pos="2520"/>
                <w:tab w:val="left" w:pos="2552"/>
              </w:tabs>
              <w:spacing w:after="0" w:line="240" w:lineRule="auto"/>
              <w:ind w:left="1985"/>
              <w:jc w:val="both"/>
              <w:rPr>
                <w:rFonts w:ascii="Bookman Old Style" w:eastAsia="Bookman Old Style" w:hAnsi="Bookman Old Style" w:cs="Bookman Old Style"/>
                <w:color w:val="000000" w:themeColor="text1"/>
                <w:sz w:val="20"/>
                <w:szCs w:val="20"/>
              </w:rPr>
            </w:pPr>
          </w:p>
        </w:tc>
        <w:tc>
          <w:tcPr>
            <w:tcW w:w="3686" w:type="dxa"/>
            <w:shd w:val="clear" w:color="auto" w:fill="auto"/>
          </w:tcPr>
          <w:p w14:paraId="7EEB5D7E" w14:textId="77777777" w:rsidR="00C84F36" w:rsidRPr="00BA5B40" w:rsidRDefault="00C84F36" w:rsidP="00C84F36">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266E9639" w14:textId="77777777" w:rsidR="00C84F36" w:rsidRPr="00BA5B40" w:rsidRDefault="00C84F36" w:rsidP="00C84F36">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r w:rsidR="00C84F36" w:rsidRPr="00BA5B40" w14:paraId="1BCFFD53" w14:textId="77777777" w:rsidTr="00DB697A">
        <w:tc>
          <w:tcPr>
            <w:tcW w:w="4794" w:type="dxa"/>
            <w:shd w:val="clear" w:color="auto" w:fill="auto"/>
          </w:tcPr>
          <w:p w14:paraId="1C165AF2" w14:textId="2489D983" w:rsidR="00C84F36" w:rsidRPr="004D7F5E" w:rsidRDefault="00C84F36" w:rsidP="00C84F36">
            <w:pPr>
              <w:widowControl w:val="0"/>
              <w:spacing w:after="0" w:line="240" w:lineRule="auto"/>
              <w:ind w:left="176"/>
              <w:jc w:val="both"/>
              <w:rPr>
                <w:rFonts w:ascii="Bookman Old Style" w:eastAsia="Bookman Old Style" w:hAnsi="Bookman Old Style" w:cs="Bookman Old Style"/>
                <w:noProof/>
                <w:sz w:val="20"/>
                <w:szCs w:val="20"/>
                <w:lang w:val="fi-FI"/>
              </w:rPr>
            </w:pPr>
            <w:r w:rsidRPr="00F90BE7">
              <w:rPr>
                <w:rFonts w:ascii="Bookman Old Style" w:eastAsia="Bookman Old Style" w:hAnsi="Bookman Old Style" w:cs="Bookman Old Style"/>
                <w:color w:val="000000" w:themeColor="text1"/>
                <w:sz w:val="20"/>
                <w:szCs w:val="20"/>
              </w:rPr>
              <w:t>LEMBARAN NEGARA REPUBLIK INDONESIA TAHUN … NOMOR …</w:t>
            </w:r>
          </w:p>
        </w:tc>
        <w:tc>
          <w:tcPr>
            <w:tcW w:w="4840" w:type="dxa"/>
            <w:shd w:val="clear" w:color="auto" w:fill="auto"/>
          </w:tcPr>
          <w:p w14:paraId="20ABBC20" w14:textId="78D8AA5E" w:rsidR="00C84F36" w:rsidRPr="007007D1" w:rsidRDefault="00C84F36" w:rsidP="00C84F36">
            <w:pPr>
              <w:tabs>
                <w:tab w:val="left" w:pos="2552"/>
              </w:tabs>
              <w:spacing w:after="0" w:line="240" w:lineRule="auto"/>
              <w:ind w:left="54"/>
              <w:rPr>
                <w:rFonts w:ascii="Bookman Old Style" w:eastAsia="Bookman Old Style" w:hAnsi="Bookman Old Style" w:cs="Bookman Old Style"/>
                <w:color w:val="000000" w:themeColor="text1"/>
                <w:sz w:val="20"/>
                <w:szCs w:val="20"/>
              </w:rPr>
            </w:pPr>
            <w:r w:rsidRPr="00936ABA">
              <w:rPr>
                <w:rFonts w:ascii="Bookman Old Style" w:hAnsi="Bookman Old Style"/>
                <w:sz w:val="20"/>
                <w:szCs w:val="20"/>
              </w:rPr>
              <w:t>TAMBAHAN LEMBARAN NEGARA REPUBLIK INDONESIA NOMOR …</w:t>
            </w:r>
          </w:p>
        </w:tc>
        <w:tc>
          <w:tcPr>
            <w:tcW w:w="3686" w:type="dxa"/>
            <w:shd w:val="clear" w:color="auto" w:fill="auto"/>
          </w:tcPr>
          <w:p w14:paraId="775CD2AA" w14:textId="77777777" w:rsidR="00C84F36" w:rsidRPr="00BA5B40" w:rsidRDefault="00C84F36" w:rsidP="00C84F36">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c>
          <w:tcPr>
            <w:tcW w:w="3827" w:type="dxa"/>
            <w:shd w:val="clear" w:color="auto" w:fill="auto"/>
          </w:tcPr>
          <w:p w14:paraId="3F0AC90E" w14:textId="77777777" w:rsidR="00C84F36" w:rsidRPr="00BA5B40" w:rsidRDefault="00C84F36" w:rsidP="00C84F36">
            <w:pPr>
              <w:tabs>
                <w:tab w:val="left" w:pos="1980"/>
                <w:tab w:val="left" w:pos="2520"/>
                <w:tab w:val="left" w:pos="2552"/>
              </w:tabs>
              <w:spacing w:after="0" w:line="240" w:lineRule="auto"/>
              <w:jc w:val="both"/>
              <w:rPr>
                <w:rFonts w:ascii="Bookman Old Style" w:eastAsia="Bookman Old Style" w:hAnsi="Bookman Old Style" w:cs="Bookman Old Style"/>
                <w:color w:val="000000" w:themeColor="text1"/>
                <w:sz w:val="20"/>
                <w:szCs w:val="20"/>
              </w:rPr>
            </w:pPr>
          </w:p>
        </w:tc>
      </w:tr>
    </w:tbl>
    <w:p w14:paraId="25435F95" w14:textId="074BFBBC" w:rsidR="00344080" w:rsidRDefault="00344080"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0904FEBE" w14:textId="1FAD6F48"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5B92CFBB" w14:textId="2A382A14"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47B2FF62" w14:textId="38FC1C55"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3AD7B887" w14:textId="00CEF01C"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1DDE0637" w14:textId="69A12D9E"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675FF03C" w14:textId="66900A42"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3EE6655C" w14:textId="27CB5D08"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3FBCB0E2" w14:textId="44DA91B0"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1013E0A3" w14:textId="659D7C91"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0748CBE9" w14:textId="0EC350E9"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tbl>
      <w:tblPr>
        <w:tblpPr w:leftFromText="180" w:rightFromText="180" w:vertAnchor="text" w:tblpY="1"/>
        <w:tblOverlap w:val="never"/>
        <w:tblW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gridCol w:w="3686"/>
        <w:gridCol w:w="3827"/>
      </w:tblGrid>
      <w:tr w:rsidR="00B03AEA" w:rsidRPr="00B03AEA" w14:paraId="6FFE9765" w14:textId="77777777" w:rsidTr="00B03AEA">
        <w:trPr>
          <w:trHeight w:val="564"/>
          <w:tblHeader/>
        </w:trPr>
        <w:tc>
          <w:tcPr>
            <w:tcW w:w="9634" w:type="dxa"/>
            <w:shd w:val="clear" w:color="auto" w:fill="FFFF00"/>
            <w:vAlign w:val="center"/>
          </w:tcPr>
          <w:p w14:paraId="2279F639" w14:textId="4A2C057E"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lastRenderedPageBreak/>
              <w:t>DRAF PERATURAN</w:t>
            </w:r>
          </w:p>
        </w:tc>
        <w:tc>
          <w:tcPr>
            <w:tcW w:w="3686" w:type="dxa"/>
            <w:vMerge w:val="restart"/>
            <w:shd w:val="clear" w:color="auto" w:fill="FFFF00"/>
            <w:vAlign w:val="center"/>
          </w:tcPr>
          <w:p w14:paraId="3BE7B1B0"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TANGGAPAN</w:t>
            </w:r>
          </w:p>
        </w:tc>
        <w:tc>
          <w:tcPr>
            <w:tcW w:w="3827" w:type="dxa"/>
            <w:vMerge w:val="restart"/>
            <w:shd w:val="clear" w:color="auto" w:fill="FFFF00"/>
            <w:vAlign w:val="center"/>
          </w:tcPr>
          <w:p w14:paraId="429883A1"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USULAN PERUBAHAN</w:t>
            </w:r>
          </w:p>
        </w:tc>
      </w:tr>
      <w:tr w:rsidR="00B03AEA" w:rsidRPr="00B03AEA" w14:paraId="3F06FEFA" w14:textId="77777777" w:rsidTr="00B03AEA">
        <w:trPr>
          <w:trHeight w:val="564"/>
          <w:tblHeader/>
        </w:trPr>
        <w:tc>
          <w:tcPr>
            <w:tcW w:w="9634" w:type="dxa"/>
            <w:shd w:val="clear" w:color="auto" w:fill="FFFF00"/>
            <w:vAlign w:val="center"/>
          </w:tcPr>
          <w:p w14:paraId="113D09C3"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t>LAMPIRAN I</w:t>
            </w:r>
          </w:p>
          <w:p w14:paraId="6DAC4399"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RANCANGAN</w:t>
            </w:r>
          </w:p>
          <w:p w14:paraId="04AA2E0C"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PERATURAN OTORITAS JASA KEUANGAN</w:t>
            </w:r>
          </w:p>
          <w:p w14:paraId="0FB53BFC" w14:textId="77777777" w:rsidR="00B03AEA" w:rsidRPr="00B03AEA" w:rsidRDefault="00B03AEA" w:rsidP="00B03AEA">
            <w:pPr>
              <w:spacing w:after="0" w:line="240" w:lineRule="auto"/>
              <w:jc w:val="center"/>
              <w:rPr>
                <w:rFonts w:ascii="Bookman Old Style" w:hAnsi="Bookman Old Style"/>
                <w:color w:val="000000" w:themeColor="text1"/>
                <w:sz w:val="20"/>
                <w:szCs w:val="20"/>
              </w:rPr>
            </w:pPr>
            <w:r w:rsidRPr="00B03AEA">
              <w:rPr>
                <w:rFonts w:ascii="Bookman Old Style" w:hAnsi="Bookman Old Style"/>
                <w:color w:val="000000" w:themeColor="text1"/>
                <w:sz w:val="20"/>
                <w:szCs w:val="20"/>
              </w:rPr>
              <w:t xml:space="preserve">REPUBLIK </w:t>
            </w:r>
            <w:r w:rsidRPr="00B03AEA">
              <w:rPr>
                <w:rFonts w:ascii="Bookman Old Style" w:eastAsia="Bookman Old Style" w:hAnsi="Bookman Old Style" w:cs="Bookman Old Style"/>
                <w:color w:val="000000" w:themeColor="text1"/>
                <w:sz w:val="20"/>
                <w:szCs w:val="20"/>
              </w:rPr>
              <w:t>INDONESIA</w:t>
            </w:r>
          </w:p>
          <w:p w14:paraId="36CAD9CF"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p>
          <w:p w14:paraId="1F12BAEF"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NOMOR ... TAHUN 2024</w:t>
            </w:r>
          </w:p>
          <w:p w14:paraId="2C9A2968" w14:textId="77777777" w:rsidR="00B03AEA" w:rsidRPr="00B03AEA" w:rsidRDefault="00B03AEA" w:rsidP="00B03AEA">
            <w:pPr>
              <w:spacing w:after="0" w:line="240" w:lineRule="auto"/>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TENTANG</w:t>
            </w:r>
          </w:p>
          <w:p w14:paraId="313358AB" w14:textId="77777777" w:rsidR="00B03AEA" w:rsidRPr="00B03AEA" w:rsidRDefault="00B03AEA" w:rsidP="00B03AEA">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 xml:space="preserve">KEWAJIBAN PEMENUHAN </w:t>
            </w:r>
          </w:p>
          <w:p w14:paraId="19DD6274" w14:textId="77777777" w:rsidR="00B03AEA" w:rsidRPr="00B03AEA" w:rsidRDefault="00B03AEA" w:rsidP="00B03AEA">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KECUKUPAN LIKUIDITAS (</w:t>
            </w:r>
            <w:r w:rsidRPr="00B03AEA">
              <w:rPr>
                <w:rFonts w:ascii="Bookman Old Style" w:hAnsi="Bookman Old Style"/>
                <w:i/>
                <w:color w:val="000000" w:themeColor="text1"/>
                <w:sz w:val="20"/>
                <w:szCs w:val="20"/>
                <w:lang w:val="sv-SE"/>
              </w:rPr>
              <w:t>LIQUIDITY COVERAGE RATIO</w:t>
            </w:r>
            <w:r w:rsidRPr="00B03AEA">
              <w:rPr>
                <w:rFonts w:ascii="Bookman Old Style" w:hAnsi="Bookman Old Style"/>
                <w:color w:val="000000" w:themeColor="text1"/>
                <w:sz w:val="20"/>
                <w:szCs w:val="20"/>
                <w:lang w:val="sv-SE"/>
              </w:rPr>
              <w:t xml:space="preserve">) DAN </w:t>
            </w:r>
          </w:p>
          <w:p w14:paraId="5D16B6CF" w14:textId="77777777" w:rsidR="00B03AEA" w:rsidRPr="00B03AEA" w:rsidRDefault="00B03AEA" w:rsidP="00B03AEA">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PENDANAAN STABIL BERSIH (</w:t>
            </w:r>
            <w:r w:rsidRPr="00B03AEA">
              <w:rPr>
                <w:rFonts w:ascii="Bookman Old Style" w:hAnsi="Bookman Old Style"/>
                <w:i/>
                <w:color w:val="000000" w:themeColor="text1"/>
                <w:sz w:val="20"/>
                <w:szCs w:val="20"/>
                <w:lang w:val="sv-SE"/>
              </w:rPr>
              <w:t>NET STABLE FUNDING RATIO)</w:t>
            </w:r>
            <w:r w:rsidRPr="00B03AEA">
              <w:rPr>
                <w:rFonts w:ascii="Bookman Old Style" w:hAnsi="Bookman Old Style"/>
                <w:color w:val="000000" w:themeColor="text1"/>
                <w:sz w:val="20"/>
                <w:szCs w:val="20"/>
                <w:lang w:val="sv-SE"/>
              </w:rPr>
              <w:t xml:space="preserve"> </w:t>
            </w:r>
          </w:p>
          <w:p w14:paraId="374C4F0E" w14:textId="4B7005A8"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hAnsi="Bookman Old Style"/>
                <w:color w:val="000000" w:themeColor="text1"/>
                <w:sz w:val="20"/>
                <w:szCs w:val="20"/>
                <w:lang w:val="sv-SE"/>
              </w:rPr>
              <w:t>BAGI BANK UMUM SYARIAH DAN UNIT USAHA SYARIAH</w:t>
            </w:r>
          </w:p>
        </w:tc>
        <w:tc>
          <w:tcPr>
            <w:tcW w:w="3686" w:type="dxa"/>
            <w:vMerge/>
            <w:shd w:val="clear" w:color="auto" w:fill="FFFF00"/>
            <w:vAlign w:val="center"/>
          </w:tcPr>
          <w:p w14:paraId="0581AB66"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FFFF00"/>
            <w:vAlign w:val="center"/>
          </w:tcPr>
          <w:p w14:paraId="5A991D54"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03AEA" w:rsidRPr="00B03AEA" w14:paraId="65E53956" w14:textId="77777777" w:rsidTr="00B03AEA">
        <w:trPr>
          <w:trHeight w:val="564"/>
          <w:tblHeader/>
        </w:trPr>
        <w:tc>
          <w:tcPr>
            <w:tcW w:w="9634" w:type="dxa"/>
            <w:shd w:val="clear" w:color="auto" w:fill="auto"/>
            <w:vAlign w:val="center"/>
          </w:tcPr>
          <w:p w14:paraId="5611A94C" w14:textId="77777777" w:rsidR="00B03AEA" w:rsidRPr="00B03AEA" w:rsidRDefault="00B03AEA" w:rsidP="00B03AEA">
            <w:pPr>
              <w:pStyle w:val="BodyText"/>
              <w:ind w:right="-1"/>
              <w:jc w:val="center"/>
              <w:rPr>
                <w:rFonts w:ascii="Bookman Old Style" w:hAnsi="Bookman Old Style"/>
                <w:sz w:val="20"/>
                <w:szCs w:val="20"/>
              </w:rPr>
            </w:pPr>
            <w:r w:rsidRPr="00B03AEA">
              <w:rPr>
                <w:rFonts w:ascii="Bookman Old Style" w:hAnsi="Bookman Old Style"/>
                <w:sz w:val="20"/>
                <w:szCs w:val="20"/>
              </w:rPr>
              <w:t>PEDOMAN PERHITUNGAN DAN PENYUSUNAN LAPORAN</w:t>
            </w:r>
          </w:p>
          <w:p w14:paraId="75ED6F14" w14:textId="7E989D80"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hAnsi="Bookman Old Style"/>
                <w:sz w:val="20"/>
                <w:szCs w:val="20"/>
                <w:lang w:val="en-US"/>
              </w:rPr>
              <w:t xml:space="preserve">RASIO </w:t>
            </w:r>
            <w:r w:rsidRPr="00B03AEA">
              <w:rPr>
                <w:rFonts w:ascii="Bookman Old Style" w:hAnsi="Bookman Old Style"/>
                <w:sz w:val="20"/>
                <w:szCs w:val="20"/>
                <w:lang w:val="sv-SE"/>
              </w:rPr>
              <w:t>KECUKUPAN LIKUIDITAS (</w:t>
            </w:r>
            <w:r w:rsidRPr="00B03AEA">
              <w:rPr>
                <w:rFonts w:ascii="Bookman Old Style" w:hAnsi="Bookman Old Style"/>
                <w:i/>
                <w:sz w:val="20"/>
                <w:szCs w:val="20"/>
                <w:lang w:val="sv-SE"/>
              </w:rPr>
              <w:t>LIQUIDITY COVERAGE RATIO</w:t>
            </w:r>
            <w:r w:rsidRPr="00B03AEA">
              <w:rPr>
                <w:rFonts w:ascii="Bookman Old Style" w:hAnsi="Bookman Old Style"/>
                <w:sz w:val="20"/>
                <w:szCs w:val="20"/>
                <w:lang w:val="sv-SE"/>
              </w:rPr>
              <w:t>)</w:t>
            </w:r>
          </w:p>
        </w:tc>
        <w:tc>
          <w:tcPr>
            <w:tcW w:w="3686" w:type="dxa"/>
            <w:shd w:val="clear" w:color="auto" w:fill="auto"/>
            <w:vAlign w:val="center"/>
          </w:tcPr>
          <w:p w14:paraId="30CB4F79"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2B49C85"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03AEA" w:rsidRPr="00B03AEA" w14:paraId="5F322D8F" w14:textId="77777777" w:rsidTr="00B912BD">
        <w:trPr>
          <w:trHeight w:val="564"/>
          <w:tblHeader/>
        </w:trPr>
        <w:tc>
          <w:tcPr>
            <w:tcW w:w="9634" w:type="dxa"/>
            <w:shd w:val="clear" w:color="auto" w:fill="DBDBDB" w:themeFill="accent3" w:themeFillTint="66"/>
            <w:vAlign w:val="center"/>
          </w:tcPr>
          <w:p w14:paraId="221D9B0A" w14:textId="02785D1C" w:rsidR="00B03AEA" w:rsidRPr="00B03AEA" w:rsidRDefault="00B03AEA" w:rsidP="00A32F86">
            <w:pPr>
              <w:pStyle w:val="BodyText"/>
              <w:numPr>
                <w:ilvl w:val="3"/>
                <w:numId w:val="29"/>
              </w:numPr>
              <w:ind w:left="596" w:right="-1" w:hanging="567"/>
              <w:rPr>
                <w:rFonts w:ascii="Bookman Old Style" w:hAnsi="Bookman Old Style"/>
                <w:sz w:val="20"/>
                <w:szCs w:val="20"/>
              </w:rPr>
            </w:pPr>
            <w:r w:rsidRPr="00B03AEA">
              <w:rPr>
                <w:rFonts w:ascii="Bookman Old Style" w:hAnsi="Bookman Old Style"/>
                <w:sz w:val="20"/>
                <w:szCs w:val="20"/>
              </w:rPr>
              <w:t>LATAR BELAKANG</w:t>
            </w:r>
          </w:p>
        </w:tc>
        <w:tc>
          <w:tcPr>
            <w:tcW w:w="3686" w:type="dxa"/>
            <w:shd w:val="clear" w:color="auto" w:fill="DBDBDB" w:themeFill="accent3" w:themeFillTint="66"/>
            <w:vAlign w:val="center"/>
          </w:tcPr>
          <w:p w14:paraId="64D19FC7" w14:textId="77777777" w:rsidR="00B03AEA" w:rsidRPr="00B03AEA" w:rsidRDefault="00B03AEA" w:rsidP="00B03AEA">
            <w:pPr>
              <w:tabs>
                <w:tab w:val="left" w:pos="1980"/>
                <w:tab w:val="left" w:pos="2520"/>
                <w:tab w:val="left" w:pos="2552"/>
              </w:tabs>
              <w:spacing w:after="0" w:line="240" w:lineRule="auto"/>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58EB8AA1" w14:textId="77777777" w:rsidR="00B03AEA" w:rsidRPr="00B03AEA" w:rsidRDefault="00B03AEA" w:rsidP="00B03AEA">
            <w:pPr>
              <w:tabs>
                <w:tab w:val="left" w:pos="1980"/>
                <w:tab w:val="left" w:pos="2520"/>
                <w:tab w:val="left" w:pos="2552"/>
              </w:tabs>
              <w:spacing w:after="0" w:line="240" w:lineRule="auto"/>
              <w:rPr>
                <w:rFonts w:ascii="Bookman Old Style" w:eastAsia="Bookman Old Style" w:hAnsi="Bookman Old Style" w:cs="Bookman Old Style"/>
                <w:b/>
                <w:bCs/>
                <w:color w:val="000000" w:themeColor="text1"/>
                <w:sz w:val="20"/>
                <w:szCs w:val="20"/>
              </w:rPr>
            </w:pPr>
          </w:p>
        </w:tc>
      </w:tr>
      <w:tr w:rsidR="00B03AEA" w:rsidRPr="00B03AEA" w14:paraId="34786917" w14:textId="77777777" w:rsidTr="00B03AEA">
        <w:trPr>
          <w:trHeight w:val="564"/>
          <w:tblHeader/>
        </w:trPr>
        <w:tc>
          <w:tcPr>
            <w:tcW w:w="9634" w:type="dxa"/>
            <w:shd w:val="clear" w:color="auto" w:fill="auto"/>
            <w:vAlign w:val="center"/>
          </w:tcPr>
          <w:p w14:paraId="5E98A7AE" w14:textId="77777777" w:rsidR="00B03AEA" w:rsidRPr="00D3094F" w:rsidRDefault="00B03AEA" w:rsidP="00D3094F">
            <w:pPr>
              <w:pStyle w:val="BodyText"/>
              <w:ind w:left="567" w:right="231" w:firstLine="567"/>
              <w:rPr>
                <w:rFonts w:ascii="Bookman Old Style" w:hAnsi="Bookman Old Style"/>
                <w:sz w:val="20"/>
                <w:szCs w:val="20"/>
              </w:rPr>
            </w:pPr>
            <w:r w:rsidRPr="00D3094F">
              <w:rPr>
                <w:rFonts w:ascii="Bookman Old Style" w:hAnsi="Bookman Old Style"/>
                <w:sz w:val="20"/>
                <w:szCs w:val="20"/>
              </w:rPr>
              <w:t>Peran Bank dalam sistem keuangan menyebabkan Bank secara inheren</w:t>
            </w:r>
            <w:r w:rsidRPr="00D3094F">
              <w:rPr>
                <w:rFonts w:ascii="Bookman Old Style" w:hAnsi="Bookman Old Style"/>
                <w:spacing w:val="1"/>
                <w:sz w:val="20"/>
                <w:szCs w:val="20"/>
              </w:rPr>
              <w:t xml:space="preserve"> </w:t>
            </w:r>
            <w:r w:rsidRPr="00D3094F">
              <w:rPr>
                <w:rFonts w:ascii="Bookman Old Style" w:hAnsi="Bookman Old Style"/>
                <w:sz w:val="20"/>
                <w:szCs w:val="20"/>
              </w:rPr>
              <w:t>terpapar risiko likuiditas. Pengalaman krisis keuangan global</w:t>
            </w:r>
            <w:r w:rsidRPr="00D3094F">
              <w:rPr>
                <w:rFonts w:ascii="Bookman Old Style" w:hAnsi="Bookman Old Style"/>
                <w:spacing w:val="1"/>
                <w:sz w:val="20"/>
                <w:szCs w:val="20"/>
              </w:rPr>
              <w:t xml:space="preserve"> </w:t>
            </w:r>
            <w:r w:rsidRPr="00D3094F">
              <w:rPr>
                <w:rFonts w:ascii="Bookman Old Style" w:hAnsi="Bookman Old Style"/>
                <w:sz w:val="20"/>
                <w:szCs w:val="20"/>
              </w:rPr>
              <w:t>yang terjadi dalam beberapa tahun terakhir menunjukkan bahwa meskipun permodalan</w:t>
            </w:r>
            <w:r w:rsidRPr="00D3094F">
              <w:rPr>
                <w:rFonts w:ascii="Bookman Old Style" w:hAnsi="Bookman Old Style"/>
                <w:spacing w:val="-74"/>
                <w:sz w:val="20"/>
                <w:szCs w:val="20"/>
              </w:rPr>
              <w:t xml:space="preserve"> </w:t>
            </w:r>
            <w:r w:rsidRPr="00D3094F">
              <w:rPr>
                <w:rFonts w:ascii="Bookman Old Style" w:hAnsi="Bookman Old Style"/>
                <w:sz w:val="20"/>
                <w:szCs w:val="20"/>
              </w:rPr>
              <w:t>Bank memadai namun apabila Bank tidak memiliki likuiditas yang cukup untuk menghadapi tekanan atau stres</w:t>
            </w:r>
            <w:r w:rsidRPr="00D3094F">
              <w:rPr>
                <w:rFonts w:ascii="Bookman Old Style" w:hAnsi="Bookman Old Style"/>
                <w:spacing w:val="1"/>
                <w:sz w:val="20"/>
                <w:szCs w:val="20"/>
              </w:rPr>
              <w:t xml:space="preserve"> </w:t>
            </w:r>
            <w:r w:rsidRPr="00D3094F">
              <w:rPr>
                <w:rFonts w:ascii="Bookman Old Style" w:hAnsi="Bookman Old Style"/>
                <w:sz w:val="20"/>
                <w:szCs w:val="20"/>
              </w:rPr>
              <w:t>maka</w:t>
            </w:r>
            <w:r w:rsidRPr="00D3094F">
              <w:rPr>
                <w:rFonts w:ascii="Bookman Old Style" w:hAnsi="Bookman Old Style"/>
                <w:spacing w:val="1"/>
                <w:sz w:val="20"/>
                <w:szCs w:val="20"/>
              </w:rPr>
              <w:t xml:space="preserve"> </w:t>
            </w:r>
            <w:r w:rsidRPr="00D3094F">
              <w:rPr>
                <w:rFonts w:ascii="Bookman Old Style" w:hAnsi="Bookman Old Style"/>
                <w:sz w:val="20"/>
                <w:szCs w:val="20"/>
              </w:rPr>
              <w:t>dapat</w:t>
            </w:r>
            <w:r w:rsidRPr="00D3094F">
              <w:rPr>
                <w:rFonts w:ascii="Bookman Old Style" w:hAnsi="Bookman Old Style"/>
                <w:spacing w:val="1"/>
                <w:sz w:val="20"/>
                <w:szCs w:val="20"/>
              </w:rPr>
              <w:t xml:space="preserve"> </w:t>
            </w:r>
            <w:r w:rsidRPr="00D3094F">
              <w:rPr>
                <w:rFonts w:ascii="Bookman Old Style" w:hAnsi="Bookman Old Style"/>
                <w:sz w:val="20"/>
                <w:szCs w:val="20"/>
              </w:rPr>
              <w:t>mengganggu</w:t>
            </w:r>
            <w:r w:rsidRPr="00D3094F">
              <w:rPr>
                <w:rFonts w:ascii="Bookman Old Style" w:hAnsi="Bookman Old Style"/>
                <w:spacing w:val="1"/>
                <w:sz w:val="20"/>
                <w:szCs w:val="20"/>
              </w:rPr>
              <w:t xml:space="preserve"> </w:t>
            </w:r>
            <w:r w:rsidRPr="00D3094F">
              <w:rPr>
                <w:rFonts w:ascii="Bookman Old Style" w:hAnsi="Bookman Old Style"/>
                <w:sz w:val="20"/>
                <w:szCs w:val="20"/>
              </w:rPr>
              <w:t>kelangsungan</w:t>
            </w:r>
            <w:r w:rsidRPr="00D3094F">
              <w:rPr>
                <w:rFonts w:ascii="Bookman Old Style" w:hAnsi="Bookman Old Style"/>
                <w:spacing w:val="1"/>
                <w:sz w:val="20"/>
                <w:szCs w:val="20"/>
              </w:rPr>
              <w:t xml:space="preserve"> </w:t>
            </w:r>
            <w:r w:rsidRPr="00D3094F">
              <w:rPr>
                <w:rFonts w:ascii="Bookman Old Style" w:hAnsi="Bookman Old Style"/>
                <w:sz w:val="20"/>
                <w:szCs w:val="20"/>
              </w:rPr>
              <w:t>usaha</w:t>
            </w:r>
            <w:r w:rsidRPr="00D3094F">
              <w:rPr>
                <w:rFonts w:ascii="Bookman Old Style" w:hAnsi="Bookman Old Style"/>
                <w:spacing w:val="1"/>
                <w:sz w:val="20"/>
                <w:szCs w:val="20"/>
              </w:rPr>
              <w:t xml:space="preserve"> </w:t>
            </w:r>
            <w:r w:rsidRPr="00D3094F">
              <w:rPr>
                <w:rFonts w:ascii="Bookman Old Style" w:hAnsi="Bookman Old Style"/>
                <w:sz w:val="20"/>
                <w:szCs w:val="20"/>
              </w:rPr>
              <w:t>Bank.</w:t>
            </w:r>
            <w:r w:rsidRPr="00D3094F">
              <w:rPr>
                <w:rFonts w:ascii="Bookman Old Style" w:hAnsi="Bookman Old Style"/>
                <w:spacing w:val="1"/>
                <w:sz w:val="20"/>
                <w:szCs w:val="20"/>
              </w:rPr>
              <w:t xml:space="preserve"> k</w:t>
            </w:r>
            <w:r w:rsidRPr="00D3094F">
              <w:rPr>
                <w:rFonts w:ascii="Bookman Old Style" w:hAnsi="Bookman Old Style"/>
                <w:sz w:val="20"/>
                <w:szCs w:val="20"/>
              </w:rPr>
              <w:t>emampuan Bank untuk memiliki aset likuid yang memadai dan berkualitas tinggi, sumber pendanaan yang stabil, serta keseimbangan jatuh tempo aset dan liabilitas yang tepat, dengan pengelolaan yang baik juga menjadi bagian penting dari</w:t>
            </w:r>
            <w:r w:rsidRPr="00D3094F">
              <w:rPr>
                <w:rFonts w:ascii="Bookman Old Style" w:hAnsi="Bookman Old Style"/>
                <w:spacing w:val="1"/>
                <w:sz w:val="20"/>
                <w:szCs w:val="20"/>
              </w:rPr>
              <w:t xml:space="preserve"> </w:t>
            </w:r>
            <w:r w:rsidRPr="00D3094F">
              <w:rPr>
                <w:rFonts w:ascii="Bookman Old Style" w:hAnsi="Bookman Old Style"/>
                <w:sz w:val="20"/>
                <w:szCs w:val="20"/>
              </w:rPr>
              <w:t xml:space="preserve">kesinambungan proses intermediasi. </w:t>
            </w:r>
          </w:p>
          <w:p w14:paraId="21659402" w14:textId="77777777" w:rsidR="00B03AEA" w:rsidRPr="00D3094F" w:rsidRDefault="00B03AEA" w:rsidP="00D3094F">
            <w:pPr>
              <w:pStyle w:val="BodyText"/>
              <w:ind w:left="567" w:right="231" w:firstLine="567"/>
              <w:rPr>
                <w:rFonts w:ascii="Bookman Old Style" w:hAnsi="Bookman Old Style" w:cs="Times New Roman"/>
                <w:sz w:val="20"/>
                <w:szCs w:val="20"/>
                <w:lang w:val="en-ID" w:eastAsia="en-ID"/>
              </w:rPr>
            </w:pPr>
            <w:r w:rsidRPr="00D3094F">
              <w:rPr>
                <w:rFonts w:ascii="Bookman Old Style" w:hAnsi="Bookman Old Style"/>
                <w:sz w:val="20"/>
                <w:szCs w:val="20"/>
              </w:rPr>
              <w:t>Kecukupan likuiditas yang memadai dapat dipenuhi dengan memelihara kecukupan aset likuid berkualitas tinggi (</w:t>
            </w:r>
            <w:r w:rsidRPr="00D3094F">
              <w:rPr>
                <w:rFonts w:ascii="Bookman Old Style" w:hAnsi="Bookman Old Style"/>
                <w:i/>
                <w:sz w:val="20"/>
                <w:szCs w:val="20"/>
              </w:rPr>
              <w:t>High Quality liquid Asset</w:t>
            </w:r>
            <w:r w:rsidRPr="00D3094F">
              <w:rPr>
                <w:rFonts w:ascii="Bookman Old Style" w:hAnsi="Bookman Old Style"/>
                <w:sz w:val="20"/>
                <w:szCs w:val="20"/>
              </w:rPr>
              <w:t>/HQLA) yang tidak terikat (</w:t>
            </w:r>
            <w:r w:rsidRPr="00D3094F">
              <w:rPr>
                <w:rFonts w:ascii="Bookman Old Style" w:hAnsi="Bookman Old Style"/>
                <w:i/>
                <w:sz w:val="20"/>
                <w:szCs w:val="20"/>
              </w:rPr>
              <w:t>unencumbered</w:t>
            </w:r>
            <w:r w:rsidRPr="00D3094F">
              <w:rPr>
                <w:rFonts w:ascii="Bookman Old Style" w:hAnsi="Bookman Old Style"/>
                <w:sz w:val="20"/>
                <w:szCs w:val="20"/>
              </w:rPr>
              <w:t>). Aset likuid diklasifikasikan sebagai aset berkualitas tinggi jika kemampuan aset tersebut dalam menghasilkan likuiditas akan tetap utuh baik melalui penjualan maupun repo, meskipun dalam kondisi stres yang terjadi pada Bank secara individu (</w:t>
            </w:r>
            <w:r w:rsidRPr="00D3094F">
              <w:rPr>
                <w:rFonts w:ascii="Bookman Old Style" w:hAnsi="Bookman Old Style"/>
                <w:i/>
                <w:sz w:val="20"/>
                <w:szCs w:val="20"/>
              </w:rPr>
              <w:t>idiosyncratic</w:t>
            </w:r>
            <w:r w:rsidRPr="00D3094F">
              <w:rPr>
                <w:rFonts w:ascii="Bookman Old Style" w:hAnsi="Bookman Old Style"/>
                <w:sz w:val="20"/>
                <w:szCs w:val="20"/>
              </w:rPr>
              <w:t>) maupun kondisi stres yang meluas dan terjadi di pasar keuangan secara keseluruhan yang dapat bersifat domestik maupun internasional (</w:t>
            </w:r>
            <w:r w:rsidRPr="00D3094F">
              <w:rPr>
                <w:rFonts w:ascii="Bookman Old Style" w:hAnsi="Bookman Old Style"/>
                <w:i/>
                <w:sz w:val="20"/>
                <w:szCs w:val="20"/>
              </w:rPr>
              <w:t>market-wide shock</w:t>
            </w:r>
            <w:r w:rsidRPr="00D3094F">
              <w:rPr>
                <w:rFonts w:ascii="Bookman Old Style" w:hAnsi="Bookman Old Style"/>
                <w:sz w:val="20"/>
                <w:szCs w:val="20"/>
              </w:rPr>
              <w:t>). Tingkat likuiditas suatu aset akan bergantung pada skenario stres yang mendasari, nilai nominal yang akan diuangkan, dan jangka waktu pencairan aset.</w:t>
            </w:r>
          </w:p>
          <w:p w14:paraId="50EBDA61" w14:textId="46FFCC39" w:rsidR="00B03AEA" w:rsidRPr="00D3094F" w:rsidRDefault="00B03AEA" w:rsidP="00D3094F">
            <w:pPr>
              <w:pStyle w:val="BodyText"/>
              <w:ind w:left="567" w:right="231" w:firstLine="567"/>
              <w:rPr>
                <w:rFonts w:ascii="Bookman Old Style" w:hAnsi="Bookman Old Style" w:cs="Times New Roman"/>
                <w:sz w:val="20"/>
                <w:szCs w:val="20"/>
              </w:rPr>
            </w:pPr>
            <w:r w:rsidRPr="00D3094F">
              <w:rPr>
                <w:rFonts w:ascii="Bookman Old Style" w:hAnsi="Bookman Old Style"/>
                <w:sz w:val="20"/>
                <w:szCs w:val="20"/>
              </w:rPr>
              <w:t xml:space="preserve">Sebagai respon atas kondisi di atas, </w:t>
            </w:r>
            <w:r w:rsidRPr="00D3094F">
              <w:rPr>
                <w:rFonts w:ascii="Bookman Old Style" w:hAnsi="Bookman Old Style"/>
                <w:i/>
                <w:iCs/>
                <w:sz w:val="20"/>
                <w:szCs w:val="20"/>
              </w:rPr>
              <w:t xml:space="preserve">Basel Committee on Banking Supervision </w:t>
            </w:r>
            <w:r w:rsidRPr="00D3094F">
              <w:rPr>
                <w:rFonts w:ascii="Bookman Old Style" w:hAnsi="Bookman Old Style"/>
                <w:sz w:val="20"/>
                <w:szCs w:val="20"/>
              </w:rPr>
              <w:t>(BCBS)</w:t>
            </w:r>
            <w:r w:rsidRPr="00D3094F">
              <w:rPr>
                <w:rFonts w:ascii="Bookman Old Style" w:hAnsi="Bookman Old Style" w:cs="Times New Roman"/>
                <w:sz w:val="20"/>
                <w:szCs w:val="20"/>
              </w:rPr>
              <w:t xml:space="preserve"> pada tahun 2008</w:t>
            </w:r>
            <w:r w:rsidRPr="00D3094F">
              <w:rPr>
                <w:rFonts w:ascii="Bookman Old Style" w:hAnsi="Bookman Old Style" w:cs="Arial"/>
                <w:sz w:val="20"/>
                <w:szCs w:val="20"/>
              </w:rPr>
              <w:t xml:space="preserve"> menerbitkan Princi</w:t>
            </w:r>
            <w:r w:rsidRPr="00D3094F">
              <w:rPr>
                <w:rFonts w:ascii="Bookman Old Style" w:hAnsi="Bookman Old Style" w:cs="Arial"/>
                <w:i/>
                <w:sz w:val="20"/>
                <w:szCs w:val="20"/>
              </w:rPr>
              <w:t>ples for Sound Liquidity Risk Management and Supervision</w:t>
            </w:r>
            <w:r w:rsidRPr="00D3094F">
              <w:rPr>
                <w:rFonts w:ascii="Bookman Old Style" w:hAnsi="Bookman Old Style" w:cs="Arial"/>
                <w:sz w:val="20"/>
                <w:szCs w:val="20"/>
              </w:rPr>
              <w:t xml:space="preserve">, yang memuat standar pengukuran risiko likuiditas, diantaranya </w:t>
            </w:r>
            <w:r w:rsidRPr="00D3094F">
              <w:rPr>
                <w:rFonts w:ascii="Bookman Old Style" w:hAnsi="Bookman Old Style"/>
                <w:i/>
                <w:iCs/>
                <w:sz w:val="20"/>
                <w:szCs w:val="20"/>
              </w:rPr>
              <w:lastRenderedPageBreak/>
              <w:t xml:space="preserve">Liquidity Coverage Ratio </w:t>
            </w:r>
            <w:r w:rsidRPr="00D3094F">
              <w:rPr>
                <w:rFonts w:ascii="Bookman Old Style" w:hAnsi="Bookman Old Style"/>
                <w:iCs/>
                <w:sz w:val="20"/>
                <w:szCs w:val="20"/>
              </w:rPr>
              <w:t xml:space="preserve">(LCR). </w:t>
            </w:r>
            <w:r w:rsidRPr="00D3094F">
              <w:rPr>
                <w:rFonts w:ascii="Bookman Old Style" w:hAnsi="Bookman Old Style" w:cs="Times New Roman"/>
                <w:sz w:val="20"/>
                <w:szCs w:val="20"/>
              </w:rPr>
              <w:t xml:space="preserve">Pada tahun 2010, LCR diintegrasikan ke dalam Basel III: </w:t>
            </w:r>
            <w:r w:rsidRPr="00D3094F">
              <w:rPr>
                <w:rFonts w:ascii="Bookman Old Style" w:hAnsi="Bookman Old Style" w:cs="Segoe UI"/>
                <w:i/>
                <w:sz w:val="20"/>
                <w:szCs w:val="20"/>
              </w:rPr>
              <w:t>A Global Regulatory Framework For More Resilient Banks And Banking Systems</w:t>
            </w:r>
            <w:r w:rsidRPr="00D3094F">
              <w:rPr>
                <w:rFonts w:ascii="Bookman Old Style" w:hAnsi="Bookman Old Style" w:cs="Times New Roman"/>
                <w:sz w:val="20"/>
                <w:szCs w:val="20"/>
              </w:rPr>
              <w:t xml:space="preserve">. </w:t>
            </w:r>
            <w:r w:rsidRPr="00D3094F">
              <w:rPr>
                <w:rFonts w:ascii="Bookman Old Style" w:hAnsi="Bookman Old Style"/>
                <w:iCs/>
                <w:sz w:val="20"/>
                <w:szCs w:val="20"/>
              </w:rPr>
              <w:t xml:space="preserve">Standar ini kemudian </w:t>
            </w:r>
            <w:r w:rsidRPr="00D3094F">
              <w:rPr>
                <w:rFonts w:ascii="Bookman Old Style" w:hAnsi="Bookman Old Style" w:cs="Times New Roman"/>
                <w:sz w:val="20"/>
                <w:szCs w:val="20"/>
              </w:rPr>
              <w:t xml:space="preserve">diperbarui pada tahun 2013 melalui Basel III: </w:t>
            </w:r>
            <w:r w:rsidRPr="00D3094F">
              <w:rPr>
                <w:rFonts w:ascii="Bookman Old Style" w:hAnsi="Bookman Old Style"/>
                <w:i/>
                <w:iCs/>
                <w:sz w:val="20"/>
                <w:szCs w:val="20"/>
              </w:rPr>
              <w:t>The Liquidity Coverage Ratio and Liquidity Risk Monitoring Tools</w:t>
            </w:r>
            <w:r w:rsidRPr="00D3094F">
              <w:rPr>
                <w:rFonts w:ascii="Bookman Old Style" w:hAnsi="Bookman Old Style"/>
                <w:iCs/>
                <w:sz w:val="20"/>
                <w:szCs w:val="20"/>
              </w:rPr>
              <w:t>,</w:t>
            </w:r>
            <w:r w:rsidRPr="00D3094F">
              <w:rPr>
                <w:rFonts w:ascii="Bookman Old Style" w:hAnsi="Bookman Old Style"/>
                <w:i/>
                <w:iCs/>
                <w:sz w:val="20"/>
                <w:szCs w:val="20"/>
              </w:rPr>
              <w:t xml:space="preserve"> </w:t>
            </w:r>
            <w:r w:rsidRPr="00D3094F">
              <w:rPr>
                <w:rFonts w:ascii="Bookman Old Style" w:hAnsi="Bookman Old Style"/>
                <w:iCs/>
                <w:sz w:val="20"/>
                <w:szCs w:val="20"/>
              </w:rPr>
              <w:t>dan disempurnakan kembali pada</w:t>
            </w:r>
            <w:r w:rsidRPr="00D3094F">
              <w:rPr>
                <w:rFonts w:ascii="Bookman Old Style" w:hAnsi="Bookman Old Style"/>
                <w:sz w:val="20"/>
                <w:szCs w:val="20"/>
              </w:rPr>
              <w:t xml:space="preserve"> tahun 2019 melalui Basel III: </w:t>
            </w:r>
            <w:r w:rsidRPr="00D3094F">
              <w:rPr>
                <w:rFonts w:ascii="Bookman Old Style" w:hAnsi="Bookman Old Style"/>
                <w:i/>
                <w:iCs/>
                <w:sz w:val="20"/>
                <w:szCs w:val="20"/>
              </w:rPr>
              <w:t>Liquidity Coverage Ratio</w:t>
            </w:r>
            <w:r w:rsidRPr="00D3094F">
              <w:rPr>
                <w:rFonts w:ascii="Bookman Old Style" w:hAnsi="Bookman Old Style"/>
                <w:iCs/>
                <w:sz w:val="20"/>
                <w:szCs w:val="20"/>
              </w:rPr>
              <w:t xml:space="preserve"> (LCR)</w:t>
            </w:r>
            <w:r w:rsidRPr="00D3094F">
              <w:rPr>
                <w:rFonts w:ascii="Bookman Old Style" w:hAnsi="Bookman Old Style"/>
                <w:sz w:val="20"/>
                <w:szCs w:val="20"/>
              </w:rPr>
              <w:t xml:space="preserve">. Selanjutnya, </w:t>
            </w:r>
            <w:r w:rsidRPr="00D3094F">
              <w:rPr>
                <w:rFonts w:ascii="Bookman Old Style" w:hAnsi="Bookman Old Style"/>
                <w:i/>
                <w:sz w:val="20"/>
                <w:szCs w:val="20"/>
              </w:rPr>
              <w:t xml:space="preserve">Islamic Financial Services Board </w:t>
            </w:r>
            <w:r w:rsidRPr="00D3094F">
              <w:rPr>
                <w:rFonts w:ascii="Bookman Old Style" w:hAnsi="Bookman Old Style"/>
                <w:sz w:val="20"/>
                <w:szCs w:val="20"/>
              </w:rPr>
              <w:t xml:space="preserve">(IFSB) juga menerbitkan </w:t>
            </w:r>
            <w:r w:rsidRPr="00D3094F">
              <w:rPr>
                <w:rFonts w:ascii="Bookman Old Style" w:hAnsi="Bookman Old Style"/>
                <w:i/>
                <w:sz w:val="20"/>
                <w:szCs w:val="20"/>
              </w:rPr>
              <w:t>Guidance Note in Quantitative Measures For Liquidity Risk Management in Institutions Offering Islamic Financial Services (Excluding Islamic Insurance [Takaful] Institutions and Islamic Collective Investment Schemes)</w:t>
            </w:r>
            <w:r w:rsidRPr="00D3094F">
              <w:rPr>
                <w:rFonts w:ascii="Bookman Old Style" w:hAnsi="Bookman Old Style"/>
                <w:sz w:val="20"/>
                <w:szCs w:val="20"/>
              </w:rPr>
              <w:t xml:space="preserve"> (GN-6) yang mangadaptasi standar p</w:t>
            </w:r>
            <w:r w:rsidRPr="00D3094F">
              <w:rPr>
                <w:rFonts w:ascii="Bookman Old Style" w:hAnsi="Bookman Old Style" w:cs="Times New Roman"/>
                <w:sz w:val="20"/>
                <w:szCs w:val="20"/>
              </w:rPr>
              <w:t xml:space="preserve">engukuran likuiditas berupa </w:t>
            </w:r>
            <w:r w:rsidRPr="00D3094F">
              <w:rPr>
                <w:rFonts w:ascii="Bookman Old Style" w:hAnsi="Bookman Old Style" w:cs="Times New Roman"/>
                <w:i/>
                <w:sz w:val="20"/>
                <w:szCs w:val="20"/>
              </w:rPr>
              <w:t>Liquidity Coverage Ratio</w:t>
            </w:r>
            <w:r w:rsidRPr="00D3094F">
              <w:rPr>
                <w:rFonts w:ascii="Bookman Old Style" w:hAnsi="Bookman Old Style" w:cs="Times New Roman"/>
                <w:sz w:val="20"/>
                <w:szCs w:val="20"/>
              </w:rPr>
              <w:t xml:space="preserve"> (LCR) melalui pemenuhan rasio aset likuid yang berkualitas tinggi untuk mengantisipasi arus kas keluar bersih. </w:t>
            </w:r>
          </w:p>
          <w:p w14:paraId="0325AA49" w14:textId="77777777" w:rsidR="00B03AEA" w:rsidRPr="00D3094F" w:rsidRDefault="00B03AEA" w:rsidP="00D3094F">
            <w:pPr>
              <w:pStyle w:val="BodyText"/>
              <w:ind w:left="567" w:right="231" w:firstLine="567"/>
              <w:rPr>
                <w:rFonts w:ascii="Bookman Old Style" w:hAnsi="Bookman Old Style"/>
                <w:sz w:val="20"/>
                <w:szCs w:val="20"/>
              </w:rPr>
            </w:pPr>
            <w:r w:rsidRPr="00D3094F">
              <w:rPr>
                <w:rFonts w:ascii="Bookman Old Style" w:hAnsi="Bookman Old Style" w:cs="Arial"/>
                <w:sz w:val="20"/>
                <w:szCs w:val="20"/>
              </w:rPr>
              <w:t xml:space="preserve">Pengukuran </w:t>
            </w:r>
            <w:r w:rsidRPr="00D3094F">
              <w:rPr>
                <w:rFonts w:ascii="Bookman Old Style" w:hAnsi="Bookman Old Style" w:cs="Times New Roman"/>
                <w:sz w:val="20"/>
                <w:szCs w:val="20"/>
              </w:rPr>
              <w:t>LCR bertujuan untuk memastikan bahwa Bank memiliki kecukupan persediaan HQLA yang tidak terikat (</w:t>
            </w:r>
            <w:r w:rsidRPr="00D3094F">
              <w:rPr>
                <w:rFonts w:ascii="Bookman Old Style" w:hAnsi="Bookman Old Style" w:cs="Times New Roman"/>
                <w:i/>
                <w:sz w:val="20"/>
                <w:szCs w:val="20"/>
              </w:rPr>
              <w:t>unencumbered</w:t>
            </w:r>
            <w:r w:rsidRPr="00D3094F">
              <w:rPr>
                <w:rFonts w:ascii="Bookman Old Style" w:hAnsi="Bookman Old Style" w:cs="Times New Roman"/>
                <w:sz w:val="20"/>
                <w:szCs w:val="20"/>
              </w:rPr>
              <w:t>) yang terdiri dari kas dan/atau aset yang dapat dengan mudah dan segera dikonversi menjadi kas dengan sedikit atau tanpa pengurangan nilai untuk memenuhi kebutuhan likuiditas Bank dalam periode 30 (tiga puluh) hari skenario stres.</w:t>
            </w:r>
          </w:p>
          <w:p w14:paraId="57026D56" w14:textId="77777777" w:rsidR="00B03AEA" w:rsidRPr="00D3094F" w:rsidRDefault="00B03AEA" w:rsidP="00D3094F">
            <w:pPr>
              <w:pStyle w:val="BodyText"/>
              <w:ind w:left="567" w:right="231" w:firstLine="567"/>
              <w:rPr>
                <w:rFonts w:ascii="Bookman Old Style" w:hAnsi="Bookman Old Style" w:cs="Times New Roman"/>
                <w:sz w:val="20"/>
                <w:szCs w:val="20"/>
              </w:rPr>
            </w:pPr>
            <w:r w:rsidRPr="00D3094F">
              <w:rPr>
                <w:rFonts w:ascii="Bookman Old Style" w:hAnsi="Bookman Old Style" w:cs="Times New Roman"/>
                <w:sz w:val="20"/>
                <w:szCs w:val="20"/>
              </w:rPr>
              <w:t>Persediaan HQLA yang tidak terikat (</w:t>
            </w:r>
            <w:r w:rsidRPr="00D3094F">
              <w:rPr>
                <w:rFonts w:ascii="Bookman Old Style" w:hAnsi="Bookman Old Style" w:cs="Times New Roman"/>
                <w:i/>
                <w:sz w:val="20"/>
                <w:szCs w:val="20"/>
              </w:rPr>
              <w:t>unencumbered</w:t>
            </w:r>
            <w:r w:rsidRPr="00D3094F">
              <w:rPr>
                <w:rFonts w:ascii="Bookman Old Style" w:hAnsi="Bookman Old Style" w:cs="Times New Roman"/>
                <w:sz w:val="20"/>
                <w:szCs w:val="20"/>
              </w:rPr>
              <w:t>) yang dimiliki Bank paling tidak dapat membuat Bank mampu bertahan selama 30 (tiga puluh) hari dalam skenario stres, karena diasumsikan setelah 30 (tiga puluh) hari Bank telah dapat melakukan tindakan perbaikan yang seharusnya atau Bank telah berhenti melakukan kegiatan usaha sesuai mekanisme yang berlaku. Periode 30 (tiga puluh) hari tersebut juga diharapkan dapat memberikan waktu bagi Otoritas Jasa Keuangan untuk melakukan tindakan tertentu yang dipandang perlu. Selain itu, Bank juga harus menyadari adanya potensi kesenjangan (</w:t>
            </w:r>
            <w:r w:rsidRPr="00D3094F">
              <w:rPr>
                <w:rFonts w:ascii="Bookman Old Style" w:hAnsi="Bookman Old Style" w:cs="Times New Roman"/>
                <w:i/>
                <w:sz w:val="20"/>
                <w:szCs w:val="20"/>
              </w:rPr>
              <w:t>mismatch</w:t>
            </w:r>
            <w:r w:rsidRPr="00D3094F">
              <w:rPr>
                <w:rFonts w:ascii="Bookman Old Style" w:hAnsi="Bookman Old Style" w:cs="Times New Roman"/>
                <w:sz w:val="20"/>
                <w:szCs w:val="20"/>
              </w:rPr>
              <w:t>) yang dapat terjadi dalam periode 30 (tiga puluh) hari kedepan dan memastikan bahwa Bank memiliki persediaan HQLA yang memadai untuk menutup</w:t>
            </w:r>
            <w:r w:rsidRPr="00D3094F">
              <w:rPr>
                <w:rFonts w:ascii="Bookman Old Style" w:hAnsi="Bookman Old Style" w:cs="Times New Roman"/>
                <w:i/>
                <w:sz w:val="20"/>
                <w:szCs w:val="20"/>
              </w:rPr>
              <w:t xml:space="preserve"> gap</w:t>
            </w:r>
            <w:r w:rsidRPr="00D3094F">
              <w:rPr>
                <w:rFonts w:ascii="Bookman Old Style" w:hAnsi="Bookman Old Style" w:cs="Times New Roman"/>
                <w:sz w:val="20"/>
                <w:szCs w:val="20"/>
              </w:rPr>
              <w:t xml:space="preserve"> arus kas yang terjadi selama periode waktu tersebut karena adanya ketidakpastian waktu terhadap arus kas masuk maupun arus kas keluar.</w:t>
            </w:r>
          </w:p>
          <w:p w14:paraId="13296CA4" w14:textId="77777777" w:rsidR="00B03AEA" w:rsidRPr="00D3094F" w:rsidRDefault="00B03AEA" w:rsidP="00D3094F">
            <w:pPr>
              <w:pStyle w:val="BodyText"/>
              <w:ind w:left="567" w:right="231" w:firstLine="567"/>
              <w:rPr>
                <w:rFonts w:ascii="Bookman Old Style" w:hAnsi="Bookman Old Style"/>
                <w:sz w:val="20"/>
                <w:szCs w:val="20"/>
              </w:rPr>
            </w:pPr>
            <w:r w:rsidRPr="00D3094F">
              <w:rPr>
                <w:rFonts w:ascii="Bookman Old Style" w:hAnsi="Bookman Old Style"/>
                <w:sz w:val="20"/>
                <w:szCs w:val="20"/>
              </w:rPr>
              <w:t xml:space="preserve">Skenario </w:t>
            </w:r>
            <w:r w:rsidRPr="00D3094F">
              <w:rPr>
                <w:rFonts w:ascii="Bookman Old Style" w:hAnsi="Bookman Old Style" w:cs="Times New Roman"/>
                <w:sz w:val="20"/>
                <w:szCs w:val="20"/>
              </w:rPr>
              <w:t>perhitungan</w:t>
            </w:r>
            <w:r w:rsidRPr="00D3094F">
              <w:rPr>
                <w:rFonts w:ascii="Bookman Old Style" w:hAnsi="Bookman Old Style"/>
                <w:sz w:val="20"/>
                <w:szCs w:val="20"/>
              </w:rPr>
              <w:t xml:space="preserve"> LCR merupakan kombinasi dari idiosyncratic maupun </w:t>
            </w:r>
            <w:r w:rsidRPr="00D3094F">
              <w:rPr>
                <w:rFonts w:ascii="Bookman Old Style" w:hAnsi="Bookman Old Style"/>
                <w:i/>
                <w:sz w:val="20"/>
                <w:szCs w:val="20"/>
              </w:rPr>
              <w:t>market-wide shock</w:t>
            </w:r>
            <w:r w:rsidRPr="00D3094F">
              <w:rPr>
                <w:rFonts w:ascii="Bookman Old Style" w:hAnsi="Bookman Old Style"/>
                <w:sz w:val="20"/>
                <w:szCs w:val="20"/>
              </w:rPr>
              <w:t>, yang akan menyebabkan:</w:t>
            </w:r>
          </w:p>
          <w:p w14:paraId="37398561"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 xml:space="preserve">penarikan sebagian dari Pendanaan nasabah perorangan; </w:t>
            </w:r>
          </w:p>
          <w:p w14:paraId="34BE9DC0"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hilangnya sebagian kapasitas untuk mendapatkan Pendanaan yang berasal dari nasabah korporasi;</w:t>
            </w:r>
          </w:p>
          <w:p w14:paraId="0FB69B7B"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hilangnya sebagian dari sumber Pendanaan jangka pendek yang dijamin dengan agunan dan pihak lawan (</w:t>
            </w:r>
            <w:r w:rsidRPr="00D3094F">
              <w:rPr>
                <w:rFonts w:ascii="Bookman Old Style" w:hAnsi="Bookman Old Style"/>
                <w:i/>
                <w:sz w:val="20"/>
                <w:szCs w:val="20"/>
              </w:rPr>
              <w:t>counterparty)</w:t>
            </w:r>
            <w:r w:rsidRPr="00D3094F">
              <w:rPr>
                <w:rFonts w:ascii="Bookman Old Style" w:hAnsi="Bookman Old Style"/>
                <w:sz w:val="20"/>
                <w:szCs w:val="20"/>
              </w:rPr>
              <w:t xml:space="preserve"> tertentu;</w:t>
            </w:r>
          </w:p>
          <w:p w14:paraId="6B777128"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adanya tambahan arus kas keluar kontraktual akibat dari penurunan peringkat Bank sampai dengan 3 (tiga) level peringkat (</w:t>
            </w:r>
            <w:r w:rsidRPr="00D3094F">
              <w:rPr>
                <w:rFonts w:ascii="Bookman Old Style" w:hAnsi="Bookman Old Style"/>
                <w:i/>
                <w:sz w:val="20"/>
                <w:szCs w:val="20"/>
              </w:rPr>
              <w:t>notches</w:t>
            </w:r>
            <w:r w:rsidRPr="00D3094F">
              <w:rPr>
                <w:rFonts w:ascii="Bookman Old Style" w:hAnsi="Bookman Old Style"/>
                <w:sz w:val="20"/>
                <w:szCs w:val="20"/>
              </w:rPr>
              <w:t xml:space="preserve">), termasuk persyaratan agunan; </w:t>
            </w:r>
          </w:p>
          <w:p w14:paraId="603D0391"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peningkatan volatilitas pasar yang berdampak pada kualitas agunan atau potensi risiko ke depan untuk produk derivatif yang memenuhi prinsip syariah/</w:t>
            </w:r>
            <w:r w:rsidRPr="00D3094F">
              <w:rPr>
                <w:rFonts w:ascii="Bookman Old Style" w:hAnsi="Bookman Old Style"/>
                <w:i/>
                <w:sz w:val="20"/>
                <w:szCs w:val="20"/>
              </w:rPr>
              <w:t xml:space="preserve">Sharia </w:t>
            </w:r>
            <w:r w:rsidRPr="00D3094F">
              <w:rPr>
                <w:rFonts w:ascii="Bookman Old Style" w:hAnsi="Bookman Old Style"/>
                <w:i/>
                <w:sz w:val="20"/>
                <w:szCs w:val="20"/>
              </w:rPr>
              <w:lastRenderedPageBreak/>
              <w:t>compliance hedging</w:t>
            </w:r>
            <w:r w:rsidRPr="00D3094F">
              <w:rPr>
                <w:rFonts w:ascii="Bookman Old Style" w:hAnsi="Bookman Old Style"/>
                <w:sz w:val="20"/>
                <w:szCs w:val="20"/>
              </w:rPr>
              <w:t xml:space="preserve"> sesuai fatwa DSN-MUI sehingga memerlukan pengurangan nilai (</w:t>
            </w:r>
            <w:r w:rsidRPr="00D3094F">
              <w:rPr>
                <w:rFonts w:ascii="Bookman Old Style" w:hAnsi="Bookman Old Style"/>
                <w:i/>
                <w:sz w:val="20"/>
                <w:szCs w:val="20"/>
              </w:rPr>
              <w:t>haircut</w:t>
            </w:r>
            <w:r w:rsidRPr="00D3094F">
              <w:rPr>
                <w:rFonts w:ascii="Bookman Old Style" w:hAnsi="Bookman Old Style"/>
                <w:sz w:val="20"/>
                <w:szCs w:val="20"/>
              </w:rPr>
              <w:t>) agunan yang lebih besar, tambahan agunan atau kebutuhan likuiditas yang lainnya;</w:t>
            </w:r>
          </w:p>
          <w:p w14:paraId="1FBEAB38"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penarikan komitmen pembiayaan yang tidak terjadwal dan fasilitas likuiditas yang disediakan Bank kepada pihak ketiga; dan</w:t>
            </w:r>
          </w:p>
          <w:p w14:paraId="70BB3924" w14:textId="77777777" w:rsidR="00B03AEA" w:rsidRPr="00D3094F" w:rsidRDefault="00B03AEA" w:rsidP="00A32F86">
            <w:pPr>
              <w:pStyle w:val="BodyText"/>
              <w:widowControl w:val="0"/>
              <w:numPr>
                <w:ilvl w:val="0"/>
                <w:numId w:val="52"/>
              </w:numPr>
              <w:autoSpaceDE w:val="0"/>
              <w:autoSpaceDN w:val="0"/>
              <w:ind w:left="1134" w:right="231" w:hanging="567"/>
              <w:rPr>
                <w:rFonts w:ascii="Bookman Old Style" w:hAnsi="Bookman Old Style"/>
                <w:sz w:val="20"/>
                <w:szCs w:val="20"/>
              </w:rPr>
            </w:pPr>
            <w:r w:rsidRPr="00D3094F">
              <w:rPr>
                <w:rFonts w:ascii="Bookman Old Style" w:hAnsi="Bookman Old Style"/>
                <w:sz w:val="20"/>
                <w:szCs w:val="20"/>
              </w:rPr>
              <w:t>potensi kebutuhan Bank untuk membeli kembali utang atau kewajiban non-kontraktual untuk kepentingan mitigasi risiko reputasi.</w:t>
            </w:r>
          </w:p>
          <w:p w14:paraId="0AA4BA4C" w14:textId="598C03F3" w:rsidR="00B03AEA" w:rsidRPr="00D3094F" w:rsidRDefault="00B03AEA" w:rsidP="00D3094F">
            <w:pPr>
              <w:pStyle w:val="BodyText"/>
              <w:ind w:left="596" w:right="-1" w:firstLine="567"/>
              <w:rPr>
                <w:rFonts w:ascii="Bookman Old Style" w:hAnsi="Bookman Old Style"/>
                <w:sz w:val="20"/>
                <w:szCs w:val="20"/>
              </w:rPr>
            </w:pPr>
            <w:r w:rsidRPr="00D3094F">
              <w:rPr>
                <w:rFonts w:ascii="Bookman Old Style" w:hAnsi="Bookman Old Style"/>
                <w:sz w:val="20"/>
                <w:szCs w:val="20"/>
              </w:rPr>
              <w:t>Penerapan pengukuran LCR akan dapat</w:t>
            </w:r>
            <w:r w:rsidRPr="00D3094F">
              <w:rPr>
                <w:rFonts w:ascii="Bookman Old Style" w:hAnsi="Bookman Old Style"/>
                <w:spacing w:val="-74"/>
                <w:sz w:val="20"/>
                <w:szCs w:val="20"/>
              </w:rPr>
              <w:t xml:space="preserve"> </w:t>
            </w:r>
            <w:r w:rsidRPr="00D3094F">
              <w:rPr>
                <w:rFonts w:ascii="Bookman Old Style" w:hAnsi="Bookman Old Style"/>
                <w:sz w:val="20"/>
                <w:szCs w:val="20"/>
              </w:rPr>
              <w:t>meningkatkan</w:t>
            </w:r>
            <w:r w:rsidRPr="00D3094F">
              <w:rPr>
                <w:rFonts w:ascii="Bookman Old Style" w:hAnsi="Bookman Old Style"/>
                <w:spacing w:val="1"/>
                <w:sz w:val="20"/>
                <w:szCs w:val="20"/>
              </w:rPr>
              <w:t xml:space="preserve"> </w:t>
            </w:r>
            <w:r w:rsidRPr="00D3094F">
              <w:rPr>
                <w:rFonts w:ascii="Bookman Old Style" w:hAnsi="Bookman Old Style"/>
                <w:sz w:val="20"/>
                <w:szCs w:val="20"/>
              </w:rPr>
              <w:t>ketahanan</w:t>
            </w:r>
            <w:r w:rsidRPr="00D3094F">
              <w:rPr>
                <w:rFonts w:ascii="Bookman Old Style" w:hAnsi="Bookman Old Style"/>
                <w:spacing w:val="1"/>
                <w:sz w:val="20"/>
                <w:szCs w:val="20"/>
              </w:rPr>
              <w:t xml:space="preserve"> </w:t>
            </w:r>
            <w:r w:rsidRPr="00D3094F">
              <w:rPr>
                <w:rFonts w:ascii="Bookman Old Style" w:hAnsi="Bookman Old Style"/>
                <w:sz w:val="20"/>
                <w:szCs w:val="20"/>
              </w:rPr>
              <w:t>Bank</w:t>
            </w:r>
            <w:r w:rsidRPr="00D3094F">
              <w:rPr>
                <w:rFonts w:ascii="Bookman Old Style" w:hAnsi="Bookman Old Style"/>
                <w:spacing w:val="1"/>
                <w:sz w:val="20"/>
                <w:szCs w:val="20"/>
              </w:rPr>
              <w:t xml:space="preserve"> </w:t>
            </w:r>
            <w:r w:rsidRPr="00D3094F">
              <w:rPr>
                <w:rFonts w:ascii="Bookman Old Style" w:hAnsi="Bookman Old Style"/>
                <w:sz w:val="20"/>
                <w:szCs w:val="20"/>
              </w:rPr>
              <w:t>terhadap</w:t>
            </w:r>
            <w:r w:rsidRPr="00D3094F">
              <w:rPr>
                <w:rFonts w:ascii="Bookman Old Style" w:hAnsi="Bookman Old Style"/>
                <w:spacing w:val="1"/>
                <w:sz w:val="20"/>
                <w:szCs w:val="20"/>
              </w:rPr>
              <w:t xml:space="preserve"> </w:t>
            </w:r>
            <w:r w:rsidRPr="00D3094F">
              <w:rPr>
                <w:rFonts w:ascii="Bookman Old Style" w:hAnsi="Bookman Old Style"/>
                <w:sz w:val="20"/>
                <w:szCs w:val="20"/>
              </w:rPr>
              <w:t>stres</w:t>
            </w:r>
            <w:r w:rsidRPr="00D3094F">
              <w:rPr>
                <w:rFonts w:ascii="Bookman Old Style" w:hAnsi="Bookman Old Style"/>
                <w:spacing w:val="1"/>
                <w:sz w:val="20"/>
                <w:szCs w:val="20"/>
              </w:rPr>
              <w:t xml:space="preserve"> </w:t>
            </w:r>
            <w:r w:rsidRPr="00D3094F">
              <w:rPr>
                <w:rFonts w:ascii="Bookman Old Style" w:hAnsi="Bookman Old Style"/>
                <w:sz w:val="20"/>
                <w:szCs w:val="20"/>
              </w:rPr>
              <w:t>likuiditas,</w:t>
            </w:r>
            <w:r w:rsidRPr="00D3094F">
              <w:rPr>
                <w:rFonts w:ascii="Bookman Old Style" w:hAnsi="Bookman Old Style"/>
                <w:spacing w:val="1"/>
                <w:sz w:val="20"/>
                <w:szCs w:val="20"/>
              </w:rPr>
              <w:t xml:space="preserve"> </w:t>
            </w:r>
            <w:r w:rsidRPr="00D3094F">
              <w:rPr>
                <w:rFonts w:ascii="Bookman Old Style" w:hAnsi="Bookman Old Style"/>
                <w:sz w:val="20"/>
                <w:szCs w:val="20"/>
              </w:rPr>
              <w:t>mendukung</w:t>
            </w:r>
            <w:r w:rsidRPr="00D3094F">
              <w:rPr>
                <w:rFonts w:ascii="Bookman Old Style" w:hAnsi="Bookman Old Style"/>
                <w:spacing w:val="1"/>
                <w:sz w:val="20"/>
                <w:szCs w:val="20"/>
              </w:rPr>
              <w:t xml:space="preserve"> </w:t>
            </w:r>
            <w:r w:rsidRPr="00D3094F">
              <w:rPr>
                <w:rFonts w:ascii="Bookman Old Style" w:hAnsi="Bookman Old Style"/>
                <w:sz w:val="20"/>
                <w:szCs w:val="20"/>
              </w:rPr>
              <w:t>profil pendanaan yang lebih stabil, dan secara keseluruhan meningkatkan</w:t>
            </w:r>
            <w:r w:rsidRPr="00D3094F">
              <w:rPr>
                <w:rFonts w:ascii="Bookman Old Style" w:hAnsi="Bookman Old Style"/>
                <w:spacing w:val="-74"/>
                <w:sz w:val="20"/>
                <w:szCs w:val="20"/>
              </w:rPr>
              <w:t xml:space="preserve"> </w:t>
            </w:r>
            <w:r w:rsidRPr="00D3094F">
              <w:rPr>
                <w:rFonts w:ascii="Bookman Old Style" w:hAnsi="Bookman Old Style"/>
                <w:sz w:val="20"/>
                <w:szCs w:val="20"/>
              </w:rPr>
              <w:t>penerapan</w:t>
            </w:r>
            <w:r w:rsidRPr="00D3094F">
              <w:rPr>
                <w:rFonts w:ascii="Bookman Old Style" w:hAnsi="Bookman Old Style"/>
                <w:spacing w:val="-2"/>
                <w:sz w:val="20"/>
                <w:szCs w:val="20"/>
              </w:rPr>
              <w:t xml:space="preserve"> </w:t>
            </w:r>
            <w:r w:rsidRPr="00D3094F">
              <w:rPr>
                <w:rFonts w:ascii="Bookman Old Style" w:hAnsi="Bookman Old Style"/>
                <w:sz w:val="20"/>
                <w:szCs w:val="20"/>
              </w:rPr>
              <w:t>manajemen risiko likuiditas.</w:t>
            </w:r>
          </w:p>
        </w:tc>
        <w:tc>
          <w:tcPr>
            <w:tcW w:w="3686" w:type="dxa"/>
            <w:shd w:val="clear" w:color="auto" w:fill="auto"/>
            <w:vAlign w:val="center"/>
          </w:tcPr>
          <w:p w14:paraId="6C8BBAFE"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79183C1"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5A6A86F7" w14:textId="77777777" w:rsidTr="00D3094F">
        <w:trPr>
          <w:trHeight w:val="564"/>
          <w:tblHeader/>
        </w:trPr>
        <w:tc>
          <w:tcPr>
            <w:tcW w:w="9634" w:type="dxa"/>
            <w:shd w:val="clear" w:color="auto" w:fill="DBDBDB" w:themeFill="accent3" w:themeFillTint="66"/>
            <w:vAlign w:val="center"/>
          </w:tcPr>
          <w:p w14:paraId="0E46A7AE" w14:textId="0448791C" w:rsidR="00D3094F" w:rsidRPr="00D3094F" w:rsidRDefault="00D3094F" w:rsidP="00A32F86">
            <w:pPr>
              <w:pStyle w:val="BodyText"/>
              <w:numPr>
                <w:ilvl w:val="3"/>
                <w:numId w:val="29"/>
              </w:numPr>
              <w:ind w:left="596" w:right="-1" w:hanging="567"/>
              <w:rPr>
                <w:rFonts w:ascii="Bookman Old Style" w:hAnsi="Bookman Old Style"/>
                <w:sz w:val="20"/>
                <w:szCs w:val="20"/>
              </w:rPr>
            </w:pPr>
            <w:r w:rsidRPr="00D3094F">
              <w:rPr>
                <w:rFonts w:ascii="Bookman Old Style" w:hAnsi="Bookman Old Style"/>
                <w:sz w:val="20"/>
                <w:szCs w:val="20"/>
              </w:rPr>
              <w:lastRenderedPageBreak/>
              <w:t>UMUM</w:t>
            </w:r>
          </w:p>
        </w:tc>
        <w:tc>
          <w:tcPr>
            <w:tcW w:w="3686" w:type="dxa"/>
            <w:shd w:val="clear" w:color="auto" w:fill="auto"/>
            <w:vAlign w:val="center"/>
          </w:tcPr>
          <w:p w14:paraId="479B89BD"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4FFF519"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03AEA" w:rsidRPr="00B03AEA" w14:paraId="40FD0C6C" w14:textId="77777777" w:rsidTr="00B03AEA">
        <w:trPr>
          <w:trHeight w:val="564"/>
          <w:tblHeader/>
        </w:trPr>
        <w:tc>
          <w:tcPr>
            <w:tcW w:w="9634" w:type="dxa"/>
            <w:shd w:val="clear" w:color="auto" w:fill="auto"/>
            <w:vAlign w:val="center"/>
          </w:tcPr>
          <w:p w14:paraId="35E8AA79"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i/>
                <w:sz w:val="20"/>
                <w:szCs w:val="20"/>
              </w:rPr>
            </w:pPr>
            <w:r w:rsidRPr="00D3094F">
              <w:rPr>
                <w:rFonts w:ascii="Bookman Old Style" w:hAnsi="Bookman Old Style"/>
                <w:sz w:val="20"/>
                <w:szCs w:val="20"/>
                <w:lang w:val="en-US"/>
              </w:rPr>
              <w:t>LCR</w:t>
            </w:r>
            <w:r w:rsidRPr="00D3094F">
              <w:rPr>
                <w:rFonts w:ascii="Bookman Old Style" w:hAnsi="Bookman Old Style"/>
                <w:sz w:val="20"/>
                <w:szCs w:val="20"/>
              </w:rPr>
              <w:t xml:space="preserve"> didefinisikan sebagai perbandingan antara </w:t>
            </w:r>
            <w:r w:rsidRPr="00D3094F">
              <w:rPr>
                <w:rFonts w:ascii="Bookman Old Style" w:hAnsi="Bookman Old Style"/>
                <w:sz w:val="20"/>
                <w:szCs w:val="20"/>
                <w:lang w:val="en-US"/>
              </w:rPr>
              <w:t xml:space="preserve">Aset </w:t>
            </w:r>
            <w:r w:rsidRPr="00D3094F">
              <w:rPr>
                <w:rFonts w:ascii="Bookman Old Style" w:hAnsi="Bookman Old Style"/>
                <w:sz w:val="20"/>
                <w:szCs w:val="20"/>
              </w:rPr>
              <w:t xml:space="preserve">Berkualitas Tinggi </w:t>
            </w:r>
            <w:r w:rsidRPr="00D3094F">
              <w:rPr>
                <w:rFonts w:ascii="Bookman Old Style" w:hAnsi="Bookman Old Style"/>
                <w:sz w:val="20"/>
                <w:szCs w:val="20"/>
                <w:lang w:val="en-US"/>
              </w:rPr>
              <w:t>(</w:t>
            </w:r>
            <w:r w:rsidRPr="00D3094F">
              <w:rPr>
                <w:rFonts w:ascii="Bookman Old Style" w:hAnsi="Bookman Old Style"/>
                <w:i/>
                <w:iCs/>
                <w:sz w:val="20"/>
                <w:szCs w:val="20"/>
              </w:rPr>
              <w:t>High Quality Liquid Asset</w:t>
            </w:r>
            <w:r w:rsidRPr="00D3094F">
              <w:rPr>
                <w:rFonts w:ascii="Bookman Old Style" w:hAnsi="Bookman Old Style"/>
                <w:iCs/>
                <w:sz w:val="20"/>
                <w:szCs w:val="20"/>
                <w:lang w:val="en-US"/>
              </w:rPr>
              <w:t>)</w:t>
            </w:r>
            <w:r w:rsidRPr="00D3094F">
              <w:rPr>
                <w:rFonts w:ascii="Bookman Old Style" w:hAnsi="Bookman Old Style"/>
                <w:sz w:val="20"/>
                <w:szCs w:val="20"/>
              </w:rPr>
              <w:t xml:space="preserve"> yang selanjutnya disingkat HQLA</w:t>
            </w:r>
            <w:r w:rsidRPr="00D3094F">
              <w:rPr>
                <w:rFonts w:ascii="Bookman Old Style" w:hAnsi="Bookman Old Style"/>
                <w:sz w:val="20"/>
                <w:szCs w:val="20"/>
                <w:lang w:val="en-US"/>
              </w:rPr>
              <w:t xml:space="preserve">, dengan </w:t>
            </w:r>
            <w:r w:rsidRPr="00D3094F">
              <w:rPr>
                <w:rFonts w:ascii="Bookman Old Style" w:hAnsi="Bookman Old Style"/>
                <w:sz w:val="20"/>
                <w:szCs w:val="20"/>
              </w:rPr>
              <w:t xml:space="preserve">Total Arus Kas Keluar Bersih </w:t>
            </w:r>
            <w:r w:rsidRPr="00D3094F">
              <w:rPr>
                <w:rFonts w:ascii="Bookman Old Style" w:hAnsi="Bookman Old Style"/>
                <w:sz w:val="20"/>
                <w:szCs w:val="20"/>
                <w:lang w:val="en-US"/>
              </w:rPr>
              <w:t>(</w:t>
            </w:r>
            <w:r w:rsidRPr="00D3094F">
              <w:rPr>
                <w:rFonts w:ascii="Bookman Old Style" w:hAnsi="Bookman Old Style"/>
                <w:i/>
                <w:iCs/>
                <w:sz w:val="20"/>
                <w:szCs w:val="20"/>
              </w:rPr>
              <w:t>Net Cash Outflow</w:t>
            </w:r>
            <w:r w:rsidRPr="00D3094F">
              <w:rPr>
                <w:rFonts w:ascii="Bookman Old Style" w:hAnsi="Bookman Old Style"/>
                <w:iCs/>
                <w:sz w:val="20"/>
                <w:szCs w:val="20"/>
                <w:lang w:val="en-US"/>
              </w:rPr>
              <w:t>)</w:t>
            </w:r>
            <w:r w:rsidRPr="00D3094F">
              <w:rPr>
                <w:rFonts w:ascii="Bookman Old Style" w:hAnsi="Bookman Old Style"/>
                <w:i/>
                <w:iCs/>
                <w:sz w:val="20"/>
                <w:szCs w:val="20"/>
                <w:lang w:val="en-US"/>
              </w:rPr>
              <w:t>.</w:t>
            </w:r>
          </w:p>
          <w:p w14:paraId="39E0A8E5"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i/>
                <w:sz w:val="20"/>
                <w:szCs w:val="20"/>
              </w:rPr>
            </w:pPr>
            <w:r w:rsidRPr="00D3094F">
              <w:rPr>
                <w:rFonts w:ascii="Bookman Old Style" w:hAnsi="Bookman Old Style"/>
                <w:sz w:val="20"/>
                <w:szCs w:val="20"/>
              </w:rPr>
              <w:t xml:space="preserve">Nilai </w:t>
            </w:r>
            <w:r w:rsidRPr="00D3094F">
              <w:rPr>
                <w:rFonts w:ascii="Bookman Old Style" w:hAnsi="Bookman Old Style"/>
                <w:sz w:val="20"/>
                <w:szCs w:val="20"/>
                <w:lang w:val="en-US"/>
              </w:rPr>
              <w:t>LCR</w:t>
            </w:r>
            <w:r w:rsidRPr="00D3094F">
              <w:rPr>
                <w:rFonts w:ascii="Bookman Old Style" w:hAnsi="Bookman Old Style"/>
                <w:sz w:val="20"/>
                <w:szCs w:val="20"/>
              </w:rPr>
              <w:t xml:space="preserve"> yang wajib dipenuhi Bank adalah paling rendah sebesar</w:t>
            </w:r>
            <w:r w:rsidRPr="00D3094F">
              <w:rPr>
                <w:rFonts w:ascii="Bookman Old Style" w:hAnsi="Bookman Old Style"/>
                <w:spacing w:val="1"/>
                <w:sz w:val="20"/>
                <w:szCs w:val="20"/>
              </w:rPr>
              <w:t xml:space="preserve"> </w:t>
            </w:r>
            <w:r w:rsidRPr="00D3094F">
              <w:rPr>
                <w:rFonts w:ascii="Bookman Old Style" w:hAnsi="Bookman Old Style"/>
                <w:sz w:val="20"/>
                <w:szCs w:val="20"/>
              </w:rPr>
              <w:t>100%</w:t>
            </w:r>
            <w:r w:rsidRPr="00D3094F">
              <w:rPr>
                <w:rFonts w:ascii="Bookman Old Style" w:hAnsi="Bookman Old Style"/>
                <w:spacing w:val="-2"/>
                <w:sz w:val="20"/>
                <w:szCs w:val="20"/>
              </w:rPr>
              <w:t xml:space="preserve"> </w:t>
            </w:r>
            <w:r w:rsidRPr="00D3094F">
              <w:rPr>
                <w:rFonts w:ascii="Bookman Old Style" w:hAnsi="Bookman Old Style"/>
                <w:sz w:val="20"/>
                <w:szCs w:val="20"/>
              </w:rPr>
              <w:t>(seratus persen).</w:t>
            </w:r>
          </w:p>
          <w:p w14:paraId="7ABC27DD"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i/>
                <w:sz w:val="20"/>
                <w:szCs w:val="20"/>
              </w:rPr>
            </w:pPr>
            <w:r w:rsidRPr="00D3094F">
              <w:rPr>
                <w:rFonts w:ascii="Bookman Old Style" w:hAnsi="Bookman Old Style"/>
                <w:sz w:val="20"/>
                <w:szCs w:val="20"/>
              </w:rPr>
              <w:t xml:space="preserve">Nilai </w:t>
            </w:r>
            <w:r w:rsidRPr="00D3094F">
              <w:rPr>
                <w:rFonts w:ascii="Bookman Old Style" w:hAnsi="Bookman Old Style"/>
                <w:sz w:val="20"/>
                <w:szCs w:val="20"/>
                <w:lang w:val="en-US"/>
              </w:rPr>
              <w:t>LCR</w:t>
            </w:r>
            <w:r w:rsidRPr="00D3094F">
              <w:rPr>
                <w:rFonts w:ascii="Bookman Old Style" w:hAnsi="Bookman Old Style"/>
                <w:sz w:val="20"/>
                <w:szCs w:val="20"/>
              </w:rPr>
              <w:t xml:space="preserve"> dapat dihitung dengan menggunakan formula sebagai</w:t>
            </w:r>
            <w:r w:rsidRPr="00D3094F">
              <w:rPr>
                <w:rFonts w:ascii="Bookman Old Style" w:hAnsi="Bookman Old Style"/>
                <w:spacing w:val="1"/>
                <w:sz w:val="20"/>
                <w:szCs w:val="20"/>
              </w:rPr>
              <w:t xml:space="preserve"> </w:t>
            </w:r>
            <w:r w:rsidRPr="00D3094F">
              <w:rPr>
                <w:rFonts w:ascii="Bookman Old Style" w:hAnsi="Bookman Old Style"/>
                <w:sz w:val="20"/>
                <w:szCs w:val="20"/>
              </w:rPr>
              <w:t>berikut:</w:t>
            </w:r>
          </w:p>
          <w:p w14:paraId="1F523EDA" w14:textId="77777777" w:rsidR="00D3094F" w:rsidRPr="00D3094F" w:rsidRDefault="00D3094F" w:rsidP="00D3094F">
            <w:pPr>
              <w:pStyle w:val="BodyText"/>
              <w:ind w:left="1418"/>
              <w:rPr>
                <w:rFonts w:ascii="Bookman Old Style" w:hAnsi="Bookman Old Style"/>
                <w:sz w:val="20"/>
                <w:szCs w:val="20"/>
              </w:rPr>
            </w:pPr>
            <m:oMathPara>
              <m:oMathParaPr>
                <m:jc m:val="left"/>
              </m:oMathParaPr>
              <m:oMath>
                <m:f>
                  <m:fPr>
                    <m:ctrlPr>
                      <w:rPr>
                        <w:rFonts w:ascii="Cambria Math" w:hAnsi="Cambria Math"/>
                        <w:i/>
                        <w:sz w:val="20"/>
                        <w:szCs w:val="20"/>
                        <w:lang w:val="sv-SE"/>
                      </w:rPr>
                    </m:ctrlPr>
                  </m:fPr>
                  <m:num>
                    <m:r>
                      <w:rPr>
                        <w:rFonts w:ascii="Cambria Math" w:hAnsi="Cambria Math"/>
                        <w:sz w:val="20"/>
                        <w:szCs w:val="20"/>
                        <w:lang w:val="sv-SE"/>
                      </w:rPr>
                      <m:t>HQLA</m:t>
                    </m:r>
                  </m:num>
                  <m:den>
                    <m:r>
                      <w:rPr>
                        <w:rFonts w:ascii="Cambria Math" w:hAnsi="Cambria Math"/>
                        <w:sz w:val="20"/>
                        <w:szCs w:val="20"/>
                        <w:lang w:val="sv-SE"/>
                      </w:rPr>
                      <m:t xml:space="preserve">Total Net Cash Outflow </m:t>
                    </m:r>
                    <m:r>
                      <m:rPr>
                        <m:sty m:val="p"/>
                      </m:rPr>
                      <w:rPr>
                        <w:rFonts w:ascii="Cambria Math" w:hAnsi="Cambria Math"/>
                        <w:sz w:val="20"/>
                        <w:szCs w:val="20"/>
                        <w:lang w:val="sv-SE"/>
                      </w:rPr>
                      <m:t>dalam</m:t>
                    </m:r>
                    <m:r>
                      <w:rPr>
                        <w:rFonts w:ascii="Cambria Math" w:hAnsi="Cambria Math"/>
                        <w:sz w:val="20"/>
                        <w:szCs w:val="20"/>
                        <w:lang w:val="sv-SE"/>
                      </w:rPr>
                      <m:t xml:space="preserve"> </m:t>
                    </m:r>
                    <m:r>
                      <m:rPr>
                        <m:sty m:val="p"/>
                      </m:rPr>
                      <w:rPr>
                        <w:rFonts w:ascii="Cambria Math" w:hAnsi="Cambria Math"/>
                        <w:sz w:val="20"/>
                        <w:szCs w:val="20"/>
                        <w:lang w:val="sv-SE"/>
                      </w:rPr>
                      <m:t>30 hari kedepan</m:t>
                    </m:r>
                  </m:den>
                </m:f>
                <m:r>
                  <w:rPr>
                    <w:rFonts w:ascii="Cambria Math" w:hAnsi="Cambria Math"/>
                    <w:sz w:val="20"/>
                    <w:szCs w:val="20"/>
                    <w:lang w:val="sv-SE"/>
                  </w:rPr>
                  <m:t>≥100%</m:t>
                </m:r>
              </m:oMath>
            </m:oMathPara>
          </w:p>
          <w:p w14:paraId="3141E486"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sz w:val="20"/>
                <w:szCs w:val="20"/>
              </w:rPr>
            </w:pPr>
            <w:r w:rsidRPr="00D3094F">
              <w:rPr>
                <w:rFonts w:ascii="Bookman Old Style" w:hAnsi="Bookman Old Style"/>
                <w:sz w:val="20"/>
                <w:szCs w:val="20"/>
              </w:rPr>
              <w:t>Lembaga Penjamin Simpanan yang selanjutnya disingkat LPS adalah</w:t>
            </w:r>
            <w:r w:rsidRPr="00D3094F">
              <w:rPr>
                <w:rFonts w:ascii="Bookman Old Style" w:hAnsi="Bookman Old Style"/>
                <w:spacing w:val="-74"/>
                <w:sz w:val="20"/>
                <w:szCs w:val="20"/>
              </w:rPr>
              <w:t xml:space="preserve"> </w:t>
            </w:r>
            <w:r w:rsidRPr="00D3094F">
              <w:rPr>
                <w:rFonts w:ascii="Bookman Old Style" w:hAnsi="Bookman Old Style"/>
                <w:sz w:val="20"/>
                <w:szCs w:val="20"/>
              </w:rPr>
              <w:t>Lembaga</w:t>
            </w:r>
            <w:r w:rsidRPr="00D3094F">
              <w:rPr>
                <w:rFonts w:ascii="Bookman Old Style" w:hAnsi="Bookman Old Style"/>
                <w:spacing w:val="1"/>
                <w:sz w:val="20"/>
                <w:szCs w:val="20"/>
              </w:rPr>
              <w:t xml:space="preserve"> </w:t>
            </w:r>
            <w:r w:rsidRPr="00D3094F">
              <w:rPr>
                <w:rFonts w:ascii="Bookman Old Style" w:hAnsi="Bookman Old Style"/>
                <w:sz w:val="20"/>
                <w:szCs w:val="20"/>
              </w:rPr>
              <w:t>Penjamin</w:t>
            </w:r>
            <w:r w:rsidRPr="00D3094F">
              <w:rPr>
                <w:rFonts w:ascii="Bookman Old Style" w:hAnsi="Bookman Old Style"/>
                <w:spacing w:val="1"/>
                <w:sz w:val="20"/>
                <w:szCs w:val="20"/>
              </w:rPr>
              <w:t xml:space="preserve"> </w:t>
            </w:r>
            <w:r w:rsidRPr="00D3094F">
              <w:rPr>
                <w:rFonts w:ascii="Bookman Old Style" w:hAnsi="Bookman Old Style"/>
                <w:sz w:val="20"/>
                <w:szCs w:val="20"/>
              </w:rPr>
              <w:t>Simpanan</w:t>
            </w:r>
            <w:r w:rsidRPr="00D3094F">
              <w:rPr>
                <w:rFonts w:ascii="Bookman Old Style" w:hAnsi="Bookman Old Style"/>
                <w:spacing w:val="1"/>
                <w:sz w:val="20"/>
                <w:szCs w:val="20"/>
              </w:rPr>
              <w:t xml:space="preserve"> </w:t>
            </w:r>
            <w:r w:rsidRPr="00D3094F">
              <w:rPr>
                <w:rFonts w:ascii="Bookman Old Style" w:hAnsi="Bookman Old Style"/>
                <w:sz w:val="20"/>
                <w:szCs w:val="20"/>
              </w:rPr>
              <w:t>sebagaimana</w:t>
            </w:r>
            <w:r w:rsidRPr="00D3094F">
              <w:rPr>
                <w:rFonts w:ascii="Bookman Old Style" w:hAnsi="Bookman Old Style"/>
                <w:spacing w:val="1"/>
                <w:sz w:val="20"/>
                <w:szCs w:val="20"/>
              </w:rPr>
              <w:t xml:space="preserve"> </w:t>
            </w:r>
            <w:r w:rsidRPr="00D3094F">
              <w:rPr>
                <w:rFonts w:ascii="Bookman Old Style" w:hAnsi="Bookman Old Style"/>
                <w:sz w:val="20"/>
                <w:szCs w:val="20"/>
              </w:rPr>
              <w:t>dimaksud</w:t>
            </w:r>
            <w:r w:rsidRPr="00D3094F">
              <w:rPr>
                <w:rFonts w:ascii="Bookman Old Style" w:hAnsi="Bookman Old Style"/>
                <w:spacing w:val="1"/>
                <w:sz w:val="20"/>
                <w:szCs w:val="20"/>
              </w:rPr>
              <w:t xml:space="preserve"> </w:t>
            </w:r>
            <w:r w:rsidRPr="00D3094F">
              <w:rPr>
                <w:rFonts w:ascii="Bookman Old Style" w:hAnsi="Bookman Old Style"/>
                <w:sz w:val="20"/>
                <w:szCs w:val="20"/>
              </w:rPr>
              <w:t>dalam</w:t>
            </w:r>
            <w:r w:rsidRPr="00D3094F">
              <w:rPr>
                <w:rFonts w:ascii="Bookman Old Style" w:hAnsi="Bookman Old Style"/>
                <w:spacing w:val="1"/>
                <w:sz w:val="20"/>
                <w:szCs w:val="20"/>
              </w:rPr>
              <w:t xml:space="preserve"> </w:t>
            </w:r>
            <w:r w:rsidRPr="00D3094F">
              <w:rPr>
                <w:rFonts w:ascii="Bookman Old Style" w:hAnsi="Bookman Old Style"/>
                <w:sz w:val="20"/>
                <w:szCs w:val="20"/>
              </w:rPr>
              <w:t>Undang-Undang Nomor 24 Tahun 2004 tentang Lembaga Penjamin</w:t>
            </w:r>
            <w:r w:rsidRPr="00D3094F">
              <w:rPr>
                <w:rFonts w:ascii="Bookman Old Style" w:hAnsi="Bookman Old Style"/>
                <w:spacing w:val="1"/>
                <w:sz w:val="20"/>
                <w:szCs w:val="20"/>
              </w:rPr>
              <w:t xml:space="preserve"> </w:t>
            </w:r>
            <w:r w:rsidRPr="00D3094F">
              <w:rPr>
                <w:rFonts w:ascii="Bookman Old Style" w:hAnsi="Bookman Old Style"/>
                <w:sz w:val="20"/>
                <w:szCs w:val="20"/>
              </w:rPr>
              <w:t>Simpanan sebagaimana</w:t>
            </w:r>
            <w:r w:rsidRPr="00D3094F">
              <w:rPr>
                <w:rFonts w:ascii="Bookman Old Style" w:hAnsi="Bookman Old Style"/>
                <w:spacing w:val="-1"/>
                <w:sz w:val="20"/>
                <w:szCs w:val="20"/>
              </w:rPr>
              <w:t xml:space="preserve"> </w:t>
            </w:r>
            <w:r w:rsidRPr="00D3094F">
              <w:rPr>
                <w:rFonts w:ascii="Bookman Old Style" w:hAnsi="Bookman Old Style"/>
                <w:sz w:val="20"/>
                <w:szCs w:val="20"/>
              </w:rPr>
              <w:t>telah</w:t>
            </w:r>
            <w:r w:rsidRPr="00D3094F">
              <w:rPr>
                <w:rFonts w:ascii="Bookman Old Style" w:hAnsi="Bookman Old Style"/>
                <w:spacing w:val="-1"/>
                <w:sz w:val="20"/>
                <w:szCs w:val="20"/>
              </w:rPr>
              <w:t xml:space="preserve"> </w:t>
            </w:r>
            <w:r w:rsidRPr="00D3094F">
              <w:rPr>
                <w:rFonts w:ascii="Bookman Old Style" w:hAnsi="Bookman Old Style"/>
                <w:spacing w:val="-1"/>
                <w:sz w:val="20"/>
                <w:szCs w:val="20"/>
                <w:lang w:val="en-US"/>
              </w:rPr>
              <w:t>beberapa kali diubah terakhir dengan Undang-Undang Nomor 4 Tahun 2023 tentang Pengembangan dan Penguatan Sektor Keuangan.</w:t>
            </w:r>
          </w:p>
          <w:p w14:paraId="47E8AC6A"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sz w:val="20"/>
                <w:szCs w:val="20"/>
              </w:rPr>
            </w:pPr>
            <w:r w:rsidRPr="00D3094F">
              <w:rPr>
                <w:rFonts w:ascii="Bookman Old Style" w:hAnsi="Bookman Old Style"/>
                <w:sz w:val="20"/>
                <w:szCs w:val="20"/>
              </w:rPr>
              <w:t>Pemerintah</w:t>
            </w:r>
            <w:r w:rsidRPr="00D3094F">
              <w:rPr>
                <w:rFonts w:ascii="Bookman Old Style" w:hAnsi="Bookman Old Style"/>
                <w:spacing w:val="-9"/>
                <w:sz w:val="20"/>
                <w:szCs w:val="20"/>
              </w:rPr>
              <w:t xml:space="preserve"> </w:t>
            </w:r>
            <w:r w:rsidRPr="00D3094F">
              <w:rPr>
                <w:rFonts w:ascii="Bookman Old Style" w:hAnsi="Bookman Old Style"/>
                <w:sz w:val="20"/>
                <w:szCs w:val="20"/>
              </w:rPr>
              <w:t>Indonesia</w:t>
            </w:r>
            <w:r w:rsidRPr="00D3094F">
              <w:rPr>
                <w:rFonts w:ascii="Bookman Old Style" w:hAnsi="Bookman Old Style"/>
                <w:spacing w:val="-7"/>
                <w:sz w:val="20"/>
                <w:szCs w:val="20"/>
              </w:rPr>
              <w:t xml:space="preserve"> </w:t>
            </w:r>
            <w:r w:rsidRPr="00D3094F">
              <w:rPr>
                <w:rFonts w:ascii="Bookman Old Style" w:hAnsi="Bookman Old Style"/>
                <w:sz w:val="20"/>
                <w:szCs w:val="20"/>
              </w:rPr>
              <w:t>adalah:</w:t>
            </w:r>
          </w:p>
          <w:p w14:paraId="442B4024" w14:textId="77777777" w:rsidR="00D3094F" w:rsidRPr="00D3094F" w:rsidRDefault="00D3094F" w:rsidP="00A32F86">
            <w:pPr>
              <w:pStyle w:val="ListParagraph"/>
              <w:widowControl w:val="0"/>
              <w:numPr>
                <w:ilvl w:val="2"/>
                <w:numId w:val="53"/>
              </w:numPr>
              <w:autoSpaceDE w:val="0"/>
              <w:autoSpaceDN w:val="0"/>
              <w:spacing w:after="0" w:line="240" w:lineRule="auto"/>
              <w:ind w:left="1701" w:hanging="567"/>
              <w:contextualSpacing w:val="0"/>
              <w:jc w:val="both"/>
              <w:rPr>
                <w:rFonts w:ascii="Bookman Old Style" w:hAnsi="Bookman Old Style"/>
                <w:sz w:val="20"/>
                <w:szCs w:val="20"/>
              </w:rPr>
            </w:pPr>
            <w:r w:rsidRPr="00D3094F">
              <w:rPr>
                <w:rFonts w:ascii="Bookman Old Style" w:hAnsi="Bookman Old Style"/>
                <w:sz w:val="20"/>
                <w:szCs w:val="20"/>
              </w:rPr>
              <w:t>Pemerintah</w:t>
            </w:r>
            <w:r w:rsidRPr="00D3094F">
              <w:rPr>
                <w:rFonts w:ascii="Bookman Old Style" w:hAnsi="Bookman Old Style"/>
                <w:spacing w:val="-8"/>
                <w:sz w:val="20"/>
                <w:szCs w:val="20"/>
              </w:rPr>
              <w:t xml:space="preserve"> </w:t>
            </w:r>
            <w:r w:rsidRPr="00D3094F">
              <w:rPr>
                <w:rFonts w:ascii="Bookman Old Style" w:hAnsi="Bookman Old Style"/>
                <w:sz w:val="20"/>
                <w:szCs w:val="20"/>
              </w:rPr>
              <w:t>Pusat</w:t>
            </w:r>
            <w:r w:rsidRPr="00D3094F">
              <w:rPr>
                <w:rFonts w:ascii="Bookman Old Style" w:hAnsi="Bookman Old Style"/>
                <w:spacing w:val="-7"/>
                <w:sz w:val="20"/>
                <w:szCs w:val="20"/>
              </w:rPr>
              <w:t xml:space="preserve"> </w:t>
            </w:r>
            <w:r w:rsidRPr="00D3094F">
              <w:rPr>
                <w:rFonts w:ascii="Bookman Old Style" w:hAnsi="Bookman Old Style"/>
                <w:sz w:val="20"/>
                <w:szCs w:val="20"/>
              </w:rPr>
              <w:t>Republik</w:t>
            </w:r>
            <w:r w:rsidRPr="00D3094F">
              <w:rPr>
                <w:rFonts w:ascii="Bookman Old Style" w:hAnsi="Bookman Old Style"/>
                <w:spacing w:val="-7"/>
                <w:sz w:val="20"/>
                <w:szCs w:val="20"/>
              </w:rPr>
              <w:t xml:space="preserve"> </w:t>
            </w:r>
            <w:r w:rsidRPr="00D3094F">
              <w:rPr>
                <w:rFonts w:ascii="Bookman Old Style" w:hAnsi="Bookman Old Style"/>
                <w:sz w:val="20"/>
                <w:szCs w:val="20"/>
              </w:rPr>
              <w:t>Indonesia;</w:t>
            </w:r>
            <w:r w:rsidRPr="00D3094F">
              <w:rPr>
                <w:rFonts w:ascii="Bookman Old Style" w:hAnsi="Bookman Old Style"/>
                <w:spacing w:val="-7"/>
                <w:sz w:val="20"/>
                <w:szCs w:val="20"/>
              </w:rPr>
              <w:t xml:space="preserve"> </w:t>
            </w:r>
            <w:r w:rsidRPr="00D3094F">
              <w:rPr>
                <w:rFonts w:ascii="Bookman Old Style" w:hAnsi="Bookman Old Style"/>
                <w:sz w:val="20"/>
                <w:szCs w:val="20"/>
              </w:rPr>
              <w:t>dan</w:t>
            </w:r>
          </w:p>
          <w:p w14:paraId="4A48728E" w14:textId="77777777" w:rsidR="00D3094F" w:rsidRPr="00D3094F" w:rsidRDefault="00D3094F" w:rsidP="00A32F86">
            <w:pPr>
              <w:pStyle w:val="ListParagraph"/>
              <w:widowControl w:val="0"/>
              <w:numPr>
                <w:ilvl w:val="2"/>
                <w:numId w:val="53"/>
              </w:numPr>
              <w:autoSpaceDE w:val="0"/>
              <w:autoSpaceDN w:val="0"/>
              <w:spacing w:after="0" w:line="240" w:lineRule="auto"/>
              <w:ind w:left="1701" w:hanging="567"/>
              <w:contextualSpacing w:val="0"/>
              <w:jc w:val="both"/>
              <w:rPr>
                <w:rFonts w:ascii="Bookman Old Style" w:hAnsi="Bookman Old Style"/>
                <w:sz w:val="20"/>
                <w:szCs w:val="20"/>
              </w:rPr>
            </w:pPr>
            <w:r w:rsidRPr="00D3094F">
              <w:rPr>
                <w:rFonts w:ascii="Bookman Old Style" w:hAnsi="Bookman Old Style"/>
                <w:sz w:val="20"/>
                <w:szCs w:val="20"/>
              </w:rPr>
              <w:t>Badan</w:t>
            </w:r>
            <w:r w:rsidRPr="00D3094F">
              <w:rPr>
                <w:rFonts w:ascii="Bookman Old Style" w:hAnsi="Bookman Old Style"/>
                <w:spacing w:val="1"/>
                <w:sz w:val="20"/>
                <w:szCs w:val="20"/>
              </w:rPr>
              <w:t xml:space="preserve"> </w:t>
            </w:r>
            <w:r w:rsidRPr="00D3094F">
              <w:rPr>
                <w:rFonts w:ascii="Bookman Old Style" w:hAnsi="Bookman Old Style"/>
                <w:sz w:val="20"/>
                <w:szCs w:val="20"/>
              </w:rPr>
              <w:t>dan</w:t>
            </w:r>
            <w:r w:rsidRPr="00D3094F">
              <w:rPr>
                <w:rFonts w:ascii="Bookman Old Style" w:hAnsi="Bookman Old Style"/>
                <w:spacing w:val="1"/>
                <w:sz w:val="20"/>
                <w:szCs w:val="20"/>
              </w:rPr>
              <w:t xml:space="preserve"> </w:t>
            </w:r>
            <w:r w:rsidRPr="00D3094F">
              <w:rPr>
                <w:rFonts w:ascii="Bookman Old Style" w:hAnsi="Bookman Old Style"/>
                <w:sz w:val="20"/>
                <w:szCs w:val="20"/>
              </w:rPr>
              <w:t>lembaga</w:t>
            </w:r>
            <w:r w:rsidRPr="00D3094F">
              <w:rPr>
                <w:rFonts w:ascii="Bookman Old Style" w:hAnsi="Bookman Old Style"/>
                <w:spacing w:val="1"/>
                <w:sz w:val="20"/>
                <w:szCs w:val="20"/>
              </w:rPr>
              <w:t xml:space="preserve"> </w:t>
            </w:r>
            <w:r w:rsidRPr="00D3094F">
              <w:rPr>
                <w:rFonts w:ascii="Bookman Old Style" w:hAnsi="Bookman Old Style"/>
                <w:sz w:val="20"/>
                <w:szCs w:val="20"/>
              </w:rPr>
              <w:t>Pemerintah</w:t>
            </w:r>
            <w:r w:rsidRPr="00D3094F">
              <w:rPr>
                <w:rFonts w:ascii="Bookman Old Style" w:hAnsi="Bookman Old Style"/>
                <w:spacing w:val="1"/>
                <w:sz w:val="20"/>
                <w:szCs w:val="20"/>
              </w:rPr>
              <w:t xml:space="preserve"> </w:t>
            </w:r>
            <w:r w:rsidRPr="00D3094F">
              <w:rPr>
                <w:rFonts w:ascii="Bookman Old Style" w:hAnsi="Bookman Old Style"/>
                <w:sz w:val="20"/>
                <w:szCs w:val="20"/>
              </w:rPr>
              <w:t>Indonesia</w:t>
            </w:r>
            <w:r w:rsidRPr="00D3094F">
              <w:rPr>
                <w:rFonts w:ascii="Bookman Old Style" w:hAnsi="Bookman Old Style"/>
                <w:spacing w:val="1"/>
                <w:sz w:val="20"/>
                <w:szCs w:val="20"/>
              </w:rPr>
              <w:t xml:space="preserve"> </w:t>
            </w:r>
            <w:r w:rsidRPr="00D3094F">
              <w:rPr>
                <w:rFonts w:ascii="Bookman Old Style" w:hAnsi="Bookman Old Style"/>
                <w:sz w:val="20"/>
                <w:szCs w:val="20"/>
              </w:rPr>
              <w:t>yang</w:t>
            </w:r>
            <w:r w:rsidRPr="00D3094F">
              <w:rPr>
                <w:rFonts w:ascii="Bookman Old Style" w:hAnsi="Bookman Old Style"/>
                <w:spacing w:val="1"/>
                <w:sz w:val="20"/>
                <w:szCs w:val="20"/>
              </w:rPr>
              <w:t xml:space="preserve"> </w:t>
            </w:r>
            <w:r w:rsidRPr="00D3094F">
              <w:rPr>
                <w:rFonts w:ascii="Bookman Old Style" w:hAnsi="Bookman Old Style"/>
                <w:sz w:val="20"/>
                <w:szCs w:val="20"/>
              </w:rPr>
              <w:t>seluruh</w:t>
            </w:r>
            <w:r w:rsidRPr="00D3094F">
              <w:rPr>
                <w:rFonts w:ascii="Bookman Old Style" w:hAnsi="Bookman Old Style"/>
                <w:spacing w:val="-74"/>
                <w:sz w:val="20"/>
                <w:szCs w:val="20"/>
              </w:rPr>
              <w:t xml:space="preserve"> </w:t>
            </w:r>
            <w:r w:rsidRPr="00D3094F">
              <w:rPr>
                <w:rFonts w:ascii="Bookman Old Style" w:hAnsi="Bookman Old Style"/>
                <w:sz w:val="20"/>
                <w:szCs w:val="20"/>
              </w:rPr>
              <w:t>Pendanaan operasionalnya berasal dari Anggaran Pendapatan</w:t>
            </w:r>
            <w:r w:rsidRPr="00D3094F">
              <w:rPr>
                <w:rFonts w:ascii="Bookman Old Style" w:hAnsi="Bookman Old Style"/>
                <w:spacing w:val="1"/>
                <w:sz w:val="20"/>
                <w:szCs w:val="20"/>
              </w:rPr>
              <w:t xml:space="preserve"> </w:t>
            </w:r>
            <w:r w:rsidRPr="00D3094F">
              <w:rPr>
                <w:rFonts w:ascii="Bookman Old Style" w:hAnsi="Bookman Old Style"/>
                <w:sz w:val="20"/>
                <w:szCs w:val="20"/>
              </w:rPr>
              <w:t>dan</w:t>
            </w:r>
            <w:r w:rsidRPr="00D3094F">
              <w:rPr>
                <w:rFonts w:ascii="Bookman Old Style" w:hAnsi="Bookman Old Style"/>
                <w:spacing w:val="-3"/>
                <w:sz w:val="20"/>
                <w:szCs w:val="20"/>
              </w:rPr>
              <w:t xml:space="preserve"> </w:t>
            </w:r>
            <w:r w:rsidRPr="00D3094F">
              <w:rPr>
                <w:rFonts w:ascii="Bookman Old Style" w:hAnsi="Bookman Old Style"/>
                <w:sz w:val="20"/>
                <w:szCs w:val="20"/>
              </w:rPr>
              <w:t>Belanja</w:t>
            </w:r>
            <w:r w:rsidRPr="00D3094F">
              <w:rPr>
                <w:rFonts w:ascii="Bookman Old Style" w:hAnsi="Bookman Old Style"/>
                <w:spacing w:val="-2"/>
                <w:sz w:val="20"/>
                <w:szCs w:val="20"/>
              </w:rPr>
              <w:t xml:space="preserve"> </w:t>
            </w:r>
            <w:r w:rsidRPr="00D3094F">
              <w:rPr>
                <w:rFonts w:ascii="Bookman Old Style" w:hAnsi="Bookman Old Style"/>
                <w:sz w:val="20"/>
                <w:szCs w:val="20"/>
              </w:rPr>
              <w:t>Negara</w:t>
            </w:r>
            <w:r w:rsidRPr="00D3094F">
              <w:rPr>
                <w:rFonts w:ascii="Bookman Old Style" w:hAnsi="Bookman Old Style"/>
                <w:spacing w:val="-2"/>
                <w:sz w:val="20"/>
                <w:szCs w:val="20"/>
              </w:rPr>
              <w:t xml:space="preserve"> </w:t>
            </w:r>
            <w:r w:rsidRPr="00D3094F">
              <w:rPr>
                <w:rFonts w:ascii="Bookman Old Style" w:hAnsi="Bookman Old Style"/>
                <w:sz w:val="20"/>
                <w:szCs w:val="20"/>
              </w:rPr>
              <w:t>(APBN)</w:t>
            </w:r>
            <w:r w:rsidRPr="00D3094F">
              <w:rPr>
                <w:rFonts w:ascii="Bookman Old Style" w:hAnsi="Bookman Old Style"/>
                <w:spacing w:val="-2"/>
                <w:sz w:val="20"/>
                <w:szCs w:val="20"/>
              </w:rPr>
              <w:t xml:space="preserve"> </w:t>
            </w:r>
            <w:r w:rsidRPr="00D3094F">
              <w:rPr>
                <w:rFonts w:ascii="Bookman Old Style" w:hAnsi="Bookman Old Style"/>
                <w:sz w:val="20"/>
                <w:szCs w:val="20"/>
              </w:rPr>
              <w:t>Pemerintah</w:t>
            </w:r>
            <w:r w:rsidRPr="00D3094F">
              <w:rPr>
                <w:rFonts w:ascii="Bookman Old Style" w:hAnsi="Bookman Old Style"/>
                <w:spacing w:val="-3"/>
                <w:sz w:val="20"/>
                <w:szCs w:val="20"/>
              </w:rPr>
              <w:t xml:space="preserve"> </w:t>
            </w:r>
            <w:r w:rsidRPr="00D3094F">
              <w:rPr>
                <w:rFonts w:ascii="Bookman Old Style" w:hAnsi="Bookman Old Style"/>
                <w:sz w:val="20"/>
                <w:szCs w:val="20"/>
              </w:rPr>
              <w:t>Republik</w:t>
            </w:r>
            <w:r w:rsidRPr="00D3094F">
              <w:rPr>
                <w:rFonts w:ascii="Bookman Old Style" w:hAnsi="Bookman Old Style"/>
                <w:spacing w:val="-2"/>
                <w:sz w:val="20"/>
                <w:szCs w:val="20"/>
              </w:rPr>
              <w:t xml:space="preserve"> </w:t>
            </w:r>
            <w:r w:rsidRPr="00D3094F">
              <w:rPr>
                <w:rFonts w:ascii="Bookman Old Style" w:hAnsi="Bookman Old Style"/>
                <w:sz w:val="20"/>
                <w:szCs w:val="20"/>
              </w:rPr>
              <w:t>Indonesia</w:t>
            </w:r>
            <w:r w:rsidRPr="00D3094F">
              <w:rPr>
                <w:rFonts w:ascii="Bookman Old Style" w:hAnsi="Bookman Old Style"/>
                <w:sz w:val="20"/>
                <w:szCs w:val="20"/>
                <w:lang w:val="en-US"/>
              </w:rPr>
              <w:t>.</w:t>
            </w:r>
          </w:p>
          <w:p w14:paraId="585F8461"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sz w:val="20"/>
                <w:szCs w:val="20"/>
              </w:rPr>
            </w:pPr>
            <w:r w:rsidRPr="00D3094F">
              <w:rPr>
                <w:rFonts w:ascii="Bookman Old Style" w:hAnsi="Bookman Old Style"/>
                <w:sz w:val="20"/>
                <w:szCs w:val="20"/>
              </w:rPr>
              <w:t>Entitas</w:t>
            </w:r>
            <w:r w:rsidRPr="00D3094F">
              <w:rPr>
                <w:rFonts w:ascii="Bookman Old Style" w:hAnsi="Bookman Old Style"/>
                <w:spacing w:val="-8"/>
                <w:sz w:val="20"/>
                <w:szCs w:val="20"/>
              </w:rPr>
              <w:t xml:space="preserve"> </w:t>
            </w:r>
            <w:r w:rsidRPr="00D3094F">
              <w:rPr>
                <w:rFonts w:ascii="Bookman Old Style" w:hAnsi="Bookman Old Style"/>
                <w:sz w:val="20"/>
                <w:szCs w:val="20"/>
              </w:rPr>
              <w:t>Sektor</w:t>
            </w:r>
            <w:r w:rsidRPr="00D3094F">
              <w:rPr>
                <w:rFonts w:ascii="Bookman Old Style" w:hAnsi="Bookman Old Style"/>
                <w:spacing w:val="-8"/>
                <w:sz w:val="20"/>
                <w:szCs w:val="20"/>
              </w:rPr>
              <w:t xml:space="preserve"> </w:t>
            </w:r>
            <w:r w:rsidRPr="00D3094F">
              <w:rPr>
                <w:rFonts w:ascii="Bookman Old Style" w:hAnsi="Bookman Old Style"/>
                <w:sz w:val="20"/>
                <w:szCs w:val="20"/>
              </w:rPr>
              <w:t>Publik</w:t>
            </w:r>
            <w:r w:rsidRPr="00D3094F">
              <w:rPr>
                <w:rFonts w:ascii="Bookman Old Style" w:hAnsi="Bookman Old Style"/>
                <w:spacing w:val="-8"/>
                <w:sz w:val="20"/>
                <w:szCs w:val="20"/>
              </w:rPr>
              <w:t xml:space="preserve"> </w:t>
            </w:r>
            <w:r w:rsidRPr="00D3094F">
              <w:rPr>
                <w:rFonts w:ascii="Bookman Old Style" w:hAnsi="Bookman Old Style"/>
                <w:sz w:val="20"/>
                <w:szCs w:val="20"/>
              </w:rPr>
              <w:t>adalah:</w:t>
            </w:r>
          </w:p>
          <w:p w14:paraId="6366726D" w14:textId="77777777" w:rsidR="00D3094F" w:rsidRPr="00D3094F" w:rsidRDefault="00D3094F" w:rsidP="00A32F86">
            <w:pPr>
              <w:pStyle w:val="ListParagraph"/>
              <w:widowControl w:val="0"/>
              <w:numPr>
                <w:ilvl w:val="2"/>
                <w:numId w:val="53"/>
              </w:numPr>
              <w:autoSpaceDE w:val="0"/>
              <w:autoSpaceDN w:val="0"/>
              <w:spacing w:after="0" w:line="240" w:lineRule="auto"/>
              <w:ind w:left="1701" w:right="233" w:hanging="567"/>
              <w:contextualSpacing w:val="0"/>
              <w:jc w:val="both"/>
              <w:rPr>
                <w:rFonts w:ascii="Bookman Old Style" w:hAnsi="Bookman Old Style"/>
                <w:sz w:val="20"/>
                <w:szCs w:val="20"/>
              </w:rPr>
            </w:pPr>
            <w:r w:rsidRPr="00D3094F">
              <w:rPr>
                <w:rFonts w:ascii="Bookman Old Style" w:hAnsi="Bookman Old Style"/>
                <w:sz w:val="20"/>
                <w:szCs w:val="20"/>
              </w:rPr>
              <w:t>Badan Usaha Milik Negara (BUMN) sebagaimana dimaksud</w:t>
            </w:r>
            <w:r w:rsidRPr="00D3094F">
              <w:rPr>
                <w:rFonts w:ascii="Bookman Old Style" w:hAnsi="Bookman Old Style"/>
                <w:spacing w:val="1"/>
                <w:sz w:val="20"/>
                <w:szCs w:val="20"/>
              </w:rPr>
              <w:t xml:space="preserve"> </w:t>
            </w:r>
            <w:r w:rsidRPr="00D3094F">
              <w:rPr>
                <w:rFonts w:ascii="Bookman Old Style" w:hAnsi="Bookman Old Style"/>
                <w:sz w:val="20"/>
                <w:szCs w:val="20"/>
              </w:rPr>
              <w:t>dalam Undang-Undang mengenai BUMN kecuali BUMN berupa</w:t>
            </w:r>
            <w:r w:rsidRPr="00D3094F">
              <w:rPr>
                <w:rFonts w:ascii="Bookman Old Style" w:hAnsi="Bookman Old Style"/>
                <w:spacing w:val="1"/>
                <w:sz w:val="20"/>
                <w:szCs w:val="20"/>
              </w:rPr>
              <w:t xml:space="preserve"> </w:t>
            </w:r>
            <w:r w:rsidRPr="00D3094F">
              <w:rPr>
                <w:rFonts w:ascii="Bookman Old Style" w:hAnsi="Bookman Old Style"/>
                <w:sz w:val="20"/>
                <w:szCs w:val="20"/>
              </w:rPr>
              <w:t>Bank;</w:t>
            </w:r>
          </w:p>
          <w:p w14:paraId="6C409CBB" w14:textId="77777777" w:rsidR="00D3094F" w:rsidRPr="00D3094F" w:rsidRDefault="00D3094F" w:rsidP="00A32F86">
            <w:pPr>
              <w:pStyle w:val="ListParagraph"/>
              <w:widowControl w:val="0"/>
              <w:numPr>
                <w:ilvl w:val="2"/>
                <w:numId w:val="53"/>
              </w:numPr>
              <w:autoSpaceDE w:val="0"/>
              <w:autoSpaceDN w:val="0"/>
              <w:spacing w:after="0" w:line="240" w:lineRule="auto"/>
              <w:ind w:left="1701" w:right="233" w:hanging="567"/>
              <w:contextualSpacing w:val="0"/>
              <w:jc w:val="both"/>
              <w:rPr>
                <w:rFonts w:ascii="Bookman Old Style" w:hAnsi="Bookman Old Style"/>
                <w:sz w:val="20"/>
                <w:szCs w:val="20"/>
              </w:rPr>
            </w:pPr>
            <w:r w:rsidRPr="00D3094F">
              <w:rPr>
                <w:rFonts w:ascii="Bookman Old Style" w:hAnsi="Bookman Old Style"/>
                <w:sz w:val="20"/>
                <w:szCs w:val="20"/>
              </w:rPr>
              <w:t>Pemerintah Daerah (provinsi, kota, dan kabupaten) di Indonesia</w:t>
            </w:r>
            <w:r w:rsidRPr="00D3094F">
              <w:rPr>
                <w:rFonts w:ascii="Bookman Old Style" w:hAnsi="Bookman Old Style"/>
                <w:spacing w:val="-74"/>
                <w:sz w:val="20"/>
                <w:szCs w:val="20"/>
              </w:rPr>
              <w:t xml:space="preserve"> </w:t>
            </w:r>
            <w:r w:rsidRPr="00D3094F">
              <w:rPr>
                <w:rFonts w:ascii="Bookman Old Style" w:hAnsi="Bookman Old Style"/>
                <w:sz w:val="20"/>
                <w:szCs w:val="20"/>
              </w:rPr>
              <w:t>sebagaimana</w:t>
            </w:r>
            <w:r w:rsidRPr="00D3094F">
              <w:rPr>
                <w:rFonts w:ascii="Bookman Old Style" w:hAnsi="Bookman Old Style"/>
                <w:spacing w:val="1"/>
                <w:sz w:val="20"/>
                <w:szCs w:val="20"/>
              </w:rPr>
              <w:t xml:space="preserve"> </w:t>
            </w:r>
            <w:r w:rsidRPr="00D3094F">
              <w:rPr>
                <w:rFonts w:ascii="Bookman Old Style" w:hAnsi="Bookman Old Style"/>
                <w:sz w:val="20"/>
                <w:szCs w:val="20"/>
              </w:rPr>
              <w:t>dimaksud</w:t>
            </w:r>
            <w:r w:rsidRPr="00D3094F">
              <w:rPr>
                <w:rFonts w:ascii="Bookman Old Style" w:hAnsi="Bookman Old Style"/>
                <w:spacing w:val="1"/>
                <w:sz w:val="20"/>
                <w:szCs w:val="20"/>
              </w:rPr>
              <w:t xml:space="preserve"> </w:t>
            </w:r>
            <w:r w:rsidRPr="00D3094F">
              <w:rPr>
                <w:rFonts w:ascii="Bookman Old Style" w:hAnsi="Bookman Old Style"/>
                <w:sz w:val="20"/>
                <w:szCs w:val="20"/>
              </w:rPr>
              <w:t>dalam</w:t>
            </w:r>
            <w:r w:rsidRPr="00D3094F">
              <w:rPr>
                <w:rFonts w:ascii="Bookman Old Style" w:hAnsi="Bookman Old Style"/>
                <w:spacing w:val="1"/>
                <w:sz w:val="20"/>
                <w:szCs w:val="20"/>
              </w:rPr>
              <w:t xml:space="preserve"> </w:t>
            </w:r>
            <w:r w:rsidRPr="00D3094F">
              <w:rPr>
                <w:rFonts w:ascii="Bookman Old Style" w:hAnsi="Bookman Old Style"/>
                <w:sz w:val="20"/>
                <w:szCs w:val="20"/>
              </w:rPr>
              <w:t>Undang-Undang</w:t>
            </w:r>
            <w:r w:rsidRPr="00D3094F">
              <w:rPr>
                <w:rFonts w:ascii="Bookman Old Style" w:hAnsi="Bookman Old Style"/>
                <w:spacing w:val="1"/>
                <w:sz w:val="20"/>
                <w:szCs w:val="20"/>
              </w:rPr>
              <w:t xml:space="preserve"> </w:t>
            </w:r>
            <w:r w:rsidRPr="00D3094F">
              <w:rPr>
                <w:rFonts w:ascii="Bookman Old Style" w:hAnsi="Bookman Old Style"/>
                <w:sz w:val="20"/>
                <w:szCs w:val="20"/>
              </w:rPr>
              <w:t>mengenai</w:t>
            </w:r>
            <w:r w:rsidRPr="00D3094F">
              <w:rPr>
                <w:rFonts w:ascii="Bookman Old Style" w:hAnsi="Bookman Old Style"/>
                <w:spacing w:val="1"/>
                <w:sz w:val="20"/>
                <w:szCs w:val="20"/>
              </w:rPr>
              <w:t xml:space="preserve"> </w:t>
            </w:r>
            <w:r w:rsidRPr="00D3094F">
              <w:rPr>
                <w:rFonts w:ascii="Bookman Old Style" w:hAnsi="Bookman Old Style"/>
                <w:sz w:val="20"/>
                <w:szCs w:val="20"/>
              </w:rPr>
              <w:t>Pemerintah</w:t>
            </w:r>
            <w:r w:rsidRPr="00D3094F">
              <w:rPr>
                <w:rFonts w:ascii="Bookman Old Style" w:hAnsi="Bookman Old Style"/>
                <w:spacing w:val="-2"/>
                <w:sz w:val="20"/>
                <w:szCs w:val="20"/>
              </w:rPr>
              <w:t xml:space="preserve"> </w:t>
            </w:r>
            <w:r w:rsidRPr="00D3094F">
              <w:rPr>
                <w:rFonts w:ascii="Bookman Old Style" w:hAnsi="Bookman Old Style"/>
                <w:sz w:val="20"/>
                <w:szCs w:val="20"/>
              </w:rPr>
              <w:t>Daerah;</w:t>
            </w:r>
          </w:p>
          <w:p w14:paraId="05C9A9AC" w14:textId="77777777" w:rsidR="00D3094F" w:rsidRPr="00D3094F" w:rsidRDefault="00D3094F" w:rsidP="00A32F86">
            <w:pPr>
              <w:pStyle w:val="ListParagraph"/>
              <w:widowControl w:val="0"/>
              <w:numPr>
                <w:ilvl w:val="2"/>
                <w:numId w:val="53"/>
              </w:numPr>
              <w:autoSpaceDE w:val="0"/>
              <w:autoSpaceDN w:val="0"/>
              <w:spacing w:after="0" w:line="240" w:lineRule="auto"/>
              <w:ind w:left="1701" w:right="233" w:hanging="567"/>
              <w:contextualSpacing w:val="0"/>
              <w:jc w:val="both"/>
              <w:rPr>
                <w:rFonts w:ascii="Bookman Old Style" w:hAnsi="Bookman Old Style"/>
                <w:sz w:val="20"/>
                <w:szCs w:val="20"/>
              </w:rPr>
            </w:pPr>
            <w:r w:rsidRPr="00D3094F">
              <w:rPr>
                <w:rFonts w:ascii="Bookman Old Style" w:hAnsi="Bookman Old Style"/>
                <w:sz w:val="20"/>
                <w:szCs w:val="20"/>
              </w:rPr>
              <w:t>Lembaga Pembiayaan Ekspor Indonesia sebagaimana dimaksud</w:t>
            </w:r>
            <w:r w:rsidRPr="00D3094F">
              <w:rPr>
                <w:rFonts w:ascii="Bookman Old Style" w:hAnsi="Bookman Old Style"/>
                <w:spacing w:val="-74"/>
                <w:sz w:val="20"/>
                <w:szCs w:val="20"/>
              </w:rPr>
              <w:t xml:space="preserve"> </w:t>
            </w:r>
            <w:r w:rsidRPr="00D3094F">
              <w:rPr>
                <w:rFonts w:ascii="Bookman Old Style" w:hAnsi="Bookman Old Style"/>
                <w:sz w:val="20"/>
                <w:szCs w:val="20"/>
              </w:rPr>
              <w:t>dalam Undang-Undang mengenai Lembaga Pembiayaan Ekspor</w:t>
            </w:r>
            <w:r w:rsidRPr="00D3094F">
              <w:rPr>
                <w:rFonts w:ascii="Bookman Old Style" w:hAnsi="Bookman Old Style"/>
                <w:spacing w:val="1"/>
                <w:sz w:val="20"/>
                <w:szCs w:val="20"/>
              </w:rPr>
              <w:t xml:space="preserve"> </w:t>
            </w:r>
            <w:r w:rsidRPr="00D3094F">
              <w:rPr>
                <w:rFonts w:ascii="Bookman Old Style" w:hAnsi="Bookman Old Style"/>
                <w:sz w:val="20"/>
                <w:szCs w:val="20"/>
              </w:rPr>
              <w:t>Indonesia; dan</w:t>
            </w:r>
          </w:p>
          <w:p w14:paraId="247EE927" w14:textId="77777777" w:rsidR="00D3094F" w:rsidRPr="00D3094F" w:rsidRDefault="00D3094F" w:rsidP="00A32F86">
            <w:pPr>
              <w:pStyle w:val="ListParagraph"/>
              <w:widowControl w:val="0"/>
              <w:numPr>
                <w:ilvl w:val="2"/>
                <w:numId w:val="53"/>
              </w:numPr>
              <w:autoSpaceDE w:val="0"/>
              <w:autoSpaceDN w:val="0"/>
              <w:spacing w:after="0" w:line="240" w:lineRule="auto"/>
              <w:ind w:left="1701" w:right="233" w:hanging="567"/>
              <w:contextualSpacing w:val="0"/>
              <w:jc w:val="both"/>
              <w:rPr>
                <w:rFonts w:ascii="Bookman Old Style" w:hAnsi="Bookman Old Style"/>
                <w:sz w:val="20"/>
                <w:szCs w:val="20"/>
              </w:rPr>
            </w:pPr>
            <w:r w:rsidRPr="00D3094F">
              <w:rPr>
                <w:rFonts w:ascii="Bookman Old Style" w:hAnsi="Bookman Old Style"/>
                <w:sz w:val="20"/>
                <w:szCs w:val="20"/>
              </w:rPr>
              <w:lastRenderedPageBreak/>
              <w:t>Badan atau lembaga Pemerintah Republik Indonesia yang tidak</w:t>
            </w:r>
            <w:r w:rsidRPr="00D3094F">
              <w:rPr>
                <w:rFonts w:ascii="Bookman Old Style" w:hAnsi="Bookman Old Style"/>
                <w:spacing w:val="1"/>
                <w:sz w:val="20"/>
                <w:szCs w:val="20"/>
              </w:rPr>
              <w:t xml:space="preserve"> </w:t>
            </w:r>
            <w:r w:rsidRPr="00D3094F">
              <w:rPr>
                <w:rFonts w:ascii="Bookman Old Style" w:hAnsi="Bookman Old Style"/>
                <w:sz w:val="20"/>
                <w:szCs w:val="20"/>
              </w:rPr>
              <w:t>memenuhi</w:t>
            </w:r>
            <w:r w:rsidRPr="00D3094F">
              <w:rPr>
                <w:rFonts w:ascii="Bookman Old Style" w:hAnsi="Bookman Old Style"/>
                <w:spacing w:val="-1"/>
                <w:sz w:val="20"/>
                <w:szCs w:val="20"/>
              </w:rPr>
              <w:t xml:space="preserve"> </w:t>
            </w:r>
            <w:r w:rsidRPr="00D3094F">
              <w:rPr>
                <w:rFonts w:ascii="Bookman Old Style" w:hAnsi="Bookman Old Style"/>
                <w:sz w:val="20"/>
                <w:szCs w:val="20"/>
              </w:rPr>
              <w:t>kriteria</w:t>
            </w:r>
            <w:r w:rsidRPr="00D3094F">
              <w:rPr>
                <w:rFonts w:ascii="Bookman Old Style" w:hAnsi="Bookman Old Style"/>
                <w:spacing w:val="-2"/>
                <w:sz w:val="20"/>
                <w:szCs w:val="20"/>
              </w:rPr>
              <w:t xml:space="preserve"> </w:t>
            </w:r>
            <w:r w:rsidRPr="00D3094F">
              <w:rPr>
                <w:rFonts w:ascii="Bookman Old Style" w:hAnsi="Bookman Old Style"/>
                <w:sz w:val="20"/>
                <w:szCs w:val="20"/>
              </w:rPr>
              <w:t>Pemerintah</w:t>
            </w:r>
            <w:r w:rsidRPr="00D3094F">
              <w:rPr>
                <w:rFonts w:ascii="Bookman Old Style" w:hAnsi="Bookman Old Style"/>
                <w:spacing w:val="-1"/>
                <w:sz w:val="20"/>
                <w:szCs w:val="20"/>
              </w:rPr>
              <w:t xml:space="preserve"> </w:t>
            </w:r>
            <w:r w:rsidRPr="00D3094F">
              <w:rPr>
                <w:rFonts w:ascii="Bookman Old Style" w:hAnsi="Bookman Old Style"/>
                <w:sz w:val="20"/>
                <w:szCs w:val="20"/>
              </w:rPr>
              <w:t>Indonesia.</w:t>
            </w:r>
          </w:p>
          <w:p w14:paraId="33C34374" w14:textId="77777777" w:rsidR="00D3094F"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sz w:val="20"/>
                <w:szCs w:val="20"/>
              </w:rPr>
            </w:pPr>
            <w:r w:rsidRPr="00D3094F">
              <w:rPr>
                <w:rFonts w:ascii="Bookman Old Style" w:hAnsi="Bookman Old Style"/>
                <w:sz w:val="20"/>
                <w:szCs w:val="20"/>
              </w:rPr>
              <w:t>Bank</w:t>
            </w:r>
            <w:r w:rsidRPr="00D3094F">
              <w:rPr>
                <w:rFonts w:ascii="Bookman Old Style" w:hAnsi="Bookman Old Style"/>
                <w:spacing w:val="1"/>
                <w:sz w:val="20"/>
                <w:szCs w:val="20"/>
              </w:rPr>
              <w:t xml:space="preserve"> </w:t>
            </w:r>
            <w:r w:rsidRPr="00D3094F">
              <w:rPr>
                <w:rFonts w:ascii="Bookman Old Style" w:hAnsi="Bookman Old Style"/>
                <w:sz w:val="20"/>
                <w:szCs w:val="20"/>
              </w:rPr>
              <w:t>Pembangunan</w:t>
            </w:r>
            <w:r w:rsidRPr="00D3094F">
              <w:rPr>
                <w:rFonts w:ascii="Bookman Old Style" w:hAnsi="Bookman Old Style"/>
                <w:spacing w:val="1"/>
                <w:sz w:val="20"/>
                <w:szCs w:val="20"/>
              </w:rPr>
              <w:t xml:space="preserve"> </w:t>
            </w:r>
            <w:r w:rsidRPr="00D3094F">
              <w:rPr>
                <w:rFonts w:ascii="Bookman Old Style" w:hAnsi="Bookman Old Style"/>
                <w:sz w:val="20"/>
                <w:szCs w:val="20"/>
              </w:rPr>
              <w:t>Multilateral</w:t>
            </w:r>
            <w:r w:rsidRPr="00D3094F">
              <w:rPr>
                <w:rFonts w:ascii="Bookman Old Style" w:hAnsi="Bookman Old Style"/>
                <w:spacing w:val="1"/>
                <w:sz w:val="20"/>
                <w:szCs w:val="20"/>
              </w:rPr>
              <w:t xml:space="preserve"> </w:t>
            </w:r>
            <w:r w:rsidRPr="00D3094F">
              <w:rPr>
                <w:rFonts w:ascii="Bookman Old Style" w:hAnsi="Bookman Old Style"/>
                <w:sz w:val="20"/>
                <w:szCs w:val="20"/>
              </w:rPr>
              <w:t>adalah</w:t>
            </w:r>
            <w:r w:rsidRPr="00D3094F">
              <w:rPr>
                <w:rFonts w:ascii="Bookman Old Style" w:hAnsi="Bookman Old Style"/>
                <w:spacing w:val="1"/>
                <w:sz w:val="20"/>
                <w:szCs w:val="20"/>
              </w:rPr>
              <w:t xml:space="preserve"> </w:t>
            </w:r>
            <w:r w:rsidRPr="00D3094F">
              <w:rPr>
                <w:rFonts w:ascii="Bookman Old Style" w:hAnsi="Bookman Old Style"/>
                <w:sz w:val="20"/>
                <w:szCs w:val="20"/>
              </w:rPr>
              <w:t>Bank</w:t>
            </w:r>
            <w:r w:rsidRPr="00D3094F">
              <w:rPr>
                <w:rFonts w:ascii="Bookman Old Style" w:hAnsi="Bookman Old Style"/>
                <w:spacing w:val="1"/>
                <w:sz w:val="20"/>
                <w:szCs w:val="20"/>
              </w:rPr>
              <w:t xml:space="preserve"> </w:t>
            </w:r>
            <w:r w:rsidRPr="00D3094F">
              <w:rPr>
                <w:rFonts w:ascii="Bookman Old Style" w:hAnsi="Bookman Old Style"/>
                <w:sz w:val="20"/>
                <w:szCs w:val="20"/>
              </w:rPr>
              <w:t>Pembangunan</w:t>
            </w:r>
            <w:r w:rsidRPr="00D3094F">
              <w:rPr>
                <w:rFonts w:ascii="Bookman Old Style" w:hAnsi="Bookman Old Style"/>
                <w:spacing w:val="1"/>
                <w:sz w:val="20"/>
                <w:szCs w:val="20"/>
              </w:rPr>
              <w:t xml:space="preserve"> </w:t>
            </w:r>
            <w:r w:rsidRPr="00D3094F">
              <w:rPr>
                <w:rFonts w:ascii="Bookman Old Style" w:hAnsi="Bookman Old Style"/>
                <w:sz w:val="20"/>
                <w:szCs w:val="20"/>
              </w:rPr>
              <w:t>Multilateral sebagaimana dimaksud dalam ketentuan Otoritas Jasa</w:t>
            </w:r>
            <w:r w:rsidRPr="00D3094F">
              <w:rPr>
                <w:rFonts w:ascii="Bookman Old Style" w:hAnsi="Bookman Old Style"/>
                <w:spacing w:val="1"/>
                <w:sz w:val="20"/>
                <w:szCs w:val="20"/>
              </w:rPr>
              <w:t xml:space="preserve"> </w:t>
            </w:r>
            <w:r w:rsidRPr="00D3094F">
              <w:rPr>
                <w:rFonts w:ascii="Bookman Old Style" w:hAnsi="Bookman Old Style"/>
                <w:sz w:val="20"/>
                <w:szCs w:val="20"/>
              </w:rPr>
              <w:t>Keuangan</w:t>
            </w:r>
            <w:r w:rsidRPr="00D3094F">
              <w:rPr>
                <w:rFonts w:ascii="Bookman Old Style" w:hAnsi="Bookman Old Style"/>
                <w:spacing w:val="1"/>
                <w:sz w:val="20"/>
                <w:szCs w:val="20"/>
              </w:rPr>
              <w:t xml:space="preserve"> </w:t>
            </w:r>
            <w:r w:rsidRPr="00D3094F">
              <w:rPr>
                <w:rFonts w:ascii="Bookman Old Style" w:hAnsi="Bookman Old Style"/>
                <w:sz w:val="20"/>
                <w:szCs w:val="20"/>
              </w:rPr>
              <w:t>yang</w:t>
            </w:r>
            <w:r w:rsidRPr="00D3094F">
              <w:rPr>
                <w:rFonts w:ascii="Bookman Old Style" w:hAnsi="Bookman Old Style"/>
                <w:spacing w:val="1"/>
                <w:sz w:val="20"/>
                <w:szCs w:val="20"/>
              </w:rPr>
              <w:t xml:space="preserve"> </w:t>
            </w:r>
            <w:r w:rsidRPr="00D3094F">
              <w:rPr>
                <w:rFonts w:ascii="Bookman Old Style" w:hAnsi="Bookman Old Style"/>
                <w:sz w:val="20"/>
                <w:szCs w:val="20"/>
              </w:rPr>
              <w:t>mengatur</w:t>
            </w:r>
            <w:r w:rsidRPr="00D3094F">
              <w:rPr>
                <w:rFonts w:ascii="Bookman Old Style" w:hAnsi="Bookman Old Style"/>
                <w:spacing w:val="1"/>
                <w:sz w:val="20"/>
                <w:szCs w:val="20"/>
              </w:rPr>
              <w:t xml:space="preserve"> </w:t>
            </w:r>
            <w:r w:rsidRPr="00D3094F">
              <w:rPr>
                <w:rFonts w:ascii="Bookman Old Style" w:hAnsi="Bookman Old Style"/>
                <w:sz w:val="20"/>
                <w:szCs w:val="20"/>
              </w:rPr>
              <w:t>mengenai</w:t>
            </w:r>
            <w:r w:rsidRPr="00D3094F">
              <w:rPr>
                <w:rFonts w:ascii="Bookman Old Style" w:hAnsi="Bookman Old Style"/>
                <w:spacing w:val="1"/>
                <w:sz w:val="20"/>
                <w:szCs w:val="20"/>
              </w:rPr>
              <w:t xml:space="preserve"> </w:t>
            </w:r>
            <w:r w:rsidRPr="00D3094F">
              <w:rPr>
                <w:rFonts w:ascii="Bookman Old Style" w:hAnsi="Bookman Old Style"/>
                <w:sz w:val="20"/>
                <w:szCs w:val="20"/>
              </w:rPr>
              <w:t>pedoman</w:t>
            </w:r>
            <w:r w:rsidRPr="00D3094F">
              <w:rPr>
                <w:rFonts w:ascii="Bookman Old Style" w:hAnsi="Bookman Old Style"/>
                <w:spacing w:val="1"/>
                <w:sz w:val="20"/>
                <w:szCs w:val="20"/>
              </w:rPr>
              <w:t xml:space="preserve"> </w:t>
            </w:r>
            <w:r w:rsidRPr="00D3094F">
              <w:rPr>
                <w:rFonts w:ascii="Bookman Old Style" w:hAnsi="Bookman Old Style"/>
                <w:sz w:val="20"/>
                <w:szCs w:val="20"/>
              </w:rPr>
              <w:t>perhitungan</w:t>
            </w:r>
            <w:r w:rsidRPr="00D3094F">
              <w:rPr>
                <w:rFonts w:ascii="Bookman Old Style" w:hAnsi="Bookman Old Style"/>
                <w:spacing w:val="1"/>
                <w:sz w:val="20"/>
                <w:szCs w:val="20"/>
              </w:rPr>
              <w:t xml:space="preserve"> </w:t>
            </w:r>
            <w:r w:rsidRPr="00D3094F">
              <w:rPr>
                <w:rFonts w:ascii="Bookman Old Style" w:hAnsi="Bookman Old Style"/>
                <w:sz w:val="20"/>
                <w:szCs w:val="20"/>
              </w:rPr>
              <w:t>aset</w:t>
            </w:r>
            <w:r w:rsidRPr="00D3094F">
              <w:rPr>
                <w:rFonts w:ascii="Bookman Old Style" w:hAnsi="Bookman Old Style"/>
                <w:spacing w:val="1"/>
                <w:sz w:val="20"/>
                <w:szCs w:val="20"/>
              </w:rPr>
              <w:t xml:space="preserve"> </w:t>
            </w:r>
            <w:r w:rsidRPr="00D3094F">
              <w:rPr>
                <w:rFonts w:ascii="Bookman Old Style" w:hAnsi="Bookman Old Style"/>
                <w:sz w:val="20"/>
                <w:szCs w:val="20"/>
              </w:rPr>
              <w:t xml:space="preserve">tertimbang menurut risiko </w:t>
            </w:r>
            <w:r w:rsidRPr="00D3094F">
              <w:rPr>
                <w:rFonts w:ascii="Bookman Old Style" w:hAnsi="Bookman Old Style"/>
                <w:sz w:val="20"/>
                <w:szCs w:val="20"/>
                <w:lang w:val="en-US"/>
              </w:rPr>
              <w:t xml:space="preserve">(ATMR) </w:t>
            </w:r>
            <w:r w:rsidRPr="00D3094F">
              <w:rPr>
                <w:rFonts w:ascii="Bookman Old Style" w:hAnsi="Bookman Old Style"/>
                <w:sz w:val="20"/>
                <w:szCs w:val="20"/>
              </w:rPr>
              <w:t>untuk risiko kredit dengan menggunakan</w:t>
            </w:r>
            <w:r w:rsidRPr="00D3094F">
              <w:rPr>
                <w:rFonts w:ascii="Bookman Old Style" w:hAnsi="Bookman Old Style"/>
                <w:spacing w:val="1"/>
                <w:sz w:val="20"/>
                <w:szCs w:val="20"/>
              </w:rPr>
              <w:t xml:space="preserve"> </w:t>
            </w:r>
            <w:r w:rsidRPr="00D3094F">
              <w:rPr>
                <w:rFonts w:ascii="Bookman Old Style" w:hAnsi="Bookman Old Style"/>
                <w:sz w:val="20"/>
                <w:szCs w:val="20"/>
              </w:rPr>
              <w:t>pendekatan</w:t>
            </w:r>
            <w:r w:rsidRPr="00D3094F">
              <w:rPr>
                <w:rFonts w:ascii="Bookman Old Style" w:hAnsi="Bookman Old Style"/>
                <w:spacing w:val="-2"/>
                <w:sz w:val="20"/>
                <w:szCs w:val="20"/>
              </w:rPr>
              <w:t xml:space="preserve"> </w:t>
            </w:r>
            <w:r w:rsidRPr="00D3094F">
              <w:rPr>
                <w:rFonts w:ascii="Bookman Old Style" w:hAnsi="Bookman Old Style"/>
                <w:sz w:val="20"/>
                <w:szCs w:val="20"/>
              </w:rPr>
              <w:t>standar</w:t>
            </w:r>
            <w:r w:rsidRPr="00D3094F">
              <w:rPr>
                <w:rFonts w:ascii="Bookman Old Style" w:hAnsi="Bookman Old Style"/>
                <w:sz w:val="20"/>
                <w:szCs w:val="20"/>
                <w:lang w:val="en-US"/>
              </w:rPr>
              <w:t xml:space="preserve"> bagi Bank Umum Syariah</w:t>
            </w:r>
            <w:r w:rsidRPr="00D3094F">
              <w:rPr>
                <w:rFonts w:ascii="Bookman Old Style" w:hAnsi="Bookman Old Style"/>
                <w:sz w:val="20"/>
                <w:szCs w:val="20"/>
              </w:rPr>
              <w:t>.</w:t>
            </w:r>
          </w:p>
          <w:p w14:paraId="1BD51417" w14:textId="64FF7B27" w:rsidR="00B03AEA" w:rsidRPr="00D3094F" w:rsidRDefault="00D3094F" w:rsidP="00A32F86">
            <w:pPr>
              <w:pStyle w:val="ListParagraph"/>
              <w:widowControl w:val="0"/>
              <w:numPr>
                <w:ilvl w:val="1"/>
                <w:numId w:val="53"/>
              </w:numPr>
              <w:autoSpaceDE w:val="0"/>
              <w:autoSpaceDN w:val="0"/>
              <w:spacing w:after="0" w:line="240" w:lineRule="auto"/>
              <w:ind w:left="1134" w:right="232" w:hanging="567"/>
              <w:contextualSpacing w:val="0"/>
              <w:jc w:val="both"/>
              <w:rPr>
                <w:rFonts w:ascii="Bookman Old Style" w:hAnsi="Bookman Old Style"/>
                <w:sz w:val="20"/>
                <w:szCs w:val="20"/>
              </w:rPr>
            </w:pPr>
            <w:r w:rsidRPr="00D3094F">
              <w:rPr>
                <w:rFonts w:ascii="Bookman Old Style" w:eastAsia="Times New Roman" w:hAnsi="Bookman Old Style" w:cs="Arial"/>
                <w:sz w:val="20"/>
                <w:szCs w:val="20"/>
              </w:rPr>
              <w:t xml:space="preserve">Definisi </w:t>
            </w:r>
            <w:r w:rsidRPr="00D3094F">
              <w:rPr>
                <w:rFonts w:ascii="Bookman Old Style" w:hAnsi="Bookman Old Style"/>
                <w:sz w:val="20"/>
                <w:szCs w:val="20"/>
              </w:rPr>
              <w:t>istilah</w:t>
            </w:r>
            <w:r w:rsidRPr="00D3094F">
              <w:rPr>
                <w:rFonts w:ascii="Bookman Old Style" w:eastAsia="Times New Roman" w:hAnsi="Bookman Old Style" w:cs="Arial"/>
                <w:sz w:val="20"/>
                <w:szCs w:val="20"/>
              </w:rPr>
              <w:t>-istilah yang digunakan dalam</w:t>
            </w:r>
            <w:r w:rsidRPr="00D3094F">
              <w:rPr>
                <w:rFonts w:ascii="Bookman Old Style" w:eastAsia="Times New Roman" w:hAnsi="Bookman Old Style" w:cs="Arial"/>
                <w:sz w:val="20"/>
                <w:szCs w:val="20"/>
                <w:lang w:val="en-US"/>
              </w:rPr>
              <w:t xml:space="preserve"> ketentuan LR sebagaimana Lampiran I POJK ini</w:t>
            </w:r>
            <w:r w:rsidRPr="00D3094F">
              <w:rPr>
                <w:rFonts w:ascii="Bookman Old Style" w:eastAsia="Times New Roman" w:hAnsi="Bookman Old Style" w:cs="Arial"/>
                <w:sz w:val="20"/>
                <w:szCs w:val="20"/>
              </w:rPr>
              <w:t>, seperti istilah ‘</w:t>
            </w:r>
            <w:r w:rsidRPr="00D3094F">
              <w:rPr>
                <w:rFonts w:ascii="Bookman Old Style" w:eastAsia="Times New Roman" w:hAnsi="Bookman Old Style" w:cs="Arial"/>
                <w:i/>
                <w:sz w:val="20"/>
                <w:szCs w:val="20"/>
              </w:rPr>
              <w:t>high quality liquid asset</w:t>
            </w:r>
            <w:r w:rsidRPr="00D3094F">
              <w:rPr>
                <w:rFonts w:ascii="Bookman Old Style" w:eastAsia="Times New Roman" w:hAnsi="Bookman Old Style" w:cs="Arial"/>
                <w:sz w:val="20"/>
                <w:szCs w:val="20"/>
              </w:rPr>
              <w:t>’ (HQLA),</w:t>
            </w:r>
            <w:r w:rsidRPr="00D3094F">
              <w:rPr>
                <w:rFonts w:ascii="Bookman Old Style" w:eastAsia="Times New Roman" w:hAnsi="Bookman Old Style" w:cs="Arial"/>
                <w:sz w:val="20"/>
                <w:szCs w:val="20"/>
                <w:lang w:val="en-US"/>
              </w:rPr>
              <w:t xml:space="preserve"> ‘</w:t>
            </w:r>
            <w:r w:rsidRPr="00D3094F">
              <w:rPr>
                <w:rFonts w:ascii="Bookman Old Style" w:hAnsi="Bookman Old Style"/>
                <w:i/>
                <w:color w:val="000000" w:themeColor="text1"/>
                <w:sz w:val="20"/>
                <w:szCs w:val="20"/>
                <w:lang w:val="en-US"/>
              </w:rPr>
              <w:t xml:space="preserve">net cash outflow’, </w:t>
            </w:r>
            <w:r w:rsidRPr="00D3094F">
              <w:rPr>
                <w:rFonts w:ascii="Bookman Old Style" w:eastAsia="Times New Roman" w:hAnsi="Bookman Old Style" w:cs="Arial"/>
                <w:sz w:val="20"/>
                <w:szCs w:val="20"/>
              </w:rPr>
              <w:t>dan istilah-istilah lain, konsisten dengan yang digunakan dalam</w:t>
            </w:r>
            <w:r w:rsidRPr="00D3094F">
              <w:rPr>
                <w:rFonts w:ascii="Bookman Old Style" w:eastAsia="Times New Roman" w:hAnsi="Bookman Old Style" w:cs="Arial"/>
                <w:sz w:val="20"/>
                <w:szCs w:val="20"/>
                <w:lang w:val="en-US"/>
              </w:rPr>
              <w:t xml:space="preserve"> batang tubuh Peraturan Otoritas Jasa Keuangan i</w:t>
            </w:r>
            <w:r w:rsidRPr="00D3094F">
              <w:rPr>
                <w:rFonts w:ascii="Bookman Old Style" w:eastAsia="Times New Roman" w:hAnsi="Bookman Old Style" w:cs="Arial"/>
                <w:sz w:val="20"/>
                <w:szCs w:val="20"/>
              </w:rPr>
              <w:t>ni kecuali apabila secara spesifik disebutkan berbeda.</w:t>
            </w:r>
          </w:p>
        </w:tc>
        <w:tc>
          <w:tcPr>
            <w:tcW w:w="3686" w:type="dxa"/>
            <w:shd w:val="clear" w:color="auto" w:fill="auto"/>
            <w:vAlign w:val="center"/>
          </w:tcPr>
          <w:p w14:paraId="58708507"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FAC531A"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1D5806B2" w14:textId="77777777" w:rsidTr="00D3094F">
        <w:trPr>
          <w:trHeight w:val="564"/>
          <w:tblHeader/>
        </w:trPr>
        <w:tc>
          <w:tcPr>
            <w:tcW w:w="9634" w:type="dxa"/>
            <w:shd w:val="clear" w:color="auto" w:fill="DBDBDB" w:themeFill="accent3" w:themeFillTint="66"/>
            <w:vAlign w:val="center"/>
          </w:tcPr>
          <w:p w14:paraId="786A88C3" w14:textId="75ABDCC2" w:rsidR="00D3094F" w:rsidRPr="00D3094F" w:rsidRDefault="00D3094F" w:rsidP="00A32F86">
            <w:pPr>
              <w:pStyle w:val="BodyText"/>
              <w:numPr>
                <w:ilvl w:val="3"/>
                <w:numId w:val="29"/>
              </w:numPr>
              <w:ind w:left="596" w:right="-1" w:hanging="567"/>
              <w:rPr>
                <w:rFonts w:ascii="Bookman Old Style" w:hAnsi="Bookman Old Style"/>
                <w:sz w:val="20"/>
                <w:szCs w:val="20"/>
              </w:rPr>
            </w:pPr>
            <w:r w:rsidRPr="00D3094F">
              <w:rPr>
                <w:rFonts w:ascii="Bookman Old Style" w:hAnsi="Bookman Old Style"/>
                <w:sz w:val="20"/>
                <w:szCs w:val="20"/>
              </w:rPr>
              <w:t>ASET BERKUALITAS TINGGI (</w:t>
            </w:r>
            <w:r w:rsidRPr="00D3094F">
              <w:rPr>
                <w:rFonts w:ascii="Bookman Old Style" w:hAnsi="Bookman Old Style"/>
                <w:i/>
                <w:sz w:val="20"/>
                <w:szCs w:val="20"/>
              </w:rPr>
              <w:t>HIGH QUALITY LIQUID ASSET</w:t>
            </w:r>
            <w:r w:rsidRPr="00D3094F">
              <w:rPr>
                <w:rFonts w:ascii="Bookman Old Style" w:hAnsi="Bookman Old Style"/>
                <w:sz w:val="20"/>
                <w:szCs w:val="20"/>
              </w:rPr>
              <w:t>)</w:t>
            </w:r>
          </w:p>
        </w:tc>
        <w:tc>
          <w:tcPr>
            <w:tcW w:w="3686" w:type="dxa"/>
            <w:shd w:val="clear" w:color="auto" w:fill="DBDBDB" w:themeFill="accent3" w:themeFillTint="66"/>
            <w:vAlign w:val="center"/>
          </w:tcPr>
          <w:p w14:paraId="2A0DA025"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67C5764B"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5F2CCF23" w14:textId="77777777" w:rsidTr="00D3094F">
        <w:trPr>
          <w:trHeight w:val="564"/>
          <w:tblHeader/>
        </w:trPr>
        <w:tc>
          <w:tcPr>
            <w:tcW w:w="9634" w:type="dxa"/>
            <w:shd w:val="clear" w:color="auto" w:fill="FFF2CC" w:themeFill="accent4" w:themeFillTint="33"/>
            <w:vAlign w:val="center"/>
          </w:tcPr>
          <w:p w14:paraId="4C24F35F" w14:textId="6E173539" w:rsidR="00D3094F" w:rsidRPr="00D3094F" w:rsidRDefault="00D3094F" w:rsidP="00A32F86">
            <w:pPr>
              <w:pStyle w:val="ListParagraph"/>
              <w:widowControl w:val="0"/>
              <w:numPr>
                <w:ilvl w:val="4"/>
                <w:numId w:val="29"/>
              </w:numPr>
              <w:autoSpaceDE w:val="0"/>
              <w:autoSpaceDN w:val="0"/>
              <w:spacing w:after="0" w:line="240" w:lineRule="auto"/>
              <w:ind w:left="1134"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Umum</w:t>
            </w:r>
          </w:p>
        </w:tc>
        <w:tc>
          <w:tcPr>
            <w:tcW w:w="3686" w:type="dxa"/>
            <w:shd w:val="clear" w:color="auto" w:fill="FFF2CC" w:themeFill="accent4" w:themeFillTint="33"/>
            <w:vAlign w:val="center"/>
          </w:tcPr>
          <w:p w14:paraId="40996D63"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59063BB1"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5289475C" w14:textId="77777777" w:rsidTr="00B03AEA">
        <w:trPr>
          <w:trHeight w:val="564"/>
          <w:tblHeader/>
        </w:trPr>
        <w:tc>
          <w:tcPr>
            <w:tcW w:w="9634" w:type="dxa"/>
            <w:shd w:val="clear" w:color="auto" w:fill="auto"/>
            <w:vAlign w:val="center"/>
          </w:tcPr>
          <w:p w14:paraId="27B92C88" w14:textId="77777777" w:rsidR="00D3094F" w:rsidRPr="00D3094F" w:rsidRDefault="00D3094F" w:rsidP="00A32F86">
            <w:pPr>
              <w:pStyle w:val="ListParagraph"/>
              <w:widowControl w:val="0"/>
              <w:numPr>
                <w:ilvl w:val="1"/>
                <w:numId w:val="54"/>
              </w:numPr>
              <w:autoSpaceDE w:val="0"/>
              <w:autoSpaceDN w:val="0"/>
              <w:spacing w:after="0" w:line="240" w:lineRule="auto"/>
              <w:ind w:left="1701" w:right="232" w:hanging="567"/>
              <w:contextualSpacing w:val="0"/>
              <w:jc w:val="both"/>
              <w:rPr>
                <w:rFonts w:ascii="Bookman Old Style" w:hAnsi="Bookman Old Style"/>
                <w:sz w:val="20"/>
                <w:szCs w:val="20"/>
              </w:rPr>
            </w:pPr>
            <w:r w:rsidRPr="00D3094F">
              <w:rPr>
                <w:rFonts w:ascii="Bookman Old Style" w:hAnsi="Bookman Old Style"/>
                <w:sz w:val="20"/>
                <w:szCs w:val="20"/>
                <w:lang w:val="en-US"/>
              </w:rPr>
              <w:t>HQLA</w:t>
            </w:r>
            <w:r w:rsidRPr="00D3094F">
              <w:rPr>
                <w:rFonts w:ascii="Bookman Old Style" w:hAnsi="Bookman Old Style"/>
                <w:sz w:val="20"/>
                <w:szCs w:val="20"/>
              </w:rPr>
              <w:t xml:space="preserve"> adalah kas dan/atau aset keuangan yang dapat dengan mudah dikonversi menjadi kas dengan sedikit atau tanpa pengurangan nilai untuk memenuhi kebutuhan likuiditas Bank selama periode 30 (tiga puluh) hari kedepan dalam skenario stres. </w:t>
            </w:r>
          </w:p>
          <w:p w14:paraId="05EE27F7" w14:textId="77777777" w:rsidR="00D3094F" w:rsidRPr="00D3094F" w:rsidRDefault="00D3094F" w:rsidP="00A32F86">
            <w:pPr>
              <w:pStyle w:val="ListParagraph"/>
              <w:widowControl w:val="0"/>
              <w:numPr>
                <w:ilvl w:val="1"/>
                <w:numId w:val="54"/>
              </w:numPr>
              <w:autoSpaceDE w:val="0"/>
              <w:autoSpaceDN w:val="0"/>
              <w:spacing w:after="0" w:line="240" w:lineRule="auto"/>
              <w:ind w:left="1701" w:right="232" w:hanging="567"/>
              <w:contextualSpacing w:val="0"/>
              <w:jc w:val="both"/>
              <w:rPr>
                <w:rFonts w:ascii="Bookman Old Style" w:hAnsi="Bookman Old Style"/>
                <w:sz w:val="20"/>
                <w:szCs w:val="20"/>
              </w:rPr>
            </w:pPr>
            <w:r w:rsidRPr="00D3094F">
              <w:rPr>
                <w:rFonts w:ascii="Bookman Old Style" w:hAnsi="Bookman Old Style"/>
                <w:sz w:val="20"/>
                <w:szCs w:val="20"/>
                <w:lang w:val="en-US"/>
              </w:rPr>
              <w:t>Nilai</w:t>
            </w:r>
            <w:r w:rsidRPr="00D3094F">
              <w:rPr>
                <w:rFonts w:ascii="Bookman Old Style" w:hAnsi="Bookman Old Style"/>
                <w:sz w:val="20"/>
                <w:szCs w:val="20"/>
              </w:rPr>
              <w:t xml:space="preserve"> HQLA yang diperhitungkan dalam perhitungan LCR adalah nilai pasar dari HQLA</w:t>
            </w:r>
            <w:r w:rsidRPr="00D3094F">
              <w:rPr>
                <w:rFonts w:ascii="Bookman Old Style" w:hAnsi="Bookman Old Style"/>
                <w:sz w:val="20"/>
                <w:szCs w:val="20"/>
                <w:lang w:val="en-US"/>
              </w:rPr>
              <w:t>.</w:t>
            </w:r>
            <w:r w:rsidRPr="00D3094F">
              <w:rPr>
                <w:rFonts w:ascii="Bookman Old Style" w:hAnsi="Bookman Old Style"/>
                <w:sz w:val="20"/>
                <w:szCs w:val="20"/>
              </w:rPr>
              <w:t xml:space="preserve"> </w:t>
            </w:r>
          </w:p>
          <w:p w14:paraId="1C7FD7F2" w14:textId="77777777" w:rsidR="00D3094F" w:rsidRPr="00D3094F" w:rsidRDefault="00D3094F" w:rsidP="00A32F86">
            <w:pPr>
              <w:pStyle w:val="ListParagraph"/>
              <w:widowControl w:val="0"/>
              <w:numPr>
                <w:ilvl w:val="1"/>
                <w:numId w:val="54"/>
              </w:numPr>
              <w:autoSpaceDE w:val="0"/>
              <w:autoSpaceDN w:val="0"/>
              <w:spacing w:after="0" w:line="240" w:lineRule="auto"/>
              <w:ind w:left="1701" w:right="232" w:hanging="567"/>
              <w:contextualSpacing w:val="0"/>
              <w:jc w:val="both"/>
              <w:rPr>
                <w:rFonts w:ascii="Bookman Old Style" w:hAnsi="Bookman Old Style"/>
                <w:sz w:val="20"/>
                <w:szCs w:val="20"/>
              </w:rPr>
            </w:pPr>
            <w:r w:rsidRPr="00D3094F">
              <w:rPr>
                <w:rFonts w:ascii="Bookman Old Style" w:hAnsi="Bookman Old Style"/>
                <w:sz w:val="20"/>
                <w:szCs w:val="20"/>
                <w:lang w:val="en-US"/>
              </w:rPr>
              <w:t>Dalam menentukan nilai HQLA, terdapat 3 (tiga) komponen yang diperhitungkan terdiri atas:</w:t>
            </w:r>
          </w:p>
          <w:p w14:paraId="6F8C0EA4" w14:textId="77777777" w:rsidR="00D3094F" w:rsidRPr="00D3094F" w:rsidRDefault="00D3094F" w:rsidP="00A32F86">
            <w:pPr>
              <w:pStyle w:val="ListParagraph"/>
              <w:widowControl w:val="0"/>
              <w:numPr>
                <w:ilvl w:val="2"/>
                <w:numId w:val="54"/>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HQLA Level 1; dan</w:t>
            </w:r>
          </w:p>
          <w:p w14:paraId="6B1A9E77" w14:textId="77777777" w:rsidR="00D3094F" w:rsidRPr="00D3094F" w:rsidRDefault="00D3094F" w:rsidP="00A32F86">
            <w:pPr>
              <w:pStyle w:val="ListParagraph"/>
              <w:widowControl w:val="0"/>
              <w:numPr>
                <w:ilvl w:val="2"/>
                <w:numId w:val="54"/>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HQLA Level 2 yang meliputi:</w:t>
            </w:r>
          </w:p>
          <w:p w14:paraId="773E22DA" w14:textId="77777777" w:rsidR="00D3094F" w:rsidRPr="00D3094F" w:rsidRDefault="00D3094F" w:rsidP="00A32F86">
            <w:pPr>
              <w:pStyle w:val="ListParagraph"/>
              <w:widowControl w:val="0"/>
              <w:numPr>
                <w:ilvl w:val="0"/>
                <w:numId w:val="55"/>
              </w:numPr>
              <w:tabs>
                <w:tab w:val="left" w:pos="2019"/>
              </w:tabs>
              <w:autoSpaceDE w:val="0"/>
              <w:autoSpaceDN w:val="0"/>
              <w:spacing w:after="0" w:line="240" w:lineRule="auto"/>
              <w:ind w:left="2835"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HQLA Level 2A; dan</w:t>
            </w:r>
          </w:p>
          <w:p w14:paraId="25CC0D7E" w14:textId="77777777" w:rsidR="00D3094F" w:rsidRPr="00D3094F" w:rsidRDefault="00D3094F" w:rsidP="00A32F86">
            <w:pPr>
              <w:pStyle w:val="ListParagraph"/>
              <w:widowControl w:val="0"/>
              <w:numPr>
                <w:ilvl w:val="0"/>
                <w:numId w:val="55"/>
              </w:numPr>
              <w:tabs>
                <w:tab w:val="left" w:pos="2019"/>
              </w:tabs>
              <w:autoSpaceDE w:val="0"/>
              <w:autoSpaceDN w:val="0"/>
              <w:spacing w:after="0" w:line="240" w:lineRule="auto"/>
              <w:ind w:left="2835"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HQLA Level 2B.</w:t>
            </w:r>
          </w:p>
          <w:p w14:paraId="202E5DD6" w14:textId="77777777" w:rsidR="00D3094F" w:rsidRPr="00D3094F" w:rsidRDefault="00D3094F" w:rsidP="00A32F86">
            <w:pPr>
              <w:pStyle w:val="ListParagraph"/>
              <w:widowControl w:val="0"/>
              <w:numPr>
                <w:ilvl w:val="1"/>
                <w:numId w:val="54"/>
              </w:numPr>
              <w:autoSpaceDE w:val="0"/>
              <w:autoSpaceDN w:val="0"/>
              <w:spacing w:after="0" w:line="240" w:lineRule="auto"/>
              <w:ind w:left="1701" w:right="232" w:hanging="567"/>
              <w:contextualSpacing w:val="0"/>
              <w:jc w:val="both"/>
              <w:rPr>
                <w:rFonts w:ascii="Bookman Old Style" w:hAnsi="Bookman Old Style"/>
                <w:sz w:val="20"/>
                <w:szCs w:val="20"/>
              </w:rPr>
            </w:pPr>
            <w:r w:rsidRPr="00D3094F">
              <w:rPr>
                <w:rFonts w:ascii="Bookman Old Style" w:hAnsi="Bookman Old Style"/>
                <w:sz w:val="20"/>
                <w:szCs w:val="20"/>
                <w:lang w:val="en-US"/>
              </w:rPr>
              <w:t>Dalam</w:t>
            </w:r>
            <w:r w:rsidRPr="00D3094F">
              <w:rPr>
                <w:rFonts w:ascii="Bookman Old Style" w:hAnsi="Bookman Old Style"/>
                <w:sz w:val="20"/>
                <w:szCs w:val="20"/>
              </w:rPr>
              <w:t xml:space="preserve"> menentukan </w:t>
            </w:r>
            <w:r w:rsidRPr="00D3094F">
              <w:rPr>
                <w:rFonts w:ascii="Bookman Old Style" w:hAnsi="Bookman Old Style"/>
                <w:sz w:val="20"/>
                <w:szCs w:val="20"/>
                <w:lang w:val="en-US"/>
              </w:rPr>
              <w:t>HQLA</w:t>
            </w:r>
            <w:r w:rsidRPr="00D3094F">
              <w:rPr>
                <w:rFonts w:ascii="Bookman Old Style" w:hAnsi="Bookman Old Style"/>
                <w:sz w:val="20"/>
                <w:szCs w:val="20"/>
              </w:rPr>
              <w:t xml:space="preserve">, terdapat </w:t>
            </w:r>
            <w:r w:rsidRPr="00D3094F">
              <w:rPr>
                <w:rFonts w:ascii="Bookman Old Style" w:hAnsi="Bookman Old Style"/>
                <w:sz w:val="20"/>
                <w:szCs w:val="20"/>
                <w:lang w:val="en-US"/>
              </w:rPr>
              <w:t>4 (empat) persyaratan yang harus dipenuhi, yaitu:</w:t>
            </w:r>
          </w:p>
          <w:p w14:paraId="2DD2A406" w14:textId="77777777" w:rsidR="00D3094F" w:rsidRPr="00D3094F" w:rsidRDefault="00D3094F" w:rsidP="00A32F86">
            <w:pPr>
              <w:pStyle w:val="ListParagraph"/>
              <w:widowControl w:val="0"/>
              <w:numPr>
                <w:ilvl w:val="2"/>
                <w:numId w:val="54"/>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persyaratan fundamental;</w:t>
            </w:r>
          </w:p>
          <w:p w14:paraId="04EB4663" w14:textId="77777777" w:rsidR="00D3094F" w:rsidRPr="00D3094F" w:rsidRDefault="00D3094F" w:rsidP="00A32F86">
            <w:pPr>
              <w:pStyle w:val="ListParagraph"/>
              <w:widowControl w:val="0"/>
              <w:numPr>
                <w:ilvl w:val="2"/>
                <w:numId w:val="54"/>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persyaratan terkait dengan karakteristik pasar;</w:t>
            </w:r>
          </w:p>
          <w:p w14:paraId="1E25112B" w14:textId="77777777" w:rsidR="00D3094F" w:rsidRPr="00D3094F" w:rsidRDefault="00D3094F" w:rsidP="00A32F86">
            <w:pPr>
              <w:pStyle w:val="ListParagraph"/>
              <w:widowControl w:val="0"/>
              <w:numPr>
                <w:ilvl w:val="2"/>
                <w:numId w:val="54"/>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persyaratan operasional; dan</w:t>
            </w:r>
          </w:p>
          <w:p w14:paraId="07B10CE5" w14:textId="77777777" w:rsidR="00D3094F" w:rsidRPr="00D3094F" w:rsidRDefault="00D3094F" w:rsidP="00A32F86">
            <w:pPr>
              <w:pStyle w:val="ListParagraph"/>
              <w:widowControl w:val="0"/>
              <w:numPr>
                <w:ilvl w:val="2"/>
                <w:numId w:val="54"/>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persyaratan terdiversifikasi.</w:t>
            </w:r>
          </w:p>
          <w:p w14:paraId="31C0E717" w14:textId="70888CE4" w:rsidR="00D3094F" w:rsidRPr="00D3094F" w:rsidRDefault="00D3094F" w:rsidP="00D3094F">
            <w:pPr>
              <w:widowControl w:val="0"/>
              <w:autoSpaceDE w:val="0"/>
              <w:autoSpaceDN w:val="0"/>
              <w:spacing w:after="0" w:line="240" w:lineRule="auto"/>
              <w:ind w:left="1701" w:right="232"/>
              <w:jc w:val="both"/>
              <w:rPr>
                <w:rFonts w:ascii="Bookman Old Style" w:hAnsi="Bookman Old Style"/>
                <w:sz w:val="20"/>
                <w:szCs w:val="20"/>
                <w:lang w:val="en-US"/>
              </w:rPr>
            </w:pPr>
            <w:r w:rsidRPr="00D3094F">
              <w:rPr>
                <w:rFonts w:ascii="Bookman Old Style" w:hAnsi="Bookman Old Style"/>
                <w:sz w:val="20"/>
                <w:szCs w:val="20"/>
              </w:rPr>
              <w:t>Aset yang pada awalnya termasuk dalam kategori HQLA namun kemudian tidak lagi memenuhi persyaratan sebagai HQLA, misalnya karena penurunan peringkat (</w:t>
            </w:r>
            <w:r w:rsidRPr="00D3094F">
              <w:rPr>
                <w:rFonts w:ascii="Bookman Old Style" w:hAnsi="Bookman Old Style"/>
                <w:i/>
                <w:sz w:val="20"/>
                <w:szCs w:val="20"/>
              </w:rPr>
              <w:t>rating</w:t>
            </w:r>
            <w:r w:rsidRPr="00D3094F">
              <w:rPr>
                <w:rFonts w:ascii="Bookman Old Style" w:hAnsi="Bookman Old Style"/>
                <w:sz w:val="20"/>
                <w:szCs w:val="20"/>
              </w:rPr>
              <w:t xml:space="preserve">), </w:t>
            </w:r>
            <w:r w:rsidRPr="00D3094F">
              <w:rPr>
                <w:rFonts w:ascii="Bookman Old Style" w:hAnsi="Bookman Old Style"/>
                <w:sz w:val="20"/>
                <w:szCs w:val="20"/>
                <w:lang w:val="en-US"/>
              </w:rPr>
              <w:t xml:space="preserve">maka </w:t>
            </w:r>
            <w:r w:rsidRPr="00D3094F">
              <w:rPr>
                <w:rFonts w:ascii="Bookman Old Style" w:hAnsi="Bookman Old Style"/>
                <w:sz w:val="20"/>
                <w:szCs w:val="20"/>
              </w:rPr>
              <w:t xml:space="preserve">Bank diberikan waktu tambahan 30 (tiga puluh) hari untuk menyesuaikan jumlah HQLA atau mengganti aset tersebut dengan </w:t>
            </w:r>
            <w:r w:rsidRPr="00D3094F">
              <w:rPr>
                <w:rFonts w:ascii="Bookman Old Style" w:hAnsi="Bookman Old Style"/>
                <w:sz w:val="20"/>
                <w:szCs w:val="20"/>
              </w:rPr>
              <w:lastRenderedPageBreak/>
              <w:t>aset lainnya yang memenuhi kriteria HQLA. Selama periode dimaksud, Bank diperkenankan untuk tetap memperhitungkan aset tersebut sebagai HQLA</w:t>
            </w:r>
            <w:r w:rsidRPr="00D3094F">
              <w:rPr>
                <w:rFonts w:ascii="Bookman Old Style" w:hAnsi="Bookman Old Style"/>
                <w:sz w:val="20"/>
                <w:szCs w:val="20"/>
                <w:lang w:val="en-US"/>
              </w:rPr>
              <w:t>.</w:t>
            </w:r>
          </w:p>
        </w:tc>
        <w:tc>
          <w:tcPr>
            <w:tcW w:w="3686" w:type="dxa"/>
            <w:shd w:val="clear" w:color="auto" w:fill="auto"/>
            <w:vAlign w:val="center"/>
          </w:tcPr>
          <w:p w14:paraId="506E2955"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2D3482C3"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6EC5E2E0" w14:textId="77777777" w:rsidTr="00B03AEA">
        <w:trPr>
          <w:trHeight w:val="564"/>
          <w:tblHeader/>
        </w:trPr>
        <w:tc>
          <w:tcPr>
            <w:tcW w:w="9634" w:type="dxa"/>
            <w:shd w:val="clear" w:color="auto" w:fill="auto"/>
            <w:vAlign w:val="center"/>
          </w:tcPr>
          <w:p w14:paraId="4E92386C" w14:textId="77777777" w:rsidR="00D3094F" w:rsidRPr="00D3094F" w:rsidRDefault="00D3094F" w:rsidP="00A32F86">
            <w:pPr>
              <w:pStyle w:val="ListParagraph"/>
              <w:widowControl w:val="0"/>
              <w:numPr>
                <w:ilvl w:val="0"/>
                <w:numId w:val="56"/>
              </w:numPr>
              <w:autoSpaceDE w:val="0"/>
              <w:autoSpaceDN w:val="0"/>
              <w:spacing w:after="0" w:line="240" w:lineRule="auto"/>
              <w:ind w:left="2268" w:right="231" w:hanging="567"/>
              <w:contextualSpacing w:val="0"/>
              <w:jc w:val="both"/>
              <w:rPr>
                <w:rFonts w:ascii="Bookman Old Style" w:hAnsi="Bookman Old Style"/>
                <w:sz w:val="20"/>
                <w:szCs w:val="20"/>
              </w:rPr>
            </w:pPr>
            <w:r w:rsidRPr="00D3094F">
              <w:rPr>
                <w:rFonts w:ascii="Bookman Old Style" w:hAnsi="Bookman Old Style"/>
                <w:sz w:val="20"/>
                <w:szCs w:val="20"/>
                <w:lang w:val="en-US"/>
              </w:rPr>
              <w:t>Persyaratan fundamental</w:t>
            </w:r>
            <w:r w:rsidRPr="00D3094F">
              <w:rPr>
                <w:rFonts w:ascii="Bookman Old Style" w:hAnsi="Bookman Old Style"/>
                <w:sz w:val="20"/>
                <w:szCs w:val="20"/>
              </w:rPr>
              <w:t xml:space="preserve">, </w:t>
            </w:r>
            <w:r w:rsidRPr="00D3094F">
              <w:rPr>
                <w:rFonts w:ascii="Bookman Old Style" w:hAnsi="Bookman Old Style"/>
                <w:sz w:val="20"/>
                <w:szCs w:val="20"/>
                <w:lang w:val="en-US"/>
              </w:rPr>
              <w:t>yaitu</w:t>
            </w:r>
            <w:r w:rsidRPr="00D3094F">
              <w:rPr>
                <w:rFonts w:ascii="Bookman Old Style" w:hAnsi="Bookman Old Style"/>
                <w:sz w:val="20"/>
                <w:szCs w:val="20"/>
              </w:rPr>
              <w:t>:</w:t>
            </w:r>
          </w:p>
          <w:p w14:paraId="5A8B58E8" w14:textId="77777777" w:rsidR="00D3094F" w:rsidRPr="00D3094F" w:rsidRDefault="00D3094F" w:rsidP="00A32F86">
            <w:pPr>
              <w:pStyle w:val="ListParagraph"/>
              <w:widowControl w:val="0"/>
              <w:numPr>
                <w:ilvl w:val="3"/>
                <w:numId w:val="54"/>
              </w:numPr>
              <w:autoSpaceDE w:val="0"/>
              <w:autoSpaceDN w:val="0"/>
              <w:spacing w:after="0" w:line="240" w:lineRule="auto"/>
              <w:ind w:left="2835" w:hanging="567"/>
              <w:contextualSpacing w:val="0"/>
              <w:jc w:val="both"/>
              <w:rPr>
                <w:rFonts w:ascii="Bookman Old Style" w:hAnsi="Bookman Old Style"/>
                <w:sz w:val="20"/>
                <w:szCs w:val="20"/>
              </w:rPr>
            </w:pPr>
            <w:r w:rsidRPr="00D3094F">
              <w:rPr>
                <w:rFonts w:ascii="Bookman Old Style" w:hAnsi="Bookman Old Style"/>
                <w:sz w:val="20"/>
                <w:szCs w:val="20"/>
              </w:rPr>
              <w:t>memiliki risiko yang rendah</w:t>
            </w:r>
          </w:p>
          <w:p w14:paraId="2EDE95AC" w14:textId="77777777" w:rsidR="00D3094F" w:rsidRPr="00D3094F" w:rsidRDefault="00D3094F" w:rsidP="00D3094F">
            <w:pPr>
              <w:pStyle w:val="ListParagraph"/>
              <w:ind w:left="2835"/>
              <w:jc w:val="both"/>
              <w:rPr>
                <w:rFonts w:ascii="Bookman Old Style" w:hAnsi="Bookman Old Style"/>
                <w:sz w:val="20"/>
                <w:szCs w:val="20"/>
              </w:rPr>
            </w:pPr>
            <w:r w:rsidRPr="00D3094F">
              <w:rPr>
                <w:rFonts w:ascii="Bookman Old Style" w:hAnsi="Bookman Old Style"/>
                <w:sz w:val="20"/>
                <w:szCs w:val="20"/>
              </w:rPr>
              <w:t>Aset keuangan yang memiliki risiko rendah cenderung memiliki tingkat likuiditas yang lebih tinggi, antara lain dicerminkan dari peringkat (</w:t>
            </w:r>
            <w:r w:rsidRPr="00D3094F">
              <w:rPr>
                <w:rFonts w:ascii="Bookman Old Style" w:hAnsi="Bookman Old Style"/>
                <w:i/>
                <w:iCs/>
                <w:sz w:val="20"/>
                <w:szCs w:val="20"/>
              </w:rPr>
              <w:t>rating</w:t>
            </w:r>
            <w:r w:rsidRPr="00D3094F">
              <w:rPr>
                <w:rFonts w:ascii="Bookman Old Style" w:hAnsi="Bookman Old Style"/>
                <w:sz w:val="20"/>
                <w:szCs w:val="20"/>
              </w:rPr>
              <w:t>) penerbit yang tinggi, tingkat subordinasi yang rendah, durasi yang rendah, risiko hukum yang rendah, risiko inflasi dan risiko nilai tukar yang rendah.</w:t>
            </w:r>
          </w:p>
          <w:p w14:paraId="2C20B5B6" w14:textId="77777777" w:rsidR="00D3094F" w:rsidRPr="00D3094F" w:rsidRDefault="00D3094F" w:rsidP="00A32F86">
            <w:pPr>
              <w:pStyle w:val="ListParagraph"/>
              <w:widowControl w:val="0"/>
              <w:numPr>
                <w:ilvl w:val="3"/>
                <w:numId w:val="54"/>
              </w:numPr>
              <w:autoSpaceDE w:val="0"/>
              <w:autoSpaceDN w:val="0"/>
              <w:spacing w:after="0" w:line="240" w:lineRule="auto"/>
              <w:ind w:left="2835" w:hanging="567"/>
              <w:contextualSpacing w:val="0"/>
              <w:jc w:val="both"/>
              <w:rPr>
                <w:rFonts w:ascii="Bookman Old Style" w:hAnsi="Bookman Old Style"/>
                <w:sz w:val="20"/>
                <w:szCs w:val="20"/>
              </w:rPr>
            </w:pPr>
            <w:r w:rsidRPr="00D3094F">
              <w:rPr>
                <w:rFonts w:ascii="Bookman Old Style" w:hAnsi="Bookman Old Style"/>
                <w:sz w:val="20"/>
                <w:szCs w:val="20"/>
              </w:rPr>
              <w:t>memiliki metode penilaian yang mudah dan pasti</w:t>
            </w:r>
          </w:p>
          <w:p w14:paraId="7DE7D2DE" w14:textId="77777777" w:rsidR="00D3094F" w:rsidRPr="00D3094F" w:rsidRDefault="00D3094F" w:rsidP="00D3094F">
            <w:pPr>
              <w:pStyle w:val="ListParagraph"/>
              <w:ind w:left="2835"/>
              <w:jc w:val="both"/>
              <w:rPr>
                <w:rFonts w:ascii="Bookman Old Style" w:hAnsi="Bookman Old Style"/>
                <w:sz w:val="20"/>
                <w:szCs w:val="20"/>
                <w:lang w:val="en-US"/>
              </w:rPr>
            </w:pPr>
            <w:r w:rsidRPr="00D3094F">
              <w:rPr>
                <w:rFonts w:ascii="Bookman Old Style" w:hAnsi="Bookman Old Style"/>
                <w:sz w:val="20"/>
                <w:szCs w:val="20"/>
              </w:rPr>
              <w:t>Penilaian yang mudah dan pasti dicerminkan dari perumusan harga HQLA yang mudah dihitung, tidak bergantung pada asumsi tertentu, dan data yang digunakan harus tersedia pada publik.</w:t>
            </w:r>
            <w:r w:rsidRPr="00D3094F">
              <w:rPr>
                <w:rFonts w:ascii="Bookman Old Style" w:hAnsi="Bookman Old Style"/>
                <w:sz w:val="20"/>
                <w:szCs w:val="20"/>
                <w:lang w:val="en-US"/>
              </w:rPr>
              <w:t xml:space="preserve"> </w:t>
            </w:r>
            <w:r w:rsidRPr="00D3094F">
              <w:rPr>
                <w:rFonts w:ascii="Bookman Old Style" w:hAnsi="Bookman Old Style"/>
                <w:sz w:val="20"/>
                <w:szCs w:val="20"/>
              </w:rPr>
              <w:t xml:space="preserve">Umumnya berupa aset dengan struktur yang standar, homogen, dan sederhana karena cenderung mudah dipertukarkan. Oleh karena itu, aset berupa </w:t>
            </w:r>
            <w:r w:rsidRPr="00D3094F">
              <w:rPr>
                <w:rFonts w:ascii="Bookman Old Style" w:hAnsi="Bookman Old Style"/>
                <w:i/>
                <w:iCs/>
                <w:sz w:val="20"/>
                <w:szCs w:val="20"/>
              </w:rPr>
              <w:t xml:space="preserve">structured product </w:t>
            </w:r>
            <w:r w:rsidRPr="00D3094F">
              <w:rPr>
                <w:rFonts w:ascii="Bookman Old Style" w:hAnsi="Bookman Old Style"/>
                <w:sz w:val="20"/>
                <w:szCs w:val="20"/>
              </w:rPr>
              <w:t xml:space="preserve">dan </w:t>
            </w:r>
            <w:r w:rsidRPr="00D3094F">
              <w:rPr>
                <w:rFonts w:ascii="Bookman Old Style" w:hAnsi="Bookman Old Style"/>
                <w:i/>
                <w:iCs/>
                <w:sz w:val="20"/>
                <w:szCs w:val="20"/>
              </w:rPr>
              <w:t xml:space="preserve">exotic product </w:t>
            </w:r>
            <w:r w:rsidRPr="00D3094F">
              <w:rPr>
                <w:rFonts w:ascii="Bookman Old Style" w:hAnsi="Bookman Old Style"/>
                <w:sz w:val="20"/>
                <w:szCs w:val="20"/>
              </w:rPr>
              <w:t>tidak diperhitungkan sebagai HQLA.</w:t>
            </w:r>
          </w:p>
          <w:p w14:paraId="419180FD" w14:textId="77777777" w:rsidR="00D3094F" w:rsidRPr="00D3094F" w:rsidRDefault="00D3094F" w:rsidP="00A32F86">
            <w:pPr>
              <w:pStyle w:val="ListParagraph"/>
              <w:widowControl w:val="0"/>
              <w:numPr>
                <w:ilvl w:val="3"/>
                <w:numId w:val="54"/>
              </w:numPr>
              <w:autoSpaceDE w:val="0"/>
              <w:autoSpaceDN w:val="0"/>
              <w:spacing w:after="0" w:line="240" w:lineRule="auto"/>
              <w:ind w:left="2835" w:hanging="567"/>
              <w:contextualSpacing w:val="0"/>
              <w:jc w:val="both"/>
              <w:rPr>
                <w:rFonts w:ascii="Bookman Old Style" w:hAnsi="Bookman Old Style"/>
                <w:sz w:val="20"/>
                <w:szCs w:val="20"/>
              </w:rPr>
            </w:pPr>
            <w:r w:rsidRPr="00D3094F">
              <w:rPr>
                <w:rFonts w:ascii="Bookman Old Style" w:hAnsi="Bookman Old Style"/>
                <w:sz w:val="20"/>
                <w:szCs w:val="20"/>
              </w:rPr>
              <w:t>memiliki korelasi yang rendah dengan aset berisiko</w:t>
            </w:r>
          </w:p>
          <w:p w14:paraId="0210D739" w14:textId="77777777" w:rsidR="00D3094F" w:rsidRPr="00D3094F" w:rsidRDefault="00D3094F" w:rsidP="00D3094F">
            <w:pPr>
              <w:pStyle w:val="ListParagraph"/>
              <w:ind w:left="2835"/>
              <w:jc w:val="both"/>
              <w:rPr>
                <w:rFonts w:ascii="Bookman Old Style" w:hAnsi="Bookman Old Style"/>
                <w:sz w:val="20"/>
                <w:szCs w:val="20"/>
              </w:rPr>
            </w:pPr>
            <w:r w:rsidRPr="00D3094F">
              <w:rPr>
                <w:rFonts w:ascii="Bookman Old Style" w:hAnsi="Bookman Old Style"/>
                <w:sz w:val="20"/>
                <w:szCs w:val="20"/>
              </w:rPr>
              <w:t>Contoh aset berisiko adalah aset yang diterbitkan oleh lembaga keuangan. Aset tersebut akan cenderung</w:t>
            </w:r>
            <w:r w:rsidRPr="00D3094F">
              <w:rPr>
                <w:rFonts w:ascii="Bookman Old Style" w:hAnsi="Bookman Old Style"/>
                <w:sz w:val="20"/>
                <w:szCs w:val="20"/>
                <w:lang w:val="en-US"/>
              </w:rPr>
              <w:t xml:space="preserve"> </w:t>
            </w:r>
            <w:r w:rsidRPr="00D3094F">
              <w:rPr>
                <w:rFonts w:ascii="Bookman Old Style" w:hAnsi="Bookman Old Style"/>
                <w:sz w:val="20"/>
                <w:szCs w:val="20"/>
              </w:rPr>
              <w:t>menjadi tidak likuid pada saat terjadi stres likuiditas di sektor perbankan.</w:t>
            </w:r>
          </w:p>
          <w:p w14:paraId="266FEF4C" w14:textId="5161F7C8" w:rsidR="00D3094F" w:rsidRPr="00D3094F" w:rsidRDefault="00D3094F" w:rsidP="00A32F86">
            <w:pPr>
              <w:pStyle w:val="ListParagraph"/>
              <w:widowControl w:val="0"/>
              <w:numPr>
                <w:ilvl w:val="3"/>
                <w:numId w:val="54"/>
              </w:numPr>
              <w:autoSpaceDE w:val="0"/>
              <w:autoSpaceDN w:val="0"/>
              <w:spacing w:after="0" w:line="240" w:lineRule="auto"/>
              <w:ind w:left="2835" w:hanging="567"/>
              <w:contextualSpacing w:val="0"/>
              <w:jc w:val="both"/>
              <w:rPr>
                <w:rFonts w:ascii="Bookman Old Style" w:hAnsi="Bookman Old Style"/>
                <w:sz w:val="20"/>
                <w:szCs w:val="20"/>
                <w:lang w:val="en-US"/>
              </w:rPr>
            </w:pPr>
            <w:r w:rsidRPr="00D3094F">
              <w:rPr>
                <w:rFonts w:ascii="Bookman Old Style" w:hAnsi="Bookman Old Style"/>
                <w:sz w:val="20"/>
                <w:szCs w:val="20"/>
              </w:rPr>
              <w:t>terdaftar di bursa yang diakui</w:t>
            </w:r>
            <w:r w:rsidRPr="00D3094F">
              <w:rPr>
                <w:rFonts w:ascii="Bookman Old Style" w:hAnsi="Bookman Old Style"/>
                <w:sz w:val="20"/>
                <w:szCs w:val="20"/>
                <w:lang w:val="en-US"/>
              </w:rPr>
              <w:t>.</w:t>
            </w:r>
          </w:p>
        </w:tc>
        <w:tc>
          <w:tcPr>
            <w:tcW w:w="3686" w:type="dxa"/>
            <w:shd w:val="clear" w:color="auto" w:fill="auto"/>
            <w:vAlign w:val="center"/>
          </w:tcPr>
          <w:p w14:paraId="2F3BFF84"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2BC63AAE"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7729A732" w14:textId="77777777" w:rsidTr="00B03AEA">
        <w:trPr>
          <w:trHeight w:val="564"/>
          <w:tblHeader/>
        </w:trPr>
        <w:tc>
          <w:tcPr>
            <w:tcW w:w="9634" w:type="dxa"/>
            <w:shd w:val="clear" w:color="auto" w:fill="auto"/>
            <w:vAlign w:val="center"/>
          </w:tcPr>
          <w:p w14:paraId="49F4CBC8" w14:textId="77777777" w:rsidR="00D3094F" w:rsidRPr="00D3094F" w:rsidRDefault="00D3094F" w:rsidP="00A32F86">
            <w:pPr>
              <w:pStyle w:val="ListParagraph"/>
              <w:widowControl w:val="0"/>
              <w:numPr>
                <w:ilvl w:val="0"/>
                <w:numId w:val="56"/>
              </w:numPr>
              <w:autoSpaceDE w:val="0"/>
              <w:autoSpaceDN w:val="0"/>
              <w:spacing w:after="0" w:line="240" w:lineRule="auto"/>
              <w:ind w:left="2268" w:hanging="567"/>
              <w:contextualSpacing w:val="0"/>
              <w:jc w:val="both"/>
              <w:rPr>
                <w:rFonts w:ascii="Bookman Old Style" w:hAnsi="Bookman Old Style"/>
                <w:sz w:val="20"/>
                <w:szCs w:val="20"/>
              </w:rPr>
            </w:pPr>
            <w:r w:rsidRPr="00D3094F">
              <w:rPr>
                <w:rFonts w:ascii="Bookman Old Style" w:hAnsi="Bookman Old Style"/>
                <w:sz w:val="20"/>
                <w:szCs w:val="20"/>
                <w:lang w:val="en-US"/>
              </w:rPr>
              <w:t>Persyaratan terkait dengan karakteristik pasar</w:t>
            </w:r>
            <w:r w:rsidRPr="00D3094F">
              <w:rPr>
                <w:rFonts w:ascii="Bookman Old Style" w:hAnsi="Bookman Old Style"/>
                <w:sz w:val="20"/>
                <w:szCs w:val="20"/>
              </w:rPr>
              <w:t>,</w:t>
            </w:r>
            <w:r w:rsidRPr="00D3094F">
              <w:rPr>
                <w:rFonts w:ascii="Bookman Old Style" w:hAnsi="Bookman Old Style"/>
                <w:spacing w:val="1"/>
                <w:sz w:val="20"/>
                <w:szCs w:val="20"/>
              </w:rPr>
              <w:t xml:space="preserve"> </w:t>
            </w:r>
            <w:r w:rsidRPr="00D3094F">
              <w:rPr>
                <w:rFonts w:ascii="Bookman Old Style" w:hAnsi="Bookman Old Style"/>
                <w:sz w:val="20"/>
                <w:szCs w:val="20"/>
              </w:rPr>
              <w:t>yaitu</w:t>
            </w:r>
            <w:r w:rsidRPr="00D3094F">
              <w:rPr>
                <w:rFonts w:ascii="Bookman Old Style" w:hAnsi="Bookman Old Style"/>
                <w:sz w:val="20"/>
                <w:szCs w:val="20"/>
                <w:lang w:val="en-US"/>
              </w:rPr>
              <w:t>:</w:t>
            </w:r>
            <w:r w:rsidRPr="00D3094F">
              <w:rPr>
                <w:rFonts w:ascii="Bookman Old Style" w:hAnsi="Bookman Old Style"/>
                <w:spacing w:val="1"/>
                <w:sz w:val="20"/>
                <w:szCs w:val="20"/>
              </w:rPr>
              <w:t xml:space="preserve"> </w:t>
            </w:r>
          </w:p>
          <w:p w14:paraId="4F3A8EF2" w14:textId="77777777" w:rsidR="00D3094F" w:rsidRPr="00D3094F" w:rsidRDefault="00D3094F" w:rsidP="00A32F86">
            <w:pPr>
              <w:pStyle w:val="ListParagraph"/>
              <w:widowControl w:val="0"/>
              <w:numPr>
                <w:ilvl w:val="0"/>
                <w:numId w:val="57"/>
              </w:numPr>
              <w:autoSpaceDE w:val="0"/>
              <w:autoSpaceDN w:val="0"/>
              <w:spacing w:after="0" w:line="240" w:lineRule="auto"/>
              <w:ind w:left="2835"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memiliki pasar yang aktif dan memadai</w:t>
            </w:r>
          </w:p>
          <w:p w14:paraId="148ACB35" w14:textId="77777777" w:rsidR="00D3094F" w:rsidRPr="00D3094F" w:rsidRDefault="00D3094F" w:rsidP="00D3094F">
            <w:pPr>
              <w:pStyle w:val="ListParagraph"/>
              <w:ind w:left="2835"/>
              <w:jc w:val="both"/>
              <w:rPr>
                <w:rFonts w:ascii="Bookman Old Style" w:hAnsi="Bookman Old Style"/>
                <w:sz w:val="20"/>
                <w:szCs w:val="20"/>
              </w:rPr>
            </w:pPr>
            <w:r w:rsidRPr="00D3094F">
              <w:rPr>
                <w:rFonts w:ascii="Bookman Old Style" w:hAnsi="Bookman Old Style"/>
                <w:sz w:val="20"/>
                <w:szCs w:val="20"/>
                <w:lang w:val="en-US"/>
              </w:rPr>
              <w:t>Memiliki pasar yang aktif dan memadai adalah a</w:t>
            </w:r>
            <w:r w:rsidRPr="00D3094F">
              <w:rPr>
                <w:rFonts w:ascii="Bookman Old Style" w:hAnsi="Bookman Old Style"/>
                <w:sz w:val="20"/>
                <w:szCs w:val="20"/>
              </w:rPr>
              <w:t>set tersebut harus memiliki pasar repo atau jual putus (</w:t>
            </w:r>
            <w:r w:rsidRPr="00D3094F">
              <w:rPr>
                <w:rFonts w:ascii="Bookman Old Style" w:hAnsi="Bookman Old Style"/>
                <w:i/>
                <w:iCs/>
                <w:sz w:val="20"/>
                <w:szCs w:val="20"/>
              </w:rPr>
              <w:t>outright sale</w:t>
            </w:r>
            <w:r w:rsidRPr="00D3094F">
              <w:rPr>
                <w:rFonts w:ascii="Bookman Old Style" w:hAnsi="Bookman Old Style"/>
                <w:sz w:val="20"/>
                <w:szCs w:val="20"/>
              </w:rPr>
              <w:t>) yang aktif sepanjang waktu, yang antara lain ditunjukkan dengan:</w:t>
            </w:r>
          </w:p>
          <w:p w14:paraId="2BA27C4F" w14:textId="77777777" w:rsidR="00D3094F" w:rsidRPr="00D3094F" w:rsidRDefault="00D3094F" w:rsidP="00A32F86">
            <w:pPr>
              <w:pStyle w:val="ListParagraph"/>
              <w:widowControl w:val="0"/>
              <w:numPr>
                <w:ilvl w:val="4"/>
                <w:numId w:val="54"/>
              </w:numPr>
              <w:tabs>
                <w:tab w:val="left" w:pos="2620"/>
              </w:tabs>
              <w:autoSpaceDE w:val="0"/>
              <w:autoSpaceDN w:val="0"/>
              <w:spacing w:after="0" w:line="240" w:lineRule="auto"/>
              <w:ind w:left="3402" w:hanging="567"/>
              <w:contextualSpacing w:val="0"/>
              <w:jc w:val="both"/>
              <w:rPr>
                <w:rFonts w:ascii="Bookman Old Style" w:hAnsi="Bookman Old Style"/>
                <w:sz w:val="20"/>
                <w:szCs w:val="20"/>
                <w:lang w:val="en-US"/>
              </w:rPr>
            </w:pPr>
            <w:r w:rsidRPr="00D3094F">
              <w:rPr>
                <w:rFonts w:ascii="Bookman Old Style" w:hAnsi="Bookman Old Style"/>
                <w:sz w:val="20"/>
                <w:szCs w:val="20"/>
              </w:rPr>
              <w:t>terdapat bukti historis mengenai keluasan pasar (</w:t>
            </w:r>
            <w:r w:rsidRPr="00D3094F">
              <w:rPr>
                <w:rFonts w:ascii="Bookman Old Style" w:hAnsi="Bookman Old Style"/>
                <w:i/>
                <w:iCs/>
                <w:sz w:val="20"/>
                <w:szCs w:val="20"/>
              </w:rPr>
              <w:t>market breadth</w:t>
            </w:r>
            <w:r w:rsidRPr="00D3094F">
              <w:rPr>
                <w:rFonts w:ascii="Bookman Old Style" w:hAnsi="Bookman Old Style"/>
                <w:sz w:val="20"/>
                <w:szCs w:val="20"/>
              </w:rPr>
              <w:t>) dan kedalaman pasar (</w:t>
            </w:r>
            <w:r w:rsidRPr="00D3094F">
              <w:rPr>
                <w:rFonts w:ascii="Bookman Old Style" w:hAnsi="Bookman Old Style"/>
                <w:i/>
                <w:iCs/>
                <w:sz w:val="20"/>
                <w:szCs w:val="20"/>
              </w:rPr>
              <w:t>market depth</w:t>
            </w:r>
            <w:r w:rsidRPr="00D3094F">
              <w:rPr>
                <w:rFonts w:ascii="Bookman Old Style" w:hAnsi="Bookman Old Style"/>
                <w:sz w:val="20"/>
                <w:szCs w:val="20"/>
              </w:rPr>
              <w:t>) antara lain</w:t>
            </w:r>
            <w:r w:rsidRPr="00D3094F">
              <w:rPr>
                <w:rFonts w:ascii="Bookman Old Style" w:hAnsi="Bookman Old Style"/>
                <w:sz w:val="20"/>
                <w:szCs w:val="20"/>
                <w:lang w:val="en-US"/>
              </w:rPr>
              <w:t xml:space="preserve"> </w:t>
            </w:r>
            <w:r w:rsidRPr="00D3094F">
              <w:rPr>
                <w:rFonts w:ascii="Bookman Old Style" w:hAnsi="Bookman Old Style"/>
                <w:sz w:val="20"/>
                <w:szCs w:val="20"/>
              </w:rPr>
              <w:t xml:space="preserve">rendahnya </w:t>
            </w:r>
            <w:r w:rsidRPr="00D3094F">
              <w:rPr>
                <w:rFonts w:ascii="Bookman Old Style" w:hAnsi="Bookman Old Style"/>
                <w:i/>
                <w:iCs/>
                <w:sz w:val="20"/>
                <w:szCs w:val="20"/>
              </w:rPr>
              <w:t xml:space="preserve">spread </w:t>
            </w:r>
            <w:r w:rsidRPr="00D3094F">
              <w:rPr>
                <w:rFonts w:ascii="Bookman Old Style" w:hAnsi="Bookman Old Style"/>
                <w:sz w:val="20"/>
                <w:szCs w:val="20"/>
              </w:rPr>
              <w:t xml:space="preserve">antara </w:t>
            </w:r>
            <w:r w:rsidRPr="00D3094F">
              <w:rPr>
                <w:rFonts w:ascii="Bookman Old Style" w:hAnsi="Bookman Old Style"/>
                <w:i/>
                <w:iCs/>
                <w:sz w:val="20"/>
                <w:szCs w:val="20"/>
              </w:rPr>
              <w:t xml:space="preserve">bid </w:t>
            </w:r>
            <w:r w:rsidRPr="00D3094F">
              <w:rPr>
                <w:rFonts w:ascii="Bookman Old Style" w:hAnsi="Bookman Old Style"/>
                <w:sz w:val="20"/>
                <w:szCs w:val="20"/>
              </w:rPr>
              <w:t xml:space="preserve">dan </w:t>
            </w:r>
            <w:r w:rsidRPr="00D3094F">
              <w:rPr>
                <w:rFonts w:ascii="Bookman Old Style" w:hAnsi="Bookman Old Style"/>
                <w:i/>
                <w:iCs/>
                <w:sz w:val="20"/>
                <w:szCs w:val="20"/>
              </w:rPr>
              <w:t>ask price</w:t>
            </w:r>
            <w:r w:rsidRPr="00D3094F">
              <w:rPr>
                <w:rFonts w:ascii="Bookman Old Style" w:hAnsi="Bookman Old Style"/>
                <w:sz w:val="20"/>
                <w:szCs w:val="20"/>
                <w:lang w:val="en-US"/>
              </w:rPr>
              <w:t xml:space="preserve">, </w:t>
            </w:r>
            <w:r w:rsidRPr="00D3094F">
              <w:rPr>
                <w:rFonts w:ascii="Bookman Old Style" w:hAnsi="Bookman Old Style"/>
                <w:sz w:val="20"/>
                <w:szCs w:val="20"/>
              </w:rPr>
              <w:t>tingginya volume perdagangan</w:t>
            </w:r>
            <w:r w:rsidRPr="00D3094F">
              <w:rPr>
                <w:rFonts w:ascii="Bookman Old Style" w:hAnsi="Bookman Old Style"/>
                <w:sz w:val="20"/>
                <w:szCs w:val="20"/>
                <w:lang w:val="en-US"/>
              </w:rPr>
              <w:t xml:space="preserve">, </w:t>
            </w:r>
            <w:r w:rsidRPr="00D3094F">
              <w:rPr>
                <w:rFonts w:ascii="Bookman Old Style" w:hAnsi="Bookman Old Style"/>
                <w:sz w:val="20"/>
                <w:szCs w:val="20"/>
              </w:rPr>
              <w:t xml:space="preserve">banyak dan beragamnya jumlah peserta pasar; dan/atau </w:t>
            </w:r>
          </w:p>
          <w:p w14:paraId="1387A431" w14:textId="77777777" w:rsidR="00D3094F" w:rsidRPr="00D3094F" w:rsidRDefault="00D3094F" w:rsidP="00A32F86">
            <w:pPr>
              <w:pStyle w:val="ListParagraph"/>
              <w:widowControl w:val="0"/>
              <w:numPr>
                <w:ilvl w:val="4"/>
                <w:numId w:val="54"/>
              </w:numPr>
              <w:tabs>
                <w:tab w:val="left" w:pos="2620"/>
              </w:tabs>
              <w:autoSpaceDE w:val="0"/>
              <w:autoSpaceDN w:val="0"/>
              <w:spacing w:after="0" w:line="240" w:lineRule="auto"/>
              <w:ind w:left="3402" w:hanging="567"/>
              <w:contextualSpacing w:val="0"/>
              <w:jc w:val="both"/>
              <w:rPr>
                <w:rFonts w:ascii="Bookman Old Style" w:hAnsi="Bookman Old Style"/>
                <w:sz w:val="20"/>
                <w:szCs w:val="20"/>
              </w:rPr>
            </w:pPr>
            <w:r w:rsidRPr="00D3094F">
              <w:rPr>
                <w:rFonts w:ascii="Bookman Old Style" w:hAnsi="Bookman Old Style"/>
                <w:sz w:val="20"/>
                <w:szCs w:val="20"/>
              </w:rPr>
              <w:t xml:space="preserve">terdapat infrastruktur pasar yang handal. </w:t>
            </w:r>
          </w:p>
          <w:p w14:paraId="55B295D6" w14:textId="77777777" w:rsidR="00D3094F" w:rsidRPr="00D3094F" w:rsidRDefault="00D3094F" w:rsidP="00A32F86">
            <w:pPr>
              <w:pStyle w:val="ListParagraph"/>
              <w:widowControl w:val="0"/>
              <w:numPr>
                <w:ilvl w:val="0"/>
                <w:numId w:val="57"/>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memiliki volatilitas pasar yang rendah</w:t>
            </w:r>
          </w:p>
          <w:p w14:paraId="3F2B08C3" w14:textId="77777777" w:rsidR="00D3094F" w:rsidRPr="00D3094F" w:rsidRDefault="00D3094F" w:rsidP="00D3094F">
            <w:pPr>
              <w:pStyle w:val="ListParagraph"/>
              <w:tabs>
                <w:tab w:val="left" w:pos="2620"/>
              </w:tabs>
              <w:ind w:left="2835" w:right="-1"/>
              <w:jc w:val="both"/>
              <w:rPr>
                <w:rFonts w:ascii="Bookman Old Style" w:hAnsi="Bookman Old Style"/>
                <w:sz w:val="20"/>
                <w:szCs w:val="20"/>
                <w:lang w:val="en-US"/>
              </w:rPr>
            </w:pPr>
            <w:r w:rsidRPr="00D3094F">
              <w:rPr>
                <w:rFonts w:ascii="Bookman Old Style" w:hAnsi="Bookman Old Style"/>
                <w:sz w:val="20"/>
                <w:szCs w:val="20"/>
              </w:rPr>
              <w:lastRenderedPageBreak/>
              <w:t xml:space="preserve">Volatilitas pasar yang rendah tercermin melalui volatilitas harga dan </w:t>
            </w:r>
            <w:r w:rsidRPr="00D3094F">
              <w:rPr>
                <w:rFonts w:ascii="Bookman Old Style" w:hAnsi="Bookman Old Style"/>
                <w:i/>
                <w:iCs/>
                <w:sz w:val="20"/>
                <w:szCs w:val="20"/>
              </w:rPr>
              <w:t xml:space="preserve">spread </w:t>
            </w:r>
            <w:r w:rsidRPr="00D3094F">
              <w:rPr>
                <w:rFonts w:ascii="Bookman Old Style" w:hAnsi="Bookman Old Style"/>
                <w:sz w:val="20"/>
                <w:szCs w:val="20"/>
              </w:rPr>
              <w:t>perdagangan, antara lain ditunjukkan dengan harga yang cenderung stabil dan tidak mengalami penurunan harga signifikan yang terlihat dari data historis mengenai stabilitas pasar, yaitu harga dan pengurangan nilai, dan volume perdagangan selama periode stres</w:t>
            </w:r>
            <w:r w:rsidRPr="00D3094F">
              <w:rPr>
                <w:rFonts w:ascii="Bookman Old Style" w:hAnsi="Bookman Old Style"/>
                <w:i/>
                <w:iCs/>
                <w:sz w:val="20"/>
                <w:szCs w:val="20"/>
              </w:rPr>
              <w:t>.</w:t>
            </w:r>
          </w:p>
          <w:p w14:paraId="05316F0E" w14:textId="77777777" w:rsidR="00D3094F" w:rsidRPr="00D3094F" w:rsidRDefault="00D3094F" w:rsidP="00A32F86">
            <w:pPr>
              <w:pStyle w:val="ListParagraph"/>
              <w:widowControl w:val="0"/>
              <w:numPr>
                <w:ilvl w:val="0"/>
                <w:numId w:val="57"/>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D3094F">
              <w:rPr>
                <w:rFonts w:ascii="Bookman Old Style" w:hAnsi="Bookman Old Style"/>
                <w:sz w:val="20"/>
                <w:szCs w:val="20"/>
                <w:lang w:val="en-US"/>
              </w:rPr>
              <w:t>Secara historis merupakan aset yang diinginkan oleh pelaku pasar apabila terjadi krisis (</w:t>
            </w:r>
            <w:r w:rsidRPr="00D3094F">
              <w:rPr>
                <w:rFonts w:ascii="Bookman Old Style" w:hAnsi="Bookman Old Style"/>
                <w:i/>
                <w:sz w:val="20"/>
                <w:szCs w:val="20"/>
                <w:lang w:val="en-US"/>
              </w:rPr>
              <w:t>terjadi flight to quality</w:t>
            </w:r>
            <w:r w:rsidRPr="00D3094F">
              <w:rPr>
                <w:rFonts w:ascii="Bookman Old Style" w:hAnsi="Bookman Old Style"/>
                <w:sz w:val="20"/>
                <w:szCs w:val="20"/>
                <w:lang w:val="en-US"/>
              </w:rPr>
              <w:t xml:space="preserve">). </w:t>
            </w:r>
          </w:p>
          <w:p w14:paraId="7A084459" w14:textId="4BC2A499" w:rsidR="00D3094F" w:rsidRPr="00D3094F" w:rsidRDefault="00D3094F" w:rsidP="00D3094F">
            <w:pPr>
              <w:pStyle w:val="ListParagraph"/>
              <w:widowControl w:val="0"/>
              <w:autoSpaceDE w:val="0"/>
              <w:autoSpaceDN w:val="0"/>
              <w:spacing w:after="0" w:line="240" w:lineRule="auto"/>
              <w:ind w:left="2835" w:right="-1"/>
              <w:contextualSpacing w:val="0"/>
              <w:jc w:val="both"/>
              <w:rPr>
                <w:rFonts w:ascii="Bookman Old Style" w:hAnsi="Bookman Old Style"/>
                <w:sz w:val="20"/>
                <w:szCs w:val="20"/>
                <w:lang w:val="en-US"/>
              </w:rPr>
            </w:pPr>
            <w:r w:rsidRPr="00D3094F">
              <w:rPr>
                <w:rFonts w:ascii="Bookman Old Style" w:hAnsi="Bookman Old Style"/>
                <w:sz w:val="20"/>
                <w:szCs w:val="20"/>
              </w:rPr>
              <w:t xml:space="preserve">Salah satu pendekatan yang dapat digunakan dalam menilai </w:t>
            </w:r>
            <w:r w:rsidRPr="00D3094F">
              <w:rPr>
                <w:rFonts w:ascii="Bookman Old Style" w:hAnsi="Bookman Old Style"/>
                <w:i/>
                <w:iCs/>
                <w:sz w:val="20"/>
                <w:szCs w:val="20"/>
              </w:rPr>
              <w:t xml:space="preserve">flight to quality </w:t>
            </w:r>
            <w:r w:rsidRPr="00D3094F">
              <w:rPr>
                <w:rFonts w:ascii="Bookman Old Style" w:hAnsi="Bookman Old Style"/>
                <w:sz w:val="20"/>
                <w:szCs w:val="20"/>
              </w:rPr>
              <w:t>adalah dengan menilai korelasi antara likuiditas pasar dengan kondisi stres pada sistem perbankan.</w:t>
            </w:r>
          </w:p>
        </w:tc>
        <w:tc>
          <w:tcPr>
            <w:tcW w:w="3686" w:type="dxa"/>
            <w:shd w:val="clear" w:color="auto" w:fill="auto"/>
            <w:vAlign w:val="center"/>
          </w:tcPr>
          <w:p w14:paraId="2A32FBA0"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0EBF52E"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68FD6F2C" w14:textId="77777777" w:rsidTr="00B03AEA">
        <w:trPr>
          <w:trHeight w:val="564"/>
          <w:tblHeader/>
        </w:trPr>
        <w:tc>
          <w:tcPr>
            <w:tcW w:w="9634" w:type="dxa"/>
            <w:shd w:val="clear" w:color="auto" w:fill="auto"/>
            <w:vAlign w:val="center"/>
          </w:tcPr>
          <w:p w14:paraId="7117E37B" w14:textId="77777777" w:rsidR="00D3094F" w:rsidRPr="00066250" w:rsidRDefault="00D3094F" w:rsidP="00A32F86">
            <w:pPr>
              <w:pStyle w:val="ListParagraph"/>
              <w:widowControl w:val="0"/>
              <w:numPr>
                <w:ilvl w:val="0"/>
                <w:numId w:val="56"/>
              </w:numPr>
              <w:autoSpaceDE w:val="0"/>
              <w:autoSpaceDN w:val="0"/>
              <w:spacing w:after="0" w:line="240" w:lineRule="auto"/>
              <w:ind w:left="2268" w:right="-1" w:hanging="567"/>
              <w:contextualSpacing w:val="0"/>
              <w:jc w:val="both"/>
              <w:rPr>
                <w:rFonts w:ascii="Bookman Old Style" w:hAnsi="Bookman Old Style"/>
                <w:sz w:val="20"/>
                <w:szCs w:val="20"/>
              </w:rPr>
            </w:pPr>
            <w:r w:rsidRPr="00066250">
              <w:rPr>
                <w:rFonts w:ascii="Bookman Old Style" w:hAnsi="Bookman Old Style"/>
                <w:sz w:val="20"/>
                <w:szCs w:val="20"/>
                <w:lang w:val="en-US"/>
              </w:rPr>
              <w:t>Persyaratan operasional</w:t>
            </w:r>
          </w:p>
          <w:p w14:paraId="3C7EDA7F" w14:textId="77777777" w:rsidR="00D3094F" w:rsidRPr="00066250" w:rsidRDefault="00D3094F" w:rsidP="00066250">
            <w:pPr>
              <w:pStyle w:val="ListParagraph"/>
              <w:spacing w:after="0" w:line="240" w:lineRule="auto"/>
              <w:ind w:left="2268" w:right="-1"/>
              <w:jc w:val="both"/>
              <w:rPr>
                <w:rFonts w:ascii="Bookman Old Style" w:hAnsi="Bookman Old Style"/>
                <w:sz w:val="20"/>
                <w:szCs w:val="20"/>
                <w:lang w:val="en-US"/>
              </w:rPr>
            </w:pPr>
            <w:r w:rsidRPr="00066250">
              <w:rPr>
                <w:rFonts w:ascii="Bookman Old Style" w:hAnsi="Bookman Old Style"/>
                <w:sz w:val="20"/>
                <w:szCs w:val="20"/>
                <w:lang w:val="en-US"/>
              </w:rPr>
              <w:t>Persyaratan</w:t>
            </w:r>
            <w:r w:rsidRPr="00066250">
              <w:rPr>
                <w:rFonts w:ascii="Bookman Old Style" w:hAnsi="Bookman Old Style"/>
                <w:sz w:val="20"/>
                <w:szCs w:val="20"/>
              </w:rPr>
              <w:t xml:space="preserve"> operasional dirancang untuk memastikan bahwa persediaan HQLA dikelola dengan baik sehingga Bank dapat mencairkan aset tersebut menjadi kas, baik melalui repo maupun penjualan, untuk memenuhi </w:t>
            </w:r>
            <w:r w:rsidRPr="00066250">
              <w:rPr>
                <w:rFonts w:ascii="Bookman Old Style" w:hAnsi="Bookman Old Style"/>
                <w:i/>
                <w:iCs/>
                <w:sz w:val="20"/>
                <w:szCs w:val="20"/>
              </w:rPr>
              <w:t xml:space="preserve">gap </w:t>
            </w:r>
            <w:r w:rsidRPr="00066250">
              <w:rPr>
                <w:rFonts w:ascii="Bookman Old Style" w:hAnsi="Bookman Old Style"/>
                <w:sz w:val="20"/>
                <w:szCs w:val="20"/>
              </w:rPr>
              <w:t>antara arus kas masuk (</w:t>
            </w:r>
            <w:r w:rsidRPr="00066250">
              <w:rPr>
                <w:rFonts w:ascii="Bookman Old Style" w:hAnsi="Bookman Old Style"/>
                <w:i/>
                <w:iCs/>
                <w:sz w:val="20"/>
                <w:szCs w:val="20"/>
              </w:rPr>
              <w:t>cash inflows</w:t>
            </w:r>
            <w:r w:rsidRPr="00066250">
              <w:rPr>
                <w:rFonts w:ascii="Bookman Old Style" w:hAnsi="Bookman Old Style"/>
                <w:sz w:val="20"/>
                <w:szCs w:val="20"/>
              </w:rPr>
              <w:t>) dan arus kas keluar (</w:t>
            </w:r>
            <w:r w:rsidRPr="00066250">
              <w:rPr>
                <w:rFonts w:ascii="Bookman Old Style" w:hAnsi="Bookman Old Style"/>
                <w:i/>
                <w:iCs/>
                <w:sz w:val="20"/>
                <w:szCs w:val="20"/>
              </w:rPr>
              <w:t>cash outflows</w:t>
            </w:r>
            <w:r w:rsidRPr="00066250">
              <w:rPr>
                <w:rFonts w:ascii="Bookman Old Style" w:hAnsi="Bookman Old Style"/>
                <w:sz w:val="20"/>
                <w:szCs w:val="20"/>
              </w:rPr>
              <w:t>)</w:t>
            </w:r>
            <w:r w:rsidRPr="00066250">
              <w:rPr>
                <w:rFonts w:ascii="Bookman Old Style" w:hAnsi="Bookman Old Style"/>
                <w:sz w:val="20"/>
                <w:szCs w:val="20"/>
                <w:lang w:val="en-US"/>
              </w:rPr>
              <w:t xml:space="preserve"> </w:t>
            </w:r>
            <w:r w:rsidRPr="00066250">
              <w:rPr>
                <w:rFonts w:ascii="Bookman Old Style" w:hAnsi="Bookman Old Style"/>
                <w:sz w:val="20"/>
                <w:szCs w:val="20"/>
              </w:rPr>
              <w:t>selama periode 30 (tiga puluh) hari stres tanpa adanya hambatan untuk memenuhi kecukupan likuiditas.</w:t>
            </w:r>
            <w:r w:rsidRPr="00066250">
              <w:rPr>
                <w:rFonts w:ascii="Bookman Old Style" w:hAnsi="Bookman Old Style"/>
                <w:sz w:val="20"/>
                <w:szCs w:val="20"/>
                <w:lang w:val="en-US"/>
              </w:rPr>
              <w:t xml:space="preserve"> Persyaratan operasional dimaksud, yaitu:</w:t>
            </w:r>
          </w:p>
          <w:p w14:paraId="69911ADE"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bebas dari segala klaim, kecuali aset yang disimpan atau diperjanjikan dengan Bank Indonesia namun belum digunakan untuk menghasilkan likuiditas</w:t>
            </w:r>
            <w:r w:rsidRPr="00066250">
              <w:rPr>
                <w:rFonts w:ascii="Bookman Old Style" w:hAnsi="Bookman Old Style"/>
                <w:sz w:val="20"/>
                <w:szCs w:val="20"/>
                <w:lang w:val="en-US"/>
              </w:rPr>
              <w:t>;</w:t>
            </w:r>
          </w:p>
          <w:p w14:paraId="7EC0A397" w14:textId="77777777" w:rsidR="00D3094F" w:rsidRPr="00066250" w:rsidRDefault="00D3094F" w:rsidP="00066250">
            <w:pPr>
              <w:pStyle w:val="ListParagraph"/>
              <w:spacing w:after="0" w:line="240" w:lineRule="auto"/>
              <w:ind w:left="2835" w:right="-1"/>
              <w:jc w:val="both"/>
              <w:rPr>
                <w:rFonts w:ascii="Bookman Old Style" w:hAnsi="Bookman Old Style"/>
                <w:sz w:val="20"/>
                <w:szCs w:val="20"/>
                <w:lang w:val="en-US"/>
              </w:rPr>
            </w:pPr>
            <w:r w:rsidRPr="00066250">
              <w:rPr>
                <w:rFonts w:ascii="Bookman Old Style" w:hAnsi="Bookman Old Style"/>
                <w:sz w:val="20"/>
                <w:szCs w:val="20"/>
                <w:lang w:val="en-US"/>
              </w:rPr>
              <w:t>B</w:t>
            </w:r>
            <w:r w:rsidRPr="00066250">
              <w:rPr>
                <w:rFonts w:ascii="Bookman Old Style" w:hAnsi="Bookman Old Style"/>
                <w:sz w:val="20"/>
                <w:szCs w:val="20"/>
              </w:rPr>
              <w:t xml:space="preserve">ebas dari segala klaim antara lain tidak sedang menjadi </w:t>
            </w:r>
            <w:r w:rsidRPr="00066250">
              <w:rPr>
                <w:rFonts w:ascii="Bookman Old Style" w:hAnsi="Bookman Old Style"/>
                <w:i/>
                <w:iCs/>
                <w:sz w:val="20"/>
                <w:szCs w:val="20"/>
              </w:rPr>
              <w:t xml:space="preserve">underlying </w:t>
            </w:r>
            <w:r w:rsidRPr="00066250">
              <w:rPr>
                <w:rFonts w:ascii="Bookman Old Style" w:hAnsi="Bookman Old Style"/>
                <w:sz w:val="20"/>
                <w:szCs w:val="20"/>
              </w:rPr>
              <w:t>repo, bebas dari tuntutan hukum, batasan regulasi dan perjanjian, serta batasan lain yang membatasi kemampuan Bank untuk melikuidasi, menjual, mentransfer, menggunakan atau menetapkan suatu aset.</w:t>
            </w:r>
            <w:r w:rsidRPr="00066250">
              <w:rPr>
                <w:rFonts w:ascii="Bookman Old Style" w:hAnsi="Bookman Old Style"/>
                <w:sz w:val="20"/>
                <w:szCs w:val="20"/>
                <w:lang w:val="en-US"/>
              </w:rPr>
              <w:t xml:space="preserve"> </w:t>
            </w:r>
            <w:r w:rsidRPr="00066250">
              <w:rPr>
                <w:rFonts w:ascii="Bookman Old Style" w:hAnsi="Bookman Old Style"/>
                <w:sz w:val="20"/>
                <w:szCs w:val="20"/>
              </w:rPr>
              <w:t>Contoh aset yang disimpan atau diperjanjikan dengan Bank Indonesia namun belum digunakan untuk menghasilkan likuiditas adalah giro wajib minimum sekunder.</w:t>
            </w:r>
          </w:p>
          <w:p w14:paraId="3F50DC1B"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tidak ditetapkan untuk tujuan menutup biaya operasional</w:t>
            </w:r>
            <w:r w:rsidRPr="00066250">
              <w:rPr>
                <w:rFonts w:ascii="Bookman Old Style" w:hAnsi="Bookman Old Style"/>
                <w:sz w:val="20"/>
                <w:szCs w:val="20"/>
                <w:lang w:val="en-US"/>
              </w:rPr>
              <w:t xml:space="preserve"> (</w:t>
            </w:r>
            <w:r w:rsidRPr="00066250">
              <w:rPr>
                <w:rFonts w:ascii="Bookman Old Style" w:hAnsi="Bookman Old Style"/>
                <w:sz w:val="20"/>
                <w:szCs w:val="20"/>
              </w:rPr>
              <w:t>Biaya operasional antara lain biaya sewa dan biaya gaji pegawai</w:t>
            </w:r>
            <w:r w:rsidRPr="00066250">
              <w:rPr>
                <w:rFonts w:ascii="Bookman Old Style" w:hAnsi="Bookman Old Style"/>
                <w:sz w:val="20"/>
                <w:szCs w:val="20"/>
                <w:lang w:val="en-US"/>
              </w:rPr>
              <w:t>);</w:t>
            </w:r>
          </w:p>
          <w:p w14:paraId="1C18C237"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dapat digunakan secara legal dan kontraktual oleh Bank pada saat terjadi kondisi stres;</w:t>
            </w:r>
          </w:p>
          <w:p w14:paraId="7CDF799D" w14:textId="77777777" w:rsidR="00D3094F" w:rsidRPr="00066250" w:rsidRDefault="00D3094F" w:rsidP="00066250">
            <w:pPr>
              <w:pStyle w:val="ListParagraph"/>
              <w:spacing w:after="0" w:line="240" w:lineRule="auto"/>
              <w:ind w:left="2835" w:right="-1"/>
              <w:jc w:val="both"/>
              <w:rPr>
                <w:rFonts w:ascii="Bookman Old Style" w:hAnsi="Bookman Old Style"/>
                <w:sz w:val="20"/>
                <w:szCs w:val="20"/>
                <w:lang w:val="en-US"/>
              </w:rPr>
            </w:pPr>
            <w:r w:rsidRPr="00066250">
              <w:rPr>
                <w:rFonts w:ascii="Bookman Old Style" w:hAnsi="Bookman Old Style"/>
                <w:sz w:val="20"/>
                <w:szCs w:val="20"/>
              </w:rPr>
              <w:t xml:space="preserve">Contoh aset yang dapat digunakan secara legal dan kontraktual oleh Bank pada saat terjadinya kondisi stres antara lain aset yang diterima dalam </w:t>
            </w:r>
            <w:r w:rsidRPr="00066250">
              <w:rPr>
                <w:rFonts w:ascii="Bookman Old Style" w:hAnsi="Bookman Old Style"/>
                <w:i/>
                <w:iCs/>
                <w:sz w:val="20"/>
                <w:szCs w:val="20"/>
              </w:rPr>
              <w:t xml:space="preserve">reverse repo </w:t>
            </w:r>
            <w:r w:rsidRPr="00066250">
              <w:rPr>
                <w:rFonts w:ascii="Bookman Old Style" w:hAnsi="Bookman Old Style"/>
                <w:sz w:val="20"/>
                <w:szCs w:val="20"/>
              </w:rPr>
              <w:t xml:space="preserve">dan </w:t>
            </w:r>
            <w:r w:rsidRPr="00066250">
              <w:rPr>
                <w:rFonts w:ascii="Bookman Old Style" w:hAnsi="Bookman Old Style"/>
                <w:i/>
                <w:iCs/>
                <w:sz w:val="20"/>
                <w:szCs w:val="20"/>
              </w:rPr>
              <w:t xml:space="preserve">securities financing transaction </w:t>
            </w:r>
            <w:r w:rsidRPr="00066250">
              <w:rPr>
                <w:rFonts w:ascii="Bookman Old Style" w:hAnsi="Bookman Old Style"/>
                <w:sz w:val="20"/>
                <w:szCs w:val="20"/>
              </w:rPr>
              <w:t xml:space="preserve">(SFT) yang dipegang oleh Bank, belum diagunkan kembali, dan </w:t>
            </w:r>
            <w:r w:rsidRPr="00066250">
              <w:rPr>
                <w:rFonts w:ascii="Bookman Old Style" w:hAnsi="Bookman Old Style"/>
                <w:sz w:val="20"/>
                <w:szCs w:val="20"/>
              </w:rPr>
              <w:lastRenderedPageBreak/>
              <w:t>yang secara legal serta kontraktual dapat digunakan oleh Bank untuk menghasilkan arus kas pada saat kondisi stres, dapat diperhitungkan sebagai HQLA.</w:t>
            </w:r>
          </w:p>
          <w:p w14:paraId="244980BC"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aset yang diterima sebagai agunan dalam transaksi derivatif yang tidak dipisahkan (</w:t>
            </w:r>
            <w:r w:rsidRPr="00066250">
              <w:rPr>
                <w:rFonts w:ascii="Bookman Old Style" w:hAnsi="Bookman Old Style"/>
                <w:i/>
                <w:sz w:val="20"/>
                <w:szCs w:val="20"/>
              </w:rPr>
              <w:t>non segregated collateral</w:t>
            </w:r>
            <w:r w:rsidRPr="00066250">
              <w:rPr>
                <w:rFonts w:ascii="Bookman Old Style" w:hAnsi="Bookman Old Style"/>
                <w:sz w:val="20"/>
                <w:szCs w:val="20"/>
              </w:rPr>
              <w:t>) yang secara hukum dapat diagunkan kembali, dapat dimasukkan dalam kelompok HQLA jika Bank memperhitungkan arus keluar (</w:t>
            </w:r>
            <w:r w:rsidRPr="00066250">
              <w:rPr>
                <w:rFonts w:ascii="Bookman Old Style" w:hAnsi="Bookman Old Style"/>
                <w:i/>
                <w:sz w:val="20"/>
                <w:szCs w:val="20"/>
              </w:rPr>
              <w:t>outflow</w:t>
            </w:r>
            <w:r w:rsidRPr="00066250">
              <w:rPr>
                <w:rFonts w:ascii="Bookman Old Style" w:hAnsi="Bookman Old Style"/>
                <w:sz w:val="20"/>
                <w:szCs w:val="20"/>
              </w:rPr>
              <w:t>) terkait aset yang diagunkan kembali;</w:t>
            </w:r>
          </w:p>
          <w:p w14:paraId="32DC7A26"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tersedia dan dapat dicairkan dalam kondisi stres serta terdapat prosedur dan sistem yang memadai;</w:t>
            </w:r>
          </w:p>
          <w:p w14:paraId="4F46D314" w14:textId="77777777" w:rsidR="00D3094F" w:rsidRPr="00066250" w:rsidRDefault="00D3094F" w:rsidP="00066250">
            <w:pPr>
              <w:pStyle w:val="ListParagraph"/>
              <w:spacing w:after="0" w:line="240" w:lineRule="auto"/>
              <w:ind w:left="2835" w:right="-1"/>
              <w:jc w:val="both"/>
              <w:rPr>
                <w:rFonts w:ascii="Bookman Old Style" w:hAnsi="Bookman Old Style"/>
                <w:sz w:val="20"/>
                <w:szCs w:val="20"/>
                <w:lang w:val="en-US"/>
              </w:rPr>
            </w:pPr>
            <w:r w:rsidRPr="00066250">
              <w:rPr>
                <w:rFonts w:ascii="Bookman Old Style" w:hAnsi="Bookman Old Style"/>
                <w:sz w:val="20"/>
                <w:szCs w:val="20"/>
                <w:lang w:val="en-US"/>
              </w:rPr>
              <w:t>P</w:t>
            </w:r>
            <w:r w:rsidRPr="00066250">
              <w:rPr>
                <w:rFonts w:ascii="Bookman Old Style" w:hAnsi="Bookman Old Style"/>
                <w:sz w:val="20"/>
                <w:szCs w:val="20"/>
              </w:rPr>
              <w:t>rosedur dan sistem yang memadai dalam hal ini termasuk terdapatnya fungsi atau bagian khusus yang memiliki akses terhadap seluruh informasi yang dibutuhkan untuk melakukan pencairan aset setiap saat.</w:t>
            </w:r>
            <w:r w:rsidRPr="00066250">
              <w:rPr>
                <w:rFonts w:ascii="Bookman Old Style" w:hAnsi="Bookman Old Style"/>
                <w:sz w:val="20"/>
                <w:szCs w:val="20"/>
                <w:lang w:val="en-US"/>
              </w:rPr>
              <w:t xml:space="preserve"> </w:t>
            </w:r>
          </w:p>
          <w:p w14:paraId="6B1C86D9" w14:textId="77777777" w:rsidR="00D3094F" w:rsidRPr="00066250" w:rsidRDefault="00D3094F" w:rsidP="00066250">
            <w:pPr>
              <w:pStyle w:val="ListParagraph"/>
              <w:spacing w:after="0" w:line="240" w:lineRule="auto"/>
              <w:ind w:left="2835" w:right="-1"/>
              <w:jc w:val="both"/>
              <w:rPr>
                <w:rFonts w:ascii="Bookman Old Style" w:hAnsi="Bookman Old Style"/>
                <w:sz w:val="20"/>
                <w:szCs w:val="20"/>
                <w:lang w:val="en-US"/>
              </w:rPr>
            </w:pPr>
            <w:r w:rsidRPr="00066250">
              <w:rPr>
                <w:rFonts w:ascii="Bookman Old Style" w:hAnsi="Bookman Old Style"/>
                <w:sz w:val="20"/>
                <w:szCs w:val="20"/>
              </w:rPr>
              <w:t>Proses pencairan aset harus dapat dilakukan secara operasional dengan jangka waktu penyelesaian yang wajar untuk jenis aset tersebut.</w:t>
            </w:r>
          </w:p>
          <w:p w14:paraId="406E11D7"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aset keuangan berada dibawah pengendalian suatu fungsi khusus yang bertanggung jawab</w:t>
            </w:r>
            <w:r w:rsidRPr="00066250">
              <w:rPr>
                <w:rFonts w:ascii="Bookman Old Style" w:hAnsi="Bookman Old Style"/>
                <w:sz w:val="20"/>
                <w:szCs w:val="20"/>
                <w:lang w:val="en-US"/>
              </w:rPr>
              <w:t xml:space="preserve"> </w:t>
            </w:r>
            <w:r w:rsidRPr="00066250">
              <w:rPr>
                <w:rFonts w:ascii="Bookman Old Style" w:hAnsi="Bookman Old Style"/>
                <w:sz w:val="20"/>
                <w:szCs w:val="20"/>
              </w:rPr>
              <w:t>mengelola likuiditas Bank</w:t>
            </w:r>
            <w:r w:rsidRPr="00066250">
              <w:rPr>
                <w:rFonts w:ascii="Bookman Old Style" w:hAnsi="Bookman Old Style"/>
                <w:sz w:val="20"/>
                <w:szCs w:val="20"/>
                <w:lang w:val="en-US"/>
              </w:rPr>
              <w:t xml:space="preserve"> (antara lain satuan kerja </w:t>
            </w:r>
            <w:r w:rsidRPr="00066250">
              <w:rPr>
                <w:rFonts w:ascii="Bookman Old Style" w:hAnsi="Bookman Old Style"/>
                <w:i/>
                <w:sz w:val="20"/>
                <w:szCs w:val="20"/>
                <w:lang w:val="en-US"/>
              </w:rPr>
              <w:t>treasury</w:t>
            </w:r>
            <w:r w:rsidRPr="00066250">
              <w:rPr>
                <w:rFonts w:ascii="Bookman Old Style" w:hAnsi="Bookman Old Style"/>
                <w:sz w:val="20"/>
                <w:szCs w:val="20"/>
                <w:lang w:val="en-US"/>
              </w:rPr>
              <w:t>)</w:t>
            </w:r>
            <w:r w:rsidRPr="00066250">
              <w:rPr>
                <w:rFonts w:ascii="Bookman Old Style" w:hAnsi="Bookman Old Style"/>
                <w:sz w:val="20"/>
                <w:szCs w:val="20"/>
              </w:rPr>
              <w:t>, yang memiliki kewenangan untuk mencairkan aset;</w:t>
            </w:r>
          </w:p>
          <w:p w14:paraId="59AF4B3B" w14:textId="77777777" w:rsidR="00D3094F" w:rsidRPr="00066250" w:rsidRDefault="00D3094F" w:rsidP="00066250">
            <w:pPr>
              <w:pStyle w:val="ListParagraph"/>
              <w:spacing w:after="0" w:line="240" w:lineRule="auto"/>
              <w:ind w:left="2835" w:right="-1"/>
              <w:jc w:val="both"/>
              <w:rPr>
                <w:rFonts w:ascii="Bookman Old Style" w:hAnsi="Bookman Old Style"/>
                <w:sz w:val="20"/>
                <w:szCs w:val="20"/>
              </w:rPr>
            </w:pPr>
            <w:r w:rsidRPr="00066250">
              <w:rPr>
                <w:rFonts w:ascii="Bookman Old Style" w:hAnsi="Bookman Old Style"/>
                <w:sz w:val="20"/>
                <w:szCs w:val="20"/>
              </w:rPr>
              <w:t>Bank harus memiliki standar operasional prosedur terkait pengendalian tersebut dan terdapatnya pengendalian harus dibuktikan melalui:</w:t>
            </w:r>
          </w:p>
          <w:p w14:paraId="34E60661" w14:textId="77777777" w:rsidR="00D3094F" w:rsidRPr="00066250" w:rsidRDefault="00D3094F" w:rsidP="00A32F86">
            <w:pPr>
              <w:pStyle w:val="ListParagraph"/>
              <w:widowControl w:val="0"/>
              <w:numPr>
                <w:ilvl w:val="0"/>
                <w:numId w:val="59"/>
              </w:numPr>
              <w:autoSpaceDE w:val="0"/>
              <w:autoSpaceDN w:val="0"/>
              <w:spacing w:after="0" w:line="240" w:lineRule="auto"/>
              <w:ind w:left="3402" w:right="-1" w:hanging="567"/>
              <w:contextualSpacing w:val="0"/>
              <w:jc w:val="both"/>
              <w:rPr>
                <w:rFonts w:ascii="Bookman Old Style" w:hAnsi="Bookman Old Style"/>
                <w:sz w:val="20"/>
                <w:szCs w:val="20"/>
              </w:rPr>
            </w:pPr>
            <w:r w:rsidRPr="00066250">
              <w:rPr>
                <w:rFonts w:ascii="Bookman Old Style" w:hAnsi="Bookman Old Style"/>
                <w:sz w:val="20"/>
                <w:szCs w:val="20"/>
              </w:rPr>
              <w:t>pengelolaan aset secara terpisah yang bertujuan hanya sebagai sumber dana rencana pendanaan darurat (</w:t>
            </w:r>
            <w:r w:rsidRPr="00066250">
              <w:rPr>
                <w:rFonts w:ascii="Bookman Old Style" w:hAnsi="Bookman Old Style"/>
                <w:i/>
                <w:iCs/>
                <w:sz w:val="20"/>
                <w:szCs w:val="20"/>
              </w:rPr>
              <w:t>contigency funding plan</w:t>
            </w:r>
            <w:r w:rsidRPr="00066250">
              <w:rPr>
                <w:rFonts w:ascii="Bookman Old Style" w:hAnsi="Bookman Old Style"/>
                <w:sz w:val="20"/>
                <w:szCs w:val="20"/>
              </w:rPr>
              <w:t xml:space="preserve">); atau </w:t>
            </w:r>
          </w:p>
          <w:p w14:paraId="778F78F3" w14:textId="77777777" w:rsidR="00D3094F" w:rsidRPr="00066250" w:rsidRDefault="00D3094F" w:rsidP="00A32F86">
            <w:pPr>
              <w:pStyle w:val="ListParagraph"/>
              <w:widowControl w:val="0"/>
              <w:numPr>
                <w:ilvl w:val="0"/>
                <w:numId w:val="59"/>
              </w:numPr>
              <w:autoSpaceDE w:val="0"/>
              <w:autoSpaceDN w:val="0"/>
              <w:spacing w:after="0" w:line="240" w:lineRule="auto"/>
              <w:ind w:left="3402" w:right="-1" w:hanging="567"/>
              <w:contextualSpacing w:val="0"/>
              <w:jc w:val="both"/>
              <w:rPr>
                <w:rFonts w:ascii="Bookman Old Style" w:hAnsi="Bookman Old Style"/>
                <w:sz w:val="20"/>
                <w:szCs w:val="20"/>
              </w:rPr>
            </w:pPr>
            <w:r w:rsidRPr="00066250">
              <w:rPr>
                <w:rFonts w:ascii="Bookman Old Style" w:hAnsi="Bookman Old Style"/>
                <w:sz w:val="20"/>
                <w:szCs w:val="20"/>
              </w:rPr>
              <w:t xml:space="preserve">proses pencairan aset dapat dilakukan setiap saat selama 30 (tiga puluh) hari kondisi stres tanpa menimbulkan konflik secara langsung dengan bisnis atau strategi manajemen risiko. </w:t>
            </w:r>
          </w:p>
          <w:p w14:paraId="561FE794"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secara berkala dapat dicairkan sejumlah tertentu melalui repo maupun penjualan dalam rangka menguji aksesibilitas ke pasar, efektifitas dari proses pencairan aset, dan/atau ketersediaan aset;</w:t>
            </w:r>
          </w:p>
          <w:p w14:paraId="210408C9"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Bank tidak dapat memasukkan aset dengan hak untuk mengagunkan kembali kedalam kelompok HQLA apabila pemilik asal aset memiliki hak kontraktual untuk menarik aset selama 30 (tiga puluh) hari periode stres; dan</w:t>
            </w:r>
          </w:p>
          <w:p w14:paraId="32D1CFB3" w14:textId="77777777" w:rsidR="00D3094F" w:rsidRPr="00066250" w:rsidRDefault="00D3094F" w:rsidP="00A32F86">
            <w:pPr>
              <w:pStyle w:val="ListParagraph"/>
              <w:widowControl w:val="0"/>
              <w:numPr>
                <w:ilvl w:val="0"/>
                <w:numId w:val="58"/>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aset keuangan perusahaan anak yang memenuhi kriteria HQLA </w:t>
            </w:r>
            <w:r w:rsidRPr="00066250">
              <w:rPr>
                <w:rFonts w:ascii="Bookman Old Style" w:hAnsi="Bookman Old Style"/>
                <w:sz w:val="20"/>
                <w:szCs w:val="20"/>
              </w:rPr>
              <w:lastRenderedPageBreak/>
              <w:t xml:space="preserve">yang digunakan untuk memenuhi persyaratan likuiditas hanya dapat diperhitungkan dalam LCR secara konsolidasi, sepanjang risiko terkait yang tercermin dari </w:t>
            </w:r>
            <w:r w:rsidRPr="00066250">
              <w:rPr>
                <w:rFonts w:ascii="Bookman Old Style" w:hAnsi="Bookman Old Style"/>
                <w:i/>
                <w:sz w:val="20"/>
                <w:szCs w:val="20"/>
              </w:rPr>
              <w:t>Net Cash Outflow</w:t>
            </w:r>
            <w:r w:rsidRPr="00066250">
              <w:rPr>
                <w:rFonts w:ascii="Bookman Old Style" w:hAnsi="Bookman Old Style"/>
                <w:sz w:val="20"/>
                <w:szCs w:val="20"/>
              </w:rPr>
              <w:t xml:space="preserve"> dari perusahaan anak diperhitungkan dalam perhitungan LCR konsolidasi.</w:t>
            </w:r>
          </w:p>
          <w:p w14:paraId="3A3FE0E2" w14:textId="77777777" w:rsidR="00D3094F" w:rsidRPr="00066250" w:rsidRDefault="00D3094F" w:rsidP="00066250">
            <w:pPr>
              <w:pStyle w:val="ListParagraph"/>
              <w:spacing w:after="0" w:line="240" w:lineRule="auto"/>
              <w:ind w:left="2835" w:right="-1"/>
              <w:jc w:val="both"/>
              <w:rPr>
                <w:rFonts w:ascii="Bookman Old Style" w:hAnsi="Bookman Old Style"/>
                <w:i/>
                <w:iCs/>
                <w:sz w:val="20"/>
                <w:szCs w:val="20"/>
              </w:rPr>
            </w:pPr>
            <w:r w:rsidRPr="00066250">
              <w:rPr>
                <w:rFonts w:ascii="Bookman Old Style" w:hAnsi="Bookman Old Style"/>
                <w:sz w:val="20"/>
                <w:szCs w:val="20"/>
                <w:lang w:val="en-US"/>
              </w:rPr>
              <w:t>Adapun k</w:t>
            </w:r>
            <w:r w:rsidRPr="00066250">
              <w:rPr>
                <w:rFonts w:ascii="Bookman Old Style" w:hAnsi="Bookman Old Style"/>
                <w:sz w:val="20"/>
                <w:szCs w:val="20"/>
              </w:rPr>
              <w:t>elebihan (</w:t>
            </w:r>
            <w:r w:rsidRPr="00066250">
              <w:rPr>
                <w:rFonts w:ascii="Bookman Old Style" w:hAnsi="Bookman Old Style"/>
                <w:i/>
                <w:iCs/>
                <w:sz w:val="20"/>
                <w:szCs w:val="20"/>
              </w:rPr>
              <w:t>surplus</w:t>
            </w:r>
            <w:r w:rsidRPr="00066250">
              <w:rPr>
                <w:rFonts w:ascii="Bookman Old Style" w:hAnsi="Bookman Old Style"/>
                <w:sz w:val="20"/>
                <w:szCs w:val="20"/>
              </w:rPr>
              <w:t>) HQLA dari persyaratan minimum likuiditas yang dimiliki perusahaan anak hanya dapat dimasukkan dalam perhitungan LCR secara konsolidasi apabila aset tersebut dapat digunakan oleh entitas induk tanpa hambatan apapun pada saat terjadi stres.</w:t>
            </w:r>
            <w:r w:rsidRPr="00066250">
              <w:rPr>
                <w:rFonts w:ascii="Bookman Old Style" w:hAnsi="Bookman Old Style"/>
                <w:sz w:val="20"/>
                <w:szCs w:val="20"/>
                <w:lang w:val="en-US"/>
              </w:rPr>
              <w:t xml:space="preserve"> </w:t>
            </w:r>
            <w:r w:rsidRPr="00066250">
              <w:rPr>
                <w:rFonts w:ascii="Bookman Old Style" w:hAnsi="Bookman Old Style"/>
                <w:sz w:val="20"/>
                <w:szCs w:val="20"/>
              </w:rPr>
              <w:t xml:space="preserve">Hambatan </w:t>
            </w:r>
            <w:r w:rsidRPr="00066250">
              <w:rPr>
                <w:rFonts w:ascii="Bookman Old Style" w:hAnsi="Bookman Old Style"/>
                <w:sz w:val="20"/>
                <w:szCs w:val="20"/>
                <w:lang w:val="en-US"/>
              </w:rPr>
              <w:t>dimaksud</w:t>
            </w:r>
            <w:r w:rsidRPr="00066250">
              <w:rPr>
                <w:rFonts w:ascii="Bookman Old Style" w:hAnsi="Bookman Old Style"/>
                <w:sz w:val="20"/>
                <w:szCs w:val="20"/>
              </w:rPr>
              <w:t xml:space="preserve"> antara lain dapat berasal dari aspek ketentuan, hukum, pajak, akuntansi maupun hambatan lainnya seperti kontrol mata uang asing atau mata uang domestik yang tidak dapat dikonversi menjadi mata uang lain (</w:t>
            </w:r>
            <w:r w:rsidRPr="00066250">
              <w:rPr>
                <w:rFonts w:ascii="Bookman Old Style" w:hAnsi="Bookman Old Style"/>
                <w:i/>
                <w:iCs/>
                <w:sz w:val="20"/>
                <w:szCs w:val="20"/>
              </w:rPr>
              <w:t>non-convertibility of local currency</w:t>
            </w:r>
            <w:r w:rsidRPr="00066250">
              <w:rPr>
                <w:rFonts w:ascii="Bookman Old Style" w:hAnsi="Bookman Old Style"/>
                <w:sz w:val="20"/>
                <w:szCs w:val="20"/>
              </w:rPr>
              <w:t>)</w:t>
            </w:r>
            <w:r w:rsidRPr="00066250">
              <w:rPr>
                <w:rFonts w:ascii="Bookman Old Style" w:hAnsi="Bookman Old Style"/>
                <w:i/>
                <w:iCs/>
                <w:sz w:val="20"/>
                <w:szCs w:val="20"/>
              </w:rPr>
              <w:t>.</w:t>
            </w:r>
          </w:p>
          <w:p w14:paraId="000C1DF2" w14:textId="3CC059C0" w:rsidR="00D3094F" w:rsidRPr="00066250" w:rsidRDefault="00D3094F" w:rsidP="00066250">
            <w:pPr>
              <w:pStyle w:val="ListParagraph"/>
              <w:spacing w:after="0" w:line="240" w:lineRule="auto"/>
              <w:ind w:left="2835" w:right="-1"/>
              <w:jc w:val="both"/>
              <w:rPr>
                <w:rFonts w:ascii="Bookman Old Style" w:hAnsi="Bookman Old Style"/>
                <w:i/>
                <w:iCs/>
                <w:sz w:val="20"/>
                <w:szCs w:val="20"/>
              </w:rPr>
            </w:pPr>
            <w:r w:rsidRPr="00066250">
              <w:rPr>
                <w:rFonts w:ascii="Bookman Old Style" w:hAnsi="Bookman Old Style"/>
                <w:sz w:val="20"/>
                <w:szCs w:val="20"/>
              </w:rPr>
              <w:t>Aset perusahaan anak yang tidak memiliki akses pasar hanya dapat dimasukkan dalam HQLA jika dapat dengan bebas dipindahkan ke entitas induk.</w:t>
            </w:r>
            <w:r w:rsidRPr="00066250">
              <w:rPr>
                <w:rFonts w:ascii="Bookman Old Style" w:hAnsi="Bookman Old Style"/>
                <w:sz w:val="20"/>
                <w:szCs w:val="20"/>
                <w:lang w:val="en-US"/>
              </w:rPr>
              <w:t xml:space="preserve"> </w:t>
            </w:r>
            <w:r w:rsidRPr="00066250">
              <w:rPr>
                <w:rFonts w:ascii="Bookman Old Style" w:hAnsi="Bookman Old Style"/>
                <w:sz w:val="20"/>
                <w:szCs w:val="20"/>
              </w:rPr>
              <w:t>Dalam kondisi tidak terdapat pasar repo yang aktif dan memadai untuk suatu aset maka Bank tidak boleh mengkategorikan aset sebagai HQLA apabila terdapat hambatan dalam proses jual putus, misalnya terjadi penurunan harga yang sangat besar.</w:t>
            </w:r>
          </w:p>
        </w:tc>
        <w:tc>
          <w:tcPr>
            <w:tcW w:w="3686" w:type="dxa"/>
            <w:shd w:val="clear" w:color="auto" w:fill="auto"/>
            <w:vAlign w:val="center"/>
          </w:tcPr>
          <w:p w14:paraId="6BE5755F"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5CD4C103"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45B3988C" w14:textId="77777777" w:rsidTr="00B03AEA">
        <w:trPr>
          <w:trHeight w:val="564"/>
          <w:tblHeader/>
        </w:trPr>
        <w:tc>
          <w:tcPr>
            <w:tcW w:w="9634" w:type="dxa"/>
            <w:shd w:val="clear" w:color="auto" w:fill="auto"/>
            <w:vAlign w:val="center"/>
          </w:tcPr>
          <w:p w14:paraId="5755A1CC" w14:textId="77777777" w:rsidR="00D3094F" w:rsidRPr="00066250" w:rsidRDefault="00D3094F" w:rsidP="00A32F86">
            <w:pPr>
              <w:pStyle w:val="ListParagraph"/>
              <w:widowControl w:val="0"/>
              <w:numPr>
                <w:ilvl w:val="0"/>
                <w:numId w:val="56"/>
              </w:numPr>
              <w:autoSpaceDE w:val="0"/>
              <w:autoSpaceDN w:val="0"/>
              <w:spacing w:after="0" w:line="240" w:lineRule="auto"/>
              <w:ind w:left="2268" w:right="-1" w:hanging="567"/>
              <w:contextualSpacing w:val="0"/>
              <w:jc w:val="both"/>
              <w:rPr>
                <w:rFonts w:ascii="Bookman Old Style" w:hAnsi="Bookman Old Style"/>
                <w:sz w:val="20"/>
                <w:szCs w:val="20"/>
              </w:rPr>
            </w:pPr>
            <w:r w:rsidRPr="00066250">
              <w:rPr>
                <w:rFonts w:ascii="Bookman Old Style" w:hAnsi="Bookman Old Style"/>
                <w:sz w:val="20"/>
                <w:szCs w:val="20"/>
                <w:lang w:val="en-US"/>
              </w:rPr>
              <w:lastRenderedPageBreak/>
              <w:t>persyaratan terdiversifikasi, yaitu:</w:t>
            </w:r>
          </w:p>
          <w:p w14:paraId="0B2D062D" w14:textId="77777777" w:rsidR="00D3094F" w:rsidRPr="00066250" w:rsidRDefault="00D3094F" w:rsidP="00A32F86">
            <w:pPr>
              <w:pStyle w:val="ListParagraph"/>
              <w:widowControl w:val="0"/>
              <w:numPr>
                <w:ilvl w:val="0"/>
                <w:numId w:val="60"/>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tersebar pada berbagai jenis aset keuangan, penerbit, dan jenis mata uang; dan</w:t>
            </w:r>
          </w:p>
          <w:p w14:paraId="59529183" w14:textId="77777777" w:rsidR="00D3094F" w:rsidRPr="00066250" w:rsidRDefault="00D3094F" w:rsidP="00A32F86">
            <w:pPr>
              <w:pStyle w:val="ListParagraph"/>
              <w:widowControl w:val="0"/>
              <w:numPr>
                <w:ilvl w:val="0"/>
                <w:numId w:val="60"/>
              </w:numPr>
              <w:autoSpaceDE w:val="0"/>
              <w:autoSpaceDN w:val="0"/>
              <w:spacing w:after="0" w:line="240" w:lineRule="auto"/>
              <w:ind w:left="2835" w:right="-1" w:hanging="567"/>
              <w:contextualSpacing w:val="0"/>
              <w:jc w:val="both"/>
              <w:rPr>
                <w:rFonts w:ascii="Bookman Old Style" w:hAnsi="Bookman Old Style"/>
                <w:sz w:val="20"/>
                <w:szCs w:val="20"/>
                <w:lang w:val="en-US"/>
              </w:rPr>
            </w:pPr>
            <w:r w:rsidRPr="00066250">
              <w:rPr>
                <w:rFonts w:ascii="Bookman Old Style" w:hAnsi="Bookman Old Style"/>
                <w:sz w:val="20"/>
                <w:szCs w:val="20"/>
              </w:rPr>
              <w:t>memiliki kebijakan dan limit terkait dengan jenis aset keuangan, penerbit, dan jenis mata uang tertentu</w:t>
            </w:r>
            <w:r w:rsidRPr="00066250">
              <w:rPr>
                <w:rFonts w:ascii="Bookman Old Style" w:hAnsi="Bookman Old Style"/>
                <w:sz w:val="20"/>
                <w:szCs w:val="20"/>
                <w:lang w:val="en-US"/>
              </w:rPr>
              <w:t>,</w:t>
            </w:r>
          </w:p>
          <w:p w14:paraId="21916FD6" w14:textId="4FA52C06" w:rsidR="00D3094F" w:rsidRPr="00066250" w:rsidRDefault="00D3094F" w:rsidP="00066250">
            <w:pPr>
              <w:pStyle w:val="ListParagraph"/>
              <w:widowControl w:val="0"/>
              <w:autoSpaceDE w:val="0"/>
              <w:autoSpaceDN w:val="0"/>
              <w:spacing w:after="0" w:line="240" w:lineRule="auto"/>
              <w:ind w:left="2297" w:right="232"/>
              <w:contextualSpacing w:val="0"/>
              <w:jc w:val="both"/>
              <w:rPr>
                <w:rFonts w:ascii="Bookman Old Style" w:hAnsi="Bookman Old Style"/>
                <w:sz w:val="20"/>
                <w:szCs w:val="20"/>
                <w:lang w:val="en-US"/>
              </w:rPr>
            </w:pPr>
            <w:r w:rsidRPr="00066250">
              <w:rPr>
                <w:rFonts w:ascii="Bookman Old Style" w:hAnsi="Bookman Old Style"/>
                <w:sz w:val="20"/>
                <w:szCs w:val="20"/>
                <w:lang w:val="en-US"/>
              </w:rPr>
              <w:t>yang dikecualikan untuk HQLA yang berbentuk kas, sukuk yang diterbitkan oleh Pemerintah Pusat, surat berharga Syariah yang diterbitkan oleh Bank Indonesia, dan penempatan pada Bank Indonesia.</w:t>
            </w:r>
          </w:p>
        </w:tc>
        <w:tc>
          <w:tcPr>
            <w:tcW w:w="3686" w:type="dxa"/>
            <w:shd w:val="clear" w:color="auto" w:fill="auto"/>
            <w:vAlign w:val="center"/>
          </w:tcPr>
          <w:p w14:paraId="637C19CA"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2AF64B4D"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0D872E02" w14:textId="77777777" w:rsidTr="00066250">
        <w:trPr>
          <w:trHeight w:val="564"/>
          <w:tblHeader/>
        </w:trPr>
        <w:tc>
          <w:tcPr>
            <w:tcW w:w="9634" w:type="dxa"/>
            <w:shd w:val="clear" w:color="auto" w:fill="FFF2CC" w:themeFill="accent4" w:themeFillTint="33"/>
            <w:vAlign w:val="center"/>
          </w:tcPr>
          <w:p w14:paraId="046AA8F6" w14:textId="375E53AB" w:rsidR="00D3094F" w:rsidRPr="00066250" w:rsidRDefault="00066250" w:rsidP="00A32F86">
            <w:pPr>
              <w:pStyle w:val="ListParagraph"/>
              <w:widowControl w:val="0"/>
              <w:numPr>
                <w:ilvl w:val="4"/>
                <w:numId w:val="29"/>
              </w:numPr>
              <w:autoSpaceDE w:val="0"/>
              <w:autoSpaceDN w:val="0"/>
              <w:spacing w:after="0" w:line="240" w:lineRule="auto"/>
              <w:ind w:left="1134" w:right="232" w:hanging="567"/>
              <w:contextualSpacing w:val="0"/>
              <w:jc w:val="both"/>
              <w:rPr>
                <w:rFonts w:ascii="Bookman Old Style" w:hAnsi="Bookman Old Style"/>
                <w:sz w:val="20"/>
                <w:szCs w:val="20"/>
                <w:lang w:val="en-US"/>
              </w:rPr>
            </w:pPr>
            <w:r w:rsidRPr="00066250">
              <w:rPr>
                <w:rFonts w:ascii="Bookman Old Style" w:hAnsi="Bookman Old Style"/>
                <w:sz w:val="20"/>
                <w:szCs w:val="20"/>
                <w:lang w:val="en-US"/>
              </w:rPr>
              <w:t>Perhitungan</w:t>
            </w:r>
            <w:r w:rsidR="000306A8">
              <w:rPr>
                <w:rFonts w:ascii="Bookman Old Style" w:hAnsi="Bookman Old Style"/>
                <w:sz w:val="20"/>
                <w:szCs w:val="20"/>
                <w:lang w:val="en-US"/>
              </w:rPr>
              <w:t xml:space="preserve"> Nilai</w:t>
            </w:r>
            <w:r w:rsidRPr="00066250">
              <w:rPr>
                <w:rFonts w:ascii="Bookman Old Style" w:hAnsi="Bookman Old Style"/>
                <w:sz w:val="20"/>
                <w:szCs w:val="20"/>
              </w:rPr>
              <w:t xml:space="preserve"> </w:t>
            </w:r>
            <w:r w:rsidR="000306A8">
              <w:rPr>
                <w:rFonts w:ascii="Bookman Old Style" w:hAnsi="Bookman Old Style"/>
                <w:sz w:val="20"/>
                <w:szCs w:val="20"/>
                <w:lang w:val="en-US"/>
              </w:rPr>
              <w:t>HQLA</w:t>
            </w:r>
          </w:p>
        </w:tc>
        <w:tc>
          <w:tcPr>
            <w:tcW w:w="3686" w:type="dxa"/>
            <w:shd w:val="clear" w:color="auto" w:fill="FFF2CC" w:themeFill="accent4" w:themeFillTint="33"/>
            <w:vAlign w:val="center"/>
          </w:tcPr>
          <w:p w14:paraId="0AE0A163"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669C1965"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1BB2446B" w14:textId="77777777" w:rsidTr="00B03AEA">
        <w:trPr>
          <w:trHeight w:val="564"/>
          <w:tblHeader/>
        </w:trPr>
        <w:tc>
          <w:tcPr>
            <w:tcW w:w="9634" w:type="dxa"/>
            <w:shd w:val="clear" w:color="auto" w:fill="auto"/>
            <w:vAlign w:val="center"/>
          </w:tcPr>
          <w:p w14:paraId="7EF9E88B" w14:textId="77777777" w:rsidR="00066250" w:rsidRPr="00066250" w:rsidRDefault="00066250" w:rsidP="00066250">
            <w:pPr>
              <w:pStyle w:val="ListParagraph"/>
              <w:spacing w:after="0" w:line="240" w:lineRule="auto"/>
              <w:ind w:left="1134" w:right="231"/>
              <w:jc w:val="both"/>
              <w:rPr>
                <w:rFonts w:ascii="Bookman Old Style" w:hAnsi="Bookman Old Style"/>
                <w:sz w:val="20"/>
                <w:szCs w:val="20"/>
                <w:lang w:val="en-US"/>
              </w:rPr>
            </w:pPr>
            <w:r w:rsidRPr="00066250">
              <w:rPr>
                <w:rFonts w:ascii="Bookman Old Style" w:hAnsi="Bookman Old Style"/>
                <w:sz w:val="20"/>
                <w:szCs w:val="20"/>
              </w:rPr>
              <w:t>Perhitungan</w:t>
            </w:r>
            <w:r w:rsidRPr="00066250">
              <w:rPr>
                <w:rFonts w:ascii="Bookman Old Style" w:hAnsi="Bookman Old Style"/>
                <w:spacing w:val="1"/>
                <w:sz w:val="20"/>
                <w:szCs w:val="20"/>
              </w:rPr>
              <w:t xml:space="preserve"> </w:t>
            </w:r>
            <w:r w:rsidRPr="00066250">
              <w:rPr>
                <w:rFonts w:ascii="Bookman Old Style" w:hAnsi="Bookman Old Style"/>
                <w:sz w:val="20"/>
                <w:szCs w:val="20"/>
              </w:rPr>
              <w:t>nilai</w:t>
            </w:r>
            <w:r w:rsidRPr="00066250">
              <w:rPr>
                <w:rFonts w:ascii="Bookman Old Style" w:hAnsi="Bookman Old Style"/>
                <w:spacing w:val="1"/>
                <w:sz w:val="20"/>
                <w:szCs w:val="20"/>
              </w:rPr>
              <w:t xml:space="preserve"> </w:t>
            </w:r>
            <w:r w:rsidRPr="00066250">
              <w:rPr>
                <w:rFonts w:ascii="Bookman Old Style" w:hAnsi="Bookman Old Style"/>
                <w:sz w:val="20"/>
                <w:szCs w:val="20"/>
                <w:lang w:val="en-US"/>
              </w:rPr>
              <w:t>HQLA</w:t>
            </w:r>
            <w:r w:rsidRPr="00066250">
              <w:rPr>
                <w:rFonts w:ascii="Bookman Old Style" w:hAnsi="Bookman Old Style"/>
                <w:spacing w:val="1"/>
                <w:sz w:val="20"/>
                <w:szCs w:val="20"/>
              </w:rPr>
              <w:t xml:space="preserve"> </w:t>
            </w:r>
            <w:r w:rsidRPr="00066250">
              <w:rPr>
                <w:rFonts w:ascii="Bookman Old Style" w:hAnsi="Bookman Old Style"/>
                <w:sz w:val="20"/>
                <w:szCs w:val="20"/>
              </w:rPr>
              <w:t>dalam</w:t>
            </w:r>
            <w:r w:rsidRPr="00066250">
              <w:rPr>
                <w:rFonts w:ascii="Bookman Old Style" w:hAnsi="Bookman Old Style"/>
                <w:spacing w:val="1"/>
                <w:sz w:val="20"/>
                <w:szCs w:val="20"/>
              </w:rPr>
              <w:t xml:space="preserve"> </w:t>
            </w:r>
            <w:r w:rsidRPr="00066250">
              <w:rPr>
                <w:rFonts w:ascii="Bookman Old Style" w:hAnsi="Bookman Old Style"/>
                <w:sz w:val="20"/>
                <w:szCs w:val="20"/>
              </w:rPr>
              <w:t>rangka</w:t>
            </w:r>
            <w:r w:rsidRPr="00066250">
              <w:rPr>
                <w:rFonts w:ascii="Bookman Old Style" w:hAnsi="Bookman Old Style"/>
                <w:spacing w:val="1"/>
                <w:sz w:val="20"/>
                <w:szCs w:val="20"/>
              </w:rPr>
              <w:t xml:space="preserve"> </w:t>
            </w:r>
            <w:r w:rsidRPr="00066250">
              <w:rPr>
                <w:rFonts w:ascii="Bookman Old Style" w:hAnsi="Bookman Old Style"/>
                <w:sz w:val="20"/>
                <w:szCs w:val="20"/>
              </w:rPr>
              <w:t>perhitungan</w:t>
            </w:r>
            <w:r w:rsidRPr="00066250">
              <w:rPr>
                <w:rFonts w:ascii="Bookman Old Style" w:hAnsi="Bookman Old Style"/>
                <w:spacing w:val="1"/>
                <w:sz w:val="20"/>
                <w:szCs w:val="20"/>
              </w:rPr>
              <w:t xml:space="preserve"> </w:t>
            </w:r>
            <w:r w:rsidRPr="00066250">
              <w:rPr>
                <w:rFonts w:ascii="Bookman Old Style" w:hAnsi="Bookman Old Style"/>
                <w:sz w:val="20"/>
                <w:szCs w:val="20"/>
                <w:lang w:val="en-US"/>
              </w:rPr>
              <w:t>LCR</w:t>
            </w:r>
            <w:r w:rsidRPr="00066250">
              <w:rPr>
                <w:rFonts w:ascii="Bookman Old Style" w:hAnsi="Bookman Old Style"/>
                <w:spacing w:val="1"/>
                <w:sz w:val="20"/>
                <w:szCs w:val="20"/>
              </w:rPr>
              <w:t xml:space="preserve"> </w:t>
            </w:r>
            <w:r w:rsidRPr="00066250">
              <w:rPr>
                <w:rFonts w:ascii="Bookman Old Style" w:hAnsi="Bookman Old Style"/>
                <w:sz w:val="20"/>
                <w:szCs w:val="20"/>
                <w:lang w:val="en-US"/>
              </w:rPr>
              <w:t>dilakukan dengan cara menjumlahkan seluruh HQLA Level 1, Level 2A, dan Level 2B, dikurangi penyesuaian untuk batas maksimum 15% HQLA Level 2 dan penyesuaian untuk batas maksimum 40% HQLA Leval 2B. Adapun p</w:t>
            </w:r>
            <w:r w:rsidRPr="00066250">
              <w:rPr>
                <w:rFonts w:ascii="Bookman Old Style" w:eastAsiaTheme="minorHAnsi" w:hAnsi="Bookman Old Style"/>
                <w:sz w:val="20"/>
                <w:szCs w:val="20"/>
                <w:lang w:val="en-ID"/>
              </w:rPr>
              <w:t>engurangan nilai (</w:t>
            </w:r>
            <w:r w:rsidRPr="00066250">
              <w:rPr>
                <w:rFonts w:ascii="Bookman Old Style" w:eastAsiaTheme="minorHAnsi" w:hAnsi="Bookman Old Style"/>
                <w:i/>
                <w:iCs/>
                <w:sz w:val="20"/>
                <w:szCs w:val="20"/>
                <w:lang w:val="en-ID"/>
              </w:rPr>
              <w:t>haircut</w:t>
            </w:r>
            <w:r w:rsidRPr="00066250">
              <w:rPr>
                <w:rFonts w:ascii="Bookman Old Style" w:eastAsiaTheme="minorHAnsi" w:hAnsi="Bookman Old Style"/>
                <w:sz w:val="20"/>
                <w:szCs w:val="20"/>
                <w:lang w:val="en-ID"/>
              </w:rPr>
              <w:t xml:space="preserve">) yang sesuai untuk masing-masing HQLA dilakukan sebelum perhitungan batas maksimum. </w:t>
            </w:r>
          </w:p>
          <w:p w14:paraId="545B1B93" w14:textId="77777777" w:rsidR="00066250" w:rsidRPr="00066250" w:rsidRDefault="00066250" w:rsidP="00A32F86">
            <w:pPr>
              <w:pStyle w:val="ListParagraph"/>
              <w:widowControl w:val="0"/>
              <w:numPr>
                <w:ilvl w:val="0"/>
                <w:numId w:val="61"/>
              </w:numPr>
              <w:autoSpaceDE w:val="0"/>
              <w:autoSpaceDN w:val="0"/>
              <w:spacing w:after="0" w:line="240" w:lineRule="auto"/>
              <w:ind w:left="1701" w:right="232" w:hanging="567"/>
              <w:contextualSpacing w:val="0"/>
              <w:jc w:val="both"/>
              <w:rPr>
                <w:rFonts w:ascii="Bookman Old Style" w:hAnsi="Bookman Old Style"/>
                <w:sz w:val="20"/>
                <w:szCs w:val="20"/>
              </w:rPr>
            </w:pPr>
            <w:r w:rsidRPr="00066250">
              <w:rPr>
                <w:rFonts w:ascii="Bookman Old Style" w:hAnsi="Bookman Old Style"/>
                <w:sz w:val="20"/>
                <w:szCs w:val="20"/>
                <w:lang w:val="en-US"/>
              </w:rPr>
              <w:t>HQLA Level 1</w:t>
            </w:r>
          </w:p>
          <w:p w14:paraId="463DB2A4" w14:textId="77777777" w:rsidR="00066250" w:rsidRPr="00066250" w:rsidRDefault="00066250" w:rsidP="00066250">
            <w:pPr>
              <w:pStyle w:val="ListParagraph"/>
              <w:spacing w:after="0" w:line="240" w:lineRule="auto"/>
              <w:ind w:left="1701" w:right="231"/>
              <w:jc w:val="both"/>
              <w:rPr>
                <w:rFonts w:ascii="Bookman Old Style" w:hAnsi="Bookman Old Style"/>
                <w:sz w:val="20"/>
                <w:szCs w:val="20"/>
                <w:lang w:val="en-US"/>
              </w:rPr>
            </w:pPr>
            <w:r w:rsidRPr="00066250">
              <w:rPr>
                <w:rFonts w:ascii="Bookman Old Style" w:hAnsi="Bookman Old Style"/>
                <w:sz w:val="20"/>
                <w:szCs w:val="20"/>
                <w:lang w:val="en-US"/>
              </w:rPr>
              <w:lastRenderedPageBreak/>
              <w:t>Dalam rangka pemenuhan LCR, HQLA Level 1 tidak dikenakan pengurangan nilai (</w:t>
            </w:r>
            <w:r w:rsidRPr="00066250">
              <w:rPr>
                <w:rFonts w:ascii="Bookman Old Style" w:hAnsi="Bookman Old Style"/>
                <w:i/>
                <w:sz w:val="20"/>
                <w:szCs w:val="20"/>
                <w:lang w:val="en-US"/>
              </w:rPr>
              <w:t>haircut</w:t>
            </w:r>
            <w:r w:rsidRPr="00066250">
              <w:rPr>
                <w:rFonts w:ascii="Bookman Old Style" w:hAnsi="Bookman Old Style"/>
                <w:sz w:val="20"/>
                <w:szCs w:val="20"/>
                <w:lang w:val="en-US"/>
              </w:rPr>
              <w:t xml:space="preserve">). HQLA Level 1 meliputi: </w:t>
            </w:r>
          </w:p>
          <w:p w14:paraId="47FB080F" w14:textId="77777777" w:rsidR="00066250" w:rsidRPr="00066250" w:rsidRDefault="00066250" w:rsidP="00A32F86">
            <w:pPr>
              <w:pStyle w:val="ListParagraph"/>
              <w:widowControl w:val="0"/>
              <w:numPr>
                <w:ilvl w:val="0"/>
                <w:numId w:val="62"/>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kas dan setara kas;</w:t>
            </w:r>
          </w:p>
          <w:p w14:paraId="0470F00F" w14:textId="77777777" w:rsidR="00066250" w:rsidRPr="00066250" w:rsidRDefault="00066250" w:rsidP="00A32F86">
            <w:pPr>
              <w:pStyle w:val="ListParagraph"/>
              <w:widowControl w:val="0"/>
              <w:numPr>
                <w:ilvl w:val="0"/>
                <w:numId w:val="62"/>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penempatan pada Bank Indonesia</w:t>
            </w:r>
            <w:r w:rsidRPr="00066250">
              <w:rPr>
                <w:rFonts w:ascii="Bookman Old Style" w:hAnsi="Bookman Old Style"/>
                <w:sz w:val="20"/>
                <w:szCs w:val="20"/>
                <w:lang w:val="en-US"/>
              </w:rPr>
              <w:t xml:space="preserve">, dengan instrumen Syariah, misalnya: Sertifikat Bank Indonesia Syariah (SBIS), Sukuk Bank Indonesia (SUKBI), </w:t>
            </w:r>
            <w:r w:rsidRPr="00066250">
              <w:rPr>
                <w:rFonts w:ascii="Bookman Old Style" w:hAnsi="Bookman Old Style"/>
                <w:i/>
                <w:sz w:val="20"/>
                <w:szCs w:val="20"/>
                <w:lang w:val="en-US"/>
              </w:rPr>
              <w:t>Term Deposit</w:t>
            </w:r>
            <w:r w:rsidRPr="00066250">
              <w:rPr>
                <w:rFonts w:ascii="Bookman Old Style" w:hAnsi="Bookman Old Style"/>
                <w:sz w:val="20"/>
                <w:szCs w:val="20"/>
                <w:lang w:val="en-US"/>
              </w:rPr>
              <w:t xml:space="preserve"> Valas Syariah</w:t>
            </w:r>
            <w:r w:rsidRPr="00066250">
              <w:rPr>
                <w:rFonts w:ascii="Bookman Old Style" w:hAnsi="Bookman Old Style"/>
                <w:sz w:val="20"/>
                <w:szCs w:val="20"/>
              </w:rPr>
              <w:t>;</w:t>
            </w:r>
          </w:p>
          <w:p w14:paraId="7BB6234C" w14:textId="77777777" w:rsidR="00066250" w:rsidRPr="00066250" w:rsidRDefault="00066250" w:rsidP="00A32F86">
            <w:pPr>
              <w:pStyle w:val="ListParagraph"/>
              <w:widowControl w:val="0"/>
              <w:numPr>
                <w:ilvl w:val="0"/>
                <w:numId w:val="62"/>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 xml:space="preserve">surat berharga </w:t>
            </w:r>
            <w:r w:rsidRPr="00066250">
              <w:rPr>
                <w:rFonts w:ascii="Bookman Old Style" w:hAnsi="Bookman Old Style"/>
                <w:sz w:val="20"/>
                <w:szCs w:val="20"/>
                <w:lang w:val="en-US"/>
              </w:rPr>
              <w:t>syariah</w:t>
            </w:r>
            <w:r w:rsidRPr="00066250">
              <w:rPr>
                <w:rFonts w:ascii="Bookman Old Style" w:hAnsi="Bookman Old Style"/>
                <w:sz w:val="20"/>
                <w:szCs w:val="20"/>
              </w:rPr>
              <w:t xml:space="preserve"> yang diterbitkan atau dijamin oleh pemerintah negara lain, bank sentral negara lain, entitas sektor publik, bank pembangunan multilateral, dan/atau lembaga internasional sebagaimana dimaksud dalam </w:t>
            </w:r>
            <w:r w:rsidRPr="00066250">
              <w:rPr>
                <w:rFonts w:ascii="Bookman Old Style" w:eastAsia="Times New Roman" w:hAnsi="Bookman Old Style" w:cs="Arial"/>
                <w:sz w:val="20"/>
                <w:szCs w:val="20"/>
              </w:rPr>
              <w:t>ketentuan Otoritas Jasa Keuangan</w:t>
            </w:r>
            <w:r w:rsidRPr="00066250">
              <w:rPr>
                <w:rFonts w:ascii="Bookman Old Style" w:hAnsi="Bookman Old Style"/>
                <w:sz w:val="20"/>
                <w:szCs w:val="20"/>
              </w:rPr>
              <w:t xml:space="preserve"> yang mengatur mengenai perhitungan aset tertimbang menurut risiko</w:t>
            </w:r>
            <w:r w:rsidRPr="00066250">
              <w:rPr>
                <w:rFonts w:ascii="Bookman Old Style" w:hAnsi="Bookman Old Style"/>
                <w:sz w:val="20"/>
                <w:szCs w:val="20"/>
                <w:lang w:val="en-US"/>
              </w:rPr>
              <w:t xml:space="preserve"> (ATMR)</w:t>
            </w:r>
            <w:r w:rsidRPr="00066250">
              <w:rPr>
                <w:rFonts w:ascii="Bookman Old Style" w:hAnsi="Bookman Old Style"/>
                <w:sz w:val="20"/>
                <w:szCs w:val="20"/>
              </w:rPr>
              <w:t xml:space="preserve"> untuk risiko kredit dengan menggunakan pendekatan standar bagi bank umum</w:t>
            </w:r>
            <w:r w:rsidRPr="00066250">
              <w:rPr>
                <w:rFonts w:ascii="Bookman Old Style" w:hAnsi="Bookman Old Style"/>
                <w:sz w:val="20"/>
                <w:szCs w:val="20"/>
                <w:lang w:val="en-US"/>
              </w:rPr>
              <w:t xml:space="preserve"> syariah</w:t>
            </w:r>
            <w:r w:rsidRPr="00066250">
              <w:rPr>
                <w:rFonts w:ascii="Bookman Old Style" w:hAnsi="Bookman Old Style"/>
                <w:sz w:val="20"/>
                <w:szCs w:val="20"/>
              </w:rPr>
              <w:t>, yang memenuhi persyaratan:</w:t>
            </w:r>
          </w:p>
          <w:p w14:paraId="15750F20" w14:textId="77777777" w:rsidR="00066250" w:rsidRPr="00066250" w:rsidRDefault="00066250" w:rsidP="00066250">
            <w:pPr>
              <w:pStyle w:val="ListParagraph"/>
              <w:spacing w:after="0" w:line="240" w:lineRule="auto"/>
              <w:ind w:left="2835" w:right="231" w:hanging="567"/>
              <w:jc w:val="both"/>
              <w:rPr>
                <w:rFonts w:ascii="Bookman Old Style" w:hAnsi="Bookman Old Style"/>
                <w:sz w:val="20"/>
                <w:szCs w:val="20"/>
              </w:rPr>
            </w:pPr>
            <w:r w:rsidRPr="00066250">
              <w:rPr>
                <w:rFonts w:ascii="Bookman Old Style" w:hAnsi="Bookman Old Style"/>
                <w:sz w:val="20"/>
                <w:szCs w:val="20"/>
                <w:lang w:val="en-US"/>
              </w:rPr>
              <w:t>1)</w:t>
            </w:r>
            <w:r w:rsidRPr="00066250">
              <w:rPr>
                <w:rFonts w:ascii="Bookman Old Style" w:hAnsi="Bookman Old Style"/>
                <w:sz w:val="20"/>
                <w:szCs w:val="20"/>
                <w:lang w:val="en-US"/>
              </w:rPr>
              <w:tab/>
            </w:r>
            <w:r w:rsidRPr="00066250">
              <w:rPr>
                <w:rFonts w:ascii="Bookman Old Style" w:hAnsi="Bookman Old Style"/>
                <w:sz w:val="20"/>
                <w:szCs w:val="20"/>
              </w:rPr>
              <w:t>dikenakan bobot risiko 0% (nol persen) dalam perhitungan aset tertimbang menurut risiko untuk risiko kredit dengan menggunakan pendekatan standar;</w:t>
            </w:r>
          </w:p>
          <w:p w14:paraId="46D2037C" w14:textId="77777777" w:rsidR="00066250" w:rsidRPr="00066250" w:rsidRDefault="00066250" w:rsidP="00066250">
            <w:pPr>
              <w:pStyle w:val="ListParagraph"/>
              <w:spacing w:after="0" w:line="240" w:lineRule="auto"/>
              <w:ind w:left="2835" w:right="231" w:hanging="567"/>
              <w:jc w:val="both"/>
              <w:rPr>
                <w:rFonts w:ascii="Bookman Old Style" w:hAnsi="Bookman Old Style"/>
                <w:sz w:val="20"/>
                <w:szCs w:val="20"/>
              </w:rPr>
            </w:pPr>
            <w:r w:rsidRPr="00066250">
              <w:rPr>
                <w:rFonts w:ascii="Bookman Old Style" w:hAnsi="Bookman Old Style"/>
                <w:sz w:val="20"/>
                <w:szCs w:val="20"/>
                <w:lang w:val="en-US"/>
              </w:rPr>
              <w:t>2)</w:t>
            </w:r>
            <w:r w:rsidRPr="00066250">
              <w:rPr>
                <w:rFonts w:ascii="Bookman Old Style" w:hAnsi="Bookman Old Style"/>
                <w:sz w:val="20"/>
                <w:szCs w:val="20"/>
                <w:lang w:val="en-US"/>
              </w:rPr>
              <w:tab/>
            </w:r>
            <w:r w:rsidRPr="00066250">
              <w:rPr>
                <w:rFonts w:ascii="Bookman Old Style" w:hAnsi="Bookman Old Style"/>
                <w:sz w:val="20"/>
                <w:szCs w:val="20"/>
              </w:rPr>
              <w:t>diperdagangkan pada pasar yang aktif;</w:t>
            </w:r>
          </w:p>
          <w:p w14:paraId="01DC831E" w14:textId="77777777" w:rsidR="00066250" w:rsidRPr="00066250" w:rsidRDefault="00066250" w:rsidP="00066250">
            <w:pPr>
              <w:pStyle w:val="ListParagraph"/>
              <w:spacing w:after="0" w:line="240" w:lineRule="auto"/>
              <w:ind w:left="2835" w:right="231" w:hanging="567"/>
              <w:jc w:val="both"/>
              <w:rPr>
                <w:rFonts w:ascii="Bookman Old Style" w:hAnsi="Bookman Old Style"/>
                <w:sz w:val="20"/>
                <w:szCs w:val="20"/>
              </w:rPr>
            </w:pPr>
            <w:r w:rsidRPr="00066250">
              <w:rPr>
                <w:rFonts w:ascii="Bookman Old Style" w:hAnsi="Bookman Old Style"/>
                <w:sz w:val="20"/>
                <w:szCs w:val="20"/>
                <w:lang w:val="en-US"/>
              </w:rPr>
              <w:t>3)</w:t>
            </w:r>
            <w:r w:rsidRPr="00066250">
              <w:rPr>
                <w:rFonts w:ascii="Bookman Old Style" w:hAnsi="Bookman Old Style"/>
                <w:sz w:val="20"/>
                <w:szCs w:val="20"/>
                <w:lang w:val="en-US"/>
              </w:rPr>
              <w:tab/>
            </w:r>
            <w:r w:rsidRPr="00066250">
              <w:rPr>
                <w:rFonts w:ascii="Bookman Old Style" w:hAnsi="Bookman Old Style"/>
                <w:sz w:val="20"/>
                <w:szCs w:val="20"/>
              </w:rPr>
              <w:t>telah teruji sebagai sumber likuiditas yang terpercaya di pasar</w:t>
            </w:r>
            <w:r w:rsidRPr="00066250">
              <w:rPr>
                <w:rFonts w:ascii="Bookman Old Style" w:hAnsi="Bookman Old Style"/>
                <w:sz w:val="20"/>
                <w:szCs w:val="20"/>
                <w:lang w:val="en-US"/>
              </w:rPr>
              <w:t>,</w:t>
            </w:r>
            <w:r w:rsidRPr="00066250">
              <w:rPr>
                <w:rFonts w:ascii="Bookman Old Style" w:hAnsi="Bookman Old Style"/>
                <w:sz w:val="20"/>
                <w:szCs w:val="20"/>
              </w:rPr>
              <w:t xml:space="preserve"> baik dalam kondisi normal maupun kondisi stres; dan</w:t>
            </w:r>
          </w:p>
          <w:p w14:paraId="039ECBED" w14:textId="77777777" w:rsidR="00066250" w:rsidRPr="00066250" w:rsidRDefault="00066250" w:rsidP="00066250">
            <w:pPr>
              <w:pStyle w:val="ListParagraph"/>
              <w:spacing w:after="0" w:line="240" w:lineRule="auto"/>
              <w:ind w:left="2835" w:right="231" w:hanging="567"/>
              <w:jc w:val="both"/>
              <w:rPr>
                <w:rFonts w:ascii="Bookman Old Style" w:hAnsi="Bookman Old Style"/>
                <w:sz w:val="20"/>
                <w:szCs w:val="20"/>
                <w:lang w:val="en-US"/>
              </w:rPr>
            </w:pPr>
            <w:r w:rsidRPr="00066250">
              <w:rPr>
                <w:rFonts w:ascii="Bookman Old Style" w:hAnsi="Bookman Old Style"/>
                <w:sz w:val="20"/>
                <w:szCs w:val="20"/>
                <w:lang w:val="en-US"/>
              </w:rPr>
              <w:t>4)</w:t>
            </w:r>
            <w:r w:rsidRPr="00066250">
              <w:rPr>
                <w:rFonts w:ascii="Bookman Old Style" w:hAnsi="Bookman Old Style"/>
                <w:sz w:val="20"/>
                <w:szCs w:val="20"/>
                <w:lang w:val="en-US"/>
              </w:rPr>
              <w:tab/>
            </w:r>
            <w:r w:rsidRPr="00066250">
              <w:rPr>
                <w:rFonts w:ascii="Bookman Old Style" w:hAnsi="Bookman Old Style"/>
                <w:sz w:val="20"/>
                <w:szCs w:val="20"/>
              </w:rPr>
              <w:t>bukan merupakan kewajiban dari lembaga jasa keuangan dan/atau entitas yang terafiliasi dengan lembaga jasa keuangan;</w:t>
            </w:r>
          </w:p>
          <w:p w14:paraId="7E01F526" w14:textId="77777777" w:rsidR="00066250" w:rsidRPr="00066250" w:rsidRDefault="00066250" w:rsidP="00A32F86">
            <w:pPr>
              <w:pStyle w:val="ListParagraph"/>
              <w:widowControl w:val="0"/>
              <w:numPr>
                <w:ilvl w:val="0"/>
                <w:numId w:val="62"/>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surat berharga</w:t>
            </w:r>
            <w:r w:rsidRPr="00066250">
              <w:rPr>
                <w:rFonts w:ascii="Bookman Old Style" w:hAnsi="Bookman Old Style"/>
                <w:sz w:val="20"/>
                <w:szCs w:val="20"/>
                <w:lang w:val="en-US"/>
              </w:rPr>
              <w:t xml:space="preserve"> syariah</w:t>
            </w:r>
            <w:r w:rsidRPr="00066250">
              <w:rPr>
                <w:rFonts w:ascii="Bookman Old Style" w:hAnsi="Bookman Old Style"/>
                <w:sz w:val="20"/>
                <w:szCs w:val="20"/>
              </w:rPr>
              <w:t xml:space="preserve"> yang diterbitkan oleh Pemerintah Pusat dan Bank Indonesia dalam Rupiah; dan</w:t>
            </w:r>
          </w:p>
          <w:p w14:paraId="2C26B087" w14:textId="77777777" w:rsidR="00066250" w:rsidRPr="00066250" w:rsidRDefault="00066250" w:rsidP="00A32F86">
            <w:pPr>
              <w:pStyle w:val="ListParagraph"/>
              <w:widowControl w:val="0"/>
              <w:numPr>
                <w:ilvl w:val="0"/>
                <w:numId w:val="62"/>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surat berharga</w:t>
            </w:r>
            <w:r w:rsidRPr="00066250">
              <w:rPr>
                <w:rFonts w:ascii="Bookman Old Style" w:hAnsi="Bookman Old Style"/>
                <w:sz w:val="20"/>
                <w:szCs w:val="20"/>
                <w:lang w:val="en-US"/>
              </w:rPr>
              <w:t xml:space="preserve"> syariah</w:t>
            </w:r>
            <w:r w:rsidRPr="00066250">
              <w:rPr>
                <w:rFonts w:ascii="Bookman Old Style" w:hAnsi="Bookman Old Style"/>
                <w:sz w:val="20"/>
                <w:szCs w:val="20"/>
              </w:rPr>
              <w:t xml:space="preserve"> yang diterbitkan oleh Pemerintah Pusat dan Bank Indonesia dalam valuta asing, paling tinggi sebesar kebutuhan </w:t>
            </w:r>
            <w:r w:rsidRPr="00066250">
              <w:rPr>
                <w:rFonts w:ascii="Bookman Old Style" w:hAnsi="Bookman Old Style"/>
                <w:i/>
                <w:sz w:val="20"/>
                <w:szCs w:val="20"/>
              </w:rPr>
              <w:t>Net Cash Outflow</w:t>
            </w:r>
            <w:r w:rsidRPr="00066250">
              <w:rPr>
                <w:rFonts w:ascii="Bookman Old Style" w:hAnsi="Bookman Old Style"/>
                <w:sz w:val="20"/>
                <w:szCs w:val="20"/>
              </w:rPr>
              <w:t xml:space="preserve"> dalam valuta asing dimaksud; dan</w:t>
            </w:r>
          </w:p>
          <w:p w14:paraId="634EEDCD" w14:textId="77777777" w:rsidR="00066250" w:rsidRPr="00066250" w:rsidRDefault="00066250" w:rsidP="00A32F86">
            <w:pPr>
              <w:pStyle w:val="ListParagraph"/>
              <w:widowControl w:val="0"/>
              <w:numPr>
                <w:ilvl w:val="0"/>
                <w:numId w:val="62"/>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surat berharga</w:t>
            </w:r>
            <w:r w:rsidRPr="00066250">
              <w:rPr>
                <w:rFonts w:ascii="Bookman Old Style" w:hAnsi="Bookman Old Style"/>
                <w:sz w:val="20"/>
                <w:szCs w:val="20"/>
                <w:lang w:val="en-US"/>
              </w:rPr>
              <w:t xml:space="preserve"> syariah</w:t>
            </w:r>
            <w:r w:rsidRPr="00066250">
              <w:rPr>
                <w:rFonts w:ascii="Bookman Old Style" w:hAnsi="Bookman Old Style"/>
                <w:sz w:val="20"/>
                <w:szCs w:val="20"/>
              </w:rPr>
              <w:t xml:space="preserve"> yang diterbitkan oleh pemerintah dan bank sentral negara lain dengan bobot risiko lebih dari 0% (nol persen) dala</w:t>
            </w:r>
            <w:r w:rsidRPr="00066250">
              <w:rPr>
                <w:rFonts w:ascii="Bookman Old Style" w:hAnsi="Bookman Old Style"/>
                <w:sz w:val="20"/>
                <w:szCs w:val="20"/>
                <w:lang w:val="en-US"/>
              </w:rPr>
              <w:t>m</w:t>
            </w:r>
            <w:r w:rsidRPr="00066250">
              <w:rPr>
                <w:rFonts w:ascii="Bookman Old Style" w:hAnsi="Bookman Old Style"/>
                <w:sz w:val="20"/>
                <w:szCs w:val="20"/>
              </w:rPr>
              <w:t xml:space="preserve"> valuta asing sepanjang:</w:t>
            </w:r>
          </w:p>
          <w:p w14:paraId="20E64F81" w14:textId="77777777" w:rsidR="00066250" w:rsidRPr="00066250" w:rsidRDefault="00066250" w:rsidP="00A32F86">
            <w:pPr>
              <w:pStyle w:val="ListParagraph"/>
              <w:widowControl w:val="0"/>
              <w:numPr>
                <w:ilvl w:val="0"/>
                <w:numId w:val="63"/>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Bank memiliki perusahaan anak atau cabang di negara lain dimaksud; dan</w:t>
            </w:r>
          </w:p>
          <w:p w14:paraId="0F6706F3" w14:textId="07DC138A" w:rsidR="00D3094F" w:rsidRPr="00066250" w:rsidRDefault="00066250" w:rsidP="00A32F86">
            <w:pPr>
              <w:pStyle w:val="ListParagraph"/>
              <w:widowControl w:val="0"/>
              <w:numPr>
                <w:ilvl w:val="0"/>
                <w:numId w:val="63"/>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paling tinggi sebesar kebutuhan </w:t>
            </w:r>
            <w:r w:rsidRPr="00066250">
              <w:rPr>
                <w:rFonts w:ascii="Bookman Old Style" w:hAnsi="Bookman Old Style"/>
                <w:i/>
                <w:sz w:val="20"/>
                <w:szCs w:val="20"/>
              </w:rPr>
              <w:t>Net Cash Outflow</w:t>
            </w:r>
            <w:r w:rsidRPr="00066250">
              <w:rPr>
                <w:rFonts w:ascii="Bookman Old Style" w:hAnsi="Bookman Old Style"/>
                <w:sz w:val="20"/>
                <w:szCs w:val="20"/>
              </w:rPr>
              <w:t xml:space="preserve"> pada mata uang di negara yang menerbitkan surat berharga</w:t>
            </w:r>
            <w:r w:rsidRPr="00066250">
              <w:rPr>
                <w:rFonts w:ascii="Bookman Old Style" w:hAnsi="Bookman Old Style"/>
                <w:sz w:val="20"/>
                <w:szCs w:val="20"/>
                <w:lang w:val="en-US"/>
              </w:rPr>
              <w:t xml:space="preserve"> syariah</w:t>
            </w:r>
            <w:r w:rsidRPr="00066250">
              <w:rPr>
                <w:rFonts w:ascii="Bookman Old Style" w:hAnsi="Bookman Old Style"/>
                <w:sz w:val="20"/>
                <w:szCs w:val="20"/>
              </w:rPr>
              <w:t xml:space="preserve"> valuta asing dimaksud.</w:t>
            </w:r>
          </w:p>
        </w:tc>
        <w:tc>
          <w:tcPr>
            <w:tcW w:w="3686" w:type="dxa"/>
            <w:shd w:val="clear" w:color="auto" w:fill="auto"/>
            <w:vAlign w:val="center"/>
          </w:tcPr>
          <w:p w14:paraId="7E82605B"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AB77938"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1A35A778" w14:textId="77777777" w:rsidTr="00B03AEA">
        <w:trPr>
          <w:trHeight w:val="564"/>
          <w:tblHeader/>
        </w:trPr>
        <w:tc>
          <w:tcPr>
            <w:tcW w:w="9634" w:type="dxa"/>
            <w:shd w:val="clear" w:color="auto" w:fill="auto"/>
            <w:vAlign w:val="center"/>
          </w:tcPr>
          <w:p w14:paraId="2AA11036" w14:textId="77777777" w:rsidR="00066250" w:rsidRPr="00066250" w:rsidRDefault="00066250" w:rsidP="00A32F86">
            <w:pPr>
              <w:pStyle w:val="ListParagraph"/>
              <w:widowControl w:val="0"/>
              <w:numPr>
                <w:ilvl w:val="0"/>
                <w:numId w:val="61"/>
              </w:numPr>
              <w:autoSpaceDE w:val="0"/>
              <w:autoSpaceDN w:val="0"/>
              <w:spacing w:after="0" w:line="240" w:lineRule="auto"/>
              <w:ind w:left="1701" w:right="232" w:hanging="567"/>
              <w:contextualSpacing w:val="0"/>
              <w:jc w:val="both"/>
              <w:rPr>
                <w:rFonts w:ascii="Bookman Old Style" w:hAnsi="Bookman Old Style"/>
                <w:sz w:val="20"/>
                <w:szCs w:val="20"/>
                <w:lang w:val="en-US"/>
              </w:rPr>
            </w:pPr>
            <w:r w:rsidRPr="00066250">
              <w:rPr>
                <w:rFonts w:ascii="Bookman Old Style" w:hAnsi="Bookman Old Style"/>
                <w:sz w:val="20"/>
                <w:szCs w:val="20"/>
                <w:lang w:val="en-US"/>
              </w:rPr>
              <w:t>HQLA Level 2A</w:t>
            </w:r>
          </w:p>
          <w:p w14:paraId="7FF7AF05" w14:textId="52B6B05C" w:rsidR="00066250" w:rsidRPr="00066250" w:rsidRDefault="00066250" w:rsidP="00066250">
            <w:pPr>
              <w:pStyle w:val="ListParagraph"/>
              <w:spacing w:after="0" w:line="240" w:lineRule="auto"/>
              <w:ind w:left="1701" w:right="231"/>
              <w:jc w:val="both"/>
              <w:rPr>
                <w:rFonts w:ascii="Bookman Old Style" w:hAnsi="Bookman Old Style"/>
                <w:sz w:val="20"/>
                <w:szCs w:val="20"/>
                <w:lang w:val="en-US"/>
              </w:rPr>
            </w:pPr>
            <w:r w:rsidRPr="00066250">
              <w:rPr>
                <w:rFonts w:ascii="Bookman Old Style" w:hAnsi="Bookman Old Style"/>
                <w:sz w:val="20"/>
                <w:szCs w:val="20"/>
                <w:lang w:val="en-US"/>
              </w:rPr>
              <w:t xml:space="preserve">Dalam rangka pemenuhan LCR, </w:t>
            </w:r>
            <w:r w:rsidRPr="00066250">
              <w:rPr>
                <w:rFonts w:ascii="Bookman Old Style" w:hAnsi="Bookman Old Style"/>
                <w:sz w:val="20"/>
                <w:szCs w:val="20"/>
              </w:rPr>
              <w:t>HQLA Level 2A dikenakan pengurangan nilai (</w:t>
            </w:r>
            <w:r w:rsidRPr="00066250">
              <w:rPr>
                <w:rFonts w:ascii="Bookman Old Style" w:hAnsi="Bookman Old Style"/>
                <w:i/>
                <w:sz w:val="20"/>
                <w:szCs w:val="20"/>
              </w:rPr>
              <w:t>haircut</w:t>
            </w:r>
            <w:r w:rsidRPr="00066250">
              <w:rPr>
                <w:rFonts w:ascii="Bookman Old Style" w:hAnsi="Bookman Old Style"/>
                <w:sz w:val="20"/>
                <w:szCs w:val="20"/>
              </w:rPr>
              <w:t>) 15% (lima belas persen) dari harga pasar.</w:t>
            </w:r>
            <w:r w:rsidRPr="00066250">
              <w:rPr>
                <w:rFonts w:ascii="Bookman Old Style" w:hAnsi="Bookman Old Style"/>
                <w:sz w:val="20"/>
                <w:szCs w:val="20"/>
                <w:lang w:val="en-US"/>
              </w:rPr>
              <w:t xml:space="preserve"> </w:t>
            </w:r>
            <w:r w:rsidRPr="00066250">
              <w:rPr>
                <w:rFonts w:ascii="Bookman Old Style" w:hAnsi="Bookman Old Style"/>
                <w:sz w:val="20"/>
                <w:szCs w:val="20"/>
              </w:rPr>
              <w:t>HQLA Level 2A</w:t>
            </w:r>
            <w:r w:rsidRPr="00066250">
              <w:rPr>
                <w:rFonts w:ascii="Bookman Old Style" w:hAnsi="Bookman Old Style"/>
                <w:sz w:val="20"/>
                <w:szCs w:val="20"/>
                <w:lang w:val="en-US"/>
              </w:rPr>
              <w:t xml:space="preserve"> meliputi:</w:t>
            </w:r>
          </w:p>
          <w:p w14:paraId="5C0256FD" w14:textId="77777777" w:rsidR="00066250" w:rsidRPr="00066250" w:rsidRDefault="00066250" w:rsidP="00A32F86">
            <w:pPr>
              <w:pStyle w:val="ListParagraph"/>
              <w:widowControl w:val="0"/>
              <w:numPr>
                <w:ilvl w:val="0"/>
                <w:numId w:val="65"/>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 xml:space="preserve">surat berharga </w:t>
            </w:r>
            <w:r w:rsidRPr="00066250">
              <w:rPr>
                <w:rFonts w:ascii="Bookman Old Style" w:hAnsi="Bookman Old Style"/>
                <w:sz w:val="20"/>
                <w:szCs w:val="20"/>
                <w:lang w:val="en-US"/>
              </w:rPr>
              <w:t>syariah</w:t>
            </w:r>
            <w:r w:rsidRPr="00066250">
              <w:rPr>
                <w:rFonts w:ascii="Bookman Old Style" w:hAnsi="Bookman Old Style"/>
                <w:sz w:val="20"/>
                <w:szCs w:val="20"/>
              </w:rPr>
              <w:t xml:space="preserve"> yang diterbitkan atau dijamin oleh pemerintah </w:t>
            </w:r>
            <w:r w:rsidRPr="00066250">
              <w:rPr>
                <w:rFonts w:ascii="Bookman Old Style" w:hAnsi="Bookman Old Style"/>
                <w:sz w:val="20"/>
                <w:szCs w:val="20"/>
              </w:rPr>
              <w:lastRenderedPageBreak/>
              <w:t>negara lain, bank sentral negara lain, entitas sektor publik, dan/atau bank pembangunan multilateral yang memenuhi persyaratan:</w:t>
            </w:r>
          </w:p>
          <w:p w14:paraId="60D011A2" w14:textId="77777777" w:rsidR="00066250" w:rsidRPr="00066250" w:rsidRDefault="00066250" w:rsidP="00A32F86">
            <w:pPr>
              <w:pStyle w:val="ListParagraph"/>
              <w:widowControl w:val="0"/>
              <w:numPr>
                <w:ilvl w:val="0"/>
                <w:numId w:val="66"/>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dikenakan bobot risiko 20% (dua puluh persen) dalam perhitungan ATMR untuk risiko kredit dengan menggunakan pendekatan standar</w:t>
            </w:r>
            <w:r w:rsidRPr="00066250">
              <w:rPr>
                <w:rFonts w:ascii="Bookman Old Style" w:hAnsi="Bookman Old Style"/>
                <w:sz w:val="20"/>
                <w:szCs w:val="20"/>
                <w:lang w:val="en-US"/>
              </w:rPr>
              <w:t>, yang mengacu pada ketentuan yang mengatur mengenai perhitungan ATMR untuk risiko kredit dengan menggunakan pendekatan standar bank umum syariah</w:t>
            </w:r>
            <w:r w:rsidRPr="00066250">
              <w:rPr>
                <w:rFonts w:ascii="Bookman Old Style" w:hAnsi="Bookman Old Style"/>
                <w:sz w:val="20"/>
                <w:szCs w:val="20"/>
              </w:rPr>
              <w:t>;</w:t>
            </w:r>
          </w:p>
          <w:p w14:paraId="29415902" w14:textId="77777777" w:rsidR="00066250" w:rsidRPr="00066250" w:rsidRDefault="00066250" w:rsidP="00A32F86">
            <w:pPr>
              <w:pStyle w:val="ListParagraph"/>
              <w:widowControl w:val="0"/>
              <w:numPr>
                <w:ilvl w:val="0"/>
                <w:numId w:val="66"/>
              </w:numPr>
              <w:autoSpaceDE w:val="0"/>
              <w:autoSpaceDN w:val="0"/>
              <w:spacing w:after="0" w:line="240" w:lineRule="auto"/>
              <w:ind w:left="2835" w:right="232" w:hanging="567"/>
              <w:contextualSpacing w:val="0"/>
              <w:jc w:val="both"/>
              <w:rPr>
                <w:rFonts w:ascii="Bookman Old Style" w:hAnsi="Bookman Old Style"/>
                <w:sz w:val="20"/>
                <w:szCs w:val="20"/>
              </w:rPr>
            </w:pPr>
            <w:r w:rsidRPr="00066250">
              <w:rPr>
                <w:rFonts w:ascii="Bookman Old Style" w:hAnsi="Bookman Old Style"/>
                <w:sz w:val="20"/>
                <w:szCs w:val="20"/>
              </w:rPr>
              <w:t xml:space="preserve">diperdagangkan pada pasar </w:t>
            </w:r>
            <w:r w:rsidRPr="00066250">
              <w:rPr>
                <w:rFonts w:ascii="Bookman Old Style" w:hAnsi="Bookman Old Style"/>
                <w:sz w:val="20"/>
                <w:szCs w:val="20"/>
                <w:lang w:val="en-US"/>
              </w:rPr>
              <w:t>(antara lain pasar uang dan pasar repo)</w:t>
            </w:r>
            <w:r w:rsidRPr="00066250">
              <w:rPr>
                <w:rFonts w:ascii="Bookman Old Style" w:hAnsi="Bookman Old Style"/>
                <w:sz w:val="20"/>
                <w:szCs w:val="20"/>
              </w:rPr>
              <w:t xml:space="preserve"> yang aktif;</w:t>
            </w:r>
          </w:p>
          <w:p w14:paraId="4B005D72" w14:textId="77777777" w:rsidR="00066250" w:rsidRPr="00066250" w:rsidRDefault="00066250" w:rsidP="00A32F86">
            <w:pPr>
              <w:pStyle w:val="ListParagraph"/>
              <w:widowControl w:val="0"/>
              <w:numPr>
                <w:ilvl w:val="0"/>
                <w:numId w:val="66"/>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telah teruji sebagai sumber likuiditas yang terpercaya di pasar, baik dalam kondisi normal maupun kondisi stres dengan kriteria yaitu:</w:t>
            </w:r>
          </w:p>
          <w:p w14:paraId="680DAF56" w14:textId="77777777" w:rsidR="00066250" w:rsidRPr="00066250" w:rsidRDefault="00066250" w:rsidP="00A32F86">
            <w:pPr>
              <w:pStyle w:val="ListParagraph"/>
              <w:widowControl w:val="0"/>
              <w:numPr>
                <w:ilvl w:val="0"/>
                <w:numId w:val="67"/>
              </w:numPr>
              <w:autoSpaceDE w:val="0"/>
              <w:autoSpaceDN w:val="0"/>
              <w:spacing w:after="0" w:line="240" w:lineRule="auto"/>
              <w:ind w:left="3402"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penurunan harga paling tinggi 10% (sepuluh persen); atau</w:t>
            </w:r>
          </w:p>
          <w:p w14:paraId="700C56AC" w14:textId="77777777" w:rsidR="00066250" w:rsidRPr="00066250" w:rsidRDefault="00066250" w:rsidP="00A32F86">
            <w:pPr>
              <w:pStyle w:val="ListParagraph"/>
              <w:widowControl w:val="0"/>
              <w:numPr>
                <w:ilvl w:val="0"/>
                <w:numId w:val="67"/>
              </w:numPr>
              <w:autoSpaceDE w:val="0"/>
              <w:autoSpaceDN w:val="0"/>
              <w:spacing w:after="0" w:line="240" w:lineRule="auto"/>
              <w:ind w:left="3402"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peningkatan pengurangan nilai (haircut) paling tinggi 10% (sepuluh persen),</w:t>
            </w:r>
          </w:p>
          <w:p w14:paraId="2465FBEC"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lang w:val="en-US"/>
              </w:rPr>
              <w:t xml:space="preserve">Contoh: </w:t>
            </w:r>
          </w:p>
          <w:p w14:paraId="777E54E3" w14:textId="77777777" w:rsidR="00066250" w:rsidRPr="00066250" w:rsidRDefault="00066250" w:rsidP="00066250">
            <w:pPr>
              <w:pStyle w:val="ListParagraph"/>
              <w:spacing w:after="0" w:line="240" w:lineRule="auto"/>
              <w:ind w:left="3402" w:right="232"/>
              <w:jc w:val="both"/>
              <w:rPr>
                <w:rFonts w:ascii="Bookman Old Style" w:hAnsi="Bookman Old Style"/>
                <w:sz w:val="20"/>
                <w:szCs w:val="20"/>
                <w:lang w:val="en-US"/>
              </w:rPr>
            </w:pPr>
            <w:r w:rsidRPr="00066250">
              <w:rPr>
                <w:rFonts w:ascii="Bookman Old Style" w:hAnsi="Bookman Old Style"/>
                <w:sz w:val="20"/>
                <w:szCs w:val="20"/>
                <w:lang w:val="en-US"/>
              </w:rPr>
              <w:t xml:space="preserve">Apabila pengurangan </w:t>
            </w:r>
            <w:r w:rsidRPr="00066250">
              <w:rPr>
                <w:rFonts w:ascii="Bookman Old Style" w:hAnsi="Bookman Old Style"/>
                <w:sz w:val="20"/>
                <w:szCs w:val="20"/>
              </w:rPr>
              <w:t>nilai (</w:t>
            </w:r>
            <w:r w:rsidRPr="00066250">
              <w:rPr>
                <w:rFonts w:ascii="Bookman Old Style" w:hAnsi="Bookman Old Style"/>
                <w:i/>
                <w:iCs/>
                <w:sz w:val="20"/>
                <w:szCs w:val="20"/>
              </w:rPr>
              <w:t>haircut</w:t>
            </w:r>
            <w:r w:rsidRPr="00066250">
              <w:rPr>
                <w:rFonts w:ascii="Bookman Old Style" w:hAnsi="Bookman Old Style"/>
                <w:sz w:val="20"/>
                <w:szCs w:val="20"/>
              </w:rPr>
              <w:t>) 17% (tujuh belas persen) maka peningkatan pengurangan nilai (</w:t>
            </w:r>
            <w:r w:rsidRPr="00066250">
              <w:rPr>
                <w:rFonts w:ascii="Bookman Old Style" w:hAnsi="Bookman Old Style"/>
                <w:i/>
                <w:iCs/>
                <w:sz w:val="20"/>
                <w:szCs w:val="20"/>
              </w:rPr>
              <w:t>haircut</w:t>
            </w:r>
            <w:r w:rsidRPr="00066250">
              <w:rPr>
                <w:rFonts w:ascii="Bookman Old Style" w:hAnsi="Bookman Old Style"/>
                <w:sz w:val="20"/>
                <w:szCs w:val="20"/>
              </w:rPr>
              <w:t>) paling tinggi adalah</w:t>
            </w:r>
            <w:r w:rsidRPr="00066250">
              <w:rPr>
                <w:rFonts w:ascii="Bookman Old Style" w:hAnsi="Bookman Old Style"/>
                <w:sz w:val="20"/>
                <w:szCs w:val="20"/>
                <w:lang w:val="en-US"/>
              </w:rPr>
              <w:t xml:space="preserve"> </w:t>
            </w:r>
            <w:r w:rsidRPr="00066250">
              <w:rPr>
                <w:rFonts w:ascii="Bookman Old Style" w:hAnsi="Bookman Old Style"/>
                <w:sz w:val="20"/>
                <w:szCs w:val="20"/>
              </w:rPr>
              <w:t>17% + 10% = 27%.</w:t>
            </w:r>
          </w:p>
          <w:p w14:paraId="448B8598" w14:textId="77777777" w:rsidR="00066250" w:rsidRPr="00066250" w:rsidRDefault="00066250" w:rsidP="00066250">
            <w:pPr>
              <w:spacing w:after="0" w:line="240" w:lineRule="auto"/>
              <w:ind w:left="2835" w:right="232"/>
              <w:jc w:val="both"/>
              <w:rPr>
                <w:rFonts w:ascii="Bookman Old Style" w:hAnsi="Bookman Old Style"/>
                <w:sz w:val="20"/>
                <w:szCs w:val="20"/>
              </w:rPr>
            </w:pPr>
            <w:r w:rsidRPr="00066250">
              <w:rPr>
                <w:rFonts w:ascii="Bookman Old Style" w:hAnsi="Bookman Old Style"/>
                <w:sz w:val="20"/>
                <w:szCs w:val="20"/>
              </w:rPr>
              <w:t>selama 30 (tiga puluh) hari periode stres; dan</w:t>
            </w:r>
          </w:p>
          <w:p w14:paraId="3790FF3F" w14:textId="77777777" w:rsidR="00066250" w:rsidRPr="00066250" w:rsidRDefault="00066250" w:rsidP="00A32F86">
            <w:pPr>
              <w:pStyle w:val="ListParagraph"/>
              <w:widowControl w:val="0"/>
              <w:numPr>
                <w:ilvl w:val="0"/>
                <w:numId w:val="66"/>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bukan merupakan kewajiban dari lembaga jasa keuangan dan/atau entitas yang terafiliasi dengan lembaga jasa keuangan;</w:t>
            </w:r>
          </w:p>
          <w:p w14:paraId="509CE45C" w14:textId="77777777" w:rsidR="00066250" w:rsidRPr="00066250" w:rsidRDefault="00066250" w:rsidP="00A32F86">
            <w:pPr>
              <w:pStyle w:val="ListParagraph"/>
              <w:widowControl w:val="0"/>
              <w:numPr>
                <w:ilvl w:val="0"/>
                <w:numId w:val="65"/>
              </w:numPr>
              <w:autoSpaceDE w:val="0"/>
              <w:autoSpaceDN w:val="0"/>
              <w:spacing w:after="0" w:line="240" w:lineRule="auto"/>
              <w:ind w:left="2268" w:right="232" w:hanging="567"/>
              <w:contextualSpacing w:val="0"/>
              <w:jc w:val="both"/>
              <w:rPr>
                <w:rFonts w:ascii="Bookman Old Style" w:hAnsi="Bookman Old Style"/>
                <w:b/>
                <w:sz w:val="20"/>
                <w:szCs w:val="20"/>
                <w:lang w:val="en-US"/>
              </w:rPr>
            </w:pPr>
            <w:r w:rsidRPr="00066250">
              <w:rPr>
                <w:rFonts w:ascii="Bookman Old Style" w:hAnsi="Bookman Old Style"/>
                <w:sz w:val="20"/>
                <w:szCs w:val="20"/>
              </w:rPr>
              <w:t>surat berharga</w:t>
            </w:r>
            <w:r w:rsidRPr="00066250">
              <w:rPr>
                <w:rFonts w:ascii="Bookman Old Style" w:hAnsi="Bookman Old Style"/>
                <w:sz w:val="20"/>
                <w:szCs w:val="20"/>
                <w:lang w:val="en-US"/>
              </w:rPr>
              <w:t xml:space="preserve"> syariah</w:t>
            </w:r>
            <w:r w:rsidRPr="00066250">
              <w:rPr>
                <w:rFonts w:ascii="Bookman Old Style" w:hAnsi="Bookman Old Style"/>
                <w:sz w:val="20"/>
                <w:szCs w:val="20"/>
              </w:rPr>
              <w:t xml:space="preserve"> berupa </w:t>
            </w:r>
            <w:r w:rsidRPr="00066250">
              <w:rPr>
                <w:rFonts w:ascii="Bookman Old Style" w:hAnsi="Bookman Old Style"/>
                <w:sz w:val="20"/>
                <w:szCs w:val="20"/>
                <w:lang w:val="en-US"/>
              </w:rPr>
              <w:t>sukuk</w:t>
            </w:r>
            <w:r w:rsidRPr="00066250">
              <w:rPr>
                <w:rFonts w:ascii="Bookman Old Style" w:hAnsi="Bookman Old Style"/>
                <w:sz w:val="20"/>
                <w:szCs w:val="20"/>
              </w:rPr>
              <w:t xml:space="preserve"> yang diterbitkan oleh korporasi, termasuk dan </w:t>
            </w:r>
            <w:r w:rsidRPr="00066250">
              <w:rPr>
                <w:rFonts w:ascii="Bookman Old Style" w:hAnsi="Bookman Old Style"/>
                <w:i/>
                <w:sz w:val="20"/>
                <w:szCs w:val="20"/>
              </w:rPr>
              <w:t>covered</w:t>
            </w:r>
            <w:r w:rsidRPr="00066250">
              <w:rPr>
                <w:rFonts w:ascii="Bookman Old Style" w:hAnsi="Bookman Old Style"/>
                <w:sz w:val="20"/>
                <w:szCs w:val="20"/>
              </w:rPr>
              <w:t xml:space="preserve"> </w:t>
            </w:r>
            <w:r w:rsidRPr="00066250">
              <w:rPr>
                <w:rFonts w:ascii="Bookman Old Style" w:hAnsi="Bookman Old Style"/>
                <w:sz w:val="20"/>
                <w:szCs w:val="20"/>
                <w:lang w:val="en-US"/>
              </w:rPr>
              <w:t>sukuk</w:t>
            </w:r>
            <w:r w:rsidRPr="00066250">
              <w:rPr>
                <w:rFonts w:ascii="Bookman Old Style" w:hAnsi="Bookman Old Style"/>
                <w:sz w:val="20"/>
                <w:szCs w:val="20"/>
              </w:rPr>
              <w:t xml:space="preserve"> namun tidak termasuk </w:t>
            </w:r>
            <w:r w:rsidRPr="00066250">
              <w:rPr>
                <w:rFonts w:ascii="Bookman Old Style" w:hAnsi="Bookman Old Style"/>
                <w:sz w:val="20"/>
                <w:szCs w:val="20"/>
                <w:lang w:val="en-US"/>
              </w:rPr>
              <w:t xml:space="preserve">sukuk </w:t>
            </w:r>
            <w:r w:rsidRPr="00066250">
              <w:rPr>
                <w:rFonts w:ascii="Bookman Old Style" w:hAnsi="Bookman Old Style"/>
                <w:sz w:val="20"/>
                <w:szCs w:val="20"/>
              </w:rPr>
              <w:t>subordinasi, yang memenuhi</w:t>
            </w:r>
            <w:r w:rsidRPr="00066250">
              <w:rPr>
                <w:rFonts w:ascii="Bookman Old Style" w:hAnsi="Bookman Old Style"/>
                <w:sz w:val="20"/>
                <w:szCs w:val="20"/>
                <w:lang w:val="en-US"/>
              </w:rPr>
              <w:t xml:space="preserve"> </w:t>
            </w:r>
            <w:r w:rsidRPr="00066250">
              <w:rPr>
                <w:rFonts w:ascii="Bookman Old Style" w:hAnsi="Bookman Old Style"/>
                <w:sz w:val="20"/>
                <w:szCs w:val="20"/>
              </w:rPr>
              <w:t>persyaratan:</w:t>
            </w:r>
          </w:p>
          <w:p w14:paraId="2DF17A69" w14:textId="77777777" w:rsidR="00066250" w:rsidRPr="00066250" w:rsidRDefault="00066250" w:rsidP="00A32F86">
            <w:pPr>
              <w:pStyle w:val="ListParagraph"/>
              <w:widowControl w:val="0"/>
              <w:numPr>
                <w:ilvl w:val="0"/>
                <w:numId w:val="68"/>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tidak boleh diterbitkan oleh lembaga jasa keuangan dan/atau entitas yang terafiliasi dengan lembaga jasa keuangan;</w:t>
            </w:r>
          </w:p>
          <w:p w14:paraId="23F1D195" w14:textId="77777777" w:rsidR="00066250" w:rsidRPr="00066250" w:rsidRDefault="00066250" w:rsidP="00A32F86">
            <w:pPr>
              <w:pStyle w:val="ListParagraph"/>
              <w:widowControl w:val="0"/>
              <w:numPr>
                <w:ilvl w:val="0"/>
                <w:numId w:val="68"/>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dalam hal surat berharga berbentuk </w:t>
            </w:r>
            <w:r w:rsidRPr="00066250">
              <w:rPr>
                <w:rFonts w:ascii="Bookman Old Style" w:hAnsi="Bookman Old Style"/>
                <w:i/>
                <w:sz w:val="20"/>
                <w:szCs w:val="20"/>
              </w:rPr>
              <w:t>covered</w:t>
            </w:r>
            <w:r w:rsidRPr="00066250">
              <w:rPr>
                <w:rFonts w:ascii="Bookman Old Style" w:hAnsi="Bookman Old Style"/>
                <w:sz w:val="20"/>
                <w:szCs w:val="20"/>
              </w:rPr>
              <w:t xml:space="preserve"> </w:t>
            </w:r>
            <w:r w:rsidRPr="00066250">
              <w:rPr>
                <w:rFonts w:ascii="Bookman Old Style" w:hAnsi="Bookman Old Style"/>
                <w:sz w:val="20"/>
                <w:szCs w:val="20"/>
                <w:lang w:val="en-US"/>
              </w:rPr>
              <w:t>sukuk</w:t>
            </w:r>
            <w:r w:rsidRPr="00066250">
              <w:rPr>
                <w:rFonts w:ascii="Bookman Old Style" w:hAnsi="Bookman Old Style"/>
                <w:sz w:val="20"/>
                <w:szCs w:val="20"/>
              </w:rPr>
              <w:t xml:space="preserve"> boleh diterbitkan oleh lembaga jasa keuangan dan/atau entitas yang terafiliasi dengan lembaga jasa keuangan namun tidak boleh diterbitkan oleh Bank pelapor dan pihak yang terafiliasi dengan Bank pelapor;</w:t>
            </w:r>
          </w:p>
          <w:p w14:paraId="0F0206E4" w14:textId="77777777" w:rsidR="00066250" w:rsidRPr="00066250" w:rsidRDefault="00066250" w:rsidP="00A32F86">
            <w:pPr>
              <w:pStyle w:val="ListParagraph"/>
              <w:widowControl w:val="0"/>
              <w:numPr>
                <w:ilvl w:val="0"/>
                <w:numId w:val="68"/>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memiliki peringkat kredit jangka panjang paling rendah AA- atau peringkat kredit jangka pendek yang ekuivalen dalam hal tidak tersedia peringkat jangka panjang dari lembaga pemeringkat yang diakui atau memiliki </w:t>
            </w:r>
            <w:r w:rsidRPr="00066250">
              <w:rPr>
                <w:rFonts w:ascii="Bookman Old Style" w:hAnsi="Bookman Old Style"/>
                <w:i/>
                <w:sz w:val="20"/>
                <w:szCs w:val="20"/>
              </w:rPr>
              <w:t>probability of default</w:t>
            </w:r>
            <w:r w:rsidRPr="00066250">
              <w:rPr>
                <w:rFonts w:ascii="Bookman Old Style" w:hAnsi="Bookman Old Style"/>
                <w:sz w:val="20"/>
                <w:szCs w:val="20"/>
              </w:rPr>
              <w:t xml:space="preserve"> yang setara dengan peringkat kredit paling rendah AA-</w:t>
            </w:r>
            <w:r w:rsidRPr="00066250">
              <w:rPr>
                <w:rFonts w:ascii="Bookman Old Style" w:hAnsi="Bookman Old Style"/>
                <w:sz w:val="20"/>
                <w:szCs w:val="20"/>
                <w:lang w:val="en-US"/>
              </w:rPr>
              <w:t xml:space="preserve">. Penggunaan peringkat mengacu pada ketentuan yang mengatur mengenai Lembaga pemeringkat dan peringkat yang diakui oleh Otoritas </w:t>
            </w:r>
            <w:r w:rsidRPr="00066250">
              <w:rPr>
                <w:rFonts w:ascii="Bookman Old Style" w:hAnsi="Bookman Old Style"/>
                <w:sz w:val="20"/>
                <w:szCs w:val="20"/>
                <w:lang w:val="en-US"/>
              </w:rPr>
              <w:lastRenderedPageBreak/>
              <w:t>Jasa Keuangan</w:t>
            </w:r>
            <w:r w:rsidRPr="00066250">
              <w:rPr>
                <w:rFonts w:ascii="Bookman Old Style" w:hAnsi="Bookman Old Style"/>
                <w:sz w:val="20"/>
                <w:szCs w:val="20"/>
              </w:rPr>
              <w:t>;</w:t>
            </w:r>
          </w:p>
          <w:p w14:paraId="5BCF106C" w14:textId="77777777" w:rsidR="00066250" w:rsidRPr="00066250" w:rsidRDefault="00066250" w:rsidP="00A32F86">
            <w:pPr>
              <w:pStyle w:val="ListParagraph"/>
              <w:widowControl w:val="0"/>
              <w:numPr>
                <w:ilvl w:val="0"/>
                <w:numId w:val="68"/>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diperdagangkan pada pasar yang aktif; dan</w:t>
            </w:r>
          </w:p>
          <w:p w14:paraId="31B5F6E5" w14:textId="77777777" w:rsidR="00066250" w:rsidRPr="00066250" w:rsidRDefault="00066250" w:rsidP="00A32F86">
            <w:pPr>
              <w:pStyle w:val="ListParagraph"/>
              <w:widowControl w:val="0"/>
              <w:numPr>
                <w:ilvl w:val="0"/>
                <w:numId w:val="68"/>
              </w:numPr>
              <w:autoSpaceDE w:val="0"/>
              <w:autoSpaceDN w:val="0"/>
              <w:spacing w:after="0" w:line="240" w:lineRule="auto"/>
              <w:ind w:left="2835"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telah teruji sebagai sumber likuiditas yang terpercaya di pasar, baik dalam kondisi normal maupun kondisi stres dengan kriteria yaitu:</w:t>
            </w:r>
          </w:p>
          <w:p w14:paraId="2CCD8C1B" w14:textId="77777777" w:rsidR="00066250" w:rsidRPr="00066250" w:rsidRDefault="00066250" w:rsidP="00A32F86">
            <w:pPr>
              <w:pStyle w:val="ListParagraph"/>
              <w:widowControl w:val="0"/>
              <w:numPr>
                <w:ilvl w:val="0"/>
                <w:numId w:val="69"/>
              </w:numPr>
              <w:autoSpaceDE w:val="0"/>
              <w:autoSpaceDN w:val="0"/>
              <w:spacing w:after="0" w:line="240" w:lineRule="auto"/>
              <w:ind w:left="3402"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penurunan harga paling tinggi 10% (sepuluh persen); atau</w:t>
            </w:r>
          </w:p>
          <w:p w14:paraId="6484A446"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lang w:val="en-US"/>
              </w:rPr>
              <w:t>Contoh:</w:t>
            </w:r>
          </w:p>
          <w:p w14:paraId="4F9F01AC"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rPr>
              <w:t>Apabila pengurangan nilai (</w:t>
            </w:r>
            <w:r w:rsidRPr="00066250">
              <w:rPr>
                <w:rFonts w:ascii="Bookman Old Style" w:hAnsi="Bookman Old Style"/>
                <w:i/>
                <w:iCs/>
                <w:sz w:val="20"/>
                <w:szCs w:val="20"/>
              </w:rPr>
              <w:t>haircut</w:t>
            </w:r>
            <w:r w:rsidRPr="00066250">
              <w:rPr>
                <w:rFonts w:ascii="Bookman Old Style" w:hAnsi="Bookman Old Style"/>
                <w:sz w:val="20"/>
                <w:szCs w:val="20"/>
              </w:rPr>
              <w:t>) 17% (tujuh belas persen) maka peningkatan pengurangan nilai (</w:t>
            </w:r>
            <w:r w:rsidRPr="00066250">
              <w:rPr>
                <w:rFonts w:ascii="Bookman Old Style" w:hAnsi="Bookman Old Style"/>
                <w:i/>
                <w:iCs/>
                <w:sz w:val="20"/>
                <w:szCs w:val="20"/>
              </w:rPr>
              <w:t>haircut</w:t>
            </w:r>
            <w:r w:rsidRPr="00066250">
              <w:rPr>
                <w:rFonts w:ascii="Bookman Old Style" w:hAnsi="Bookman Old Style"/>
                <w:sz w:val="20"/>
                <w:szCs w:val="20"/>
              </w:rPr>
              <w:t>) paling tinggi adalah:</w:t>
            </w:r>
            <w:r w:rsidRPr="00066250">
              <w:rPr>
                <w:rFonts w:ascii="Bookman Old Style" w:hAnsi="Bookman Old Style"/>
                <w:sz w:val="20"/>
                <w:szCs w:val="20"/>
                <w:lang w:val="en-US"/>
              </w:rPr>
              <w:t xml:space="preserve"> </w:t>
            </w:r>
            <w:r w:rsidRPr="00066250">
              <w:rPr>
                <w:rFonts w:ascii="Bookman Old Style" w:hAnsi="Bookman Old Style"/>
                <w:sz w:val="20"/>
                <w:szCs w:val="20"/>
              </w:rPr>
              <w:t>17% + 10% = 27%.</w:t>
            </w:r>
          </w:p>
          <w:p w14:paraId="22100112" w14:textId="77777777" w:rsidR="00066250" w:rsidRPr="00066250" w:rsidRDefault="00066250" w:rsidP="00A32F86">
            <w:pPr>
              <w:pStyle w:val="ListParagraph"/>
              <w:widowControl w:val="0"/>
              <w:numPr>
                <w:ilvl w:val="0"/>
                <w:numId w:val="69"/>
              </w:numPr>
              <w:autoSpaceDE w:val="0"/>
              <w:autoSpaceDN w:val="0"/>
              <w:spacing w:after="0" w:line="240" w:lineRule="auto"/>
              <w:ind w:left="3402" w:right="232" w:hanging="567"/>
              <w:contextualSpacing w:val="0"/>
              <w:jc w:val="both"/>
              <w:rPr>
                <w:rFonts w:ascii="Bookman Old Style" w:hAnsi="Bookman Old Style"/>
                <w:sz w:val="20"/>
                <w:szCs w:val="20"/>
                <w:lang w:val="en-US"/>
              </w:rPr>
            </w:pPr>
            <w:r w:rsidRPr="00066250">
              <w:rPr>
                <w:rFonts w:ascii="Bookman Old Style" w:hAnsi="Bookman Old Style"/>
                <w:sz w:val="20"/>
                <w:szCs w:val="20"/>
              </w:rPr>
              <w:t>peningkatan pengurangan nilai (</w:t>
            </w:r>
            <w:r w:rsidRPr="00066250">
              <w:rPr>
                <w:rFonts w:ascii="Bookman Old Style" w:hAnsi="Bookman Old Style"/>
                <w:i/>
                <w:sz w:val="20"/>
                <w:szCs w:val="20"/>
              </w:rPr>
              <w:t>haircut</w:t>
            </w:r>
            <w:r w:rsidRPr="00066250">
              <w:rPr>
                <w:rFonts w:ascii="Bookman Old Style" w:hAnsi="Bookman Old Style"/>
                <w:sz w:val="20"/>
                <w:szCs w:val="20"/>
              </w:rPr>
              <w:t>) paling tinggi 10% (sepuluh persen),</w:t>
            </w:r>
          </w:p>
          <w:p w14:paraId="49497FF0" w14:textId="5B05E45B" w:rsidR="00D3094F" w:rsidRPr="00066250" w:rsidRDefault="00066250" w:rsidP="00066250">
            <w:pPr>
              <w:pStyle w:val="ListParagraph"/>
              <w:widowControl w:val="0"/>
              <w:autoSpaceDE w:val="0"/>
              <w:autoSpaceDN w:val="0"/>
              <w:spacing w:after="0" w:line="240" w:lineRule="auto"/>
              <w:ind w:left="2864" w:right="232"/>
              <w:contextualSpacing w:val="0"/>
              <w:jc w:val="both"/>
              <w:rPr>
                <w:rFonts w:ascii="Bookman Old Style" w:hAnsi="Bookman Old Style"/>
                <w:sz w:val="20"/>
                <w:szCs w:val="20"/>
                <w:lang w:val="en-US"/>
              </w:rPr>
            </w:pPr>
            <w:r w:rsidRPr="00066250">
              <w:rPr>
                <w:rFonts w:ascii="Bookman Old Style" w:hAnsi="Bookman Old Style"/>
                <w:sz w:val="20"/>
                <w:szCs w:val="20"/>
              </w:rPr>
              <w:t>selama 30 (tiga puluh) hari periode stres</w:t>
            </w:r>
            <w:r w:rsidRPr="00066250">
              <w:rPr>
                <w:rFonts w:ascii="Bookman Old Style" w:hAnsi="Bookman Old Style"/>
                <w:sz w:val="20"/>
                <w:szCs w:val="20"/>
                <w:lang w:val="en-US"/>
              </w:rPr>
              <w:t>.</w:t>
            </w:r>
          </w:p>
        </w:tc>
        <w:tc>
          <w:tcPr>
            <w:tcW w:w="3686" w:type="dxa"/>
            <w:shd w:val="clear" w:color="auto" w:fill="auto"/>
            <w:vAlign w:val="center"/>
          </w:tcPr>
          <w:p w14:paraId="23BDF813"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9E2BB3B"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D3094F" w:rsidRPr="00B03AEA" w14:paraId="0BACC5C5" w14:textId="77777777" w:rsidTr="00B03AEA">
        <w:trPr>
          <w:trHeight w:val="564"/>
          <w:tblHeader/>
        </w:trPr>
        <w:tc>
          <w:tcPr>
            <w:tcW w:w="9634" w:type="dxa"/>
            <w:shd w:val="clear" w:color="auto" w:fill="auto"/>
            <w:vAlign w:val="center"/>
          </w:tcPr>
          <w:p w14:paraId="568A39D5" w14:textId="77777777" w:rsidR="00066250" w:rsidRPr="00066250" w:rsidRDefault="00066250" w:rsidP="00A32F86">
            <w:pPr>
              <w:pStyle w:val="ListParagraph"/>
              <w:widowControl w:val="0"/>
              <w:numPr>
                <w:ilvl w:val="1"/>
                <w:numId w:val="54"/>
              </w:numPr>
              <w:autoSpaceDE w:val="0"/>
              <w:autoSpaceDN w:val="0"/>
              <w:spacing w:after="0" w:line="240" w:lineRule="auto"/>
              <w:ind w:left="1701" w:right="231" w:hanging="567"/>
              <w:contextualSpacing w:val="0"/>
              <w:jc w:val="both"/>
              <w:rPr>
                <w:rFonts w:ascii="Bookman Old Style" w:hAnsi="Bookman Old Style"/>
                <w:sz w:val="20"/>
                <w:szCs w:val="20"/>
                <w:lang w:val="en-US"/>
              </w:rPr>
            </w:pPr>
            <w:r w:rsidRPr="00066250">
              <w:rPr>
                <w:rFonts w:ascii="Bookman Old Style" w:hAnsi="Bookman Old Style"/>
                <w:sz w:val="20"/>
                <w:szCs w:val="20"/>
                <w:lang w:val="en-US"/>
              </w:rPr>
              <w:lastRenderedPageBreak/>
              <w:t>HQLA Level 2B</w:t>
            </w:r>
          </w:p>
          <w:p w14:paraId="0FD97520" w14:textId="77777777" w:rsidR="00066250" w:rsidRPr="00066250" w:rsidRDefault="00066250" w:rsidP="00066250">
            <w:pPr>
              <w:pStyle w:val="ListParagraph"/>
              <w:spacing w:after="0" w:line="240" w:lineRule="auto"/>
              <w:ind w:left="1701" w:right="231"/>
              <w:jc w:val="both"/>
              <w:rPr>
                <w:rFonts w:ascii="Bookman Old Style" w:hAnsi="Bookman Old Style"/>
                <w:sz w:val="20"/>
                <w:szCs w:val="20"/>
                <w:lang w:val="en-US"/>
              </w:rPr>
            </w:pPr>
            <w:r w:rsidRPr="00066250">
              <w:rPr>
                <w:rFonts w:ascii="Bookman Old Style" w:hAnsi="Bookman Old Style"/>
                <w:sz w:val="20"/>
                <w:szCs w:val="20"/>
                <w:lang w:val="en-US"/>
              </w:rPr>
              <w:t>HQLA Level 2B meliputi:</w:t>
            </w:r>
          </w:p>
          <w:p w14:paraId="246F10D0" w14:textId="77777777" w:rsidR="00066250" w:rsidRPr="00066250" w:rsidRDefault="00066250" w:rsidP="00A32F86">
            <w:pPr>
              <w:pStyle w:val="ListParagraph"/>
              <w:widowControl w:val="0"/>
              <w:numPr>
                <w:ilvl w:val="2"/>
                <w:numId w:val="54"/>
              </w:numPr>
              <w:autoSpaceDE w:val="0"/>
              <w:autoSpaceDN w:val="0"/>
              <w:spacing w:after="0" w:line="240" w:lineRule="auto"/>
              <w:ind w:left="2268"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efek beragun aset</w:t>
            </w:r>
            <w:r w:rsidRPr="00066250">
              <w:rPr>
                <w:rFonts w:ascii="Bookman Old Style" w:hAnsi="Bookman Old Style"/>
                <w:sz w:val="20"/>
                <w:szCs w:val="20"/>
                <w:lang w:val="en-US"/>
              </w:rPr>
              <w:t xml:space="preserve"> syariah</w:t>
            </w:r>
            <w:r w:rsidRPr="00066250">
              <w:rPr>
                <w:rFonts w:ascii="Bookman Old Style" w:hAnsi="Bookman Old Style"/>
                <w:sz w:val="20"/>
                <w:szCs w:val="20"/>
              </w:rPr>
              <w:t xml:space="preserve"> berupa rumah tinggal yang memenuhi persyaratan:</w:t>
            </w:r>
          </w:p>
          <w:p w14:paraId="53E4BA47"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tidak diterbitkan oleh Bank pelapor atau entitas terafiliasi dari Bank pelapor;</w:t>
            </w:r>
          </w:p>
          <w:p w14:paraId="08CB10E9"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aset yang mendasari tidak berasal dari Bank pelapor atau entitas terafiliasi dari Bank pelapor;</w:t>
            </w:r>
          </w:p>
          <w:p w14:paraId="71546952"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memiliki peringkat jangka panjang paling rendah AA atau peringkat jangka pendek yang ekuivalen apabila tidak tersedia peringkat jangka panjang dari lembaga pemeringkat yang diakui</w:t>
            </w:r>
            <w:r w:rsidRPr="00066250">
              <w:rPr>
                <w:rFonts w:ascii="Bookman Old Style" w:hAnsi="Bookman Old Style"/>
                <w:sz w:val="20"/>
                <w:szCs w:val="20"/>
                <w:lang w:val="en-US"/>
              </w:rPr>
              <w:t xml:space="preserve">. </w:t>
            </w:r>
            <w:r w:rsidRPr="00066250">
              <w:rPr>
                <w:rFonts w:ascii="Bookman Old Style" w:hAnsi="Bookman Old Style"/>
                <w:sz w:val="20"/>
                <w:szCs w:val="20"/>
              </w:rPr>
              <w:t>Penggunaan peringkat mengacu pada ketentuan yang mengatur mengenai lembaga pemeringkat dan peringkat yang diakui Otoritas Jasa Keuangan;</w:t>
            </w:r>
          </w:p>
          <w:p w14:paraId="4E597536"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diperdagangkan pada pasar </w:t>
            </w:r>
            <w:r w:rsidRPr="00066250">
              <w:rPr>
                <w:rFonts w:ascii="Bookman Old Style" w:hAnsi="Bookman Old Style"/>
                <w:sz w:val="20"/>
                <w:szCs w:val="20"/>
                <w:lang w:val="en-US"/>
              </w:rPr>
              <w:t>(</w:t>
            </w:r>
            <w:r w:rsidRPr="00066250">
              <w:rPr>
                <w:rFonts w:ascii="Bookman Old Style" w:hAnsi="Bookman Old Style"/>
                <w:sz w:val="20"/>
                <w:szCs w:val="20"/>
              </w:rPr>
              <w:t>antara lain pasar uang dan pasar repo</w:t>
            </w:r>
            <w:r w:rsidRPr="00066250">
              <w:rPr>
                <w:rFonts w:ascii="Bookman Old Style" w:hAnsi="Bookman Old Style"/>
                <w:sz w:val="20"/>
                <w:szCs w:val="20"/>
                <w:lang w:val="en-US"/>
              </w:rPr>
              <w:t xml:space="preserve">) </w:t>
            </w:r>
            <w:r w:rsidRPr="00066250">
              <w:rPr>
                <w:rFonts w:ascii="Bookman Old Style" w:hAnsi="Bookman Old Style"/>
                <w:sz w:val="20"/>
                <w:szCs w:val="20"/>
              </w:rPr>
              <w:t>yang aktif;</w:t>
            </w:r>
          </w:p>
          <w:p w14:paraId="58F26D5C"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telah teruji sebagai sumber likuiditas yang terpercaya di pasar, baik dalam kondisi normal maupun kondisi stres dengan kriteria yaitu:</w:t>
            </w:r>
          </w:p>
          <w:p w14:paraId="675A4CF8"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penurunan harga paling tinggi 20%</w:t>
            </w:r>
            <w:r w:rsidRPr="00066250">
              <w:rPr>
                <w:rFonts w:ascii="Bookman Old Style" w:hAnsi="Bookman Old Style"/>
                <w:sz w:val="20"/>
                <w:szCs w:val="20"/>
                <w:lang w:val="en-US"/>
              </w:rPr>
              <w:t xml:space="preserve"> (dua puluh persen); atau</w:t>
            </w:r>
          </w:p>
          <w:p w14:paraId="0E47AB2D"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peningkatan pengurangan nilai (</w:t>
            </w:r>
            <w:r w:rsidRPr="00066250">
              <w:rPr>
                <w:rFonts w:ascii="Bookman Old Style" w:hAnsi="Bookman Old Style"/>
                <w:i/>
                <w:sz w:val="20"/>
                <w:szCs w:val="20"/>
              </w:rPr>
              <w:t>haircut</w:t>
            </w:r>
            <w:r w:rsidRPr="00066250">
              <w:rPr>
                <w:rFonts w:ascii="Bookman Old Style" w:hAnsi="Bookman Old Style"/>
                <w:sz w:val="20"/>
                <w:szCs w:val="20"/>
              </w:rPr>
              <w:t>) paling tinggi 20% (dua puluh persen),</w:t>
            </w:r>
          </w:p>
          <w:p w14:paraId="6E7E9218"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lang w:val="en-US"/>
              </w:rPr>
              <w:t>Contoh:</w:t>
            </w:r>
          </w:p>
          <w:p w14:paraId="08B79E21"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rPr>
              <w:lastRenderedPageBreak/>
              <w:t>Apabila pengurangan nilai (</w:t>
            </w:r>
            <w:r w:rsidRPr="00066250">
              <w:rPr>
                <w:rFonts w:ascii="Bookman Old Style" w:hAnsi="Bookman Old Style"/>
                <w:i/>
                <w:iCs/>
                <w:sz w:val="20"/>
                <w:szCs w:val="20"/>
              </w:rPr>
              <w:t>haircut</w:t>
            </w:r>
            <w:r w:rsidRPr="00066250">
              <w:rPr>
                <w:rFonts w:ascii="Bookman Old Style" w:hAnsi="Bookman Old Style"/>
                <w:sz w:val="20"/>
                <w:szCs w:val="20"/>
              </w:rPr>
              <w:t>) 17% (tujuh belas persen) maka peningkatan pengurangan nilai (</w:t>
            </w:r>
            <w:r w:rsidRPr="00066250">
              <w:rPr>
                <w:rFonts w:ascii="Bookman Old Style" w:hAnsi="Bookman Old Style"/>
                <w:i/>
                <w:iCs/>
                <w:sz w:val="20"/>
                <w:szCs w:val="20"/>
              </w:rPr>
              <w:t>haircut</w:t>
            </w:r>
            <w:r w:rsidRPr="00066250">
              <w:rPr>
                <w:rFonts w:ascii="Bookman Old Style" w:hAnsi="Bookman Old Style"/>
                <w:sz w:val="20"/>
                <w:szCs w:val="20"/>
              </w:rPr>
              <w:t>) paling tinggi adalah 17% + 20% = 37%.</w:t>
            </w:r>
          </w:p>
          <w:p w14:paraId="073A11C3" w14:textId="77777777" w:rsidR="00066250" w:rsidRPr="00066250" w:rsidRDefault="00066250" w:rsidP="00066250">
            <w:pPr>
              <w:spacing w:after="0" w:line="240" w:lineRule="auto"/>
              <w:ind w:left="2835" w:right="231"/>
              <w:jc w:val="both"/>
              <w:rPr>
                <w:rFonts w:ascii="Bookman Old Style" w:hAnsi="Bookman Old Style"/>
                <w:sz w:val="20"/>
                <w:szCs w:val="20"/>
                <w:lang w:val="en-US"/>
              </w:rPr>
            </w:pPr>
            <w:r w:rsidRPr="00066250">
              <w:rPr>
                <w:rFonts w:ascii="Bookman Old Style" w:hAnsi="Bookman Old Style"/>
                <w:sz w:val="20"/>
                <w:szCs w:val="20"/>
              </w:rPr>
              <w:t>selama 30 (tiga puluh) hari periode stres;</w:t>
            </w:r>
          </w:p>
          <w:p w14:paraId="59C81B0A"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aset yang mendasari hanya terdiri atas </w:t>
            </w:r>
            <w:r w:rsidRPr="00066250">
              <w:rPr>
                <w:rFonts w:ascii="Bookman Old Style" w:hAnsi="Bookman Old Style"/>
                <w:sz w:val="20"/>
                <w:szCs w:val="20"/>
                <w:lang w:val="en-US"/>
              </w:rPr>
              <w:t xml:space="preserve">pembiayaan </w:t>
            </w:r>
            <w:r w:rsidRPr="00066250">
              <w:rPr>
                <w:rFonts w:ascii="Bookman Old Style" w:hAnsi="Bookman Old Style"/>
                <w:sz w:val="20"/>
                <w:szCs w:val="20"/>
              </w:rPr>
              <w:t>beragun rumah tinggal</w:t>
            </w:r>
            <w:r w:rsidRPr="00066250">
              <w:rPr>
                <w:rFonts w:ascii="Bookman Old Style" w:hAnsi="Bookman Old Style"/>
                <w:sz w:val="20"/>
                <w:szCs w:val="20"/>
                <w:lang w:val="en-US"/>
              </w:rPr>
              <w:t>. Pembiayaan beragun rumah tinggal mengacu pada ketentuan yang mengatur mengenai perhitungan aset tertimbang menurut risiko untuk risiko kredit dengan menggunakan pendekatan standar bagi bank umum syariah</w:t>
            </w:r>
            <w:r w:rsidRPr="00066250">
              <w:rPr>
                <w:rFonts w:ascii="Bookman Old Style" w:hAnsi="Bookman Old Style"/>
                <w:sz w:val="20"/>
                <w:szCs w:val="20"/>
              </w:rPr>
              <w:t>;</w:t>
            </w:r>
          </w:p>
          <w:p w14:paraId="6CC2271F"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agunan </w:t>
            </w:r>
            <w:r w:rsidRPr="00066250">
              <w:rPr>
                <w:rFonts w:ascii="Bookman Old Style" w:hAnsi="Bookman Old Style"/>
                <w:sz w:val="20"/>
                <w:szCs w:val="20"/>
                <w:lang w:val="en-US"/>
              </w:rPr>
              <w:t>pembiayaan</w:t>
            </w:r>
            <w:r w:rsidRPr="00066250">
              <w:rPr>
                <w:rFonts w:ascii="Bookman Old Style" w:hAnsi="Bookman Old Style"/>
                <w:sz w:val="20"/>
                <w:szCs w:val="20"/>
              </w:rPr>
              <w:t xml:space="preserve"> yang digunakan merupakan pinjaman yang tergolong </w:t>
            </w:r>
            <w:r w:rsidRPr="00066250">
              <w:rPr>
                <w:rFonts w:ascii="Bookman Old Style" w:hAnsi="Bookman Old Style"/>
                <w:i/>
                <w:sz w:val="20"/>
                <w:szCs w:val="20"/>
              </w:rPr>
              <w:t>full recourse</w:t>
            </w:r>
            <w:r w:rsidRPr="00066250">
              <w:rPr>
                <w:rFonts w:ascii="Bookman Old Style" w:hAnsi="Bookman Old Style"/>
                <w:sz w:val="20"/>
                <w:szCs w:val="20"/>
              </w:rPr>
              <w:t xml:space="preserve"> dengan rata-rata rasio nilai </w:t>
            </w:r>
            <w:r w:rsidRPr="00066250">
              <w:rPr>
                <w:rFonts w:ascii="Bookman Old Style" w:hAnsi="Bookman Old Style"/>
                <w:sz w:val="20"/>
                <w:szCs w:val="20"/>
                <w:lang w:val="en-US"/>
              </w:rPr>
              <w:t>pembiayaan</w:t>
            </w:r>
            <w:r w:rsidRPr="00066250">
              <w:rPr>
                <w:rFonts w:ascii="Bookman Old Style" w:hAnsi="Bookman Old Style"/>
                <w:sz w:val="20"/>
                <w:szCs w:val="20"/>
              </w:rPr>
              <w:t xml:space="preserve"> pada portofolio terhadap nilai agunan paling tinggi 80% (delapan puluh persen) pada saat penerbitan efek beragun aset </w:t>
            </w:r>
            <w:r w:rsidRPr="00066250">
              <w:rPr>
                <w:rFonts w:ascii="Bookman Old Style" w:hAnsi="Bookman Old Style"/>
                <w:sz w:val="20"/>
                <w:szCs w:val="20"/>
                <w:lang w:val="en-US"/>
              </w:rPr>
              <w:t xml:space="preserve">syariah </w:t>
            </w:r>
            <w:r w:rsidRPr="00066250">
              <w:rPr>
                <w:rFonts w:ascii="Bookman Old Style" w:hAnsi="Bookman Old Style"/>
                <w:sz w:val="20"/>
                <w:szCs w:val="20"/>
              </w:rPr>
              <w:t>berupa rumah tinggal</w:t>
            </w:r>
            <w:r w:rsidRPr="00066250">
              <w:rPr>
                <w:rFonts w:ascii="Bookman Old Style" w:hAnsi="Bookman Old Style"/>
                <w:sz w:val="20"/>
                <w:szCs w:val="20"/>
                <w:lang w:val="en-US"/>
              </w:rPr>
              <w:t xml:space="preserve">. </w:t>
            </w:r>
            <w:r w:rsidRPr="00066250">
              <w:rPr>
                <w:rFonts w:ascii="Bookman Old Style" w:hAnsi="Bookman Old Style"/>
                <w:sz w:val="20"/>
                <w:szCs w:val="20"/>
              </w:rPr>
              <w:t xml:space="preserve">Contoh </w:t>
            </w:r>
            <w:r w:rsidRPr="00066250">
              <w:rPr>
                <w:rFonts w:ascii="Bookman Old Style" w:hAnsi="Bookman Old Style"/>
                <w:sz w:val="20"/>
                <w:szCs w:val="20"/>
                <w:lang w:val="en-US"/>
              </w:rPr>
              <w:t>pembiayaan</w:t>
            </w:r>
            <w:r w:rsidRPr="00066250">
              <w:rPr>
                <w:rFonts w:ascii="Bookman Old Style" w:hAnsi="Bookman Old Style"/>
                <w:sz w:val="20"/>
                <w:szCs w:val="20"/>
              </w:rPr>
              <w:t xml:space="preserve"> yang tergolong </w:t>
            </w:r>
            <w:r w:rsidRPr="00066250">
              <w:rPr>
                <w:rFonts w:ascii="Bookman Old Style" w:hAnsi="Bookman Old Style"/>
                <w:i/>
                <w:iCs/>
                <w:sz w:val="20"/>
                <w:szCs w:val="20"/>
              </w:rPr>
              <w:t xml:space="preserve">full recourse </w:t>
            </w:r>
            <w:r w:rsidRPr="00066250">
              <w:rPr>
                <w:rFonts w:ascii="Bookman Old Style" w:hAnsi="Bookman Old Style"/>
                <w:sz w:val="20"/>
                <w:szCs w:val="20"/>
              </w:rPr>
              <w:t xml:space="preserve">adalah dalam hal terjadi penyitaan aset oleh Bank karena </w:t>
            </w:r>
            <w:r w:rsidRPr="00066250">
              <w:rPr>
                <w:rFonts w:ascii="Bookman Old Style" w:hAnsi="Bookman Old Style"/>
                <w:sz w:val="20"/>
                <w:szCs w:val="20"/>
                <w:lang w:val="en-US"/>
              </w:rPr>
              <w:t>nasabah</w:t>
            </w:r>
            <w:r w:rsidRPr="00066250">
              <w:rPr>
                <w:rFonts w:ascii="Bookman Old Style" w:hAnsi="Bookman Old Style"/>
                <w:sz w:val="20"/>
                <w:szCs w:val="20"/>
              </w:rPr>
              <w:t xml:space="preserve"> mengalami gagal bayar sehingga atas aset tersebut dilakukan penjualan maka </w:t>
            </w:r>
            <w:r w:rsidRPr="00066250">
              <w:rPr>
                <w:rFonts w:ascii="Bookman Old Style" w:hAnsi="Bookman Old Style"/>
                <w:sz w:val="20"/>
                <w:szCs w:val="20"/>
                <w:lang w:val="en-US"/>
              </w:rPr>
              <w:t xml:space="preserve">nasabah </w:t>
            </w:r>
            <w:r w:rsidRPr="00066250">
              <w:rPr>
                <w:rFonts w:ascii="Bookman Old Style" w:hAnsi="Bookman Old Style"/>
                <w:sz w:val="20"/>
                <w:szCs w:val="20"/>
              </w:rPr>
              <w:t xml:space="preserve">tetap bertanggung jawab atas segala kekurangan hasil penjualan dari aset terhadap </w:t>
            </w:r>
            <w:r w:rsidRPr="00066250">
              <w:rPr>
                <w:rFonts w:ascii="Bookman Old Style" w:hAnsi="Bookman Old Style"/>
                <w:sz w:val="20"/>
                <w:szCs w:val="20"/>
                <w:lang w:val="en-US"/>
              </w:rPr>
              <w:t>kewajiban nasabah</w:t>
            </w:r>
            <w:r w:rsidRPr="00066250">
              <w:rPr>
                <w:rFonts w:ascii="Bookman Old Style" w:hAnsi="Bookman Old Style"/>
                <w:sz w:val="20"/>
                <w:szCs w:val="20"/>
              </w:rPr>
              <w:t>.</w:t>
            </w:r>
            <w:r w:rsidRPr="00066250">
              <w:rPr>
                <w:rFonts w:ascii="Bookman Old Style" w:hAnsi="Bookman Old Style"/>
                <w:sz w:val="20"/>
                <w:szCs w:val="20"/>
                <w:lang w:val="en-US"/>
              </w:rPr>
              <w:t xml:space="preserve"> </w:t>
            </w:r>
            <w:r w:rsidRPr="00066250">
              <w:rPr>
                <w:rFonts w:ascii="Bookman Old Style" w:hAnsi="Bookman Old Style"/>
                <w:sz w:val="20"/>
                <w:szCs w:val="20"/>
              </w:rPr>
              <w:t>Rata-</w:t>
            </w:r>
            <w:r w:rsidRPr="00066250">
              <w:rPr>
                <w:rFonts w:ascii="Bookman Old Style" w:hAnsi="Bookman Old Style"/>
                <w:sz w:val="20"/>
                <w:szCs w:val="20"/>
                <w:lang w:val="en-US"/>
              </w:rPr>
              <w:t xml:space="preserve">nasabah </w:t>
            </w:r>
            <w:r w:rsidRPr="00066250">
              <w:rPr>
                <w:rFonts w:ascii="Bookman Old Style" w:hAnsi="Bookman Old Style"/>
                <w:sz w:val="20"/>
                <w:szCs w:val="20"/>
              </w:rPr>
              <w:t xml:space="preserve">rata rasio nilai </w:t>
            </w:r>
            <w:r w:rsidRPr="00066250">
              <w:rPr>
                <w:rFonts w:ascii="Bookman Old Style" w:hAnsi="Bookman Old Style"/>
                <w:sz w:val="20"/>
                <w:szCs w:val="20"/>
                <w:lang w:val="en-US"/>
              </w:rPr>
              <w:t>pembiayaan</w:t>
            </w:r>
            <w:r w:rsidRPr="00066250">
              <w:rPr>
                <w:rFonts w:ascii="Bookman Old Style" w:hAnsi="Bookman Old Style"/>
                <w:sz w:val="20"/>
                <w:szCs w:val="20"/>
              </w:rPr>
              <w:t xml:space="preserve"> pada portofolio terhadap nilai agunan mengacu pada rata-rata tertimbang berdasarkan saldo portofolio </w:t>
            </w:r>
            <w:r w:rsidRPr="00066250">
              <w:rPr>
                <w:rFonts w:ascii="Bookman Old Style" w:hAnsi="Bookman Old Style"/>
                <w:sz w:val="20"/>
                <w:szCs w:val="20"/>
                <w:lang w:val="en-US"/>
              </w:rPr>
              <w:t>pembiayaan</w:t>
            </w:r>
            <w:r w:rsidRPr="00066250" w:rsidDel="00FB58E9">
              <w:rPr>
                <w:rFonts w:ascii="Bookman Old Style" w:hAnsi="Bookman Old Style"/>
                <w:sz w:val="20"/>
                <w:szCs w:val="20"/>
              </w:rPr>
              <w:t xml:space="preserve"> </w:t>
            </w:r>
            <w:r w:rsidRPr="00066250">
              <w:rPr>
                <w:rFonts w:ascii="Bookman Old Style" w:hAnsi="Bookman Old Style"/>
                <w:sz w:val="20"/>
                <w:szCs w:val="20"/>
              </w:rPr>
              <w:t>(bukan berdasarkan per fasilitas); dan</w:t>
            </w:r>
          </w:p>
          <w:p w14:paraId="6F63BDF4"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sekuritisasi harus bersifat </w:t>
            </w:r>
            <w:r w:rsidRPr="00066250">
              <w:rPr>
                <w:rFonts w:ascii="Bookman Old Style" w:hAnsi="Bookman Old Style"/>
                <w:i/>
                <w:sz w:val="20"/>
                <w:szCs w:val="20"/>
              </w:rPr>
              <w:t>risk retention</w:t>
            </w:r>
            <w:r w:rsidRPr="00066250">
              <w:rPr>
                <w:rFonts w:ascii="Bookman Old Style" w:hAnsi="Bookman Old Style"/>
                <w:sz w:val="20"/>
                <w:szCs w:val="20"/>
              </w:rPr>
              <w:t>;</w:t>
            </w:r>
          </w:p>
          <w:p w14:paraId="607B36D8" w14:textId="77777777" w:rsidR="00066250" w:rsidRPr="00066250" w:rsidRDefault="00066250" w:rsidP="00066250">
            <w:pPr>
              <w:pStyle w:val="ListParagraph"/>
              <w:spacing w:after="0" w:line="240" w:lineRule="auto"/>
              <w:ind w:left="2835" w:right="231"/>
              <w:jc w:val="both"/>
              <w:rPr>
                <w:rFonts w:ascii="Bookman Old Style" w:hAnsi="Bookman Old Style"/>
                <w:sz w:val="20"/>
                <w:szCs w:val="20"/>
                <w:lang w:val="en-US"/>
              </w:rPr>
            </w:pPr>
            <w:r w:rsidRPr="00066250">
              <w:rPr>
                <w:rFonts w:ascii="Bookman Old Style" w:hAnsi="Bookman Old Style"/>
                <w:i/>
                <w:iCs/>
                <w:sz w:val="20"/>
                <w:szCs w:val="20"/>
              </w:rPr>
              <w:t xml:space="preserve">Risk retention </w:t>
            </w:r>
            <w:r w:rsidRPr="00066250">
              <w:rPr>
                <w:rFonts w:ascii="Bookman Old Style" w:hAnsi="Bookman Old Style"/>
                <w:sz w:val="20"/>
                <w:szCs w:val="20"/>
              </w:rPr>
              <w:t>dilakukan antara lain dengan penerbit efek beragun aset tetap mempertahankan kepemilikan dari aset</w:t>
            </w:r>
            <w:r w:rsidRPr="00066250">
              <w:rPr>
                <w:rFonts w:ascii="Bookman Old Style" w:hAnsi="Bookman Old Style"/>
                <w:sz w:val="20"/>
                <w:szCs w:val="20"/>
                <w:lang w:val="en-US"/>
              </w:rPr>
              <w:t xml:space="preserve"> </w:t>
            </w:r>
            <w:r w:rsidRPr="00066250">
              <w:rPr>
                <w:rFonts w:ascii="Bookman Old Style" w:hAnsi="Bookman Old Style"/>
                <w:sz w:val="20"/>
                <w:szCs w:val="20"/>
              </w:rPr>
              <w:t>yang disekuritisasi</w:t>
            </w:r>
            <w:r w:rsidRPr="00066250">
              <w:rPr>
                <w:rFonts w:ascii="Bookman Old Style" w:hAnsi="Bookman Old Style"/>
                <w:sz w:val="20"/>
                <w:szCs w:val="20"/>
                <w:lang w:val="en-US"/>
              </w:rPr>
              <w:t>.</w:t>
            </w:r>
          </w:p>
          <w:p w14:paraId="71F3EA63" w14:textId="197929E0" w:rsidR="00066250" w:rsidRPr="00066250" w:rsidRDefault="00066250" w:rsidP="00A32F86">
            <w:pPr>
              <w:pStyle w:val="ListParagraph"/>
              <w:widowControl w:val="0"/>
              <w:numPr>
                <w:ilvl w:val="2"/>
                <w:numId w:val="54"/>
              </w:numPr>
              <w:autoSpaceDE w:val="0"/>
              <w:autoSpaceDN w:val="0"/>
              <w:spacing w:after="0" w:line="240" w:lineRule="auto"/>
              <w:ind w:left="2268"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surat berharga</w:t>
            </w:r>
            <w:r w:rsidRPr="00066250">
              <w:rPr>
                <w:rFonts w:ascii="Bookman Old Style" w:hAnsi="Bookman Old Style"/>
                <w:sz w:val="20"/>
                <w:szCs w:val="20"/>
                <w:lang w:val="en-US"/>
              </w:rPr>
              <w:t xml:space="preserve"> </w:t>
            </w:r>
            <w:r>
              <w:rPr>
                <w:rFonts w:ascii="Bookman Old Style" w:hAnsi="Bookman Old Style"/>
                <w:sz w:val="20"/>
                <w:szCs w:val="20"/>
                <w:lang w:val="en-US"/>
              </w:rPr>
              <w:t>s</w:t>
            </w:r>
            <w:r w:rsidRPr="00066250">
              <w:rPr>
                <w:rFonts w:ascii="Bookman Old Style" w:hAnsi="Bookman Old Style"/>
                <w:sz w:val="20"/>
                <w:szCs w:val="20"/>
                <w:lang w:val="en-US"/>
              </w:rPr>
              <w:t xml:space="preserve">yariah </w:t>
            </w:r>
            <w:r w:rsidRPr="00066250">
              <w:rPr>
                <w:rFonts w:ascii="Bookman Old Style" w:hAnsi="Bookman Old Style"/>
                <w:sz w:val="20"/>
                <w:szCs w:val="20"/>
              </w:rPr>
              <w:t>yang diterbitkan atau dijamin oleh pemerintah negara lain, bank sentral negara lain, dan/atau entitas sektor publik yang memenuhi persyaratan:</w:t>
            </w:r>
          </w:p>
          <w:p w14:paraId="3573C3B6"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dikenakan bobot risiko 50% (lima puluh persen) dalam perhitungan aset tertimbang menurut risiko untuk risiko kredit dengan menggunakan pendekatan standar</w:t>
            </w:r>
            <w:r w:rsidRPr="00066250">
              <w:rPr>
                <w:rFonts w:ascii="Bookman Old Style" w:hAnsi="Bookman Old Style"/>
                <w:sz w:val="20"/>
                <w:szCs w:val="20"/>
                <w:lang w:val="en-US"/>
              </w:rPr>
              <w:t xml:space="preserve">, yang </w:t>
            </w:r>
            <w:r w:rsidRPr="00066250">
              <w:rPr>
                <w:rFonts w:ascii="Bookman Old Style" w:hAnsi="Bookman Old Style"/>
                <w:sz w:val="20"/>
                <w:szCs w:val="20"/>
              </w:rPr>
              <w:t>mengacu pada ketentuan yang mengatur mengenai perhitungan aset tertimbang menurut risiko untuk risiko kredit dengan menggunakan pendekatan standar bagi bank umum</w:t>
            </w:r>
            <w:r w:rsidRPr="00066250">
              <w:rPr>
                <w:rFonts w:ascii="Bookman Old Style" w:hAnsi="Bookman Old Style"/>
                <w:sz w:val="20"/>
                <w:szCs w:val="20"/>
                <w:lang w:val="en-US"/>
              </w:rPr>
              <w:t xml:space="preserve"> syariah</w:t>
            </w:r>
            <w:r w:rsidRPr="00066250">
              <w:rPr>
                <w:rFonts w:ascii="Bookman Old Style" w:hAnsi="Bookman Old Style"/>
                <w:sz w:val="20"/>
                <w:szCs w:val="20"/>
              </w:rPr>
              <w:t>;</w:t>
            </w:r>
          </w:p>
          <w:p w14:paraId="3527FEC0"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diperdagangkan pada pasar </w:t>
            </w:r>
            <w:r w:rsidRPr="00066250">
              <w:rPr>
                <w:rFonts w:ascii="Bookman Old Style" w:hAnsi="Bookman Old Style"/>
                <w:sz w:val="20"/>
                <w:szCs w:val="20"/>
                <w:lang w:val="en-US"/>
              </w:rPr>
              <w:t>(</w:t>
            </w:r>
            <w:r w:rsidRPr="00066250">
              <w:rPr>
                <w:rFonts w:ascii="Bookman Old Style" w:hAnsi="Bookman Old Style"/>
                <w:sz w:val="20"/>
                <w:szCs w:val="20"/>
              </w:rPr>
              <w:t>antara lain pasar uang dan pasar repo</w:t>
            </w:r>
            <w:r w:rsidRPr="00066250">
              <w:rPr>
                <w:rFonts w:ascii="Bookman Old Style" w:hAnsi="Bookman Old Style"/>
                <w:sz w:val="20"/>
                <w:szCs w:val="20"/>
                <w:lang w:val="en-US"/>
              </w:rPr>
              <w:t xml:space="preserve">) </w:t>
            </w:r>
            <w:r w:rsidRPr="00066250">
              <w:rPr>
                <w:rFonts w:ascii="Bookman Old Style" w:hAnsi="Bookman Old Style"/>
                <w:sz w:val="20"/>
                <w:szCs w:val="20"/>
              </w:rPr>
              <w:t>yang aktif;</w:t>
            </w:r>
          </w:p>
          <w:p w14:paraId="5A64D939"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telah teruji sebagai sumber likuiditas yang terpercaya di pasar, baik dalam kondisi normal maupun kondisi stres dengan kriteria </w:t>
            </w:r>
            <w:r w:rsidRPr="00066250">
              <w:rPr>
                <w:rFonts w:ascii="Bookman Old Style" w:hAnsi="Bookman Old Style"/>
                <w:sz w:val="20"/>
                <w:szCs w:val="20"/>
              </w:rPr>
              <w:lastRenderedPageBreak/>
              <w:t>yaitu:</w:t>
            </w:r>
          </w:p>
          <w:p w14:paraId="69EE58DD"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penurunan harga paling tinggi 20% (dua puluh persen); atau</w:t>
            </w:r>
          </w:p>
          <w:p w14:paraId="77D40B78"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peningkatan pengurangan nilai (</w:t>
            </w:r>
            <w:r w:rsidRPr="00066250">
              <w:rPr>
                <w:rFonts w:ascii="Bookman Old Style" w:hAnsi="Bookman Old Style"/>
                <w:i/>
                <w:sz w:val="20"/>
                <w:szCs w:val="20"/>
              </w:rPr>
              <w:t>haircut</w:t>
            </w:r>
            <w:r w:rsidRPr="00066250">
              <w:rPr>
                <w:rFonts w:ascii="Bookman Old Style" w:hAnsi="Bookman Old Style"/>
                <w:sz w:val="20"/>
                <w:szCs w:val="20"/>
              </w:rPr>
              <w:t>) paling tinggi 20% (dua puluh persen),</w:t>
            </w:r>
          </w:p>
          <w:p w14:paraId="1CC8FE18"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lang w:val="en-US"/>
              </w:rPr>
              <w:t>Contoh:</w:t>
            </w:r>
          </w:p>
          <w:p w14:paraId="65C8B02A"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rPr>
              <w:t>Apabila pengurangan nilai (</w:t>
            </w:r>
            <w:r w:rsidRPr="00066250">
              <w:rPr>
                <w:rFonts w:ascii="Bookman Old Style" w:hAnsi="Bookman Old Style"/>
                <w:i/>
                <w:iCs/>
                <w:sz w:val="20"/>
                <w:szCs w:val="20"/>
              </w:rPr>
              <w:t>haircut</w:t>
            </w:r>
            <w:r w:rsidRPr="00066250">
              <w:rPr>
                <w:rFonts w:ascii="Bookman Old Style" w:hAnsi="Bookman Old Style"/>
                <w:sz w:val="20"/>
                <w:szCs w:val="20"/>
              </w:rPr>
              <w:t>) 17% (tujuh belas persen) maka peningkatan pengurangan nilai (</w:t>
            </w:r>
            <w:r w:rsidRPr="00066250">
              <w:rPr>
                <w:rFonts w:ascii="Bookman Old Style" w:hAnsi="Bookman Old Style"/>
                <w:i/>
                <w:iCs/>
                <w:sz w:val="20"/>
                <w:szCs w:val="20"/>
              </w:rPr>
              <w:t>haircut</w:t>
            </w:r>
            <w:r w:rsidRPr="00066250">
              <w:rPr>
                <w:rFonts w:ascii="Bookman Old Style" w:hAnsi="Bookman Old Style"/>
                <w:sz w:val="20"/>
                <w:szCs w:val="20"/>
              </w:rPr>
              <w:t>) paling tinggi adalah 17% + 20% = 37%.</w:t>
            </w:r>
          </w:p>
          <w:p w14:paraId="5F1B261B" w14:textId="77777777" w:rsidR="00066250" w:rsidRPr="00066250" w:rsidRDefault="00066250" w:rsidP="00066250">
            <w:pPr>
              <w:spacing w:after="0" w:line="240" w:lineRule="auto"/>
              <w:ind w:left="2835" w:right="231"/>
              <w:jc w:val="both"/>
              <w:rPr>
                <w:rFonts w:ascii="Bookman Old Style" w:hAnsi="Bookman Old Style"/>
                <w:sz w:val="20"/>
                <w:szCs w:val="20"/>
                <w:lang w:val="en-US"/>
              </w:rPr>
            </w:pPr>
            <w:r w:rsidRPr="00066250">
              <w:rPr>
                <w:rFonts w:ascii="Bookman Old Style" w:hAnsi="Bookman Old Style"/>
                <w:sz w:val="20"/>
                <w:szCs w:val="20"/>
              </w:rPr>
              <w:t>selama 30 (tiga puluh) hari periode stres; dan</w:t>
            </w:r>
          </w:p>
          <w:p w14:paraId="2F91B466"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bukan merupakan kewajiban dari lembaga jasa keuangan dan/atau entitas yang terafiliasi dengan lembaga jasa keuangan;</w:t>
            </w:r>
          </w:p>
          <w:p w14:paraId="03C277B0" w14:textId="77777777" w:rsidR="00066250" w:rsidRPr="00066250" w:rsidRDefault="00066250" w:rsidP="00A32F86">
            <w:pPr>
              <w:pStyle w:val="ListParagraph"/>
              <w:widowControl w:val="0"/>
              <w:numPr>
                <w:ilvl w:val="2"/>
                <w:numId w:val="54"/>
              </w:numPr>
              <w:autoSpaceDE w:val="0"/>
              <w:autoSpaceDN w:val="0"/>
              <w:spacing w:after="0" w:line="240" w:lineRule="auto"/>
              <w:ind w:left="2268"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surat berharga </w:t>
            </w:r>
            <w:r w:rsidRPr="00066250">
              <w:rPr>
                <w:rFonts w:ascii="Bookman Old Style" w:hAnsi="Bookman Old Style"/>
                <w:sz w:val="20"/>
                <w:szCs w:val="20"/>
                <w:lang w:val="en-US"/>
              </w:rPr>
              <w:t>syariah</w:t>
            </w:r>
            <w:r w:rsidRPr="00066250">
              <w:rPr>
                <w:rFonts w:ascii="Bookman Old Style" w:hAnsi="Bookman Old Style"/>
                <w:sz w:val="20"/>
                <w:szCs w:val="20"/>
              </w:rPr>
              <w:t xml:space="preserve"> yang diterbitkan oleh korporasi, yang memenuhi persyaratan:</w:t>
            </w:r>
          </w:p>
          <w:p w14:paraId="56764B1E"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tidak diterbitkan oleh lembaga jasa keuangan dan/atau entitas yang terafiliasi dengan lembaga jasa keuangan;</w:t>
            </w:r>
          </w:p>
          <w:p w14:paraId="132C8FE0"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memiliki peringkat jangka panjang paling rendah BBB- atau peringkat jangka pendek yang ekuivalen dalam hal tidak tersedia peringkat jangka panjang dari lembaga pemeringkat yang diakui atau memiliki </w:t>
            </w:r>
            <w:r w:rsidRPr="00066250">
              <w:rPr>
                <w:rFonts w:ascii="Bookman Old Style" w:hAnsi="Bookman Old Style"/>
                <w:i/>
                <w:sz w:val="20"/>
                <w:szCs w:val="20"/>
              </w:rPr>
              <w:t>probability of default</w:t>
            </w:r>
            <w:r w:rsidRPr="00066250">
              <w:rPr>
                <w:rFonts w:ascii="Bookman Old Style" w:hAnsi="Bookman Old Style"/>
                <w:sz w:val="20"/>
                <w:szCs w:val="20"/>
              </w:rPr>
              <w:t xml:space="preserve"> yang setara dengan peringkat paling rendah BBB-;</w:t>
            </w:r>
          </w:p>
          <w:p w14:paraId="2F982CEA"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 xml:space="preserve">diperdagangkan pada pasar pasar </w:t>
            </w:r>
            <w:r w:rsidRPr="00066250">
              <w:rPr>
                <w:rFonts w:ascii="Bookman Old Style" w:hAnsi="Bookman Old Style"/>
                <w:sz w:val="20"/>
                <w:szCs w:val="20"/>
                <w:lang w:val="en-US"/>
              </w:rPr>
              <w:t>(</w:t>
            </w:r>
            <w:r w:rsidRPr="00066250">
              <w:rPr>
                <w:rFonts w:ascii="Bookman Old Style" w:hAnsi="Bookman Old Style"/>
                <w:sz w:val="20"/>
                <w:szCs w:val="20"/>
              </w:rPr>
              <w:t>antara lain pasar uang dan pasar repo</w:t>
            </w:r>
            <w:r w:rsidRPr="00066250">
              <w:rPr>
                <w:rFonts w:ascii="Bookman Old Style" w:hAnsi="Bookman Old Style"/>
                <w:sz w:val="20"/>
                <w:szCs w:val="20"/>
                <w:lang w:val="en-US"/>
              </w:rPr>
              <w:t xml:space="preserve">) </w:t>
            </w:r>
            <w:r w:rsidRPr="00066250">
              <w:rPr>
                <w:rFonts w:ascii="Bookman Old Style" w:hAnsi="Bookman Old Style"/>
                <w:sz w:val="20"/>
                <w:szCs w:val="20"/>
              </w:rPr>
              <w:t>yang aktif; dan</w:t>
            </w:r>
          </w:p>
          <w:p w14:paraId="7BFFCABF"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telah teruji sebagai sumber likuiditas yang terpercaya di pasar, baik dalam kondisi normal maupun kondisi stres dengan kriteria yaitu:</w:t>
            </w:r>
          </w:p>
          <w:p w14:paraId="1F11F501"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penurunan harga paling tinggi 20% (dua puluh persen); atau</w:t>
            </w:r>
          </w:p>
          <w:p w14:paraId="0EF0E555"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peningkatan pengurangan nilai (</w:t>
            </w:r>
            <w:r w:rsidRPr="00066250">
              <w:rPr>
                <w:rFonts w:ascii="Bookman Old Style" w:hAnsi="Bookman Old Style"/>
                <w:i/>
                <w:sz w:val="20"/>
                <w:szCs w:val="20"/>
              </w:rPr>
              <w:t>haircut</w:t>
            </w:r>
            <w:r w:rsidRPr="00066250">
              <w:rPr>
                <w:rFonts w:ascii="Bookman Old Style" w:hAnsi="Bookman Old Style"/>
                <w:sz w:val="20"/>
                <w:szCs w:val="20"/>
              </w:rPr>
              <w:t>) paling tinggi 20% (dua puluh persen),</w:t>
            </w:r>
          </w:p>
          <w:p w14:paraId="4A9AA9AC" w14:textId="77777777" w:rsidR="00066250" w:rsidRPr="00066250" w:rsidRDefault="00066250" w:rsidP="00066250">
            <w:pPr>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lang w:val="en-US"/>
              </w:rPr>
              <w:t>Contoh:</w:t>
            </w:r>
          </w:p>
          <w:p w14:paraId="2A6C0360" w14:textId="77777777" w:rsidR="00066250" w:rsidRPr="00066250" w:rsidRDefault="00066250" w:rsidP="00066250">
            <w:pPr>
              <w:pStyle w:val="ListParagraph"/>
              <w:spacing w:after="0" w:line="240" w:lineRule="auto"/>
              <w:ind w:left="3402" w:right="231"/>
              <w:jc w:val="both"/>
              <w:rPr>
                <w:rFonts w:ascii="Bookman Old Style" w:hAnsi="Bookman Old Style"/>
                <w:sz w:val="20"/>
                <w:szCs w:val="20"/>
                <w:lang w:val="en-US"/>
              </w:rPr>
            </w:pPr>
            <w:r w:rsidRPr="00066250">
              <w:rPr>
                <w:rFonts w:ascii="Bookman Old Style" w:hAnsi="Bookman Old Style"/>
                <w:sz w:val="20"/>
                <w:szCs w:val="20"/>
              </w:rPr>
              <w:t>Apabila pengurangan nilai (</w:t>
            </w:r>
            <w:r w:rsidRPr="00066250">
              <w:rPr>
                <w:rFonts w:ascii="Bookman Old Style" w:hAnsi="Bookman Old Style"/>
                <w:i/>
                <w:iCs/>
                <w:sz w:val="20"/>
                <w:szCs w:val="20"/>
              </w:rPr>
              <w:t>haircut</w:t>
            </w:r>
            <w:r w:rsidRPr="00066250">
              <w:rPr>
                <w:rFonts w:ascii="Bookman Old Style" w:hAnsi="Bookman Old Style"/>
                <w:sz w:val="20"/>
                <w:szCs w:val="20"/>
              </w:rPr>
              <w:t>) 17% (tujuh belas persen) maka peningkatan pengurangan nilai (</w:t>
            </w:r>
            <w:r w:rsidRPr="00066250">
              <w:rPr>
                <w:rFonts w:ascii="Bookman Old Style" w:hAnsi="Bookman Old Style"/>
                <w:i/>
                <w:iCs/>
                <w:sz w:val="20"/>
                <w:szCs w:val="20"/>
              </w:rPr>
              <w:t>haircut</w:t>
            </w:r>
            <w:r w:rsidRPr="00066250">
              <w:rPr>
                <w:rFonts w:ascii="Bookman Old Style" w:hAnsi="Bookman Old Style"/>
                <w:sz w:val="20"/>
                <w:szCs w:val="20"/>
              </w:rPr>
              <w:t>) paling tinggi adalah 17% + 20% = 37%.</w:t>
            </w:r>
          </w:p>
          <w:p w14:paraId="0CCA5631" w14:textId="77777777" w:rsidR="00066250" w:rsidRPr="00066250" w:rsidRDefault="00066250" w:rsidP="00066250">
            <w:pPr>
              <w:pStyle w:val="ListParagraph"/>
              <w:spacing w:after="0" w:line="240" w:lineRule="auto"/>
              <w:ind w:left="2835" w:right="231"/>
              <w:jc w:val="both"/>
              <w:rPr>
                <w:rFonts w:ascii="Bookman Old Style" w:hAnsi="Bookman Old Style"/>
                <w:sz w:val="20"/>
                <w:szCs w:val="20"/>
                <w:lang w:val="en-US"/>
              </w:rPr>
            </w:pPr>
            <w:r w:rsidRPr="00066250">
              <w:rPr>
                <w:rFonts w:ascii="Bookman Old Style" w:hAnsi="Bookman Old Style"/>
                <w:sz w:val="20"/>
                <w:szCs w:val="20"/>
              </w:rPr>
              <w:t>selama 30 (tiga puluh) hari periode stres;</w:t>
            </w:r>
          </w:p>
          <w:p w14:paraId="495940E2" w14:textId="77777777" w:rsidR="00066250" w:rsidRPr="00066250" w:rsidRDefault="00066250" w:rsidP="00A32F86">
            <w:pPr>
              <w:pStyle w:val="ListParagraph"/>
              <w:widowControl w:val="0"/>
              <w:numPr>
                <w:ilvl w:val="2"/>
                <w:numId w:val="54"/>
              </w:numPr>
              <w:autoSpaceDE w:val="0"/>
              <w:autoSpaceDN w:val="0"/>
              <w:spacing w:after="0" w:line="240" w:lineRule="auto"/>
              <w:ind w:left="2268"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saham biasa yang dimiliki oleh perusahaan anak bukan Bank yang memenuhi persyaratan:</w:t>
            </w:r>
          </w:p>
          <w:p w14:paraId="001B08F4"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tidak diterbitkan oleh lembaga jasa keuangan dan/atau entitas yang terafiliasi dengan lembaga jasa keuangan;</w:t>
            </w:r>
          </w:p>
          <w:p w14:paraId="28332CDE"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lastRenderedPageBreak/>
              <w:t>terdaftar di bursa yang diakui;</w:t>
            </w:r>
          </w:p>
          <w:p w14:paraId="4E4D0B47"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denominasi Rupiah;</w:t>
            </w:r>
          </w:p>
          <w:p w14:paraId="7CB687B8"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diperdagangkan pada pasar yang aktif; dan</w:t>
            </w:r>
          </w:p>
          <w:p w14:paraId="01819163" w14:textId="77777777" w:rsidR="00066250" w:rsidRPr="00066250" w:rsidRDefault="00066250" w:rsidP="00A32F86">
            <w:pPr>
              <w:pStyle w:val="ListParagraph"/>
              <w:widowControl w:val="0"/>
              <w:numPr>
                <w:ilvl w:val="3"/>
                <w:numId w:val="54"/>
              </w:numPr>
              <w:autoSpaceDE w:val="0"/>
              <w:autoSpaceDN w:val="0"/>
              <w:spacing w:after="0" w:line="240" w:lineRule="auto"/>
              <w:ind w:left="2835"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telah teruji sebagai sumber likuiditas yang terpercaya di pasar, baik dalam kondisi normal maupun kondisi stres dengan kriteria yaitu:</w:t>
            </w:r>
          </w:p>
          <w:p w14:paraId="62B33A09"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penurunan harga paling tinggi 40% (empat puluh persen); atau</w:t>
            </w:r>
          </w:p>
          <w:p w14:paraId="10C65885" w14:textId="77777777" w:rsidR="00066250" w:rsidRPr="00066250" w:rsidRDefault="00066250" w:rsidP="00A32F86">
            <w:pPr>
              <w:pStyle w:val="ListParagraph"/>
              <w:widowControl w:val="0"/>
              <w:numPr>
                <w:ilvl w:val="4"/>
                <w:numId w:val="54"/>
              </w:numPr>
              <w:autoSpaceDE w:val="0"/>
              <w:autoSpaceDN w:val="0"/>
              <w:spacing w:after="0" w:line="240" w:lineRule="auto"/>
              <w:ind w:left="3402" w:right="231" w:hanging="567"/>
              <w:contextualSpacing w:val="0"/>
              <w:jc w:val="both"/>
              <w:rPr>
                <w:rFonts w:ascii="Bookman Old Style" w:hAnsi="Bookman Old Style"/>
                <w:sz w:val="20"/>
                <w:szCs w:val="20"/>
                <w:lang w:val="en-US"/>
              </w:rPr>
            </w:pPr>
            <w:r w:rsidRPr="00066250">
              <w:rPr>
                <w:rFonts w:ascii="Bookman Old Style" w:hAnsi="Bookman Old Style"/>
                <w:sz w:val="20"/>
                <w:szCs w:val="20"/>
              </w:rPr>
              <w:t>peningkatan pengurangan nilai (</w:t>
            </w:r>
            <w:r w:rsidRPr="00066250">
              <w:rPr>
                <w:rFonts w:ascii="Bookman Old Style" w:hAnsi="Bookman Old Style"/>
                <w:i/>
                <w:sz w:val="20"/>
                <w:szCs w:val="20"/>
              </w:rPr>
              <w:t>haircut</w:t>
            </w:r>
            <w:r w:rsidRPr="00066250">
              <w:rPr>
                <w:rFonts w:ascii="Bookman Old Style" w:hAnsi="Bookman Old Style"/>
                <w:sz w:val="20"/>
                <w:szCs w:val="20"/>
              </w:rPr>
              <w:t>) paling tinggi 40% (empat puluh persen),</w:t>
            </w:r>
          </w:p>
          <w:p w14:paraId="243E9ED0" w14:textId="77777777" w:rsidR="00066250" w:rsidRPr="00066250" w:rsidRDefault="00066250" w:rsidP="00066250">
            <w:pPr>
              <w:spacing w:after="0" w:line="240" w:lineRule="auto"/>
              <w:ind w:left="2835" w:right="231"/>
              <w:jc w:val="both"/>
              <w:rPr>
                <w:rFonts w:ascii="Bookman Old Style" w:hAnsi="Bookman Old Style"/>
                <w:sz w:val="20"/>
                <w:szCs w:val="20"/>
                <w:lang w:val="en-US"/>
              </w:rPr>
            </w:pPr>
            <w:r w:rsidRPr="00066250">
              <w:rPr>
                <w:rFonts w:ascii="Bookman Old Style" w:hAnsi="Bookman Old Style"/>
                <w:sz w:val="20"/>
                <w:szCs w:val="20"/>
              </w:rPr>
              <w:t>selama 30 (tiga puluh) hari periode stres</w:t>
            </w:r>
            <w:r w:rsidRPr="00066250">
              <w:rPr>
                <w:rFonts w:ascii="Bookman Old Style" w:hAnsi="Bookman Old Style"/>
                <w:sz w:val="20"/>
                <w:szCs w:val="20"/>
                <w:lang w:val="en-US"/>
              </w:rPr>
              <w:t>.</w:t>
            </w:r>
          </w:p>
          <w:p w14:paraId="115F69C2" w14:textId="77777777" w:rsidR="00066250" w:rsidRPr="00066250" w:rsidRDefault="00066250" w:rsidP="00066250">
            <w:pPr>
              <w:pStyle w:val="ListParagraph"/>
              <w:spacing w:after="0" w:line="240" w:lineRule="auto"/>
              <w:ind w:left="1701" w:right="238"/>
              <w:jc w:val="both"/>
              <w:rPr>
                <w:rFonts w:ascii="Bookman Old Style" w:hAnsi="Bookman Old Style"/>
                <w:sz w:val="20"/>
                <w:szCs w:val="20"/>
                <w:lang w:val="en-US"/>
              </w:rPr>
            </w:pPr>
            <w:r w:rsidRPr="00066250">
              <w:rPr>
                <w:rFonts w:ascii="Bookman Old Style" w:hAnsi="Bookman Old Style"/>
                <w:sz w:val="20"/>
                <w:szCs w:val="20"/>
                <w:lang w:val="en-US"/>
              </w:rPr>
              <w:t>Dalam rangka pemenuhan LCR, HQLA Level 2B dikenakan pengurangan nilai (</w:t>
            </w:r>
            <w:r w:rsidRPr="00066250">
              <w:rPr>
                <w:rFonts w:ascii="Bookman Old Style" w:hAnsi="Bookman Old Style"/>
                <w:i/>
                <w:sz w:val="20"/>
                <w:szCs w:val="20"/>
                <w:lang w:val="en-US"/>
              </w:rPr>
              <w:t>haircut</w:t>
            </w:r>
            <w:r w:rsidRPr="00066250">
              <w:rPr>
                <w:rFonts w:ascii="Bookman Old Style" w:hAnsi="Bookman Old Style"/>
                <w:sz w:val="20"/>
                <w:szCs w:val="20"/>
                <w:lang w:val="en-US"/>
              </w:rPr>
              <w:t>):</w:t>
            </w:r>
          </w:p>
          <w:p w14:paraId="1468E2F0" w14:textId="77777777" w:rsidR="00066250" w:rsidRPr="00066250" w:rsidRDefault="00066250" w:rsidP="00A32F86">
            <w:pPr>
              <w:pStyle w:val="ListParagraph"/>
              <w:widowControl w:val="0"/>
              <w:numPr>
                <w:ilvl w:val="0"/>
                <w:numId w:val="64"/>
              </w:numPr>
              <w:autoSpaceDE w:val="0"/>
              <w:autoSpaceDN w:val="0"/>
              <w:spacing w:after="0" w:line="240" w:lineRule="auto"/>
              <w:ind w:left="2268" w:right="231" w:hanging="567"/>
              <w:contextualSpacing w:val="0"/>
              <w:jc w:val="both"/>
              <w:rPr>
                <w:rFonts w:ascii="Bookman Old Style" w:hAnsi="Bookman Old Style"/>
                <w:sz w:val="20"/>
                <w:szCs w:val="20"/>
                <w:lang w:val="en-US"/>
              </w:rPr>
            </w:pPr>
            <w:r w:rsidRPr="00066250">
              <w:rPr>
                <w:rFonts w:ascii="Bookman Old Style" w:hAnsi="Bookman Old Style"/>
                <w:sz w:val="20"/>
                <w:szCs w:val="20"/>
                <w:lang w:val="en-US"/>
              </w:rPr>
              <w:t xml:space="preserve">25% (dua puluh lima persen) </w:t>
            </w:r>
            <w:r w:rsidRPr="00066250">
              <w:rPr>
                <w:rFonts w:ascii="Bookman Old Style" w:hAnsi="Bookman Old Style"/>
                <w:sz w:val="20"/>
                <w:szCs w:val="20"/>
              </w:rPr>
              <w:t xml:space="preserve">dari harga pasar untuk efek beragun aset </w:t>
            </w:r>
            <w:r w:rsidRPr="00066250">
              <w:rPr>
                <w:rFonts w:ascii="Bookman Old Style" w:hAnsi="Bookman Old Style"/>
                <w:sz w:val="20"/>
                <w:szCs w:val="20"/>
                <w:lang w:val="en-US"/>
              </w:rPr>
              <w:t xml:space="preserve">syariah </w:t>
            </w:r>
            <w:r w:rsidRPr="00066250">
              <w:rPr>
                <w:rFonts w:ascii="Bookman Old Style" w:hAnsi="Bookman Old Style"/>
                <w:sz w:val="20"/>
                <w:szCs w:val="20"/>
              </w:rPr>
              <w:t>berupa rumah tinggal; atau</w:t>
            </w:r>
          </w:p>
          <w:p w14:paraId="16D6D227" w14:textId="77777777" w:rsidR="00066250" w:rsidRPr="00066250" w:rsidRDefault="00066250" w:rsidP="00A32F86">
            <w:pPr>
              <w:pStyle w:val="ListParagraph"/>
              <w:widowControl w:val="0"/>
              <w:numPr>
                <w:ilvl w:val="0"/>
                <w:numId w:val="64"/>
              </w:numPr>
              <w:autoSpaceDE w:val="0"/>
              <w:autoSpaceDN w:val="0"/>
              <w:spacing w:after="0" w:line="240" w:lineRule="auto"/>
              <w:ind w:left="2268" w:right="231" w:hanging="567"/>
              <w:contextualSpacing w:val="0"/>
              <w:jc w:val="both"/>
              <w:rPr>
                <w:rFonts w:ascii="Bookman Old Style" w:hAnsi="Bookman Old Style"/>
                <w:sz w:val="20"/>
                <w:szCs w:val="20"/>
              </w:rPr>
            </w:pPr>
            <w:r w:rsidRPr="00066250">
              <w:rPr>
                <w:rFonts w:ascii="Bookman Old Style" w:hAnsi="Bookman Old Style"/>
                <w:sz w:val="20"/>
                <w:szCs w:val="20"/>
              </w:rPr>
              <w:t>50% (lima puluh persen) dari harga pasar untuk</w:t>
            </w:r>
            <w:r w:rsidRPr="00066250">
              <w:rPr>
                <w:rFonts w:ascii="Bookman Old Style" w:hAnsi="Bookman Old Style"/>
                <w:sz w:val="20"/>
                <w:szCs w:val="20"/>
                <w:lang w:val="en-US"/>
              </w:rPr>
              <w:t>:</w:t>
            </w:r>
          </w:p>
          <w:p w14:paraId="4A48E827" w14:textId="77777777" w:rsidR="00066250" w:rsidRPr="00066250" w:rsidRDefault="00066250" w:rsidP="00A32F86">
            <w:pPr>
              <w:pStyle w:val="ListParagraph"/>
              <w:widowControl w:val="0"/>
              <w:numPr>
                <w:ilvl w:val="3"/>
                <w:numId w:val="53"/>
              </w:numPr>
              <w:autoSpaceDE w:val="0"/>
              <w:autoSpaceDN w:val="0"/>
              <w:spacing w:after="0" w:line="240" w:lineRule="auto"/>
              <w:ind w:left="2835" w:right="231" w:hanging="567"/>
              <w:contextualSpacing w:val="0"/>
              <w:jc w:val="both"/>
              <w:rPr>
                <w:rFonts w:ascii="Bookman Old Style" w:hAnsi="Bookman Old Style"/>
                <w:sz w:val="20"/>
                <w:szCs w:val="20"/>
              </w:rPr>
            </w:pPr>
            <w:r w:rsidRPr="00066250">
              <w:rPr>
                <w:rFonts w:ascii="Bookman Old Style" w:eastAsiaTheme="minorHAnsi" w:hAnsi="Bookman Old Style"/>
                <w:color w:val="000000"/>
                <w:sz w:val="20"/>
                <w:szCs w:val="20"/>
                <w:lang w:val="en-ID"/>
              </w:rPr>
              <w:t>surat berharga Syariah yang diterbitkan atau dijamin oleh pemerintah negara lain, bank sentral negara lain, dan/atau entitas sektor publik;</w:t>
            </w:r>
          </w:p>
          <w:p w14:paraId="00BD0C51" w14:textId="77777777" w:rsidR="00066250" w:rsidRPr="00066250" w:rsidRDefault="00066250" w:rsidP="00A32F86">
            <w:pPr>
              <w:pStyle w:val="ListParagraph"/>
              <w:widowControl w:val="0"/>
              <w:numPr>
                <w:ilvl w:val="3"/>
                <w:numId w:val="53"/>
              </w:numPr>
              <w:autoSpaceDE w:val="0"/>
              <w:autoSpaceDN w:val="0"/>
              <w:spacing w:after="0" w:line="240" w:lineRule="auto"/>
              <w:ind w:left="2835" w:right="231" w:hanging="567"/>
              <w:contextualSpacing w:val="0"/>
              <w:jc w:val="both"/>
              <w:rPr>
                <w:rFonts w:ascii="Bookman Old Style" w:hAnsi="Bookman Old Style"/>
                <w:sz w:val="20"/>
                <w:szCs w:val="20"/>
              </w:rPr>
            </w:pPr>
            <w:r w:rsidRPr="00066250">
              <w:rPr>
                <w:rFonts w:ascii="Bookman Old Style" w:hAnsi="Bookman Old Style"/>
                <w:sz w:val="20"/>
                <w:szCs w:val="20"/>
              </w:rPr>
              <w:t xml:space="preserve">surat berharga </w:t>
            </w:r>
            <w:r w:rsidRPr="00066250">
              <w:rPr>
                <w:rFonts w:ascii="Bookman Old Style" w:hAnsi="Bookman Old Style"/>
                <w:sz w:val="20"/>
                <w:szCs w:val="20"/>
                <w:lang w:val="en-US"/>
              </w:rPr>
              <w:t xml:space="preserve">syariah </w:t>
            </w:r>
            <w:r w:rsidRPr="00066250">
              <w:rPr>
                <w:rFonts w:ascii="Bookman Old Style" w:hAnsi="Bookman Old Style"/>
                <w:sz w:val="20"/>
                <w:szCs w:val="20"/>
              </w:rPr>
              <w:t>yang diterbitkan oleh korporasi</w:t>
            </w:r>
            <w:r w:rsidRPr="00066250">
              <w:rPr>
                <w:rFonts w:ascii="Bookman Old Style" w:hAnsi="Bookman Old Style"/>
                <w:sz w:val="20"/>
                <w:szCs w:val="20"/>
                <w:lang w:val="en-US"/>
              </w:rPr>
              <w:t xml:space="preserve">; dan </w:t>
            </w:r>
          </w:p>
          <w:p w14:paraId="51A91545" w14:textId="4DC459FD" w:rsidR="00D3094F" w:rsidRPr="00066250" w:rsidRDefault="00066250" w:rsidP="00A32F86">
            <w:pPr>
              <w:pStyle w:val="ListParagraph"/>
              <w:widowControl w:val="0"/>
              <w:numPr>
                <w:ilvl w:val="3"/>
                <w:numId w:val="53"/>
              </w:numPr>
              <w:autoSpaceDE w:val="0"/>
              <w:autoSpaceDN w:val="0"/>
              <w:spacing w:after="0" w:line="240" w:lineRule="auto"/>
              <w:ind w:left="2835" w:right="231" w:hanging="567"/>
              <w:contextualSpacing w:val="0"/>
              <w:jc w:val="both"/>
              <w:rPr>
                <w:rFonts w:ascii="Bookman Old Style" w:hAnsi="Bookman Old Style"/>
                <w:sz w:val="20"/>
                <w:szCs w:val="20"/>
              </w:rPr>
            </w:pPr>
            <w:r w:rsidRPr="00066250">
              <w:rPr>
                <w:rFonts w:ascii="Bookman Old Style" w:hAnsi="Bookman Old Style"/>
                <w:sz w:val="20"/>
                <w:szCs w:val="20"/>
                <w:lang w:val="en-US"/>
              </w:rPr>
              <w:t>saham biasa yang dimiliki oleh perusahaan anak bukan Bank.</w:t>
            </w:r>
          </w:p>
        </w:tc>
        <w:tc>
          <w:tcPr>
            <w:tcW w:w="3686" w:type="dxa"/>
            <w:shd w:val="clear" w:color="auto" w:fill="auto"/>
            <w:vAlign w:val="center"/>
          </w:tcPr>
          <w:p w14:paraId="5EA1D4D3"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16E9DEA" w14:textId="77777777" w:rsidR="00D3094F" w:rsidRPr="00B03AEA" w:rsidRDefault="00D3094F"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66250" w:rsidRPr="00B03AEA" w14:paraId="65ADEA28" w14:textId="77777777" w:rsidTr="000306A8">
        <w:trPr>
          <w:trHeight w:val="564"/>
          <w:tblHeader/>
        </w:trPr>
        <w:tc>
          <w:tcPr>
            <w:tcW w:w="9634" w:type="dxa"/>
            <w:shd w:val="clear" w:color="auto" w:fill="FFF2CC" w:themeFill="accent4" w:themeFillTint="33"/>
            <w:vAlign w:val="center"/>
          </w:tcPr>
          <w:p w14:paraId="085DFE8F" w14:textId="1A7A19E0" w:rsidR="00066250" w:rsidRPr="000306A8" w:rsidRDefault="000306A8" w:rsidP="00A32F86">
            <w:pPr>
              <w:pStyle w:val="ListParagraph"/>
              <w:widowControl w:val="0"/>
              <w:numPr>
                <w:ilvl w:val="4"/>
                <w:numId w:val="29"/>
              </w:numPr>
              <w:autoSpaceDE w:val="0"/>
              <w:autoSpaceDN w:val="0"/>
              <w:spacing w:after="0" w:line="240" w:lineRule="auto"/>
              <w:ind w:left="1134" w:right="232" w:hanging="567"/>
              <w:contextualSpacing w:val="0"/>
              <w:jc w:val="both"/>
              <w:rPr>
                <w:rFonts w:ascii="Bookman Old Style" w:hAnsi="Bookman Old Style"/>
                <w:sz w:val="20"/>
                <w:szCs w:val="20"/>
                <w:lang w:val="en-US"/>
              </w:rPr>
            </w:pPr>
            <w:r w:rsidRPr="000306A8">
              <w:rPr>
                <w:rFonts w:ascii="Bookman Old Style" w:hAnsi="Bookman Old Style"/>
                <w:sz w:val="20"/>
                <w:szCs w:val="20"/>
                <w:lang w:val="en-US"/>
              </w:rPr>
              <w:lastRenderedPageBreak/>
              <w:t>Perhitungan Batas Maksimum HQLA</w:t>
            </w:r>
          </w:p>
        </w:tc>
        <w:tc>
          <w:tcPr>
            <w:tcW w:w="3686" w:type="dxa"/>
            <w:shd w:val="clear" w:color="auto" w:fill="FFF2CC" w:themeFill="accent4" w:themeFillTint="33"/>
            <w:vAlign w:val="center"/>
          </w:tcPr>
          <w:p w14:paraId="18FB6900" w14:textId="77777777" w:rsidR="00066250" w:rsidRPr="00B03AEA"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7FF7EF8D" w14:textId="77777777" w:rsidR="00066250" w:rsidRPr="00B03AEA"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66250" w:rsidRPr="00B03AEA" w14:paraId="55E8D331" w14:textId="77777777" w:rsidTr="00B03AEA">
        <w:trPr>
          <w:trHeight w:val="564"/>
          <w:tblHeader/>
        </w:trPr>
        <w:tc>
          <w:tcPr>
            <w:tcW w:w="9634" w:type="dxa"/>
            <w:shd w:val="clear" w:color="auto" w:fill="auto"/>
            <w:vAlign w:val="center"/>
          </w:tcPr>
          <w:p w14:paraId="20795BBC" w14:textId="77777777" w:rsidR="000306A8"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rPr>
            </w:pPr>
            <w:r w:rsidRPr="000306A8">
              <w:rPr>
                <w:rFonts w:ascii="Bookman Old Style" w:hAnsi="Bookman Old Style"/>
                <w:sz w:val="20"/>
                <w:szCs w:val="20"/>
              </w:rPr>
              <w:t>Penyesuaian</w:t>
            </w:r>
            <w:r w:rsidRPr="000306A8">
              <w:rPr>
                <w:rFonts w:ascii="Bookman Old Style" w:hAnsi="Bookman Old Style"/>
                <w:sz w:val="20"/>
                <w:szCs w:val="20"/>
                <w:lang w:val="en-US"/>
              </w:rPr>
              <w:t xml:space="preserve"> untuk batas maksimum HQLA Level 2 yaitu 15%. Nilai yang paling tinggi antara:</w:t>
            </w:r>
          </w:p>
          <w:p w14:paraId="6AC0F3F1" w14:textId="77777777" w:rsidR="000306A8" w:rsidRPr="000306A8" w:rsidRDefault="000306A8" w:rsidP="00A32F86">
            <w:pPr>
              <w:pStyle w:val="ListParagraph"/>
              <w:widowControl w:val="0"/>
              <w:numPr>
                <w:ilvl w:val="0"/>
                <w:numId w:val="70"/>
              </w:numPr>
              <w:autoSpaceDE w:val="0"/>
              <w:autoSpaceDN w:val="0"/>
              <w:spacing w:after="0" w:line="240" w:lineRule="auto"/>
              <w:ind w:left="2268" w:right="232" w:hanging="567"/>
              <w:contextualSpacing w:val="0"/>
              <w:jc w:val="both"/>
              <w:rPr>
                <w:rFonts w:ascii="Bookman Old Style" w:eastAsiaTheme="minorHAnsi" w:hAnsi="Bookman Old Style"/>
                <w:sz w:val="20"/>
                <w:szCs w:val="20"/>
                <w:lang w:val="en-ID"/>
              </w:rPr>
            </w:pP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HQLA Level 2B – 15/85 (</w:t>
            </w: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 xml:space="preserve">HQLA Level 1 + </w:t>
            </w: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 xml:space="preserve">HQLA Level 2A); </w:t>
            </w:r>
          </w:p>
          <w:p w14:paraId="075B4AAF" w14:textId="77777777" w:rsidR="000306A8" w:rsidRPr="000306A8" w:rsidRDefault="000306A8" w:rsidP="00A32F86">
            <w:pPr>
              <w:pStyle w:val="ListParagraph"/>
              <w:widowControl w:val="0"/>
              <w:numPr>
                <w:ilvl w:val="0"/>
                <w:numId w:val="70"/>
              </w:numPr>
              <w:autoSpaceDE w:val="0"/>
              <w:autoSpaceDN w:val="0"/>
              <w:spacing w:after="0" w:line="240" w:lineRule="auto"/>
              <w:ind w:left="2268" w:right="232" w:hanging="567"/>
              <w:contextualSpacing w:val="0"/>
              <w:jc w:val="both"/>
              <w:rPr>
                <w:rFonts w:ascii="Bookman Old Style" w:eastAsiaTheme="minorHAnsi" w:hAnsi="Bookman Old Style"/>
                <w:sz w:val="20"/>
                <w:szCs w:val="20"/>
                <w:lang w:val="en-ID"/>
              </w:rPr>
            </w:pP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 xml:space="preserve">HQLA Level 2B – (15/60 x HQLA Level1); atau </w:t>
            </w:r>
          </w:p>
          <w:p w14:paraId="544CBECA" w14:textId="77777777" w:rsidR="000306A8" w:rsidRPr="000306A8" w:rsidRDefault="000306A8" w:rsidP="00A32F86">
            <w:pPr>
              <w:pStyle w:val="ListParagraph"/>
              <w:widowControl w:val="0"/>
              <w:numPr>
                <w:ilvl w:val="0"/>
                <w:numId w:val="70"/>
              </w:numPr>
              <w:autoSpaceDE w:val="0"/>
              <w:autoSpaceDN w:val="0"/>
              <w:spacing w:after="0" w:line="240" w:lineRule="auto"/>
              <w:ind w:left="2268" w:right="232" w:hanging="567"/>
              <w:contextualSpacing w:val="0"/>
              <w:jc w:val="both"/>
              <w:rPr>
                <w:rFonts w:ascii="Bookman Old Style" w:eastAsiaTheme="minorHAnsi" w:hAnsi="Bookman Old Style"/>
                <w:sz w:val="20"/>
                <w:szCs w:val="20"/>
                <w:lang w:val="en-ID"/>
              </w:rPr>
            </w:pPr>
            <w:r w:rsidRPr="000306A8">
              <w:rPr>
                <w:rFonts w:ascii="Bookman Old Style" w:hAnsi="Bookman Old Style"/>
                <w:sz w:val="20"/>
                <w:szCs w:val="20"/>
                <w:lang w:val="en-US"/>
              </w:rPr>
              <w:t>0 (nol).</w:t>
            </w:r>
          </w:p>
          <w:p w14:paraId="1F403376" w14:textId="77777777" w:rsidR="000306A8"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rPr>
            </w:pPr>
            <w:r w:rsidRPr="000306A8">
              <w:rPr>
                <w:rFonts w:ascii="Bookman Old Style" w:hAnsi="Bookman Old Style"/>
                <w:sz w:val="20"/>
                <w:szCs w:val="20"/>
              </w:rPr>
              <w:t>Penyesuaian</w:t>
            </w:r>
            <w:r w:rsidRPr="000306A8">
              <w:rPr>
                <w:rFonts w:ascii="Bookman Old Style" w:hAnsi="Bookman Old Style"/>
                <w:sz w:val="20"/>
                <w:szCs w:val="20"/>
                <w:lang w:val="en-US"/>
              </w:rPr>
              <w:t xml:space="preserve"> </w:t>
            </w:r>
            <w:r w:rsidRPr="000306A8">
              <w:rPr>
                <w:rFonts w:ascii="Bookman Old Style" w:hAnsi="Bookman Old Style"/>
                <w:sz w:val="20"/>
                <w:szCs w:val="20"/>
              </w:rPr>
              <w:t>untuk</w:t>
            </w:r>
            <w:r w:rsidRPr="000306A8">
              <w:rPr>
                <w:rFonts w:ascii="Bookman Old Style" w:hAnsi="Bookman Old Style"/>
                <w:sz w:val="20"/>
                <w:szCs w:val="20"/>
                <w:lang w:val="en-US"/>
              </w:rPr>
              <w:t xml:space="preserve"> batas maksimum HQLA Level 2B yaitu 40%.</w:t>
            </w:r>
          </w:p>
          <w:p w14:paraId="7D02F4CE" w14:textId="77777777" w:rsidR="000306A8" w:rsidRPr="000306A8" w:rsidRDefault="000306A8" w:rsidP="000306A8">
            <w:pPr>
              <w:pStyle w:val="ListParagraph"/>
              <w:spacing w:after="0" w:line="240" w:lineRule="auto"/>
              <w:ind w:left="1701" w:right="231"/>
              <w:rPr>
                <w:rFonts w:ascii="Bookman Old Style" w:hAnsi="Bookman Old Style"/>
                <w:sz w:val="20"/>
                <w:szCs w:val="20"/>
                <w:lang w:val="en-US"/>
              </w:rPr>
            </w:pPr>
            <w:r w:rsidRPr="000306A8">
              <w:rPr>
                <w:rFonts w:ascii="Bookman Old Style" w:hAnsi="Bookman Old Style"/>
                <w:sz w:val="20"/>
                <w:szCs w:val="20"/>
                <w:lang w:val="en-US"/>
              </w:rPr>
              <w:t>Nilai yang paling tinggi antara:</w:t>
            </w:r>
          </w:p>
          <w:p w14:paraId="757672DA" w14:textId="77777777" w:rsidR="000306A8" w:rsidRPr="000306A8" w:rsidRDefault="000306A8" w:rsidP="00A32F86">
            <w:pPr>
              <w:pStyle w:val="ListParagraph"/>
              <w:widowControl w:val="0"/>
              <w:numPr>
                <w:ilvl w:val="0"/>
                <w:numId w:val="72"/>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 xml:space="preserve">HQLA Level 2A + </w:t>
            </w: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 xml:space="preserve">HQLA Level 2B – penyesuaian untuk batas maksimum 15% HQLA Level 2 – (2/3 x </w:t>
            </w:r>
            <w:r w:rsidRPr="000306A8">
              <w:rPr>
                <w:rFonts w:ascii="Bookman Old Style" w:eastAsiaTheme="minorHAnsi" w:hAnsi="Bookman Old Style"/>
                <w:i/>
                <w:iCs/>
                <w:sz w:val="20"/>
                <w:szCs w:val="20"/>
                <w:lang w:val="en-ID"/>
              </w:rPr>
              <w:t xml:space="preserve">adjusted </w:t>
            </w:r>
            <w:r w:rsidRPr="000306A8">
              <w:rPr>
                <w:rFonts w:ascii="Bookman Old Style" w:eastAsiaTheme="minorHAnsi" w:hAnsi="Bookman Old Style"/>
                <w:sz w:val="20"/>
                <w:szCs w:val="20"/>
                <w:lang w:val="en-ID"/>
              </w:rPr>
              <w:t xml:space="preserve">HQLA Level 1); atau </w:t>
            </w:r>
          </w:p>
          <w:p w14:paraId="5C210450" w14:textId="77777777" w:rsidR="000306A8" w:rsidRPr="000306A8" w:rsidRDefault="000306A8" w:rsidP="00A32F86">
            <w:pPr>
              <w:pStyle w:val="ListParagraph"/>
              <w:widowControl w:val="0"/>
              <w:numPr>
                <w:ilvl w:val="0"/>
                <w:numId w:val="72"/>
              </w:numPr>
              <w:autoSpaceDE w:val="0"/>
              <w:autoSpaceDN w:val="0"/>
              <w:spacing w:after="0" w:line="240" w:lineRule="auto"/>
              <w:ind w:left="2268" w:right="232" w:hanging="567"/>
              <w:contextualSpacing w:val="0"/>
              <w:jc w:val="both"/>
              <w:rPr>
                <w:rFonts w:ascii="Bookman Old Style" w:hAnsi="Bookman Old Style"/>
                <w:sz w:val="20"/>
                <w:szCs w:val="20"/>
                <w:lang w:val="en-US"/>
              </w:rPr>
            </w:pPr>
            <w:r w:rsidRPr="000306A8">
              <w:rPr>
                <w:rFonts w:ascii="Bookman Old Style" w:hAnsi="Bookman Old Style"/>
                <w:sz w:val="20"/>
                <w:szCs w:val="20"/>
                <w:lang w:val="en-US"/>
              </w:rPr>
              <w:t>0 (nol).</w:t>
            </w:r>
          </w:p>
          <w:p w14:paraId="79AF5949" w14:textId="77777777" w:rsidR="000306A8"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lang w:val="en-US"/>
              </w:rPr>
            </w:pPr>
            <w:r w:rsidRPr="000306A8">
              <w:rPr>
                <w:rFonts w:ascii="Bookman Old Style" w:hAnsi="Bookman Old Style"/>
                <w:i/>
                <w:sz w:val="20"/>
                <w:szCs w:val="20"/>
              </w:rPr>
              <w:t xml:space="preserve">Adjusted </w:t>
            </w:r>
            <w:r w:rsidRPr="000306A8">
              <w:rPr>
                <w:rFonts w:ascii="Bookman Old Style" w:hAnsi="Bookman Old Style"/>
                <w:sz w:val="20"/>
                <w:szCs w:val="20"/>
              </w:rPr>
              <w:t xml:space="preserve">HQLA Level 1 adalah nilai HQLA Level 1 apabila terjadi </w:t>
            </w:r>
            <w:r w:rsidRPr="000306A8">
              <w:rPr>
                <w:rFonts w:ascii="Bookman Old Style" w:hAnsi="Bookman Old Style"/>
                <w:i/>
                <w:sz w:val="20"/>
                <w:szCs w:val="20"/>
              </w:rPr>
              <w:t>unwind Securities Financing Transaction</w:t>
            </w:r>
            <w:r w:rsidRPr="000306A8">
              <w:rPr>
                <w:rFonts w:ascii="Bookman Old Style" w:hAnsi="Bookman Old Style"/>
                <w:sz w:val="20"/>
                <w:szCs w:val="20"/>
              </w:rPr>
              <w:t xml:space="preserve"> (SFT) jangka pendek maupun transaksi </w:t>
            </w:r>
            <w:r w:rsidRPr="000306A8">
              <w:rPr>
                <w:rFonts w:ascii="Bookman Old Style" w:hAnsi="Bookman Old Style"/>
                <w:i/>
                <w:sz w:val="20"/>
                <w:szCs w:val="20"/>
              </w:rPr>
              <w:t>collateral swap</w:t>
            </w:r>
            <w:r w:rsidRPr="000306A8">
              <w:rPr>
                <w:rFonts w:ascii="Bookman Old Style" w:hAnsi="Bookman Old Style"/>
                <w:sz w:val="20"/>
                <w:szCs w:val="20"/>
              </w:rPr>
              <w:t xml:space="preserve"> yang melibatkan pertukaran HQLA untuk HQLA Level 1 </w:t>
            </w:r>
            <w:r w:rsidRPr="000306A8">
              <w:rPr>
                <w:rFonts w:ascii="Bookman Old Style" w:hAnsi="Bookman Old Style"/>
                <w:sz w:val="20"/>
                <w:szCs w:val="20"/>
              </w:rPr>
              <w:lastRenderedPageBreak/>
              <w:t>(termasuk kas) yang memenuhi, atau akan memenuhi kriteria HQLA apabila aset tersebut tidak terikat (</w:t>
            </w:r>
            <w:r w:rsidRPr="000306A8">
              <w:rPr>
                <w:rFonts w:ascii="Bookman Old Style" w:hAnsi="Bookman Old Style"/>
                <w:i/>
                <w:sz w:val="20"/>
                <w:szCs w:val="20"/>
              </w:rPr>
              <w:t>unencumbered</w:t>
            </w:r>
            <w:r w:rsidRPr="000306A8">
              <w:rPr>
                <w:rFonts w:ascii="Bookman Old Style" w:hAnsi="Bookman Old Style"/>
                <w:sz w:val="20"/>
                <w:szCs w:val="20"/>
              </w:rPr>
              <w:t>), yang merupakan persyaratan operasional untuk HQLA.</w:t>
            </w:r>
          </w:p>
          <w:p w14:paraId="570138C2" w14:textId="77777777" w:rsidR="000306A8"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lang w:val="en-US"/>
              </w:rPr>
            </w:pPr>
            <w:r w:rsidRPr="000306A8">
              <w:rPr>
                <w:rFonts w:ascii="Bookman Old Style" w:hAnsi="Bookman Old Style"/>
                <w:i/>
                <w:sz w:val="20"/>
                <w:szCs w:val="20"/>
              </w:rPr>
              <w:t xml:space="preserve">Adjusted </w:t>
            </w:r>
            <w:r w:rsidRPr="000306A8">
              <w:rPr>
                <w:rFonts w:ascii="Bookman Old Style" w:hAnsi="Bookman Old Style"/>
                <w:sz w:val="20"/>
                <w:szCs w:val="20"/>
              </w:rPr>
              <w:t xml:space="preserve">HQLA Level 2A adalah nilai HQLA Level 2A apabila terjadi </w:t>
            </w:r>
            <w:r w:rsidRPr="000306A8">
              <w:rPr>
                <w:rFonts w:ascii="Bookman Old Style" w:hAnsi="Bookman Old Style"/>
                <w:i/>
                <w:sz w:val="20"/>
                <w:szCs w:val="20"/>
              </w:rPr>
              <w:t>unwind</w:t>
            </w:r>
            <w:r w:rsidRPr="000306A8">
              <w:rPr>
                <w:rFonts w:ascii="Bookman Old Style" w:hAnsi="Bookman Old Style"/>
                <w:sz w:val="20"/>
                <w:szCs w:val="20"/>
              </w:rPr>
              <w:t xml:space="preserve"> SFT jangka pendek dan transaksi </w:t>
            </w:r>
            <w:r w:rsidRPr="000306A8">
              <w:rPr>
                <w:rFonts w:ascii="Bookman Old Style" w:hAnsi="Bookman Old Style"/>
                <w:i/>
                <w:sz w:val="20"/>
                <w:szCs w:val="20"/>
              </w:rPr>
              <w:t>collateral swap</w:t>
            </w:r>
            <w:r w:rsidRPr="000306A8">
              <w:rPr>
                <w:rFonts w:ascii="Bookman Old Style" w:hAnsi="Bookman Old Style"/>
                <w:sz w:val="20"/>
                <w:szCs w:val="20"/>
              </w:rPr>
              <w:t xml:space="preserve"> yang melibatkan pertukaran dari HQLA untuk HQLA Level 2A yang memenuhi, atau akan memenuhi kriteria HQLA apabila aset tersebut tidak terikat (</w:t>
            </w:r>
            <w:r w:rsidRPr="000306A8">
              <w:rPr>
                <w:rFonts w:ascii="Bookman Old Style" w:hAnsi="Bookman Old Style"/>
                <w:i/>
                <w:sz w:val="20"/>
                <w:szCs w:val="20"/>
              </w:rPr>
              <w:t>unencumbered</w:t>
            </w:r>
            <w:r w:rsidRPr="000306A8">
              <w:rPr>
                <w:rFonts w:ascii="Bookman Old Style" w:hAnsi="Bookman Old Style"/>
                <w:sz w:val="20"/>
                <w:szCs w:val="20"/>
              </w:rPr>
              <w:t>), sebagaimana persyaratan operasional untuk HQLA.</w:t>
            </w:r>
          </w:p>
          <w:p w14:paraId="64EB5266" w14:textId="77777777" w:rsidR="000306A8"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lang w:val="en-US"/>
              </w:rPr>
            </w:pPr>
            <w:r w:rsidRPr="000306A8">
              <w:rPr>
                <w:rFonts w:ascii="Bookman Old Style" w:hAnsi="Bookman Old Style"/>
                <w:i/>
                <w:sz w:val="20"/>
                <w:szCs w:val="20"/>
              </w:rPr>
              <w:t xml:space="preserve">Adjusted </w:t>
            </w:r>
            <w:r w:rsidRPr="000306A8">
              <w:rPr>
                <w:rFonts w:ascii="Bookman Old Style" w:hAnsi="Bookman Old Style"/>
                <w:sz w:val="20"/>
                <w:szCs w:val="20"/>
              </w:rPr>
              <w:t xml:space="preserve">HQLA Level 2B adalah nilai dari HQLA Level 2B apabila terjadi </w:t>
            </w:r>
            <w:r w:rsidRPr="000306A8">
              <w:rPr>
                <w:rFonts w:ascii="Bookman Old Style" w:hAnsi="Bookman Old Style"/>
                <w:i/>
                <w:sz w:val="20"/>
                <w:szCs w:val="20"/>
              </w:rPr>
              <w:t xml:space="preserve">unwind </w:t>
            </w:r>
            <w:r w:rsidRPr="000306A8">
              <w:rPr>
                <w:rFonts w:ascii="Bookman Old Style" w:hAnsi="Bookman Old Style"/>
                <w:sz w:val="20"/>
                <w:szCs w:val="20"/>
              </w:rPr>
              <w:t xml:space="preserve">SFT jangka pendek dan transaksi </w:t>
            </w:r>
            <w:r w:rsidRPr="000306A8">
              <w:rPr>
                <w:rFonts w:ascii="Bookman Old Style" w:hAnsi="Bookman Old Style"/>
                <w:i/>
                <w:sz w:val="20"/>
                <w:szCs w:val="20"/>
              </w:rPr>
              <w:t>collateral swap</w:t>
            </w:r>
            <w:r w:rsidRPr="000306A8">
              <w:rPr>
                <w:rFonts w:ascii="Bookman Old Style" w:hAnsi="Bookman Old Style"/>
                <w:sz w:val="20"/>
                <w:szCs w:val="20"/>
              </w:rPr>
              <w:t xml:space="preserve"> yang melibatkan pertukaran dari HQLA untuk HQLA Level 2B aset yang memenuhi, atau akan memenuhi kriteria HQLA apabila aset tersebut </w:t>
            </w:r>
            <w:r w:rsidRPr="000306A8">
              <w:rPr>
                <w:rFonts w:ascii="Bookman Old Style" w:hAnsi="Bookman Old Style"/>
                <w:i/>
                <w:sz w:val="20"/>
                <w:szCs w:val="20"/>
              </w:rPr>
              <w:t>unencumbered</w:t>
            </w:r>
            <w:r w:rsidRPr="000306A8">
              <w:rPr>
                <w:rFonts w:ascii="Bookman Old Style" w:hAnsi="Bookman Old Style"/>
                <w:sz w:val="20"/>
                <w:szCs w:val="20"/>
              </w:rPr>
              <w:t>, sebagaimana persyaratan operasional untuk HQLA</w:t>
            </w:r>
          </w:p>
          <w:p w14:paraId="32C510C9" w14:textId="77777777" w:rsidR="000306A8"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lang w:val="en-US"/>
              </w:rPr>
            </w:pPr>
            <w:r w:rsidRPr="000306A8">
              <w:rPr>
                <w:rFonts w:ascii="Bookman Old Style" w:hAnsi="Bookman Old Style"/>
                <w:sz w:val="20"/>
                <w:szCs w:val="20"/>
              </w:rPr>
              <w:t>Dalam konteks ini, transaksi jangka pendek adalah transaksi dengan tanggal jatuh tempo sampai dengan 30 hari</w:t>
            </w:r>
            <w:r w:rsidRPr="000306A8">
              <w:rPr>
                <w:rFonts w:ascii="Bookman Old Style" w:hAnsi="Bookman Old Style"/>
                <w:sz w:val="20"/>
                <w:szCs w:val="20"/>
                <w:lang w:val="en-US"/>
              </w:rPr>
              <w:t>.</w:t>
            </w:r>
          </w:p>
          <w:p w14:paraId="1756158B" w14:textId="4D21C0EA" w:rsidR="00066250" w:rsidRPr="000306A8" w:rsidRDefault="000306A8" w:rsidP="00A32F86">
            <w:pPr>
              <w:pStyle w:val="ListParagraph"/>
              <w:widowControl w:val="0"/>
              <w:numPr>
                <w:ilvl w:val="0"/>
                <w:numId w:val="71"/>
              </w:numPr>
              <w:autoSpaceDE w:val="0"/>
              <w:autoSpaceDN w:val="0"/>
              <w:spacing w:after="0" w:line="240" w:lineRule="auto"/>
              <w:ind w:left="1701" w:right="232" w:hanging="567"/>
              <w:contextualSpacing w:val="0"/>
              <w:jc w:val="both"/>
              <w:rPr>
                <w:rFonts w:ascii="Bookman Old Style" w:hAnsi="Bookman Old Style"/>
                <w:sz w:val="20"/>
                <w:szCs w:val="20"/>
                <w:lang w:val="en-US"/>
              </w:rPr>
            </w:pPr>
            <w:r w:rsidRPr="000306A8">
              <w:rPr>
                <w:rFonts w:ascii="Bookman Old Style" w:hAnsi="Bookman Old Style"/>
                <w:sz w:val="20"/>
                <w:szCs w:val="20"/>
              </w:rPr>
              <w:t>Pengurangan nilai (</w:t>
            </w:r>
            <w:r w:rsidRPr="000306A8">
              <w:rPr>
                <w:rFonts w:ascii="Bookman Old Style" w:hAnsi="Bookman Old Style"/>
                <w:i/>
                <w:sz w:val="20"/>
                <w:szCs w:val="20"/>
              </w:rPr>
              <w:t>haircut</w:t>
            </w:r>
            <w:r w:rsidRPr="000306A8">
              <w:rPr>
                <w:rFonts w:ascii="Bookman Old Style" w:hAnsi="Bookman Old Style"/>
                <w:sz w:val="20"/>
                <w:szCs w:val="20"/>
              </w:rPr>
              <w:t>) yang sesuai untuk masing-masing HQLA dilakukan sebelum perhitungan batas maksimum.</w:t>
            </w:r>
          </w:p>
        </w:tc>
        <w:tc>
          <w:tcPr>
            <w:tcW w:w="3686" w:type="dxa"/>
            <w:shd w:val="clear" w:color="auto" w:fill="auto"/>
            <w:vAlign w:val="center"/>
          </w:tcPr>
          <w:p w14:paraId="5C852A78" w14:textId="77777777" w:rsidR="00066250" w:rsidRPr="00B03AEA"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BBB278A" w14:textId="77777777" w:rsidR="00066250" w:rsidRPr="00B03AEA"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66250" w:rsidRPr="00B03AEA" w14:paraId="7EB7BBB3" w14:textId="77777777" w:rsidTr="000306A8">
        <w:trPr>
          <w:trHeight w:val="564"/>
          <w:tblHeader/>
        </w:trPr>
        <w:tc>
          <w:tcPr>
            <w:tcW w:w="9634" w:type="dxa"/>
            <w:shd w:val="clear" w:color="auto" w:fill="DBDBDB" w:themeFill="accent3" w:themeFillTint="66"/>
            <w:vAlign w:val="center"/>
          </w:tcPr>
          <w:p w14:paraId="3C66ABDB" w14:textId="538E4BB0" w:rsidR="00066250" w:rsidRPr="00D3094F" w:rsidRDefault="000306A8" w:rsidP="00A32F86">
            <w:pPr>
              <w:pStyle w:val="BodyText"/>
              <w:numPr>
                <w:ilvl w:val="3"/>
                <w:numId w:val="29"/>
              </w:numPr>
              <w:ind w:left="596" w:right="-1" w:hanging="567"/>
              <w:rPr>
                <w:rFonts w:ascii="Bookman Old Style" w:hAnsi="Bookman Old Style"/>
                <w:sz w:val="20"/>
                <w:szCs w:val="20"/>
              </w:rPr>
            </w:pPr>
            <w:r w:rsidRPr="000306A8">
              <w:rPr>
                <w:rFonts w:ascii="Bookman Old Style" w:hAnsi="Bookman Old Style"/>
                <w:sz w:val="20"/>
                <w:szCs w:val="20"/>
              </w:rPr>
              <w:t>ARUS KAS KELUAR BERSIH (</w:t>
            </w:r>
            <w:r w:rsidRPr="000306A8">
              <w:rPr>
                <w:rFonts w:ascii="Bookman Old Style" w:hAnsi="Bookman Old Style"/>
                <w:i/>
                <w:sz w:val="20"/>
                <w:szCs w:val="20"/>
              </w:rPr>
              <w:t>NET CASH OUTFLOW</w:t>
            </w:r>
            <w:r w:rsidRPr="000306A8">
              <w:rPr>
                <w:rFonts w:ascii="Bookman Old Style" w:hAnsi="Bookman Old Style"/>
                <w:sz w:val="20"/>
                <w:szCs w:val="20"/>
              </w:rPr>
              <w:t>)</w:t>
            </w:r>
          </w:p>
        </w:tc>
        <w:tc>
          <w:tcPr>
            <w:tcW w:w="3686" w:type="dxa"/>
            <w:shd w:val="clear" w:color="auto" w:fill="DBDBDB" w:themeFill="accent3" w:themeFillTint="66"/>
            <w:vAlign w:val="center"/>
          </w:tcPr>
          <w:p w14:paraId="49DBBAD0" w14:textId="77777777" w:rsidR="00066250" w:rsidRPr="00B03AEA"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0D9A97A1" w14:textId="77777777" w:rsidR="00066250" w:rsidRPr="00B03AEA"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66250" w:rsidRPr="00B03AEA" w14:paraId="50E89598" w14:textId="77777777" w:rsidTr="000306A8">
        <w:trPr>
          <w:trHeight w:val="564"/>
          <w:tblHeader/>
        </w:trPr>
        <w:tc>
          <w:tcPr>
            <w:tcW w:w="9634" w:type="dxa"/>
            <w:shd w:val="clear" w:color="auto" w:fill="FFF2CC" w:themeFill="accent4" w:themeFillTint="33"/>
            <w:vAlign w:val="center"/>
          </w:tcPr>
          <w:p w14:paraId="64DE8C14" w14:textId="467163CB" w:rsidR="00066250" w:rsidRPr="000306A8" w:rsidRDefault="000306A8" w:rsidP="00A32F86">
            <w:pPr>
              <w:pStyle w:val="ListParagraph"/>
              <w:widowControl w:val="0"/>
              <w:numPr>
                <w:ilvl w:val="4"/>
                <w:numId w:val="29"/>
              </w:numPr>
              <w:autoSpaceDE w:val="0"/>
              <w:autoSpaceDN w:val="0"/>
              <w:spacing w:after="0" w:line="240" w:lineRule="auto"/>
              <w:ind w:left="1134" w:right="232" w:hanging="567"/>
              <w:contextualSpacing w:val="0"/>
              <w:jc w:val="both"/>
              <w:rPr>
                <w:rFonts w:ascii="Bookman Old Style" w:hAnsi="Bookman Old Style"/>
                <w:sz w:val="20"/>
                <w:szCs w:val="20"/>
                <w:lang w:val="en-US"/>
              </w:rPr>
            </w:pPr>
            <w:r w:rsidRPr="000306A8">
              <w:rPr>
                <w:rFonts w:ascii="Bookman Old Style" w:hAnsi="Bookman Old Style"/>
                <w:sz w:val="20"/>
                <w:szCs w:val="20"/>
                <w:lang w:val="en-US"/>
              </w:rPr>
              <w:t>ARUS KAS KELUAR (</w:t>
            </w:r>
            <w:r w:rsidRPr="000306A8">
              <w:rPr>
                <w:rFonts w:ascii="Bookman Old Style" w:hAnsi="Bookman Old Style"/>
                <w:i/>
                <w:sz w:val="20"/>
                <w:szCs w:val="20"/>
                <w:lang w:val="en-US"/>
              </w:rPr>
              <w:t>CASH OUTFLOW</w:t>
            </w:r>
            <w:r w:rsidRPr="000306A8">
              <w:rPr>
                <w:rFonts w:ascii="Bookman Old Style" w:hAnsi="Bookman Old Style"/>
                <w:sz w:val="20"/>
                <w:szCs w:val="20"/>
                <w:lang w:val="en-US"/>
              </w:rPr>
              <w:t>)</w:t>
            </w:r>
          </w:p>
        </w:tc>
        <w:tc>
          <w:tcPr>
            <w:tcW w:w="3686" w:type="dxa"/>
            <w:shd w:val="clear" w:color="auto" w:fill="FFF2CC" w:themeFill="accent4" w:themeFillTint="33"/>
            <w:vAlign w:val="center"/>
          </w:tcPr>
          <w:p w14:paraId="48B0C1C4" w14:textId="77777777" w:rsidR="00066250" w:rsidRPr="000306A8"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400668A0" w14:textId="77777777" w:rsidR="00066250" w:rsidRPr="000306A8" w:rsidRDefault="00066250"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306A8" w:rsidRPr="00B03AEA" w14:paraId="5F074FD8" w14:textId="77777777" w:rsidTr="00B03AEA">
        <w:trPr>
          <w:trHeight w:val="564"/>
          <w:tblHeader/>
        </w:trPr>
        <w:tc>
          <w:tcPr>
            <w:tcW w:w="9634" w:type="dxa"/>
            <w:shd w:val="clear" w:color="auto" w:fill="auto"/>
            <w:vAlign w:val="center"/>
          </w:tcPr>
          <w:p w14:paraId="303BC4AF" w14:textId="77777777" w:rsidR="000306A8" w:rsidRPr="000306A8" w:rsidRDefault="000306A8" w:rsidP="000306A8">
            <w:pPr>
              <w:pStyle w:val="BodyText"/>
              <w:ind w:left="1134" w:right="-1"/>
              <w:outlineLvl w:val="0"/>
              <w:rPr>
                <w:rFonts w:ascii="Bookman Old Style" w:hAnsi="Bookman Old Style"/>
                <w:sz w:val="20"/>
                <w:szCs w:val="20"/>
              </w:rPr>
            </w:pPr>
            <w:r w:rsidRPr="000306A8">
              <w:rPr>
                <w:rFonts w:ascii="Bookman Old Style" w:hAnsi="Bookman Old Style"/>
                <w:sz w:val="20"/>
                <w:szCs w:val="20"/>
              </w:rPr>
              <w:t>Nilai arus kas keluar yang diperhitungkan dalam pemenuhan LCR adalah sebesar nilai outstanding kewajiban pada laporan posisi keuangan dan komitmen pada rekening administratif dikalikan dengan tingkat penarikan (</w:t>
            </w:r>
            <w:r w:rsidRPr="000306A8">
              <w:rPr>
                <w:rFonts w:ascii="Bookman Old Style" w:hAnsi="Bookman Old Style"/>
                <w:i/>
                <w:sz w:val="20"/>
                <w:szCs w:val="20"/>
              </w:rPr>
              <w:t>run-off rate</w:t>
            </w:r>
            <w:r w:rsidRPr="000306A8">
              <w:rPr>
                <w:rFonts w:ascii="Bookman Old Style" w:hAnsi="Bookman Old Style"/>
                <w:sz w:val="20"/>
                <w:szCs w:val="20"/>
              </w:rPr>
              <w:t xml:space="preserve">). </w:t>
            </w:r>
          </w:p>
          <w:p w14:paraId="7FF54948" w14:textId="77777777" w:rsidR="000306A8" w:rsidRPr="000306A8" w:rsidRDefault="000306A8" w:rsidP="000306A8">
            <w:pPr>
              <w:pStyle w:val="BodyText"/>
              <w:ind w:left="1134" w:right="-1"/>
              <w:outlineLvl w:val="0"/>
              <w:rPr>
                <w:rFonts w:ascii="Bookman Old Style" w:hAnsi="Bookman Old Style"/>
                <w:sz w:val="20"/>
                <w:szCs w:val="20"/>
              </w:rPr>
            </w:pPr>
            <w:r w:rsidRPr="000306A8">
              <w:rPr>
                <w:rFonts w:ascii="Bookman Old Style" w:hAnsi="Bookman Old Style"/>
                <w:sz w:val="20"/>
                <w:szCs w:val="20"/>
              </w:rPr>
              <w:t>Tingkat penarikan (</w:t>
            </w:r>
            <w:r w:rsidRPr="000306A8">
              <w:rPr>
                <w:rFonts w:ascii="Bookman Old Style" w:hAnsi="Bookman Old Style"/>
                <w:i/>
                <w:iCs/>
                <w:sz w:val="20"/>
                <w:szCs w:val="20"/>
              </w:rPr>
              <w:t>run-off rate</w:t>
            </w:r>
            <w:r w:rsidRPr="000306A8">
              <w:rPr>
                <w:rFonts w:ascii="Bookman Old Style" w:hAnsi="Bookman Old Style"/>
                <w:sz w:val="20"/>
                <w:szCs w:val="20"/>
              </w:rPr>
              <w:t>)</w:t>
            </w:r>
            <w:r w:rsidRPr="000306A8">
              <w:rPr>
                <w:rFonts w:ascii="Bookman Old Style" w:hAnsi="Bookman Old Style"/>
                <w:i/>
                <w:iCs/>
                <w:sz w:val="20"/>
                <w:szCs w:val="20"/>
              </w:rPr>
              <w:t xml:space="preserve">” </w:t>
            </w:r>
            <w:r w:rsidRPr="000306A8">
              <w:rPr>
                <w:rFonts w:ascii="Bookman Old Style" w:hAnsi="Bookman Old Style"/>
                <w:sz w:val="20"/>
                <w:szCs w:val="20"/>
              </w:rPr>
              <w:t>adalah tingkat prediksi penarikan kewajiban Bank berdasarkan skenario tertentu.</w:t>
            </w:r>
          </w:p>
          <w:p w14:paraId="6176E988" w14:textId="00095BF3" w:rsidR="000306A8" w:rsidRPr="000306A8" w:rsidRDefault="000306A8" w:rsidP="000306A8">
            <w:pPr>
              <w:pStyle w:val="ListParagraph"/>
              <w:widowControl w:val="0"/>
              <w:autoSpaceDE w:val="0"/>
              <w:autoSpaceDN w:val="0"/>
              <w:spacing w:after="0" w:line="240" w:lineRule="auto"/>
              <w:ind w:left="1134" w:right="232"/>
              <w:contextualSpacing w:val="0"/>
              <w:jc w:val="both"/>
              <w:rPr>
                <w:rFonts w:ascii="Bookman Old Style" w:hAnsi="Bookman Old Style"/>
                <w:sz w:val="20"/>
                <w:szCs w:val="20"/>
                <w:lang w:val="en-US"/>
              </w:rPr>
            </w:pPr>
            <w:r w:rsidRPr="000306A8">
              <w:rPr>
                <w:rFonts w:ascii="Bookman Old Style" w:hAnsi="Bookman Old Style"/>
                <w:sz w:val="20"/>
                <w:szCs w:val="20"/>
                <w:lang w:val="en-US"/>
              </w:rPr>
              <w:t>Bank wajib menghitung arus kas keluar (</w:t>
            </w:r>
            <w:r w:rsidRPr="000306A8">
              <w:rPr>
                <w:rFonts w:ascii="Bookman Old Style" w:hAnsi="Bookman Old Style"/>
                <w:i/>
                <w:sz w:val="20"/>
                <w:szCs w:val="20"/>
                <w:lang w:val="en-US"/>
              </w:rPr>
              <w:t>cash outflow</w:t>
            </w:r>
            <w:r w:rsidRPr="000306A8">
              <w:rPr>
                <w:rFonts w:ascii="Bookman Old Style" w:hAnsi="Bookman Old Style"/>
                <w:sz w:val="20"/>
                <w:szCs w:val="20"/>
                <w:lang w:val="en-US"/>
              </w:rPr>
              <w:t xml:space="preserve">) selama 30 (tiga puluh) </w:t>
            </w:r>
            <w:r w:rsidRPr="000306A8">
              <w:rPr>
                <w:rFonts w:ascii="Bookman Old Style" w:hAnsi="Bookman Old Style"/>
                <w:sz w:val="20"/>
                <w:szCs w:val="20"/>
              </w:rPr>
              <w:t>hari kedepan yang bersumber dari:</w:t>
            </w:r>
          </w:p>
        </w:tc>
        <w:tc>
          <w:tcPr>
            <w:tcW w:w="3686" w:type="dxa"/>
            <w:shd w:val="clear" w:color="auto" w:fill="auto"/>
            <w:vAlign w:val="center"/>
          </w:tcPr>
          <w:p w14:paraId="29E9EC3C" w14:textId="77777777" w:rsidR="000306A8" w:rsidRPr="00B03AEA" w:rsidRDefault="000306A8"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E188DDF" w14:textId="77777777" w:rsidR="000306A8" w:rsidRPr="00B03AEA" w:rsidRDefault="000306A8"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306A8" w:rsidRPr="00B03AEA" w14:paraId="44CB0781" w14:textId="77777777" w:rsidTr="00B03AEA">
        <w:trPr>
          <w:trHeight w:val="564"/>
          <w:tblHeader/>
        </w:trPr>
        <w:tc>
          <w:tcPr>
            <w:tcW w:w="9634" w:type="dxa"/>
            <w:shd w:val="clear" w:color="auto" w:fill="auto"/>
            <w:vAlign w:val="center"/>
          </w:tcPr>
          <w:p w14:paraId="415CF5D7" w14:textId="77777777" w:rsidR="000306A8" w:rsidRPr="000306A8" w:rsidRDefault="000306A8" w:rsidP="00A32F86">
            <w:pPr>
              <w:pStyle w:val="BodyText"/>
              <w:widowControl w:val="0"/>
              <w:numPr>
                <w:ilvl w:val="0"/>
                <w:numId w:val="73"/>
              </w:numPr>
              <w:autoSpaceDE w:val="0"/>
              <w:autoSpaceDN w:val="0"/>
              <w:ind w:left="1701" w:right="-1" w:hanging="567"/>
              <w:outlineLvl w:val="0"/>
              <w:rPr>
                <w:rFonts w:ascii="Bookman Old Style" w:hAnsi="Bookman Old Style"/>
                <w:sz w:val="20"/>
                <w:szCs w:val="20"/>
                <w:u w:val="single"/>
              </w:rPr>
            </w:pPr>
            <w:r w:rsidRPr="000306A8">
              <w:rPr>
                <w:rFonts w:ascii="Bookman Old Style" w:hAnsi="Bookman Old Style"/>
                <w:sz w:val="20"/>
                <w:szCs w:val="20"/>
                <w:u w:val="single"/>
              </w:rPr>
              <w:t>Pendanaan nasabah perorangan;</w:t>
            </w:r>
          </w:p>
          <w:p w14:paraId="26501724" w14:textId="77777777" w:rsidR="000306A8" w:rsidRPr="000306A8" w:rsidRDefault="000306A8" w:rsidP="00A32F86">
            <w:pPr>
              <w:pStyle w:val="BodyText"/>
              <w:widowControl w:val="0"/>
              <w:numPr>
                <w:ilvl w:val="0"/>
                <w:numId w:val="74"/>
              </w:numPr>
              <w:autoSpaceDE w:val="0"/>
              <w:autoSpaceDN w:val="0"/>
              <w:ind w:left="2268" w:right="-1" w:hanging="567"/>
              <w:outlineLvl w:val="0"/>
              <w:rPr>
                <w:rFonts w:ascii="Bookman Old Style" w:hAnsi="Bookman Old Style"/>
                <w:sz w:val="20"/>
                <w:szCs w:val="20"/>
              </w:rPr>
            </w:pPr>
            <w:r w:rsidRPr="000306A8">
              <w:rPr>
                <w:rFonts w:ascii="Bookman Old Style" w:hAnsi="Bookman Old Style"/>
                <w:sz w:val="20"/>
                <w:szCs w:val="20"/>
              </w:rPr>
              <w:t>Pendanaan nasabah perorangan yang diperhitungkan dalam LCR adalah:</w:t>
            </w:r>
          </w:p>
          <w:p w14:paraId="69949857" w14:textId="77777777" w:rsidR="000306A8" w:rsidRPr="000306A8" w:rsidRDefault="000306A8" w:rsidP="00A32F86">
            <w:pPr>
              <w:pStyle w:val="BodyText"/>
              <w:widowControl w:val="0"/>
              <w:numPr>
                <w:ilvl w:val="0"/>
                <w:numId w:val="75"/>
              </w:numPr>
              <w:autoSpaceDE w:val="0"/>
              <w:autoSpaceDN w:val="0"/>
              <w:ind w:left="2835" w:right="-1" w:hanging="567"/>
              <w:outlineLvl w:val="0"/>
              <w:rPr>
                <w:rFonts w:ascii="Bookman Old Style" w:hAnsi="Bookman Old Style"/>
                <w:sz w:val="20"/>
                <w:szCs w:val="20"/>
              </w:rPr>
            </w:pPr>
            <w:r w:rsidRPr="000306A8">
              <w:rPr>
                <w:rFonts w:ascii="Bookman Old Style" w:hAnsi="Bookman Old Style"/>
                <w:sz w:val="20"/>
                <w:szCs w:val="20"/>
              </w:rPr>
              <w:t>Pendanaan yang tidak sedang dijaminkan dan memiliki jangka waktu sampai dengan 30 (tiga puluh) hari;</w:t>
            </w:r>
          </w:p>
          <w:p w14:paraId="04A540C3" w14:textId="77777777" w:rsidR="000306A8" w:rsidRPr="000306A8" w:rsidRDefault="000306A8" w:rsidP="00A32F86">
            <w:pPr>
              <w:pStyle w:val="BodyText"/>
              <w:widowControl w:val="0"/>
              <w:numPr>
                <w:ilvl w:val="0"/>
                <w:numId w:val="75"/>
              </w:numPr>
              <w:autoSpaceDE w:val="0"/>
              <w:autoSpaceDN w:val="0"/>
              <w:ind w:left="2835" w:right="-1" w:hanging="567"/>
              <w:outlineLvl w:val="0"/>
              <w:rPr>
                <w:rFonts w:ascii="Bookman Old Style" w:hAnsi="Bookman Old Style"/>
                <w:sz w:val="20"/>
                <w:szCs w:val="20"/>
              </w:rPr>
            </w:pPr>
            <w:r w:rsidRPr="000306A8">
              <w:rPr>
                <w:rFonts w:ascii="Bookman Old Style" w:hAnsi="Bookman Old Style"/>
                <w:sz w:val="20"/>
                <w:szCs w:val="20"/>
              </w:rPr>
              <w:t xml:space="preserve">Pendanaan yang tidak sedang dijaminkan dan memiliki jangka waktu lebih dari 30 (tiga puluh) hari namun dapat ditarik sewaktu-waktu oleh nasabah, tanpa adanya </w:t>
            </w:r>
            <w:r w:rsidRPr="000306A8">
              <w:rPr>
                <w:rFonts w:ascii="Bookman Old Style" w:hAnsi="Bookman Old Style"/>
                <w:i/>
                <w:sz w:val="20"/>
                <w:szCs w:val="20"/>
              </w:rPr>
              <w:t>ta’widh/ta’zir</w:t>
            </w:r>
            <w:r w:rsidRPr="000306A8">
              <w:rPr>
                <w:rFonts w:ascii="Bookman Old Style" w:hAnsi="Bookman Old Style"/>
                <w:sz w:val="20"/>
                <w:szCs w:val="20"/>
              </w:rPr>
              <w:t xml:space="preserve"> yang signifikan. </w:t>
            </w:r>
            <w:r w:rsidRPr="000306A8">
              <w:rPr>
                <w:rFonts w:ascii="Bookman Old Style" w:hAnsi="Bookman Old Style"/>
                <w:i/>
                <w:sz w:val="20"/>
                <w:szCs w:val="20"/>
              </w:rPr>
              <w:t>Ta’widh/ta’zir</w:t>
            </w:r>
            <w:r w:rsidRPr="000306A8">
              <w:rPr>
                <w:rFonts w:ascii="Bookman Old Style" w:hAnsi="Bookman Old Style"/>
                <w:sz w:val="20"/>
                <w:szCs w:val="20"/>
              </w:rPr>
              <w:t xml:space="preserve"> dikatakan signifikan apabila </w:t>
            </w:r>
            <w:r w:rsidRPr="000306A8">
              <w:rPr>
                <w:rFonts w:ascii="Bookman Old Style" w:hAnsi="Bookman Old Style"/>
                <w:i/>
                <w:sz w:val="20"/>
                <w:szCs w:val="20"/>
              </w:rPr>
              <w:t>ta’widh/ta’zir</w:t>
            </w:r>
            <w:r w:rsidRPr="000306A8">
              <w:rPr>
                <w:rFonts w:ascii="Bookman Old Style" w:hAnsi="Bookman Old Style"/>
                <w:sz w:val="20"/>
                <w:szCs w:val="20"/>
              </w:rPr>
              <w:t xml:space="preserve"> dimaksud lebih besar daripada imbalan Pendanaan sehingga memotong pokok Pendanaan; dan</w:t>
            </w:r>
          </w:p>
          <w:p w14:paraId="52B235AE" w14:textId="77777777" w:rsidR="000306A8" w:rsidRPr="000306A8" w:rsidRDefault="000306A8" w:rsidP="00A32F86">
            <w:pPr>
              <w:pStyle w:val="BodyText"/>
              <w:widowControl w:val="0"/>
              <w:numPr>
                <w:ilvl w:val="0"/>
                <w:numId w:val="75"/>
              </w:numPr>
              <w:autoSpaceDE w:val="0"/>
              <w:autoSpaceDN w:val="0"/>
              <w:ind w:left="2835" w:right="-1" w:hanging="567"/>
              <w:outlineLvl w:val="0"/>
              <w:rPr>
                <w:rFonts w:ascii="Bookman Old Style" w:hAnsi="Bookman Old Style"/>
                <w:sz w:val="20"/>
                <w:szCs w:val="20"/>
              </w:rPr>
            </w:pPr>
            <w:r w:rsidRPr="000306A8">
              <w:rPr>
                <w:rFonts w:ascii="Bookman Old Style" w:hAnsi="Bookman Old Style"/>
                <w:sz w:val="20"/>
                <w:szCs w:val="20"/>
              </w:rPr>
              <w:lastRenderedPageBreak/>
              <w:t>Pendanaan yang sedang dijaminkan kepada Bank terkait dengan fasilitas pembiayaan, kecuali jika fasilitas pembiayaan yang diberikan:</w:t>
            </w:r>
          </w:p>
          <w:p w14:paraId="19C240EF" w14:textId="77777777" w:rsidR="000306A8" w:rsidRPr="000306A8" w:rsidRDefault="000306A8" w:rsidP="00A32F86">
            <w:pPr>
              <w:pStyle w:val="BodyText"/>
              <w:widowControl w:val="0"/>
              <w:numPr>
                <w:ilvl w:val="0"/>
                <w:numId w:val="76"/>
              </w:numPr>
              <w:autoSpaceDE w:val="0"/>
              <w:autoSpaceDN w:val="0"/>
              <w:ind w:left="3402" w:right="-1" w:hanging="567"/>
              <w:outlineLvl w:val="0"/>
              <w:rPr>
                <w:rFonts w:ascii="Bookman Old Style" w:hAnsi="Bookman Old Style"/>
                <w:sz w:val="20"/>
                <w:szCs w:val="20"/>
              </w:rPr>
            </w:pPr>
            <w:r w:rsidRPr="000306A8">
              <w:rPr>
                <w:rFonts w:ascii="Bookman Old Style" w:hAnsi="Bookman Old Style"/>
                <w:sz w:val="20"/>
                <w:szCs w:val="20"/>
              </w:rPr>
              <w:t>memiliki jangka waktu lebih dari 30 (tiga puluh) hari; dan</w:t>
            </w:r>
          </w:p>
          <w:p w14:paraId="4C41D9CE" w14:textId="77777777" w:rsidR="000306A8" w:rsidRPr="000306A8" w:rsidRDefault="000306A8" w:rsidP="00A32F86">
            <w:pPr>
              <w:pStyle w:val="BodyText"/>
              <w:widowControl w:val="0"/>
              <w:numPr>
                <w:ilvl w:val="0"/>
                <w:numId w:val="76"/>
              </w:numPr>
              <w:autoSpaceDE w:val="0"/>
              <w:autoSpaceDN w:val="0"/>
              <w:ind w:left="3402" w:right="-1" w:hanging="567"/>
              <w:outlineLvl w:val="0"/>
              <w:rPr>
                <w:rFonts w:ascii="Bookman Old Style" w:hAnsi="Bookman Old Style"/>
                <w:sz w:val="20"/>
                <w:szCs w:val="20"/>
              </w:rPr>
            </w:pPr>
            <w:r w:rsidRPr="000306A8">
              <w:rPr>
                <w:rFonts w:ascii="Bookman Old Style" w:hAnsi="Bookman Old Style"/>
                <w:sz w:val="20"/>
                <w:szCs w:val="20"/>
              </w:rPr>
              <w:t>terdapat perjanjian yang jelas dan mengikat bahwa Pendanaan tidak dapat ditarik sebelum jangka waktu fasilitas pembiayaan berakhir</w:t>
            </w:r>
          </w:p>
          <w:p w14:paraId="154D8A88"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Jumlah Pendanaan yang dapat dikecualikan dari perhitungan arus kas keluar (</w:t>
            </w:r>
            <w:r w:rsidRPr="000306A8">
              <w:rPr>
                <w:rFonts w:ascii="Bookman Old Style" w:hAnsi="Bookman Old Style"/>
                <w:i/>
                <w:iCs/>
                <w:sz w:val="20"/>
                <w:szCs w:val="20"/>
              </w:rPr>
              <w:t>cash outflow</w:t>
            </w:r>
            <w:r w:rsidRPr="000306A8">
              <w:rPr>
                <w:rFonts w:ascii="Bookman Old Style" w:hAnsi="Bookman Old Style"/>
                <w:sz w:val="20"/>
                <w:szCs w:val="20"/>
              </w:rPr>
              <w:t xml:space="preserve">) paling tinggi sebesar </w:t>
            </w:r>
            <w:r w:rsidRPr="000306A8">
              <w:rPr>
                <w:rFonts w:ascii="Bookman Old Style" w:hAnsi="Bookman Old Style"/>
                <w:i/>
                <w:iCs/>
                <w:sz w:val="20"/>
                <w:szCs w:val="20"/>
              </w:rPr>
              <w:t xml:space="preserve">outstanding </w:t>
            </w:r>
            <w:r w:rsidRPr="000306A8">
              <w:rPr>
                <w:rFonts w:ascii="Bookman Old Style" w:hAnsi="Bookman Old Style"/>
                <w:sz w:val="20"/>
                <w:szCs w:val="20"/>
              </w:rPr>
              <w:t>dari fasilitas pembiayaan;</w:t>
            </w:r>
          </w:p>
          <w:p w14:paraId="5AC83CF3" w14:textId="77777777" w:rsidR="000306A8" w:rsidRPr="000306A8" w:rsidRDefault="000306A8" w:rsidP="00A32F86">
            <w:pPr>
              <w:pStyle w:val="BodyText"/>
              <w:widowControl w:val="0"/>
              <w:numPr>
                <w:ilvl w:val="0"/>
                <w:numId w:val="74"/>
              </w:numPr>
              <w:autoSpaceDE w:val="0"/>
              <w:autoSpaceDN w:val="0"/>
              <w:ind w:left="2268" w:right="-1" w:hanging="567"/>
              <w:outlineLvl w:val="0"/>
              <w:rPr>
                <w:rFonts w:ascii="Bookman Old Style" w:hAnsi="Bookman Old Style"/>
                <w:sz w:val="20"/>
                <w:szCs w:val="20"/>
              </w:rPr>
            </w:pPr>
            <w:r w:rsidRPr="000306A8">
              <w:rPr>
                <w:rFonts w:ascii="Bookman Old Style" w:hAnsi="Bookman Old Style"/>
                <w:sz w:val="20"/>
                <w:szCs w:val="20"/>
              </w:rPr>
              <w:t>Pendanaan nasabah perorangan wajib diklasifikasikan dalam:</w:t>
            </w:r>
          </w:p>
          <w:p w14:paraId="4ED7234C" w14:textId="77777777" w:rsidR="000306A8" w:rsidRPr="000306A8" w:rsidRDefault="000306A8" w:rsidP="00A32F86">
            <w:pPr>
              <w:pStyle w:val="BodyText"/>
              <w:widowControl w:val="0"/>
              <w:numPr>
                <w:ilvl w:val="0"/>
                <w:numId w:val="79"/>
              </w:numPr>
              <w:autoSpaceDE w:val="0"/>
              <w:autoSpaceDN w:val="0"/>
              <w:ind w:left="2835" w:hanging="567"/>
              <w:outlineLvl w:val="0"/>
              <w:rPr>
                <w:rFonts w:ascii="Bookman Old Style" w:hAnsi="Bookman Old Style"/>
                <w:sz w:val="20"/>
                <w:szCs w:val="20"/>
              </w:rPr>
            </w:pPr>
            <w:r w:rsidRPr="000306A8">
              <w:rPr>
                <w:rFonts w:ascii="Bookman Old Style" w:hAnsi="Bookman Old Style"/>
                <w:sz w:val="20"/>
                <w:szCs w:val="20"/>
              </w:rPr>
              <w:t>Pendanaan stabil</w:t>
            </w:r>
          </w:p>
          <w:p w14:paraId="2E71FF77"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Pendanaan stabil adalah pendanaan yang memenuhi kriteria penjaminan oleh Lembaga Penjamin Simpanan dan memenuhi persyaratan:</w:t>
            </w:r>
          </w:p>
          <w:p w14:paraId="66623E70" w14:textId="77777777" w:rsidR="000306A8" w:rsidRPr="000306A8" w:rsidRDefault="000306A8" w:rsidP="00A32F86">
            <w:pPr>
              <w:pStyle w:val="BodyText"/>
              <w:widowControl w:val="0"/>
              <w:numPr>
                <w:ilvl w:val="0"/>
                <w:numId w:val="80"/>
              </w:numPr>
              <w:autoSpaceDE w:val="0"/>
              <w:autoSpaceDN w:val="0"/>
              <w:ind w:left="3402" w:hanging="567"/>
              <w:outlineLvl w:val="0"/>
              <w:rPr>
                <w:rFonts w:ascii="Bookman Old Style" w:hAnsi="Bookman Old Style"/>
                <w:sz w:val="20"/>
                <w:szCs w:val="20"/>
              </w:rPr>
            </w:pPr>
            <w:r w:rsidRPr="000306A8">
              <w:rPr>
                <w:rFonts w:ascii="Bookman Old Style" w:hAnsi="Bookman Old Style"/>
                <w:sz w:val="20"/>
                <w:szCs w:val="20"/>
              </w:rPr>
              <w:t xml:space="preserve">nasabah memiliki hubungan atau keterkaitan dengan Bank sehingga kemungkinan penarikan simpanan sangat kecil; </w:t>
            </w:r>
          </w:p>
          <w:p w14:paraId="62023018" w14:textId="77777777" w:rsidR="000306A8" w:rsidRPr="000306A8" w:rsidRDefault="000306A8" w:rsidP="00A32F86">
            <w:pPr>
              <w:pStyle w:val="BodyText"/>
              <w:widowControl w:val="0"/>
              <w:numPr>
                <w:ilvl w:val="0"/>
                <w:numId w:val="80"/>
              </w:numPr>
              <w:autoSpaceDE w:val="0"/>
              <w:autoSpaceDN w:val="0"/>
              <w:ind w:left="3402" w:hanging="567"/>
              <w:outlineLvl w:val="0"/>
              <w:rPr>
                <w:rFonts w:ascii="Bookman Old Style" w:hAnsi="Bookman Old Style"/>
                <w:sz w:val="20"/>
                <w:szCs w:val="20"/>
              </w:rPr>
            </w:pPr>
            <w:r w:rsidRPr="000306A8">
              <w:rPr>
                <w:rFonts w:ascii="Bookman Old Style" w:hAnsi="Bookman Old Style"/>
                <w:sz w:val="20"/>
                <w:szCs w:val="20"/>
              </w:rPr>
              <w:t>rekening Simpanan digunakan untuk keperluan transaksi nasabah secara rutin; atau</w:t>
            </w:r>
          </w:p>
          <w:p w14:paraId="08FBE7A8" w14:textId="77777777" w:rsidR="000306A8" w:rsidRPr="000306A8" w:rsidRDefault="000306A8" w:rsidP="00A32F86">
            <w:pPr>
              <w:pStyle w:val="BodyText"/>
              <w:widowControl w:val="0"/>
              <w:numPr>
                <w:ilvl w:val="0"/>
                <w:numId w:val="80"/>
              </w:numPr>
              <w:autoSpaceDE w:val="0"/>
              <w:autoSpaceDN w:val="0"/>
              <w:ind w:left="3402" w:hanging="567"/>
              <w:outlineLvl w:val="0"/>
              <w:rPr>
                <w:rFonts w:ascii="Bookman Old Style" w:hAnsi="Bookman Old Style"/>
                <w:sz w:val="20"/>
                <w:szCs w:val="20"/>
              </w:rPr>
            </w:pPr>
            <w:r w:rsidRPr="000306A8">
              <w:rPr>
                <w:rFonts w:ascii="Bookman Old Style" w:hAnsi="Bookman Old Style"/>
                <w:sz w:val="20"/>
                <w:szCs w:val="20"/>
              </w:rPr>
              <w:t xml:space="preserve">nasabah pendanaan </w:t>
            </w:r>
            <w:r w:rsidRPr="000306A8">
              <w:rPr>
                <w:rFonts w:ascii="Bookman Old Style" w:hAnsi="Bookman Old Style"/>
                <w:i/>
                <w:sz w:val="20"/>
                <w:szCs w:val="20"/>
              </w:rPr>
              <w:t>non-Displace Commercial Risk</w:t>
            </w:r>
            <w:r w:rsidRPr="000306A8">
              <w:rPr>
                <w:rFonts w:ascii="Bookman Old Style" w:hAnsi="Bookman Old Style"/>
                <w:sz w:val="20"/>
                <w:szCs w:val="20"/>
              </w:rPr>
              <w:t xml:space="preserve"> (DCR) dan nasabah DCR dengan perataan bagi hasil.</w:t>
            </w:r>
          </w:p>
          <w:p w14:paraId="42F2D0D4" w14:textId="77777777" w:rsidR="000306A8" w:rsidRPr="000306A8" w:rsidRDefault="000306A8" w:rsidP="000306A8">
            <w:pPr>
              <w:pStyle w:val="BodyText"/>
              <w:ind w:left="3402" w:right="-1"/>
              <w:outlineLvl w:val="0"/>
              <w:rPr>
                <w:rFonts w:ascii="Bookman Old Style" w:hAnsi="Bookman Old Style"/>
                <w:sz w:val="20"/>
                <w:szCs w:val="20"/>
              </w:rPr>
            </w:pPr>
            <w:r w:rsidRPr="000306A8">
              <w:rPr>
                <w:rFonts w:ascii="Bookman Old Style" w:hAnsi="Bookman Old Style"/>
                <w:sz w:val="20"/>
                <w:szCs w:val="20"/>
              </w:rPr>
              <w:t>Contoh rekening Simpanan yang digunakan untuk keperluan transaksi secara rutin antara lain rekening untuk penerimaan penghasilan baik berupa gaji atau hasil usaha.</w:t>
            </w:r>
          </w:p>
          <w:p w14:paraId="784222B7"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Hubungan atau keterkaitan dengan Bank antara lain:</w:t>
            </w:r>
          </w:p>
          <w:p w14:paraId="1C3AAE2F" w14:textId="77777777" w:rsidR="000306A8" w:rsidRPr="000306A8" w:rsidRDefault="000306A8" w:rsidP="00A32F86">
            <w:pPr>
              <w:pStyle w:val="Default"/>
              <w:numPr>
                <w:ilvl w:val="0"/>
                <w:numId w:val="78"/>
              </w:numPr>
              <w:spacing w:after="0" w:line="240" w:lineRule="auto"/>
              <w:ind w:left="3402" w:right="-1" w:hanging="567"/>
              <w:jc w:val="both"/>
              <w:rPr>
                <w:color w:val="auto"/>
                <w:sz w:val="20"/>
                <w:szCs w:val="20"/>
              </w:rPr>
            </w:pPr>
            <w:r w:rsidRPr="000306A8">
              <w:rPr>
                <w:color w:val="auto"/>
                <w:sz w:val="20"/>
                <w:szCs w:val="20"/>
              </w:rPr>
              <w:t xml:space="preserve">nasabah mempunyai paling sedikit 1 (satu) produk aktif tambahan selain fasilitas kredit dengan Bank; </w:t>
            </w:r>
          </w:p>
          <w:p w14:paraId="1239038A" w14:textId="77777777" w:rsidR="000306A8" w:rsidRPr="000306A8" w:rsidRDefault="000306A8" w:rsidP="00A32F86">
            <w:pPr>
              <w:pStyle w:val="Default"/>
              <w:numPr>
                <w:ilvl w:val="0"/>
                <w:numId w:val="78"/>
              </w:numPr>
              <w:spacing w:after="0" w:line="240" w:lineRule="auto"/>
              <w:ind w:left="3402" w:hanging="567"/>
              <w:jc w:val="both"/>
              <w:rPr>
                <w:color w:val="auto"/>
                <w:sz w:val="20"/>
                <w:szCs w:val="20"/>
              </w:rPr>
            </w:pPr>
            <w:r w:rsidRPr="000306A8">
              <w:rPr>
                <w:color w:val="auto"/>
                <w:sz w:val="20"/>
                <w:szCs w:val="20"/>
              </w:rPr>
              <w:t xml:space="preserve">nasabah memperoleh fasilitas pembiayaan dari Bank dengan jangka waktu lebih dari 3 (tiga) bulan; dan/atau </w:t>
            </w:r>
          </w:p>
          <w:p w14:paraId="30497D08" w14:textId="77777777" w:rsidR="000306A8" w:rsidRPr="000306A8" w:rsidRDefault="000306A8" w:rsidP="00A32F86">
            <w:pPr>
              <w:pStyle w:val="Default"/>
              <w:numPr>
                <w:ilvl w:val="0"/>
                <w:numId w:val="78"/>
              </w:numPr>
              <w:spacing w:after="0" w:line="240" w:lineRule="auto"/>
              <w:ind w:left="3402" w:hanging="567"/>
              <w:jc w:val="both"/>
              <w:rPr>
                <w:color w:val="auto"/>
                <w:sz w:val="20"/>
                <w:szCs w:val="20"/>
              </w:rPr>
            </w:pPr>
            <w:r w:rsidRPr="000306A8">
              <w:rPr>
                <w:sz w:val="20"/>
                <w:szCs w:val="20"/>
                <w:lang w:val="en-US"/>
              </w:rPr>
              <w:t>nasabah adalah pihak terkait Bank atau pihak terkait sebagaimana diatur dalam ketentuan yang mengatur mengenai batas maksimum penyaluran dana bank umum Syariah.</w:t>
            </w:r>
          </w:p>
          <w:p w14:paraId="0E4E62B8"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Besarnya tingkat penarikan untuk pendanaan nasabah perorangan yang termasuk dalam Pendanaan stabil ditetapkan 5% (lima persen) dari nilai Pendanaan stabil.</w:t>
            </w:r>
          </w:p>
          <w:p w14:paraId="702DD2E8"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Skema penjaminan dari LPS yang diakui apabila memenuhi persyaratan:</w:t>
            </w:r>
          </w:p>
          <w:p w14:paraId="2900F29D" w14:textId="77777777" w:rsidR="000306A8" w:rsidRPr="000306A8" w:rsidRDefault="000306A8" w:rsidP="00A32F86">
            <w:pPr>
              <w:pStyle w:val="BodyText"/>
              <w:widowControl w:val="0"/>
              <w:numPr>
                <w:ilvl w:val="0"/>
                <w:numId w:val="77"/>
              </w:numPr>
              <w:autoSpaceDE w:val="0"/>
              <w:autoSpaceDN w:val="0"/>
              <w:ind w:left="3402" w:right="-1" w:hanging="567"/>
              <w:outlineLvl w:val="0"/>
              <w:rPr>
                <w:rFonts w:ascii="Bookman Old Style" w:hAnsi="Bookman Old Style"/>
                <w:sz w:val="20"/>
                <w:szCs w:val="20"/>
              </w:rPr>
            </w:pPr>
            <w:r w:rsidRPr="000306A8">
              <w:rPr>
                <w:rFonts w:ascii="Bookman Old Style" w:hAnsi="Bookman Old Style"/>
                <w:sz w:val="20"/>
                <w:szCs w:val="20"/>
              </w:rPr>
              <w:t>memiliki kemampuan untuk melakukan pembayaran segera;</w:t>
            </w:r>
          </w:p>
          <w:p w14:paraId="24682CE8" w14:textId="77777777" w:rsidR="000306A8" w:rsidRPr="000306A8" w:rsidRDefault="000306A8" w:rsidP="00A32F86">
            <w:pPr>
              <w:pStyle w:val="BodyText"/>
              <w:widowControl w:val="0"/>
              <w:numPr>
                <w:ilvl w:val="0"/>
                <w:numId w:val="77"/>
              </w:numPr>
              <w:autoSpaceDE w:val="0"/>
              <w:autoSpaceDN w:val="0"/>
              <w:ind w:left="3402" w:right="-1" w:hanging="567"/>
              <w:outlineLvl w:val="0"/>
              <w:rPr>
                <w:rFonts w:ascii="Bookman Old Style" w:hAnsi="Bookman Old Style"/>
                <w:sz w:val="20"/>
                <w:szCs w:val="20"/>
              </w:rPr>
            </w:pPr>
            <w:r w:rsidRPr="000306A8">
              <w:rPr>
                <w:rFonts w:ascii="Bookman Old Style" w:hAnsi="Bookman Old Style"/>
                <w:sz w:val="20"/>
                <w:szCs w:val="20"/>
              </w:rPr>
              <w:lastRenderedPageBreak/>
              <w:t>kriteria penjaminan dapat didefinisikan dengan jelas; dan</w:t>
            </w:r>
          </w:p>
          <w:p w14:paraId="4B8F78C7" w14:textId="77777777" w:rsidR="000306A8" w:rsidRPr="000306A8" w:rsidRDefault="000306A8" w:rsidP="00A32F86">
            <w:pPr>
              <w:pStyle w:val="BodyText"/>
              <w:widowControl w:val="0"/>
              <w:numPr>
                <w:ilvl w:val="0"/>
                <w:numId w:val="77"/>
              </w:numPr>
              <w:autoSpaceDE w:val="0"/>
              <w:autoSpaceDN w:val="0"/>
              <w:ind w:left="3402" w:right="-1" w:hanging="567"/>
              <w:outlineLvl w:val="0"/>
              <w:rPr>
                <w:rFonts w:ascii="Bookman Old Style" w:hAnsi="Bookman Old Style"/>
                <w:sz w:val="20"/>
                <w:szCs w:val="20"/>
              </w:rPr>
            </w:pPr>
            <w:r w:rsidRPr="000306A8">
              <w:rPr>
                <w:rFonts w:ascii="Bookman Old Style" w:hAnsi="Bookman Old Style"/>
                <w:sz w:val="20"/>
                <w:szCs w:val="20"/>
              </w:rPr>
              <w:t>kesadaran publik akan program penjaminan tersebut tinggi.</w:t>
            </w:r>
          </w:p>
          <w:p w14:paraId="5A19427B"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Kriteria simpanan yang memenuhi kriteria penjaminan mengacu pada ketentuan Lembaga Penjamin Simpanan.</w:t>
            </w:r>
          </w:p>
          <w:p w14:paraId="161860DF" w14:textId="77777777" w:rsidR="000306A8" w:rsidRPr="000306A8" w:rsidRDefault="000306A8" w:rsidP="00A32F86">
            <w:pPr>
              <w:pStyle w:val="BodyText"/>
              <w:widowControl w:val="0"/>
              <w:numPr>
                <w:ilvl w:val="0"/>
                <w:numId w:val="79"/>
              </w:numPr>
              <w:autoSpaceDE w:val="0"/>
              <w:autoSpaceDN w:val="0"/>
              <w:ind w:left="2835" w:hanging="567"/>
              <w:outlineLvl w:val="0"/>
              <w:rPr>
                <w:rFonts w:ascii="Bookman Old Style" w:hAnsi="Bookman Old Style"/>
                <w:sz w:val="20"/>
                <w:szCs w:val="20"/>
              </w:rPr>
            </w:pPr>
            <w:r w:rsidRPr="000306A8">
              <w:rPr>
                <w:rFonts w:ascii="Bookman Old Style" w:hAnsi="Bookman Old Style"/>
                <w:sz w:val="20"/>
                <w:szCs w:val="20"/>
              </w:rPr>
              <w:t>Pendanaan kurang stabil</w:t>
            </w:r>
          </w:p>
          <w:p w14:paraId="40490BFA"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Pendanaan</w:t>
            </w:r>
            <w:r w:rsidRPr="000306A8">
              <w:rPr>
                <w:rFonts w:ascii="Bookman Old Style" w:hAnsi="Bookman Old Style"/>
                <w:color w:val="2E74B5" w:themeColor="accent5" w:themeShade="BF"/>
                <w:sz w:val="20"/>
                <w:szCs w:val="20"/>
              </w:rPr>
              <w:t xml:space="preserve"> </w:t>
            </w:r>
            <w:r w:rsidRPr="000306A8">
              <w:rPr>
                <w:rFonts w:ascii="Bookman Old Style" w:hAnsi="Bookman Old Style"/>
                <w:sz w:val="20"/>
                <w:szCs w:val="20"/>
              </w:rPr>
              <w:t>kurang stabil adalah pendanaan nasabah perorangan yang tidak memenuhi persyaratan pada pendanaan stabil sebagaimana pada angka 1). Apabila Bank tidak dapat mengidentifikasi Pendanaan nasabah perorangan yang termasuk dalam kriteria stabil maka Pendanaan nasabah perorangan tersebut seluruhnya harus diklasifikasikan sebagai Pendanaan kurang stabil. Besarnya tingkat penarikan untuk Pendanaan nasabah perorangan yang termasuk dalam Pendanaan kurang stabil ditetapkan 10% (sepuluh persen) dari nilai Pendanaan kurang stabil.</w:t>
            </w:r>
          </w:p>
          <w:p w14:paraId="4D5D3BCE" w14:textId="77777777" w:rsidR="000306A8" w:rsidRPr="000306A8" w:rsidRDefault="000306A8" w:rsidP="000306A8">
            <w:pPr>
              <w:pStyle w:val="BodyText"/>
              <w:ind w:left="2835" w:right="-1"/>
              <w:outlineLvl w:val="0"/>
              <w:rPr>
                <w:rFonts w:ascii="Bookman Old Style" w:hAnsi="Bookman Old Style"/>
                <w:sz w:val="20"/>
                <w:szCs w:val="20"/>
              </w:rPr>
            </w:pPr>
            <w:r w:rsidRPr="000306A8">
              <w:rPr>
                <w:rFonts w:ascii="Bookman Old Style" w:hAnsi="Bookman Old Style"/>
                <w:sz w:val="20"/>
                <w:szCs w:val="20"/>
              </w:rPr>
              <w:t>Dalam hal ini, Otoritas Jasa Keuangan berwenang menetapkan tingkat penarikan yang lebih tinggi untuk Pendanaan nasabah perorangan yang termasuk dalam Pendanaan kurang stabil jika Otoritas Jasa Keuangan menilai tingkat penarikan untuk jenis Pendanaan tertentu lebih tinggi dibandingkan jenis Pendanaan lainnya.</w:t>
            </w:r>
          </w:p>
          <w:p w14:paraId="0CCC1A57" w14:textId="77777777" w:rsidR="000306A8" w:rsidRPr="000306A8" w:rsidRDefault="000306A8" w:rsidP="00A32F86">
            <w:pPr>
              <w:pStyle w:val="BodyText"/>
              <w:widowControl w:val="0"/>
              <w:numPr>
                <w:ilvl w:val="0"/>
                <w:numId w:val="79"/>
              </w:numPr>
              <w:autoSpaceDE w:val="0"/>
              <w:autoSpaceDN w:val="0"/>
              <w:ind w:left="2835" w:hanging="567"/>
              <w:outlineLvl w:val="0"/>
              <w:rPr>
                <w:rFonts w:ascii="Bookman Old Style" w:hAnsi="Bookman Old Style"/>
                <w:sz w:val="20"/>
                <w:szCs w:val="20"/>
              </w:rPr>
            </w:pPr>
            <w:r w:rsidRPr="000306A8">
              <w:rPr>
                <w:rFonts w:ascii="Bookman Old Style" w:hAnsi="Bookman Old Style"/>
                <w:sz w:val="20"/>
                <w:szCs w:val="20"/>
              </w:rPr>
              <w:t xml:space="preserve">Pendanaan kurang stabil </w:t>
            </w:r>
            <w:r w:rsidRPr="000306A8">
              <w:rPr>
                <w:rFonts w:ascii="Bookman Old Style" w:hAnsi="Bookman Old Style" w:cs="Arial"/>
                <w:sz w:val="20"/>
                <w:szCs w:val="20"/>
              </w:rPr>
              <w:t xml:space="preserve">dari nasabah perorangan </w:t>
            </w:r>
            <w:r w:rsidRPr="000306A8">
              <w:rPr>
                <w:rFonts w:ascii="Bookman Old Style" w:hAnsi="Bookman Old Style" w:cs="Arial"/>
                <w:i/>
                <w:sz w:val="20"/>
                <w:szCs w:val="20"/>
              </w:rPr>
              <w:t>Displaced Commercial Risk</w:t>
            </w:r>
            <w:r w:rsidRPr="000306A8">
              <w:rPr>
                <w:rFonts w:ascii="Bookman Old Style" w:hAnsi="Bookman Old Style" w:cs="Arial"/>
                <w:sz w:val="20"/>
                <w:szCs w:val="20"/>
              </w:rPr>
              <w:t xml:space="preserve"> (DCR) tanpa perataan bagi hasil</w:t>
            </w:r>
          </w:p>
          <w:p w14:paraId="78DA353F" w14:textId="6639B070" w:rsidR="000306A8" w:rsidRPr="000306A8" w:rsidRDefault="000306A8" w:rsidP="000306A8">
            <w:pPr>
              <w:pStyle w:val="BodyText"/>
              <w:widowControl w:val="0"/>
              <w:autoSpaceDE w:val="0"/>
              <w:autoSpaceDN w:val="0"/>
              <w:ind w:left="2835"/>
              <w:outlineLvl w:val="0"/>
              <w:rPr>
                <w:rFonts w:ascii="Bookman Old Style" w:hAnsi="Bookman Old Style"/>
                <w:sz w:val="20"/>
                <w:szCs w:val="20"/>
              </w:rPr>
            </w:pPr>
            <w:r w:rsidRPr="000306A8">
              <w:rPr>
                <w:rFonts w:ascii="Bookman Old Style" w:hAnsi="Bookman Old Style"/>
                <w:sz w:val="20"/>
                <w:szCs w:val="20"/>
              </w:rPr>
              <w:t xml:space="preserve">Pendanaan kurang stabil </w:t>
            </w:r>
            <w:r w:rsidRPr="000306A8">
              <w:rPr>
                <w:rFonts w:ascii="Bookman Old Style" w:hAnsi="Bookman Old Style" w:cs="Arial"/>
                <w:sz w:val="20"/>
                <w:szCs w:val="20"/>
              </w:rPr>
              <w:t xml:space="preserve">dari nasabah perorangan </w:t>
            </w:r>
            <w:r w:rsidRPr="000306A8">
              <w:rPr>
                <w:rFonts w:ascii="Bookman Old Style" w:hAnsi="Bookman Old Style" w:cs="Arial"/>
                <w:i/>
                <w:sz w:val="20"/>
                <w:szCs w:val="20"/>
              </w:rPr>
              <w:t xml:space="preserve">Displaced </w:t>
            </w:r>
            <w:r w:rsidRPr="000306A8">
              <w:rPr>
                <w:rFonts w:ascii="Bookman Old Style" w:hAnsi="Bookman Old Style"/>
                <w:sz w:val="20"/>
                <w:szCs w:val="20"/>
              </w:rPr>
              <w:t>Commercial</w:t>
            </w:r>
            <w:r w:rsidRPr="000306A8">
              <w:rPr>
                <w:rFonts w:ascii="Bookman Old Style" w:hAnsi="Bookman Old Style" w:cs="Arial"/>
                <w:i/>
                <w:sz w:val="20"/>
                <w:szCs w:val="20"/>
              </w:rPr>
              <w:t xml:space="preserve"> Risk</w:t>
            </w:r>
            <w:r w:rsidRPr="000306A8">
              <w:rPr>
                <w:rFonts w:ascii="Bookman Old Style" w:hAnsi="Bookman Old Style" w:cs="Arial"/>
                <w:sz w:val="20"/>
                <w:szCs w:val="20"/>
              </w:rPr>
              <w:t xml:space="preserve"> (DCR) tanpa perataan bagi hasil adalah pendanaan kurang stabil nasabah perorangan sebagaimana definisi pada angka 2) yang memiliki r</w:t>
            </w:r>
            <w:r w:rsidRPr="000306A8">
              <w:rPr>
                <w:rFonts w:ascii="Bookman Old Style" w:hAnsi="Bookman Old Style"/>
                <w:sz w:val="20"/>
                <w:szCs w:val="20"/>
              </w:rPr>
              <w:t xml:space="preserve">isiko dimana Bank harus membayarkan imbalan yang lebih tinggi dibandingkan dengan hasil yang diperoleh Bank dari penyaluran dana. </w:t>
            </w:r>
            <w:r w:rsidRPr="000306A8">
              <w:rPr>
                <w:rFonts w:ascii="Bookman Old Style" w:hAnsi="Bookman Old Style"/>
                <w:i/>
                <w:sz w:val="20"/>
                <w:szCs w:val="20"/>
              </w:rPr>
              <w:t>Displaced commercial risk</w:t>
            </w:r>
            <w:r w:rsidRPr="000306A8">
              <w:rPr>
                <w:rFonts w:ascii="Bookman Old Style" w:hAnsi="Bookman Old Style"/>
                <w:sz w:val="20"/>
                <w:szCs w:val="20"/>
              </w:rPr>
              <w:t xml:space="preserve"> diakibatkan tidak sebandingnya imbalan produk Pendanaan Bank terhadap suku bunga produk bank konvensional. </w:t>
            </w:r>
          </w:p>
          <w:p w14:paraId="6B90371C" w14:textId="62FC01B4" w:rsidR="000306A8" w:rsidRPr="000306A8" w:rsidRDefault="000306A8" w:rsidP="000306A8">
            <w:pPr>
              <w:pStyle w:val="BodyText"/>
              <w:widowControl w:val="0"/>
              <w:autoSpaceDE w:val="0"/>
              <w:autoSpaceDN w:val="0"/>
              <w:ind w:left="2835"/>
              <w:outlineLvl w:val="0"/>
              <w:rPr>
                <w:rFonts w:ascii="Bookman Old Style" w:eastAsiaTheme="minorHAnsi" w:hAnsi="Bookman Old Style" w:cs="Montserrat-Regular"/>
                <w:sz w:val="20"/>
                <w:szCs w:val="20"/>
                <w:lang w:val="en-ID"/>
              </w:rPr>
            </w:pPr>
            <w:r w:rsidRPr="000306A8">
              <w:rPr>
                <w:rFonts w:ascii="Bookman Old Style" w:eastAsiaTheme="minorHAnsi" w:hAnsi="Bookman Old Style" w:cs="Montserrat-Regular"/>
                <w:sz w:val="20"/>
                <w:szCs w:val="20"/>
                <w:lang w:val="en-ID"/>
              </w:rPr>
              <w:t>Perataan Bagi Hasil adalah metode pengaturan pengakuan atau pengungkapan laba/penghasilan dengan cara menahan sebagian hak salah satu pihak atau para pihak untuk diberikan kepada salah satu pihak lainnya atau para pihak dengan tujuan mengurangi fluktuasi yang berlebihan atas bagi hasil antara</w:t>
            </w:r>
            <w:r w:rsidRPr="000306A8">
              <w:rPr>
                <w:rFonts w:ascii="Bookman Old Style" w:hAnsi="Bookman Old Style"/>
                <w:sz w:val="20"/>
                <w:szCs w:val="20"/>
              </w:rPr>
              <w:t xml:space="preserve"> </w:t>
            </w:r>
            <w:r w:rsidRPr="000306A8">
              <w:rPr>
                <w:rFonts w:ascii="Bookman Old Style" w:eastAsiaTheme="minorHAnsi" w:hAnsi="Bookman Old Style" w:cs="Montserrat-Regular"/>
                <w:sz w:val="20"/>
                <w:szCs w:val="20"/>
                <w:lang w:val="en-ID"/>
              </w:rPr>
              <w:t>Bank dan nasabah Pendanaan.</w:t>
            </w:r>
          </w:p>
        </w:tc>
        <w:tc>
          <w:tcPr>
            <w:tcW w:w="3686" w:type="dxa"/>
            <w:shd w:val="clear" w:color="auto" w:fill="auto"/>
            <w:vAlign w:val="center"/>
          </w:tcPr>
          <w:p w14:paraId="169F1746" w14:textId="77777777" w:rsidR="000306A8" w:rsidRPr="00B03AEA" w:rsidRDefault="000306A8"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04C93B2" w14:textId="77777777" w:rsidR="000306A8" w:rsidRPr="00B03AEA" w:rsidRDefault="000306A8" w:rsidP="00D3094F">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306A8" w:rsidRPr="000B616B" w14:paraId="3BCC3C8F" w14:textId="77777777" w:rsidTr="00B03AEA">
        <w:trPr>
          <w:trHeight w:val="564"/>
          <w:tblHeader/>
        </w:trPr>
        <w:tc>
          <w:tcPr>
            <w:tcW w:w="9634" w:type="dxa"/>
            <w:shd w:val="clear" w:color="auto" w:fill="auto"/>
            <w:vAlign w:val="center"/>
          </w:tcPr>
          <w:p w14:paraId="08DDFC3A" w14:textId="77777777" w:rsidR="000306A8" w:rsidRPr="000B616B" w:rsidRDefault="000306A8" w:rsidP="00A32F86">
            <w:pPr>
              <w:pStyle w:val="BodyText"/>
              <w:widowControl w:val="0"/>
              <w:numPr>
                <w:ilvl w:val="0"/>
                <w:numId w:val="73"/>
              </w:numPr>
              <w:autoSpaceDE w:val="0"/>
              <w:autoSpaceDN w:val="0"/>
              <w:ind w:left="1701" w:right="-1" w:hanging="567"/>
              <w:outlineLvl w:val="0"/>
              <w:rPr>
                <w:rFonts w:ascii="Bookman Old Style" w:hAnsi="Bookman Old Style"/>
                <w:sz w:val="20"/>
                <w:szCs w:val="20"/>
                <w:u w:val="single"/>
              </w:rPr>
            </w:pPr>
            <w:r w:rsidRPr="000B616B">
              <w:rPr>
                <w:rFonts w:ascii="Bookman Old Style" w:hAnsi="Bookman Old Style"/>
                <w:sz w:val="20"/>
                <w:szCs w:val="20"/>
                <w:u w:val="single"/>
              </w:rPr>
              <w:lastRenderedPageBreak/>
              <w:t>Pendanaan yang berasal dari nasabah Usaha Mikro dan Usaha Kecil</w:t>
            </w:r>
          </w:p>
          <w:p w14:paraId="4721F8A3" w14:textId="77777777" w:rsidR="000306A8" w:rsidRPr="000B616B" w:rsidRDefault="000306A8" w:rsidP="000B616B">
            <w:pPr>
              <w:pStyle w:val="BodyText"/>
              <w:ind w:left="1701" w:right="-1"/>
              <w:outlineLvl w:val="0"/>
              <w:rPr>
                <w:rFonts w:ascii="Bookman Old Style" w:hAnsi="Bookman Old Style"/>
                <w:sz w:val="20"/>
                <w:szCs w:val="20"/>
              </w:rPr>
            </w:pPr>
            <w:r w:rsidRPr="000B616B">
              <w:rPr>
                <w:rFonts w:ascii="Bookman Old Style" w:hAnsi="Bookman Old Style"/>
                <w:sz w:val="20"/>
                <w:szCs w:val="20"/>
              </w:rPr>
              <w:t xml:space="preserve">Usaha mikro dan usaha kecil adalah sebagaimana dimaksud dalam Undang-Undang yang mengatur mengenai usaha mikro, kecil, dan menengah. </w:t>
            </w:r>
          </w:p>
          <w:p w14:paraId="7D4C6E90" w14:textId="77777777" w:rsidR="000306A8" w:rsidRPr="000B616B" w:rsidRDefault="000306A8" w:rsidP="00A32F86">
            <w:pPr>
              <w:pStyle w:val="BodyText"/>
              <w:widowControl w:val="0"/>
              <w:numPr>
                <w:ilvl w:val="0"/>
                <w:numId w:val="81"/>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Pendanaan yang berasal dari nasabah Usaha Mikro dan Usaha Kecil yang diperhitungkan dalam LCR adalah:</w:t>
            </w:r>
          </w:p>
          <w:p w14:paraId="783A72FC" w14:textId="77777777" w:rsidR="000306A8" w:rsidRPr="000B616B" w:rsidRDefault="000306A8" w:rsidP="00A32F86">
            <w:pPr>
              <w:pStyle w:val="BodyText"/>
              <w:widowControl w:val="0"/>
              <w:numPr>
                <w:ilvl w:val="0"/>
                <w:numId w:val="82"/>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Pendanaan yang tidak sedang dijaminkan dan memiliki jangka waktu sampai dengan 30 (tiga puluh) hari;</w:t>
            </w:r>
          </w:p>
          <w:p w14:paraId="755A244E" w14:textId="77777777" w:rsidR="000306A8" w:rsidRPr="000B616B" w:rsidRDefault="000306A8" w:rsidP="00A32F86">
            <w:pPr>
              <w:pStyle w:val="BodyText"/>
              <w:widowControl w:val="0"/>
              <w:numPr>
                <w:ilvl w:val="0"/>
                <w:numId w:val="82"/>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 xml:space="preserve">Pendanaan yang tidak sedang dijaminkan dan memiliki jangka waktu lebih dari 30 (tiga puluh) hari namun dapat ditarik sewaktu-waktu oleh nasabah, tanpa adanya </w:t>
            </w:r>
            <w:r w:rsidRPr="000B616B">
              <w:rPr>
                <w:rFonts w:ascii="Bookman Old Style" w:hAnsi="Bookman Old Style"/>
                <w:i/>
                <w:sz w:val="20"/>
                <w:szCs w:val="20"/>
              </w:rPr>
              <w:t>ta’widh/ta’zir</w:t>
            </w:r>
            <w:r w:rsidRPr="000B616B">
              <w:rPr>
                <w:rFonts w:ascii="Bookman Old Style" w:hAnsi="Bookman Old Style"/>
                <w:sz w:val="20"/>
                <w:szCs w:val="20"/>
              </w:rPr>
              <w:t xml:space="preserve"> yang signifikan. </w:t>
            </w:r>
            <w:r w:rsidRPr="000B616B">
              <w:rPr>
                <w:rFonts w:ascii="Bookman Old Style" w:hAnsi="Bookman Old Style"/>
                <w:i/>
                <w:sz w:val="20"/>
                <w:szCs w:val="20"/>
              </w:rPr>
              <w:t>Ta’widh/ta’zir</w:t>
            </w:r>
            <w:r w:rsidRPr="000B616B">
              <w:rPr>
                <w:rFonts w:ascii="Bookman Old Style" w:hAnsi="Bookman Old Style"/>
                <w:sz w:val="20"/>
                <w:szCs w:val="20"/>
              </w:rPr>
              <w:t xml:space="preserve"> dikatakan signifikan apabila </w:t>
            </w:r>
            <w:r w:rsidRPr="000B616B">
              <w:rPr>
                <w:rFonts w:ascii="Bookman Old Style" w:hAnsi="Bookman Old Style"/>
                <w:i/>
                <w:sz w:val="20"/>
                <w:szCs w:val="20"/>
              </w:rPr>
              <w:t>ta’widh/ta’zir</w:t>
            </w:r>
            <w:r w:rsidRPr="000B616B">
              <w:rPr>
                <w:rFonts w:ascii="Bookman Old Style" w:hAnsi="Bookman Old Style"/>
                <w:sz w:val="20"/>
                <w:szCs w:val="20"/>
              </w:rPr>
              <w:t xml:space="preserve"> dimaksud lebih besar daripada imbalan Pendanaan sehingga memotong pokok Pendanaan; </w:t>
            </w:r>
          </w:p>
          <w:p w14:paraId="1E2FC0CB" w14:textId="77777777" w:rsidR="000306A8" w:rsidRPr="000B616B" w:rsidRDefault="000306A8" w:rsidP="00A32F86">
            <w:pPr>
              <w:pStyle w:val="BodyText"/>
              <w:widowControl w:val="0"/>
              <w:numPr>
                <w:ilvl w:val="0"/>
                <w:numId w:val="82"/>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Pendanaan yang sedang dijaminkan kepada Bank terkait dengan fasilitas pembiayaan, kecuali jika fasilitas pembiayaan yang diberikan:</w:t>
            </w:r>
          </w:p>
          <w:p w14:paraId="2903FA59" w14:textId="77777777" w:rsidR="000306A8" w:rsidRPr="000B616B" w:rsidRDefault="000306A8" w:rsidP="00A32F86">
            <w:pPr>
              <w:pStyle w:val="BodyText"/>
              <w:widowControl w:val="0"/>
              <w:numPr>
                <w:ilvl w:val="0"/>
                <w:numId w:val="83"/>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memiliki jangka waktu lebih dari 30 (tiga puluh) hari; dan</w:t>
            </w:r>
          </w:p>
          <w:p w14:paraId="18A7F091" w14:textId="77777777" w:rsidR="000306A8" w:rsidRPr="000B616B" w:rsidRDefault="000306A8" w:rsidP="00A32F86">
            <w:pPr>
              <w:pStyle w:val="BodyText"/>
              <w:widowControl w:val="0"/>
              <w:numPr>
                <w:ilvl w:val="0"/>
                <w:numId w:val="83"/>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terdapat perjanjian yang jelas dan mengikat bahwa Simpanan tidak dapat ditarik sebelum jangka waktu fasilitas kredit atau pinjaman berakhir</w:t>
            </w:r>
          </w:p>
          <w:p w14:paraId="7DC4A20B"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Jumlah Pendanaan yang dapat dikecualikan dari perhitungan arus kas keluar (</w:t>
            </w:r>
            <w:r w:rsidRPr="000B616B">
              <w:rPr>
                <w:rFonts w:ascii="Bookman Old Style" w:hAnsi="Bookman Old Style"/>
                <w:i/>
                <w:iCs/>
                <w:sz w:val="20"/>
                <w:szCs w:val="20"/>
              </w:rPr>
              <w:t>cash outflow</w:t>
            </w:r>
            <w:r w:rsidRPr="000B616B">
              <w:rPr>
                <w:rFonts w:ascii="Bookman Old Style" w:hAnsi="Bookman Old Style"/>
                <w:sz w:val="20"/>
                <w:szCs w:val="20"/>
              </w:rPr>
              <w:t xml:space="preserve">) paling tinggi sebesar </w:t>
            </w:r>
            <w:r w:rsidRPr="000B616B">
              <w:rPr>
                <w:rFonts w:ascii="Bookman Old Style" w:hAnsi="Bookman Old Style"/>
                <w:i/>
                <w:iCs/>
                <w:sz w:val="20"/>
                <w:szCs w:val="20"/>
              </w:rPr>
              <w:t xml:space="preserve">outstanding </w:t>
            </w:r>
            <w:r w:rsidRPr="000B616B">
              <w:rPr>
                <w:rFonts w:ascii="Bookman Old Style" w:hAnsi="Bookman Old Style"/>
                <w:sz w:val="20"/>
                <w:szCs w:val="20"/>
              </w:rPr>
              <w:t>dari fasilitas pembiayaan;</w:t>
            </w:r>
          </w:p>
          <w:p w14:paraId="7B89891D" w14:textId="77777777" w:rsidR="000306A8" w:rsidRPr="000B616B" w:rsidRDefault="000306A8" w:rsidP="00A32F86">
            <w:pPr>
              <w:pStyle w:val="BodyText"/>
              <w:widowControl w:val="0"/>
              <w:numPr>
                <w:ilvl w:val="0"/>
                <w:numId w:val="82"/>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Nasabah tergolong sebagai Usaha Mikro dan Usaha Kecil sebagaimana dimaksud dalam Undang-Undang yang mengatur mengenai usaha mikro, kecil, dan menengah; dan</w:t>
            </w:r>
          </w:p>
          <w:p w14:paraId="665E06F5" w14:textId="77777777" w:rsidR="000306A8" w:rsidRPr="000B616B" w:rsidRDefault="000306A8" w:rsidP="00A32F86">
            <w:pPr>
              <w:pStyle w:val="BodyText"/>
              <w:widowControl w:val="0"/>
              <w:numPr>
                <w:ilvl w:val="0"/>
                <w:numId w:val="82"/>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Total Pendanaan dari setiap nasabah paling tinggi Rp5.000.000.000,00 (lima miliar rupiah).</w:t>
            </w:r>
          </w:p>
          <w:p w14:paraId="403DD4B9" w14:textId="77777777" w:rsidR="000306A8" w:rsidRPr="000B616B" w:rsidRDefault="000306A8" w:rsidP="00A32F86">
            <w:pPr>
              <w:pStyle w:val="BodyText"/>
              <w:widowControl w:val="0"/>
              <w:numPr>
                <w:ilvl w:val="0"/>
                <w:numId w:val="82"/>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Dalam hal nasabah tidak tergolong sebagai Usaha Mikro dan Usaha Kecil sebagaimana dimaksud dalam Undang-Undang yang mengatur mengenai usaha mikro, kecil, dan menengah namun jumlah total Pendanaan nasabah sampai dengan Rp5.000.000.000,00 (lima miliar rupiah) dan diperlakukan seperti nasabah perorangan, dapat dikategorikan sebagai nasabah Usaha Mikro dan Usaha Kecil.</w:t>
            </w:r>
          </w:p>
          <w:p w14:paraId="1F169061" w14:textId="77777777" w:rsidR="000306A8" w:rsidRPr="000B616B" w:rsidRDefault="000306A8" w:rsidP="00A32F86">
            <w:pPr>
              <w:pStyle w:val="BodyText"/>
              <w:widowControl w:val="0"/>
              <w:numPr>
                <w:ilvl w:val="0"/>
                <w:numId w:val="81"/>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Pendanaan yang berasal dari nasabah Usaha Mikro dan Usaha Kecil wajib diklasifikasikan dalam:</w:t>
            </w:r>
          </w:p>
          <w:p w14:paraId="3FADA48B" w14:textId="77777777" w:rsidR="000306A8" w:rsidRPr="000B616B" w:rsidRDefault="000306A8" w:rsidP="00A32F86">
            <w:pPr>
              <w:pStyle w:val="BodyText"/>
              <w:widowControl w:val="0"/>
              <w:numPr>
                <w:ilvl w:val="0"/>
                <w:numId w:val="84"/>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Pendanaan stabil</w:t>
            </w:r>
          </w:p>
          <w:p w14:paraId="038E3108"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lastRenderedPageBreak/>
              <w:t>Pendanaan stabil adalah pendanaan yang memenuhi kriteria penjaminan oleh Lembaga Penjamin Simpanan dan memenuhi persyaratan:</w:t>
            </w:r>
          </w:p>
          <w:p w14:paraId="00FBACCB" w14:textId="77777777" w:rsidR="000306A8" w:rsidRPr="000B616B" w:rsidRDefault="000306A8" w:rsidP="00A32F86">
            <w:pPr>
              <w:pStyle w:val="BodyText"/>
              <w:widowControl w:val="0"/>
              <w:numPr>
                <w:ilvl w:val="0"/>
                <w:numId w:val="87"/>
              </w:numPr>
              <w:autoSpaceDE w:val="0"/>
              <w:autoSpaceDN w:val="0"/>
              <w:ind w:left="3402" w:hanging="567"/>
              <w:outlineLvl w:val="0"/>
              <w:rPr>
                <w:rFonts w:ascii="Bookman Old Style" w:hAnsi="Bookman Old Style"/>
                <w:sz w:val="20"/>
                <w:szCs w:val="20"/>
              </w:rPr>
            </w:pPr>
            <w:r w:rsidRPr="000B616B">
              <w:rPr>
                <w:rFonts w:ascii="Bookman Old Style" w:hAnsi="Bookman Old Style"/>
                <w:sz w:val="20"/>
                <w:szCs w:val="20"/>
              </w:rPr>
              <w:t xml:space="preserve">nasabah memiliki hubungan atau keterkaitan dengan Bank sehingga kemungkinan penarikan simpanan sangat kecil; </w:t>
            </w:r>
          </w:p>
          <w:p w14:paraId="522093A7" w14:textId="77777777" w:rsidR="000306A8" w:rsidRPr="000B616B" w:rsidRDefault="000306A8" w:rsidP="00A32F86">
            <w:pPr>
              <w:pStyle w:val="BodyText"/>
              <w:widowControl w:val="0"/>
              <w:numPr>
                <w:ilvl w:val="0"/>
                <w:numId w:val="87"/>
              </w:numPr>
              <w:autoSpaceDE w:val="0"/>
              <w:autoSpaceDN w:val="0"/>
              <w:ind w:left="3402" w:hanging="567"/>
              <w:outlineLvl w:val="0"/>
              <w:rPr>
                <w:rFonts w:ascii="Bookman Old Style" w:hAnsi="Bookman Old Style"/>
                <w:sz w:val="20"/>
                <w:szCs w:val="20"/>
              </w:rPr>
            </w:pPr>
            <w:r w:rsidRPr="000B616B">
              <w:rPr>
                <w:rFonts w:ascii="Bookman Old Style" w:hAnsi="Bookman Old Style"/>
                <w:sz w:val="20"/>
                <w:szCs w:val="20"/>
              </w:rPr>
              <w:t>rekening Simpanan digunakan untuk keperluan transaksi nasabah secara rutin; atau</w:t>
            </w:r>
          </w:p>
          <w:p w14:paraId="46CD5871" w14:textId="77777777" w:rsidR="000306A8" w:rsidRPr="000B616B" w:rsidRDefault="000306A8" w:rsidP="00A32F86">
            <w:pPr>
              <w:pStyle w:val="BodyText"/>
              <w:widowControl w:val="0"/>
              <w:numPr>
                <w:ilvl w:val="0"/>
                <w:numId w:val="87"/>
              </w:numPr>
              <w:autoSpaceDE w:val="0"/>
              <w:autoSpaceDN w:val="0"/>
              <w:ind w:left="3402" w:hanging="567"/>
              <w:outlineLvl w:val="0"/>
              <w:rPr>
                <w:rFonts w:ascii="Bookman Old Style" w:hAnsi="Bookman Old Style"/>
                <w:sz w:val="20"/>
                <w:szCs w:val="20"/>
              </w:rPr>
            </w:pPr>
            <w:r w:rsidRPr="000B616B">
              <w:rPr>
                <w:rFonts w:ascii="Bookman Old Style" w:hAnsi="Bookman Old Style"/>
                <w:sz w:val="20"/>
                <w:szCs w:val="20"/>
              </w:rPr>
              <w:t xml:space="preserve">nasabah Pendanaan </w:t>
            </w:r>
            <w:r w:rsidRPr="000B616B">
              <w:rPr>
                <w:rFonts w:ascii="Bookman Old Style" w:hAnsi="Bookman Old Style"/>
                <w:i/>
                <w:sz w:val="20"/>
                <w:szCs w:val="20"/>
              </w:rPr>
              <w:t>non-Displace Commercial Risk</w:t>
            </w:r>
            <w:r w:rsidRPr="000B616B">
              <w:rPr>
                <w:rFonts w:ascii="Bookman Old Style" w:hAnsi="Bookman Old Style"/>
                <w:sz w:val="20"/>
                <w:szCs w:val="20"/>
              </w:rPr>
              <w:t xml:space="preserve"> (DCR) dan nasabah DCR dengan perataan bagi hasil</w:t>
            </w:r>
          </w:p>
          <w:p w14:paraId="4EC6C622" w14:textId="77777777" w:rsidR="000306A8" w:rsidRPr="000B616B" w:rsidRDefault="000306A8" w:rsidP="000B616B">
            <w:pPr>
              <w:pStyle w:val="BodyText"/>
              <w:ind w:left="3402" w:right="-1"/>
              <w:outlineLvl w:val="0"/>
              <w:rPr>
                <w:rFonts w:ascii="Bookman Old Style" w:hAnsi="Bookman Old Style"/>
                <w:sz w:val="20"/>
                <w:szCs w:val="20"/>
              </w:rPr>
            </w:pPr>
            <w:r w:rsidRPr="000B616B">
              <w:rPr>
                <w:rFonts w:ascii="Bookman Old Style" w:hAnsi="Bookman Old Style"/>
                <w:sz w:val="20"/>
                <w:szCs w:val="20"/>
              </w:rPr>
              <w:t>Contoh rekening Simpanan yang digunakan untuk keperluan transaksi secara rutin antara lain rekening untuk penerimaan penghasilan baik berupa gaji atau hasil usaha.</w:t>
            </w:r>
          </w:p>
          <w:p w14:paraId="3AABF373"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Hubungan atau keterkaitan dengan Bank antara lain:</w:t>
            </w:r>
          </w:p>
          <w:p w14:paraId="71A7483C" w14:textId="77777777" w:rsidR="000306A8" w:rsidRPr="000B616B" w:rsidRDefault="000306A8" w:rsidP="00A32F86">
            <w:pPr>
              <w:pStyle w:val="Default"/>
              <w:numPr>
                <w:ilvl w:val="0"/>
                <w:numId w:val="86"/>
              </w:numPr>
              <w:spacing w:after="0" w:line="240" w:lineRule="auto"/>
              <w:ind w:left="3402" w:right="-1" w:hanging="567"/>
              <w:jc w:val="both"/>
              <w:rPr>
                <w:color w:val="auto"/>
                <w:sz w:val="20"/>
                <w:szCs w:val="20"/>
              </w:rPr>
            </w:pPr>
            <w:r w:rsidRPr="000B616B">
              <w:rPr>
                <w:color w:val="auto"/>
                <w:sz w:val="20"/>
                <w:szCs w:val="20"/>
              </w:rPr>
              <w:t xml:space="preserve">nasabah mempunyai paling sedikit 1 (satu) produk aktif tambahan selain fasilitas pembiayaan dengan Bank; </w:t>
            </w:r>
          </w:p>
          <w:p w14:paraId="398B0E3F" w14:textId="77777777" w:rsidR="000306A8" w:rsidRPr="000B616B" w:rsidRDefault="000306A8" w:rsidP="00A32F86">
            <w:pPr>
              <w:pStyle w:val="Default"/>
              <w:numPr>
                <w:ilvl w:val="0"/>
                <w:numId w:val="86"/>
              </w:numPr>
              <w:spacing w:after="0" w:line="240" w:lineRule="auto"/>
              <w:ind w:left="3402" w:right="-1" w:hanging="567"/>
              <w:jc w:val="both"/>
              <w:rPr>
                <w:color w:val="auto"/>
                <w:sz w:val="20"/>
                <w:szCs w:val="20"/>
              </w:rPr>
            </w:pPr>
            <w:r w:rsidRPr="000B616B">
              <w:rPr>
                <w:color w:val="auto"/>
                <w:sz w:val="20"/>
                <w:szCs w:val="20"/>
              </w:rPr>
              <w:t xml:space="preserve">nasabah memperoleh fasilitas pembiayaan dari Bank dengan jangka waktu lebih dari 3 (tiga) bulan; dan/atau </w:t>
            </w:r>
          </w:p>
          <w:p w14:paraId="26AE68D2" w14:textId="77777777" w:rsidR="000306A8" w:rsidRPr="000B616B" w:rsidRDefault="000306A8" w:rsidP="00A32F86">
            <w:pPr>
              <w:pStyle w:val="Default"/>
              <w:numPr>
                <w:ilvl w:val="0"/>
                <w:numId w:val="86"/>
              </w:numPr>
              <w:spacing w:after="0" w:line="240" w:lineRule="auto"/>
              <w:ind w:left="3402" w:right="-1" w:hanging="567"/>
              <w:jc w:val="both"/>
              <w:rPr>
                <w:sz w:val="20"/>
                <w:szCs w:val="20"/>
              </w:rPr>
            </w:pPr>
            <w:r w:rsidRPr="000B616B">
              <w:rPr>
                <w:color w:val="auto"/>
                <w:sz w:val="20"/>
                <w:szCs w:val="20"/>
              </w:rPr>
              <w:t>nasabah</w:t>
            </w:r>
            <w:r w:rsidRPr="000B616B">
              <w:rPr>
                <w:sz w:val="20"/>
                <w:szCs w:val="20"/>
                <w:lang w:val="en-US"/>
              </w:rPr>
              <w:t xml:space="preserve"> adalah pihak terkait Bank atau pihak terkait sebagaimana diatur dalam ketentuan yang mengatur mengenai batas maksimum penyaluran dana bank umum syariah.</w:t>
            </w:r>
          </w:p>
          <w:p w14:paraId="0BF80347"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Besarnya tingkat penarikan untuk pendanaan yang berasal dari nasabah Usaha Mikro dan Usaha Kecil yang termasuk dalam Pendanaan stabil ditetapkan 5% (lima persen) dari nilai Pendanaan stabil.</w:t>
            </w:r>
          </w:p>
          <w:p w14:paraId="44A27D1B"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Skema penjaminan dari LPS yang diakui apabial memenuhi persyaratan:</w:t>
            </w:r>
          </w:p>
          <w:p w14:paraId="28A64522" w14:textId="77777777" w:rsidR="000306A8" w:rsidRPr="000B616B" w:rsidRDefault="000306A8" w:rsidP="00A32F86">
            <w:pPr>
              <w:pStyle w:val="BodyText"/>
              <w:widowControl w:val="0"/>
              <w:numPr>
                <w:ilvl w:val="0"/>
                <w:numId w:val="8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memiliki kemampuan untuk melakukan pembayaran segera;</w:t>
            </w:r>
          </w:p>
          <w:p w14:paraId="0DB6F868" w14:textId="77777777" w:rsidR="000306A8" w:rsidRPr="000B616B" w:rsidRDefault="000306A8" w:rsidP="00A32F86">
            <w:pPr>
              <w:pStyle w:val="BodyText"/>
              <w:widowControl w:val="0"/>
              <w:numPr>
                <w:ilvl w:val="0"/>
                <w:numId w:val="8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kriteria penjaminan dapat didefinisikan dengan jelas; dan</w:t>
            </w:r>
          </w:p>
          <w:p w14:paraId="3F645319" w14:textId="77777777" w:rsidR="000306A8" w:rsidRPr="000B616B" w:rsidRDefault="000306A8" w:rsidP="00A32F86">
            <w:pPr>
              <w:pStyle w:val="BodyText"/>
              <w:widowControl w:val="0"/>
              <w:numPr>
                <w:ilvl w:val="0"/>
                <w:numId w:val="8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kesadaran publik akan program penjaminan tersebut tinggi.</w:t>
            </w:r>
          </w:p>
          <w:p w14:paraId="06D4AB18"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Kriteria simpanan yang memenuhi kriteria penjaminan mengacu pada ketentuan Lembaga Penjamin Simpanan.</w:t>
            </w:r>
          </w:p>
          <w:p w14:paraId="27B4765C" w14:textId="77777777" w:rsidR="000306A8" w:rsidRPr="000B616B" w:rsidRDefault="000306A8" w:rsidP="00A32F86">
            <w:pPr>
              <w:pStyle w:val="BodyText"/>
              <w:widowControl w:val="0"/>
              <w:numPr>
                <w:ilvl w:val="0"/>
                <w:numId w:val="84"/>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Pendanaan kurang stabil</w:t>
            </w:r>
          </w:p>
          <w:p w14:paraId="1BF68643" w14:textId="77777777"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 xml:space="preserve">Pendanaan kurang stabil adalah pendanaan nasabah yang berasal dari nasabah Usaha Mikro dan Usaha Kecil yang tidak memenuhi persyaratan pada pendanaan stabil sebagaimana pada angka 1). Besarnya tingkat penarikan untuk Pendanaan yang berasal dari nasabah Usaha Mikro dan Usaha Kecil yang termasuk dalam </w:t>
            </w:r>
            <w:r w:rsidRPr="000B616B">
              <w:rPr>
                <w:rFonts w:ascii="Bookman Old Style" w:hAnsi="Bookman Old Style"/>
                <w:sz w:val="20"/>
                <w:szCs w:val="20"/>
              </w:rPr>
              <w:lastRenderedPageBreak/>
              <w:t>Pendanaan kurang stabil ditetapkan 10% (sepuluh persen) dari nilai Pendanaan kurang stabil.</w:t>
            </w:r>
          </w:p>
          <w:p w14:paraId="7ACBA975" w14:textId="32705EED" w:rsidR="000306A8" w:rsidRPr="000B616B" w:rsidRDefault="000306A8"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 xml:space="preserve">Pendanaan kurang stabil </w:t>
            </w:r>
            <w:r w:rsidRPr="000B616B">
              <w:rPr>
                <w:rFonts w:ascii="Bookman Old Style" w:hAnsi="Bookman Old Style" w:cs="Arial"/>
                <w:sz w:val="20"/>
                <w:szCs w:val="20"/>
              </w:rPr>
              <w:t xml:space="preserve">dari nasabah </w:t>
            </w:r>
            <w:r w:rsidRPr="000B616B">
              <w:rPr>
                <w:rFonts w:ascii="Bookman Old Style" w:hAnsi="Bookman Old Style"/>
                <w:sz w:val="20"/>
                <w:szCs w:val="20"/>
              </w:rPr>
              <w:t>Usaha Mikro dan Usaha Kecil</w:t>
            </w:r>
            <w:r w:rsidRPr="000B616B">
              <w:rPr>
                <w:rFonts w:ascii="Bookman Old Style" w:hAnsi="Bookman Old Style" w:cs="Arial"/>
                <w:sz w:val="20"/>
                <w:szCs w:val="20"/>
              </w:rPr>
              <w:t xml:space="preserve"> </w:t>
            </w:r>
            <w:r w:rsidRPr="000B616B">
              <w:rPr>
                <w:rFonts w:ascii="Bookman Old Style" w:hAnsi="Bookman Old Style" w:cs="Arial"/>
                <w:i/>
                <w:sz w:val="20"/>
                <w:szCs w:val="20"/>
              </w:rPr>
              <w:t>Displaced Commercial Risk</w:t>
            </w:r>
            <w:r w:rsidRPr="000B616B">
              <w:rPr>
                <w:rFonts w:ascii="Bookman Old Style" w:hAnsi="Bookman Old Style" w:cs="Arial"/>
                <w:sz w:val="20"/>
                <w:szCs w:val="20"/>
              </w:rPr>
              <w:t xml:space="preserve"> (DCR) tanpa perataan bagi hasil</w:t>
            </w:r>
            <w:r w:rsidRPr="000B616B">
              <w:rPr>
                <w:rFonts w:ascii="Bookman Old Style" w:hAnsi="Bookman Old Style"/>
                <w:sz w:val="20"/>
                <w:szCs w:val="20"/>
              </w:rPr>
              <w:t xml:space="preserve"> </w:t>
            </w:r>
            <w:r w:rsidRPr="000B616B">
              <w:rPr>
                <w:rFonts w:ascii="Bookman Old Style" w:hAnsi="Bookman Old Style" w:cs="Arial"/>
                <w:sz w:val="20"/>
                <w:szCs w:val="20"/>
              </w:rPr>
              <w:t>sebagaimana definisi pada angka 1 huruf b angka 3)</w:t>
            </w:r>
            <w:r w:rsidRPr="000B616B">
              <w:rPr>
                <w:rFonts w:ascii="Bookman Old Style" w:hAnsi="Bookman Old Style"/>
                <w:sz w:val="20"/>
                <w:szCs w:val="20"/>
              </w:rPr>
              <w:t>.</w:t>
            </w:r>
          </w:p>
        </w:tc>
        <w:tc>
          <w:tcPr>
            <w:tcW w:w="3686" w:type="dxa"/>
            <w:shd w:val="clear" w:color="auto" w:fill="auto"/>
            <w:vAlign w:val="center"/>
          </w:tcPr>
          <w:p w14:paraId="7230F0B3" w14:textId="77777777" w:rsidR="000306A8" w:rsidRPr="000B616B" w:rsidRDefault="000306A8"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5A8F0554" w14:textId="77777777" w:rsidR="000306A8" w:rsidRPr="000B616B" w:rsidRDefault="000306A8"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73420E07" w14:textId="77777777" w:rsidTr="00B03AEA">
        <w:trPr>
          <w:trHeight w:val="564"/>
          <w:tblHeader/>
        </w:trPr>
        <w:tc>
          <w:tcPr>
            <w:tcW w:w="9634" w:type="dxa"/>
            <w:shd w:val="clear" w:color="auto" w:fill="auto"/>
            <w:vAlign w:val="center"/>
          </w:tcPr>
          <w:p w14:paraId="52DCCDE5" w14:textId="77777777" w:rsidR="000B616B" w:rsidRPr="000B616B" w:rsidRDefault="000B616B" w:rsidP="00A32F86">
            <w:pPr>
              <w:pStyle w:val="BodyText"/>
              <w:widowControl w:val="0"/>
              <w:numPr>
                <w:ilvl w:val="0"/>
                <w:numId w:val="73"/>
              </w:numPr>
              <w:autoSpaceDE w:val="0"/>
              <w:autoSpaceDN w:val="0"/>
              <w:ind w:left="1701" w:right="-1" w:hanging="567"/>
              <w:outlineLvl w:val="0"/>
              <w:rPr>
                <w:rFonts w:ascii="Bookman Old Style" w:hAnsi="Bookman Old Style"/>
                <w:sz w:val="20"/>
                <w:szCs w:val="20"/>
                <w:u w:val="single"/>
              </w:rPr>
            </w:pPr>
            <w:r w:rsidRPr="000B616B">
              <w:rPr>
                <w:rFonts w:ascii="Bookman Old Style" w:hAnsi="Bookman Old Style"/>
                <w:sz w:val="20"/>
                <w:szCs w:val="20"/>
                <w:u w:val="single"/>
              </w:rPr>
              <w:lastRenderedPageBreak/>
              <w:t>Pendanaan yang berasal dari nasabah korporasi</w:t>
            </w:r>
          </w:p>
          <w:p w14:paraId="7BD3B58F" w14:textId="77777777" w:rsidR="000B616B" w:rsidRPr="000B616B" w:rsidRDefault="000B616B" w:rsidP="000B616B">
            <w:pPr>
              <w:pStyle w:val="BodyText"/>
              <w:ind w:left="1701" w:right="-1"/>
              <w:outlineLvl w:val="0"/>
              <w:rPr>
                <w:rFonts w:ascii="Bookman Old Style" w:hAnsi="Bookman Old Style"/>
                <w:sz w:val="20"/>
                <w:szCs w:val="20"/>
              </w:rPr>
            </w:pPr>
            <w:r w:rsidRPr="000B616B">
              <w:rPr>
                <w:rFonts w:ascii="Bookman Old Style" w:hAnsi="Bookman Old Style"/>
                <w:sz w:val="20"/>
                <w:szCs w:val="20"/>
              </w:rPr>
              <w:t xml:space="preserve">Pendanaan yang berasal dari nasabah korporasi adalah kewajiban dan komitmen Bank kepada korporasi yang berbadan hukum, termasuk perusahaan perseorangan dan </w:t>
            </w:r>
            <w:r w:rsidRPr="000B616B">
              <w:rPr>
                <w:rFonts w:ascii="Bookman Old Style" w:hAnsi="Bookman Old Style"/>
                <w:i/>
                <w:iCs/>
                <w:sz w:val="20"/>
                <w:szCs w:val="20"/>
              </w:rPr>
              <w:t xml:space="preserve">partnership </w:t>
            </w:r>
            <w:r w:rsidRPr="000B616B">
              <w:rPr>
                <w:rFonts w:ascii="Bookman Old Style" w:hAnsi="Bookman Old Style"/>
                <w:sz w:val="20"/>
                <w:szCs w:val="20"/>
              </w:rPr>
              <w:t>yang tidak dijamin dengan suatu hak secara hukum atas aset tertentu yang dimiliki oleh Bank apabila terjadi kebangkrutan, ketidakmampuan memenuhi kewajiban (</w:t>
            </w:r>
            <w:r w:rsidRPr="000B616B">
              <w:rPr>
                <w:rFonts w:ascii="Bookman Old Style" w:hAnsi="Bookman Old Style"/>
                <w:i/>
                <w:iCs/>
                <w:sz w:val="20"/>
                <w:szCs w:val="20"/>
              </w:rPr>
              <w:t>insolvency</w:t>
            </w:r>
            <w:r w:rsidRPr="000B616B">
              <w:rPr>
                <w:rFonts w:ascii="Bookman Old Style" w:hAnsi="Bookman Old Style"/>
                <w:sz w:val="20"/>
                <w:szCs w:val="20"/>
              </w:rPr>
              <w:t>), likuidasi atau resolusi;</w:t>
            </w:r>
          </w:p>
          <w:p w14:paraId="03E93A52" w14:textId="77777777" w:rsidR="000B616B" w:rsidRPr="000B616B" w:rsidRDefault="000B616B" w:rsidP="00A32F86">
            <w:pPr>
              <w:pStyle w:val="BodyText"/>
              <w:widowControl w:val="0"/>
              <w:numPr>
                <w:ilvl w:val="0"/>
                <w:numId w:val="97"/>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Pendanaan nasabah korporasi yang diperhitungkan dalam LCR adalah pendanaan yang memenuhi persyaratan:</w:t>
            </w:r>
          </w:p>
          <w:p w14:paraId="256F0992" w14:textId="77777777" w:rsidR="000B616B" w:rsidRPr="000B616B" w:rsidRDefault="000B616B" w:rsidP="00A32F86">
            <w:pPr>
              <w:pStyle w:val="BodyText"/>
              <w:widowControl w:val="0"/>
              <w:numPr>
                <w:ilvl w:val="0"/>
                <w:numId w:val="98"/>
              </w:numPr>
              <w:autoSpaceDE w:val="0"/>
              <w:autoSpaceDN w:val="0"/>
              <w:ind w:left="2835" w:right="-1"/>
              <w:outlineLvl w:val="0"/>
              <w:rPr>
                <w:rFonts w:ascii="Bookman Old Style" w:hAnsi="Bookman Old Style"/>
                <w:sz w:val="20"/>
                <w:szCs w:val="20"/>
              </w:rPr>
            </w:pPr>
            <w:r w:rsidRPr="000B616B">
              <w:rPr>
                <w:rFonts w:ascii="Bookman Old Style" w:hAnsi="Bookman Old Style"/>
                <w:sz w:val="20"/>
                <w:szCs w:val="20"/>
              </w:rPr>
              <w:t>memiliki jangka waktu atau sisa jangka waktu sampai dengan 30 (tiga puluh) hari atau kurang, termasuk Pendanaan tanpa jangka waktu; atau</w:t>
            </w:r>
          </w:p>
          <w:p w14:paraId="2FCEFF34" w14:textId="77777777" w:rsidR="000B616B" w:rsidRPr="000B616B" w:rsidRDefault="000B616B" w:rsidP="00A32F86">
            <w:pPr>
              <w:pStyle w:val="BodyText"/>
              <w:widowControl w:val="0"/>
              <w:numPr>
                <w:ilvl w:val="0"/>
                <w:numId w:val="98"/>
              </w:numPr>
              <w:autoSpaceDE w:val="0"/>
              <w:autoSpaceDN w:val="0"/>
              <w:ind w:left="2835" w:right="-1"/>
              <w:outlineLvl w:val="0"/>
              <w:rPr>
                <w:rFonts w:ascii="Bookman Old Style" w:hAnsi="Bookman Old Style"/>
                <w:sz w:val="20"/>
                <w:szCs w:val="20"/>
              </w:rPr>
            </w:pPr>
            <w:r w:rsidRPr="000B616B">
              <w:rPr>
                <w:rFonts w:ascii="Bookman Old Style" w:hAnsi="Bookman Old Style"/>
                <w:sz w:val="20"/>
                <w:szCs w:val="20"/>
              </w:rPr>
              <w:t xml:space="preserve">Pendanaan dengan fitur </w:t>
            </w:r>
            <w:r w:rsidRPr="000B616B">
              <w:rPr>
                <w:rFonts w:ascii="Bookman Old Style" w:hAnsi="Bookman Old Style"/>
                <w:i/>
                <w:sz w:val="20"/>
                <w:szCs w:val="20"/>
              </w:rPr>
              <w:t>option</w:t>
            </w:r>
            <w:r w:rsidRPr="000B616B">
              <w:rPr>
                <w:rFonts w:ascii="Bookman Old Style" w:hAnsi="Bookman Old Style"/>
                <w:sz w:val="20"/>
                <w:szCs w:val="20"/>
              </w:rPr>
              <w:t xml:space="preserve"> yang dapat dicairkan oleh nasabah korporasi dalam jangka waktu 30 (tiga puluh) hari atau kurang.</w:t>
            </w:r>
          </w:p>
          <w:p w14:paraId="33214D93" w14:textId="77777777" w:rsidR="000B616B" w:rsidRPr="000B616B" w:rsidRDefault="000B616B" w:rsidP="000B616B">
            <w:pPr>
              <w:pStyle w:val="BodyText"/>
              <w:ind w:left="2268" w:right="-1"/>
              <w:outlineLvl w:val="0"/>
              <w:rPr>
                <w:rFonts w:ascii="Bookman Old Style" w:hAnsi="Bookman Old Style"/>
                <w:sz w:val="20"/>
                <w:szCs w:val="20"/>
              </w:rPr>
            </w:pPr>
            <w:r w:rsidRPr="000B616B">
              <w:rPr>
                <w:rFonts w:ascii="Bookman Old Style" w:hAnsi="Bookman Old Style"/>
                <w:sz w:val="20"/>
                <w:szCs w:val="20"/>
              </w:rPr>
              <w:t>Dalam hal terdapat perjanjian yang jelas dan mengikat bahwa nasabah korporasi hanya dapat melakukan penarikan Pendanaan setelah memberitahukan kepada Bank terlebih dahulu lebih dari 30 (tiga puluh) hari sebelum penarikan, Pendanaan yang berasal dari nasabah korporasi dapat dikecualikan dari perhitungan arus kas keluar (</w:t>
            </w:r>
            <w:r w:rsidRPr="000B616B">
              <w:rPr>
                <w:rFonts w:ascii="Bookman Old Style" w:hAnsi="Bookman Old Style"/>
                <w:i/>
                <w:sz w:val="20"/>
                <w:szCs w:val="20"/>
              </w:rPr>
              <w:t>cash outflow</w:t>
            </w:r>
            <w:r w:rsidRPr="000B616B">
              <w:rPr>
                <w:rFonts w:ascii="Bookman Old Style" w:hAnsi="Bookman Old Style"/>
                <w:sz w:val="20"/>
                <w:szCs w:val="20"/>
              </w:rPr>
              <w:t>).</w:t>
            </w:r>
          </w:p>
          <w:p w14:paraId="1FA9D885" w14:textId="77777777" w:rsidR="000B616B" w:rsidRPr="000B616B" w:rsidRDefault="000B616B" w:rsidP="00A32F86">
            <w:pPr>
              <w:pStyle w:val="BodyText"/>
              <w:widowControl w:val="0"/>
              <w:numPr>
                <w:ilvl w:val="0"/>
                <w:numId w:val="97"/>
              </w:numPr>
              <w:autoSpaceDE w:val="0"/>
              <w:autoSpaceDN w:val="0"/>
              <w:ind w:left="2268" w:right="-1"/>
              <w:outlineLvl w:val="0"/>
              <w:rPr>
                <w:rFonts w:ascii="Bookman Old Style" w:hAnsi="Bookman Old Style"/>
                <w:sz w:val="20"/>
                <w:szCs w:val="20"/>
              </w:rPr>
            </w:pPr>
            <w:r w:rsidRPr="000B616B">
              <w:rPr>
                <w:rFonts w:ascii="Bookman Old Style" w:hAnsi="Bookman Old Style"/>
                <w:sz w:val="20"/>
                <w:szCs w:val="20"/>
              </w:rPr>
              <w:t>Pendanaan yang berasal dari nasabah korporasi wajib diklasifikasikan dalam:</w:t>
            </w:r>
          </w:p>
          <w:p w14:paraId="51E4312B" w14:textId="77777777" w:rsidR="000B616B" w:rsidRPr="000B616B" w:rsidRDefault="000B616B" w:rsidP="00A32F86">
            <w:pPr>
              <w:pStyle w:val="BodyText"/>
              <w:widowControl w:val="0"/>
              <w:numPr>
                <w:ilvl w:val="0"/>
                <w:numId w:val="99"/>
              </w:numPr>
              <w:autoSpaceDE w:val="0"/>
              <w:autoSpaceDN w:val="0"/>
              <w:ind w:left="2835" w:right="-1"/>
              <w:outlineLvl w:val="0"/>
              <w:rPr>
                <w:rFonts w:ascii="Bookman Old Style" w:hAnsi="Bookman Old Style"/>
                <w:sz w:val="20"/>
                <w:szCs w:val="20"/>
              </w:rPr>
            </w:pPr>
            <w:r w:rsidRPr="000B616B">
              <w:rPr>
                <w:rFonts w:ascii="Bookman Old Style" w:hAnsi="Bookman Old Style"/>
                <w:sz w:val="20"/>
                <w:szCs w:val="20"/>
              </w:rPr>
              <w:t>Rekening operasional; atau</w:t>
            </w:r>
          </w:p>
          <w:p w14:paraId="3A3F2A12" w14:textId="77777777" w:rsidR="000B616B" w:rsidRPr="000B616B" w:rsidRDefault="000B616B"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Rekening operasional yang diperhitungkan dalam arus kas keluar, memenuhi persyaratan:</w:t>
            </w:r>
          </w:p>
          <w:p w14:paraId="243DBA26" w14:textId="77777777" w:rsidR="000B616B" w:rsidRPr="000B616B" w:rsidRDefault="000B616B" w:rsidP="00A32F86">
            <w:pPr>
              <w:pStyle w:val="BodyText"/>
              <w:widowControl w:val="0"/>
              <w:numPr>
                <w:ilvl w:val="0"/>
                <w:numId w:val="88"/>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 xml:space="preserve">digunakan nasabah korporasi untuk kegiatan kliring, kustodian atau </w:t>
            </w:r>
            <w:r w:rsidRPr="000B616B">
              <w:rPr>
                <w:rFonts w:ascii="Bookman Old Style" w:hAnsi="Bookman Old Style"/>
                <w:i/>
                <w:sz w:val="20"/>
                <w:szCs w:val="20"/>
              </w:rPr>
              <w:t>cash management</w:t>
            </w:r>
            <w:r w:rsidRPr="000B616B">
              <w:rPr>
                <w:rFonts w:ascii="Bookman Old Style" w:hAnsi="Bookman Old Style"/>
                <w:sz w:val="20"/>
                <w:szCs w:val="20"/>
              </w:rPr>
              <w:t xml:space="preserve"> yang memenuhi kriteria:</w:t>
            </w:r>
          </w:p>
          <w:p w14:paraId="6F1B13D3" w14:textId="77777777" w:rsidR="000B616B" w:rsidRPr="000B616B" w:rsidRDefault="000B616B" w:rsidP="00A32F86">
            <w:pPr>
              <w:pStyle w:val="BodyText"/>
              <w:widowControl w:val="0"/>
              <w:numPr>
                <w:ilvl w:val="0"/>
                <w:numId w:val="89"/>
              </w:numPr>
              <w:autoSpaceDE w:val="0"/>
              <w:autoSpaceDN w:val="0"/>
              <w:ind w:left="3969" w:right="-1" w:hanging="567"/>
              <w:outlineLvl w:val="0"/>
              <w:rPr>
                <w:rFonts w:ascii="Bookman Old Style" w:hAnsi="Bookman Old Style"/>
                <w:sz w:val="20"/>
                <w:szCs w:val="20"/>
              </w:rPr>
            </w:pPr>
            <w:r w:rsidRPr="000B616B">
              <w:rPr>
                <w:rFonts w:ascii="Bookman Old Style" w:hAnsi="Bookman Old Style"/>
                <w:sz w:val="20"/>
                <w:szCs w:val="20"/>
              </w:rPr>
              <w:t>merupakan Simpanan yang wajib ditempatkan oleh nasabah korporasi pada Bank untuk menggunakan jasa atau produk Bank lainnya;</w:t>
            </w:r>
          </w:p>
          <w:p w14:paraId="7CD4858D" w14:textId="77777777" w:rsidR="000B616B" w:rsidRPr="000B616B" w:rsidRDefault="000B616B" w:rsidP="000B616B">
            <w:pPr>
              <w:pStyle w:val="BodyText"/>
              <w:ind w:left="3969" w:right="-1"/>
              <w:outlineLvl w:val="0"/>
              <w:rPr>
                <w:rFonts w:ascii="Bookman Old Style" w:hAnsi="Bookman Old Style"/>
                <w:sz w:val="20"/>
                <w:szCs w:val="20"/>
              </w:rPr>
            </w:pPr>
            <w:r w:rsidRPr="000B616B">
              <w:rPr>
                <w:rFonts w:ascii="Bookman Old Style" w:hAnsi="Bookman Old Style"/>
                <w:sz w:val="20"/>
                <w:szCs w:val="20"/>
              </w:rPr>
              <w:t xml:space="preserve">Contoh Simpanan yang wajib ditempatkan oleh nasabah pada Bank untuk menggunakan jasa atau produk Bank antara lain </w:t>
            </w:r>
            <w:r w:rsidRPr="000B616B">
              <w:rPr>
                <w:rFonts w:ascii="Bookman Old Style" w:hAnsi="Bookman Old Style"/>
                <w:i/>
                <w:iCs/>
                <w:sz w:val="20"/>
                <w:szCs w:val="20"/>
              </w:rPr>
              <w:t xml:space="preserve">margin deposit </w:t>
            </w:r>
            <w:r w:rsidRPr="000B616B">
              <w:rPr>
                <w:rFonts w:ascii="Bookman Old Style" w:hAnsi="Bookman Old Style"/>
                <w:sz w:val="20"/>
                <w:szCs w:val="20"/>
              </w:rPr>
              <w:t xml:space="preserve">dalam rangka kegiatan kustodian, kewajiban saldo minimum dalam kegiatan </w:t>
            </w:r>
            <w:r w:rsidRPr="000B616B">
              <w:rPr>
                <w:rFonts w:ascii="Bookman Old Style" w:hAnsi="Bookman Old Style"/>
                <w:i/>
                <w:iCs/>
                <w:sz w:val="20"/>
                <w:szCs w:val="20"/>
              </w:rPr>
              <w:t xml:space="preserve">cash management </w:t>
            </w:r>
            <w:r w:rsidRPr="000B616B">
              <w:rPr>
                <w:rFonts w:ascii="Bookman Old Style" w:hAnsi="Bookman Old Style"/>
                <w:sz w:val="20"/>
                <w:szCs w:val="20"/>
              </w:rPr>
              <w:t>dan kliring.</w:t>
            </w:r>
          </w:p>
          <w:p w14:paraId="001474D4" w14:textId="77777777" w:rsidR="000B616B" w:rsidRPr="000B616B" w:rsidRDefault="000B616B" w:rsidP="00A32F86">
            <w:pPr>
              <w:pStyle w:val="BodyText"/>
              <w:widowControl w:val="0"/>
              <w:numPr>
                <w:ilvl w:val="0"/>
                <w:numId w:val="89"/>
              </w:numPr>
              <w:autoSpaceDE w:val="0"/>
              <w:autoSpaceDN w:val="0"/>
              <w:ind w:left="3969" w:right="-1" w:hanging="567"/>
              <w:outlineLvl w:val="0"/>
              <w:rPr>
                <w:rFonts w:ascii="Bookman Old Style" w:hAnsi="Bookman Old Style"/>
                <w:sz w:val="20"/>
                <w:szCs w:val="20"/>
              </w:rPr>
            </w:pPr>
            <w:r w:rsidRPr="000B616B">
              <w:rPr>
                <w:rFonts w:ascii="Bookman Old Style" w:hAnsi="Bookman Old Style"/>
                <w:sz w:val="20"/>
                <w:szCs w:val="20"/>
              </w:rPr>
              <w:lastRenderedPageBreak/>
              <w:t xml:space="preserve">nasabah korporasi bergantung secara signifikan kepada Bank untuk dapat menyediakan fasilitas kliring, kustodian atau </w:t>
            </w:r>
            <w:r w:rsidRPr="000B616B">
              <w:rPr>
                <w:rFonts w:ascii="Bookman Old Style" w:hAnsi="Bookman Old Style"/>
                <w:i/>
                <w:sz w:val="20"/>
                <w:szCs w:val="20"/>
              </w:rPr>
              <w:t>cash management</w:t>
            </w:r>
            <w:r w:rsidRPr="000B616B">
              <w:rPr>
                <w:rFonts w:ascii="Bookman Old Style" w:hAnsi="Bookman Old Style"/>
                <w:sz w:val="20"/>
                <w:szCs w:val="20"/>
              </w:rPr>
              <w:t xml:space="preserve"> selama 30 (tiga puluh) hari kedepan;</w:t>
            </w:r>
          </w:p>
          <w:p w14:paraId="2BD28D35" w14:textId="77777777" w:rsidR="000B616B" w:rsidRPr="000B616B" w:rsidRDefault="000B616B" w:rsidP="000B616B">
            <w:pPr>
              <w:pStyle w:val="BodyText"/>
              <w:ind w:left="3969" w:right="-1"/>
              <w:outlineLvl w:val="0"/>
              <w:rPr>
                <w:rFonts w:ascii="Bookman Old Style" w:hAnsi="Bookman Old Style"/>
                <w:sz w:val="20"/>
                <w:szCs w:val="20"/>
              </w:rPr>
            </w:pPr>
            <w:r w:rsidRPr="000B616B">
              <w:rPr>
                <w:rFonts w:ascii="Bookman Old Style" w:hAnsi="Bookman Old Style"/>
                <w:sz w:val="20"/>
                <w:szCs w:val="20"/>
              </w:rPr>
              <w:t xml:space="preserve">Bergantung secara signifikan adalah nasabah menggunakan rekening pada Bank tersebut sebagai rekening utama dalam melakukan kegiatan kliring, kustodian, dan/atau </w:t>
            </w:r>
            <w:r w:rsidRPr="000B616B">
              <w:rPr>
                <w:rFonts w:ascii="Bookman Old Style" w:hAnsi="Bookman Old Style"/>
                <w:i/>
                <w:iCs/>
                <w:sz w:val="20"/>
                <w:szCs w:val="20"/>
              </w:rPr>
              <w:t>cash management</w:t>
            </w:r>
            <w:r w:rsidRPr="000B616B">
              <w:rPr>
                <w:rFonts w:ascii="Bookman Old Style" w:hAnsi="Bookman Old Style"/>
                <w:sz w:val="20"/>
                <w:szCs w:val="20"/>
              </w:rPr>
              <w:t>. Otoritas Jasa Keuangan sewaktu-waktu dapat melakukan pemeriksaan terhadap penentuan rekening utama.</w:t>
            </w:r>
          </w:p>
          <w:p w14:paraId="477FF9D4" w14:textId="77777777" w:rsidR="000B616B" w:rsidRPr="000B616B" w:rsidRDefault="000B616B" w:rsidP="00A32F86">
            <w:pPr>
              <w:pStyle w:val="BodyText"/>
              <w:widowControl w:val="0"/>
              <w:numPr>
                <w:ilvl w:val="0"/>
                <w:numId w:val="89"/>
              </w:numPr>
              <w:autoSpaceDE w:val="0"/>
              <w:autoSpaceDN w:val="0"/>
              <w:ind w:left="3969" w:right="-1" w:hanging="567"/>
              <w:outlineLvl w:val="0"/>
              <w:rPr>
                <w:rFonts w:ascii="Bookman Old Style" w:hAnsi="Bookman Old Style"/>
                <w:sz w:val="20"/>
                <w:szCs w:val="20"/>
              </w:rPr>
            </w:pPr>
            <w:r w:rsidRPr="000B616B">
              <w:rPr>
                <w:rFonts w:ascii="Bookman Old Style" w:hAnsi="Bookman Old Style"/>
                <w:sz w:val="20"/>
                <w:szCs w:val="20"/>
              </w:rPr>
              <w:t xml:space="preserve">merupakan Simpanan yang digunakan sebagai prasyarat agar nasabah korporasi dapat menjalankan kegiatan kliring, kustodian atau </w:t>
            </w:r>
            <w:r w:rsidRPr="000B616B">
              <w:rPr>
                <w:rFonts w:ascii="Bookman Old Style" w:hAnsi="Bookman Old Style"/>
                <w:i/>
                <w:sz w:val="20"/>
                <w:szCs w:val="20"/>
              </w:rPr>
              <w:t>cash management</w:t>
            </w:r>
            <w:r w:rsidRPr="000B616B">
              <w:rPr>
                <w:rFonts w:ascii="Bookman Old Style" w:hAnsi="Bookman Old Style"/>
                <w:sz w:val="20"/>
                <w:szCs w:val="20"/>
              </w:rPr>
              <w:t>;</w:t>
            </w:r>
          </w:p>
          <w:p w14:paraId="13A01DC0" w14:textId="77777777" w:rsidR="000B616B" w:rsidRPr="000B616B" w:rsidRDefault="000B616B" w:rsidP="00A32F86">
            <w:pPr>
              <w:pStyle w:val="BodyText"/>
              <w:widowControl w:val="0"/>
              <w:numPr>
                <w:ilvl w:val="0"/>
                <w:numId w:val="89"/>
              </w:numPr>
              <w:autoSpaceDE w:val="0"/>
              <w:autoSpaceDN w:val="0"/>
              <w:ind w:left="3969" w:right="-1" w:hanging="567"/>
              <w:outlineLvl w:val="0"/>
              <w:rPr>
                <w:rFonts w:ascii="Bookman Old Style" w:hAnsi="Bookman Old Style"/>
                <w:sz w:val="20"/>
                <w:szCs w:val="20"/>
              </w:rPr>
            </w:pPr>
            <w:r w:rsidRPr="000B616B">
              <w:rPr>
                <w:rFonts w:ascii="Bookman Old Style" w:hAnsi="Bookman Old Style"/>
                <w:sz w:val="20"/>
                <w:szCs w:val="20"/>
              </w:rPr>
              <w:t>terdapat perjanjian yang mengikat secara hukum dengan nasabah korporasi; dan</w:t>
            </w:r>
          </w:p>
          <w:p w14:paraId="00A1F92A" w14:textId="77777777" w:rsidR="000B616B" w:rsidRPr="000B616B" w:rsidRDefault="000B616B" w:rsidP="00A32F86">
            <w:pPr>
              <w:pStyle w:val="BodyText"/>
              <w:widowControl w:val="0"/>
              <w:numPr>
                <w:ilvl w:val="0"/>
                <w:numId w:val="89"/>
              </w:numPr>
              <w:autoSpaceDE w:val="0"/>
              <w:autoSpaceDN w:val="0"/>
              <w:ind w:left="3969" w:right="-1" w:hanging="567"/>
              <w:outlineLvl w:val="0"/>
              <w:rPr>
                <w:rFonts w:ascii="Bookman Old Style" w:hAnsi="Bookman Old Style"/>
                <w:sz w:val="20"/>
                <w:szCs w:val="20"/>
              </w:rPr>
            </w:pPr>
            <w:r w:rsidRPr="000B616B">
              <w:rPr>
                <w:rFonts w:ascii="Bookman Old Style" w:hAnsi="Bookman Old Style"/>
                <w:sz w:val="20"/>
                <w:szCs w:val="20"/>
              </w:rPr>
              <w:t>apabila perjanjian akan dibatalkan sebelum 30 (tiga puluh) hari, nasabah korporasi harus:</w:t>
            </w:r>
          </w:p>
          <w:p w14:paraId="60E06C64" w14:textId="77777777" w:rsidR="000B616B" w:rsidRPr="000B616B" w:rsidRDefault="000B616B" w:rsidP="00A32F86">
            <w:pPr>
              <w:pStyle w:val="BodyText"/>
              <w:widowControl w:val="0"/>
              <w:numPr>
                <w:ilvl w:val="0"/>
                <w:numId w:val="90"/>
              </w:numPr>
              <w:autoSpaceDE w:val="0"/>
              <w:autoSpaceDN w:val="0"/>
              <w:ind w:left="4536" w:right="-1" w:hanging="567"/>
              <w:outlineLvl w:val="0"/>
              <w:rPr>
                <w:rFonts w:ascii="Bookman Old Style" w:hAnsi="Bookman Old Style"/>
                <w:sz w:val="20"/>
                <w:szCs w:val="20"/>
              </w:rPr>
            </w:pPr>
            <w:r w:rsidRPr="000B616B">
              <w:rPr>
                <w:rFonts w:ascii="Bookman Old Style" w:hAnsi="Bookman Old Style"/>
                <w:sz w:val="20"/>
                <w:szCs w:val="20"/>
              </w:rPr>
              <w:t>memberitahukan kepada Bank paling tidak 30 (tiga puluh) hari sebelumnya; atau</w:t>
            </w:r>
          </w:p>
          <w:p w14:paraId="1CAB11A5" w14:textId="77777777" w:rsidR="000B616B" w:rsidRPr="000B616B" w:rsidRDefault="000B616B" w:rsidP="00A32F86">
            <w:pPr>
              <w:pStyle w:val="BodyText"/>
              <w:widowControl w:val="0"/>
              <w:numPr>
                <w:ilvl w:val="0"/>
                <w:numId w:val="90"/>
              </w:numPr>
              <w:autoSpaceDE w:val="0"/>
              <w:autoSpaceDN w:val="0"/>
              <w:ind w:left="4536" w:right="-1" w:hanging="567"/>
              <w:outlineLvl w:val="0"/>
              <w:rPr>
                <w:rFonts w:ascii="Bookman Old Style" w:hAnsi="Bookman Old Style"/>
                <w:sz w:val="20"/>
                <w:szCs w:val="20"/>
              </w:rPr>
            </w:pPr>
            <w:r w:rsidRPr="000B616B">
              <w:rPr>
                <w:rFonts w:ascii="Bookman Old Style" w:hAnsi="Bookman Old Style"/>
                <w:sz w:val="20"/>
                <w:szCs w:val="20"/>
              </w:rPr>
              <w:t xml:space="preserve">dikenakan </w:t>
            </w:r>
            <w:r w:rsidRPr="000B616B">
              <w:rPr>
                <w:rFonts w:ascii="Bookman Old Style" w:hAnsi="Bookman Old Style"/>
                <w:i/>
                <w:sz w:val="20"/>
                <w:szCs w:val="20"/>
              </w:rPr>
              <w:t>ta’widh/ta’zir</w:t>
            </w:r>
            <w:r w:rsidRPr="000B616B">
              <w:rPr>
                <w:rFonts w:ascii="Bookman Old Style" w:hAnsi="Bookman Old Style"/>
                <w:sz w:val="20"/>
                <w:szCs w:val="20"/>
              </w:rPr>
              <w:t xml:space="preserve"> yang signifikan; dan</w:t>
            </w:r>
          </w:p>
          <w:p w14:paraId="69D0B9A9" w14:textId="77777777" w:rsidR="000B616B" w:rsidRPr="000B616B" w:rsidRDefault="000B616B" w:rsidP="00A32F86">
            <w:pPr>
              <w:pStyle w:val="BodyText"/>
              <w:widowControl w:val="0"/>
              <w:numPr>
                <w:ilvl w:val="0"/>
                <w:numId w:val="88"/>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ditempatkan pada rekening terpisah yang tidak memberikan insentif ekonomi kepada nasabah yang menempatkan dananya secara berlebih diluar dari tujuan transaksional pada rekening ini.</w:t>
            </w:r>
          </w:p>
          <w:p w14:paraId="076F769E" w14:textId="77777777" w:rsidR="000B616B" w:rsidRPr="000B616B" w:rsidRDefault="000B616B"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Kegiatan kliring adalah suatu bentuk penyediaan jasa yang memungkinkan nasabah untuk mentransfer dana atau surat berharga secara tidak langsung melalui pelaku kliring dalam sistem kliring nasional kepada penerima yang diinginkan. Jasa dalam kegiatan kliring yang disediakan terbatas pada:</w:t>
            </w:r>
          </w:p>
          <w:p w14:paraId="5A26464A" w14:textId="77777777" w:rsidR="000B616B" w:rsidRPr="000B616B" w:rsidRDefault="000B616B" w:rsidP="00A32F86">
            <w:pPr>
              <w:pStyle w:val="Default"/>
              <w:numPr>
                <w:ilvl w:val="0"/>
                <w:numId w:val="91"/>
              </w:numPr>
              <w:spacing w:after="0" w:line="240" w:lineRule="auto"/>
              <w:ind w:left="3402" w:hanging="567"/>
              <w:jc w:val="both"/>
              <w:rPr>
                <w:color w:val="auto"/>
                <w:sz w:val="20"/>
                <w:szCs w:val="20"/>
              </w:rPr>
            </w:pPr>
            <w:r w:rsidRPr="000B616B">
              <w:rPr>
                <w:color w:val="auto"/>
                <w:sz w:val="20"/>
                <w:szCs w:val="20"/>
              </w:rPr>
              <w:t xml:space="preserve">transmisi dana, rekonsiliasi dan konfirmasi atas perintah pembayaran; </w:t>
            </w:r>
          </w:p>
          <w:p w14:paraId="09637C3F" w14:textId="77777777" w:rsidR="000B616B" w:rsidRPr="000B616B" w:rsidRDefault="000B616B" w:rsidP="00A32F86">
            <w:pPr>
              <w:pStyle w:val="Default"/>
              <w:numPr>
                <w:ilvl w:val="0"/>
                <w:numId w:val="91"/>
              </w:numPr>
              <w:spacing w:after="0" w:line="240" w:lineRule="auto"/>
              <w:ind w:left="3402" w:hanging="567"/>
              <w:jc w:val="both"/>
              <w:rPr>
                <w:color w:val="auto"/>
                <w:sz w:val="20"/>
                <w:szCs w:val="20"/>
              </w:rPr>
            </w:pPr>
            <w:r w:rsidRPr="000B616B">
              <w:rPr>
                <w:color w:val="auto"/>
                <w:sz w:val="20"/>
                <w:szCs w:val="20"/>
              </w:rPr>
              <w:t>cerukan intra-hari (</w:t>
            </w:r>
            <w:r w:rsidRPr="000B616B">
              <w:rPr>
                <w:i/>
                <w:iCs/>
                <w:color w:val="auto"/>
                <w:sz w:val="20"/>
                <w:szCs w:val="20"/>
              </w:rPr>
              <w:t>intraday</w:t>
            </w:r>
            <w:r w:rsidRPr="000B616B">
              <w:rPr>
                <w:color w:val="auto"/>
                <w:sz w:val="20"/>
                <w:szCs w:val="20"/>
              </w:rPr>
              <w:t>)</w:t>
            </w:r>
            <w:r w:rsidRPr="000B616B">
              <w:rPr>
                <w:i/>
                <w:iCs/>
                <w:color w:val="auto"/>
                <w:sz w:val="20"/>
                <w:szCs w:val="20"/>
              </w:rPr>
              <w:t xml:space="preserve">, </w:t>
            </w:r>
            <w:r w:rsidRPr="000B616B">
              <w:rPr>
                <w:color w:val="auto"/>
                <w:sz w:val="20"/>
                <w:szCs w:val="20"/>
              </w:rPr>
              <w:t xml:space="preserve">fasilitas Pembiayaan </w:t>
            </w:r>
            <w:r w:rsidRPr="000B616B">
              <w:rPr>
                <w:i/>
                <w:iCs/>
                <w:color w:val="auto"/>
                <w:sz w:val="20"/>
                <w:szCs w:val="20"/>
              </w:rPr>
              <w:t xml:space="preserve">overnight, </w:t>
            </w:r>
            <w:r w:rsidRPr="000B616B">
              <w:rPr>
                <w:color w:val="auto"/>
                <w:sz w:val="20"/>
                <w:szCs w:val="20"/>
              </w:rPr>
              <w:t>dan pemeliharaan saldo setelah penyelesaian (</w:t>
            </w:r>
            <w:r w:rsidRPr="000B616B">
              <w:rPr>
                <w:i/>
                <w:iCs/>
                <w:color w:val="auto"/>
                <w:sz w:val="20"/>
                <w:szCs w:val="20"/>
              </w:rPr>
              <w:t>post settlement</w:t>
            </w:r>
            <w:r w:rsidRPr="000B616B">
              <w:rPr>
                <w:color w:val="auto"/>
                <w:sz w:val="20"/>
                <w:szCs w:val="20"/>
              </w:rPr>
              <w:t xml:space="preserve">); dan </w:t>
            </w:r>
          </w:p>
          <w:p w14:paraId="48A23DED" w14:textId="77777777" w:rsidR="000B616B" w:rsidRPr="000B616B" w:rsidRDefault="000B616B" w:rsidP="00A32F86">
            <w:pPr>
              <w:pStyle w:val="Default"/>
              <w:numPr>
                <w:ilvl w:val="0"/>
                <w:numId w:val="91"/>
              </w:numPr>
              <w:spacing w:after="0" w:line="240" w:lineRule="auto"/>
              <w:ind w:left="3402" w:hanging="567"/>
              <w:jc w:val="both"/>
              <w:rPr>
                <w:color w:val="auto"/>
                <w:sz w:val="20"/>
                <w:szCs w:val="20"/>
              </w:rPr>
            </w:pPr>
            <w:r w:rsidRPr="000B616B">
              <w:rPr>
                <w:color w:val="auto"/>
                <w:sz w:val="20"/>
                <w:szCs w:val="20"/>
              </w:rPr>
              <w:t>penentuan posisi intra-hari (</w:t>
            </w:r>
            <w:r w:rsidRPr="000B616B">
              <w:rPr>
                <w:i/>
                <w:iCs/>
                <w:color w:val="auto"/>
                <w:sz w:val="20"/>
                <w:szCs w:val="20"/>
              </w:rPr>
              <w:t>intraday</w:t>
            </w:r>
            <w:r w:rsidRPr="000B616B">
              <w:rPr>
                <w:color w:val="auto"/>
                <w:sz w:val="20"/>
                <w:szCs w:val="20"/>
              </w:rPr>
              <w:t xml:space="preserve">) dan penyelesaian akhir transaksi. </w:t>
            </w:r>
          </w:p>
          <w:p w14:paraId="132E7A0D" w14:textId="77777777" w:rsidR="000B616B" w:rsidRPr="000B616B" w:rsidRDefault="000B616B" w:rsidP="000B616B">
            <w:pPr>
              <w:pStyle w:val="Default"/>
              <w:spacing w:after="0" w:line="240" w:lineRule="auto"/>
              <w:ind w:left="2835"/>
              <w:jc w:val="both"/>
              <w:rPr>
                <w:color w:val="auto"/>
                <w:sz w:val="20"/>
                <w:szCs w:val="20"/>
              </w:rPr>
            </w:pPr>
            <w:r w:rsidRPr="000B616B">
              <w:rPr>
                <w:color w:val="auto"/>
                <w:sz w:val="20"/>
                <w:szCs w:val="20"/>
              </w:rPr>
              <w:t xml:space="preserve">Kegiatan kustodian adalah penyediaan jasa berupa penyimpanan, pelaporan, pengelolaan aset dan hal-hal lain yang sifatnya operasional dan administratif atas nama nasabah dalam rangka </w:t>
            </w:r>
            <w:r w:rsidRPr="000B616B">
              <w:rPr>
                <w:color w:val="auto"/>
                <w:sz w:val="20"/>
                <w:szCs w:val="20"/>
              </w:rPr>
              <w:lastRenderedPageBreak/>
              <w:t>transaksi aset keuangan. Jasa dalam kegiatan kustodian yang disediakan terbatas pada:</w:t>
            </w:r>
          </w:p>
          <w:p w14:paraId="790D0D1A"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 xml:space="preserve">penyelesaian transaksi penjualan dan pembelian sekuritas; </w:t>
            </w:r>
          </w:p>
          <w:p w14:paraId="04BC8A1F"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 xml:space="preserve">transfer atas pembayaran kontraktual; </w:t>
            </w:r>
          </w:p>
          <w:p w14:paraId="500B7B7C"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pemrosesan agunan (</w:t>
            </w:r>
            <w:r w:rsidRPr="000B616B">
              <w:rPr>
                <w:i/>
                <w:color w:val="auto"/>
                <w:sz w:val="20"/>
                <w:szCs w:val="20"/>
              </w:rPr>
              <w:t>the processing of collateral</w:t>
            </w:r>
            <w:r w:rsidRPr="000B616B">
              <w:rPr>
                <w:color w:val="auto"/>
                <w:sz w:val="20"/>
                <w:szCs w:val="20"/>
              </w:rPr>
              <w:t xml:space="preserve">); </w:t>
            </w:r>
          </w:p>
          <w:p w14:paraId="638D3509"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 xml:space="preserve">penerimaan </w:t>
            </w:r>
            <w:r w:rsidRPr="000B616B">
              <w:rPr>
                <w:i/>
                <w:color w:val="auto"/>
                <w:sz w:val="20"/>
                <w:szCs w:val="20"/>
              </w:rPr>
              <w:t>fee</w:t>
            </w:r>
            <w:r w:rsidRPr="000B616B">
              <w:rPr>
                <w:color w:val="auto"/>
                <w:sz w:val="20"/>
                <w:szCs w:val="20"/>
              </w:rPr>
              <w:t xml:space="preserve"> atas jasa </w:t>
            </w:r>
            <w:r w:rsidRPr="000B616B">
              <w:rPr>
                <w:i/>
                <w:color w:val="auto"/>
                <w:sz w:val="20"/>
                <w:szCs w:val="20"/>
              </w:rPr>
              <w:t>cash management</w:t>
            </w:r>
            <w:r w:rsidRPr="000B616B">
              <w:rPr>
                <w:color w:val="auto"/>
                <w:sz w:val="20"/>
                <w:szCs w:val="20"/>
              </w:rPr>
              <w:t xml:space="preserve">; </w:t>
            </w:r>
          </w:p>
          <w:p w14:paraId="3B38972D"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 xml:space="preserve">menerima dividen dan pendapatan lainnya; </w:t>
            </w:r>
          </w:p>
          <w:p w14:paraId="050C6B53"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pemesanan dan pelunasan dari klien (</w:t>
            </w:r>
            <w:r w:rsidRPr="000B616B">
              <w:rPr>
                <w:i/>
                <w:color w:val="auto"/>
                <w:sz w:val="20"/>
                <w:szCs w:val="20"/>
              </w:rPr>
              <w:t>client subscriptions and redemptions</w:t>
            </w:r>
            <w:r w:rsidRPr="000B616B">
              <w:rPr>
                <w:color w:val="auto"/>
                <w:sz w:val="20"/>
                <w:szCs w:val="20"/>
              </w:rPr>
              <w:t xml:space="preserve">); </w:t>
            </w:r>
          </w:p>
          <w:p w14:paraId="487DF7B0"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jasa wali amanat untuk aset dan korporasi (</w:t>
            </w:r>
            <w:r w:rsidRPr="000B616B">
              <w:rPr>
                <w:i/>
                <w:iCs/>
                <w:color w:val="auto"/>
                <w:sz w:val="20"/>
                <w:szCs w:val="20"/>
              </w:rPr>
              <w:t>asset and corporate trust servicing</w:t>
            </w:r>
            <w:r w:rsidRPr="000B616B">
              <w:rPr>
                <w:color w:val="auto"/>
                <w:sz w:val="20"/>
                <w:szCs w:val="20"/>
              </w:rPr>
              <w:t xml:space="preserve">); </w:t>
            </w:r>
          </w:p>
          <w:p w14:paraId="2393FF0B" w14:textId="77777777" w:rsidR="000B616B" w:rsidRPr="000B616B" w:rsidRDefault="000B616B" w:rsidP="00A32F86">
            <w:pPr>
              <w:pStyle w:val="Default"/>
              <w:numPr>
                <w:ilvl w:val="0"/>
                <w:numId w:val="92"/>
              </w:numPr>
              <w:spacing w:after="0" w:line="240" w:lineRule="auto"/>
              <w:ind w:left="3402" w:hanging="567"/>
              <w:jc w:val="both"/>
              <w:rPr>
                <w:color w:val="auto"/>
                <w:sz w:val="20"/>
                <w:szCs w:val="20"/>
              </w:rPr>
            </w:pPr>
            <w:r w:rsidRPr="000B616B">
              <w:rPr>
                <w:color w:val="auto"/>
                <w:sz w:val="20"/>
                <w:szCs w:val="20"/>
              </w:rPr>
              <w:t>pengelolaan aset (</w:t>
            </w:r>
            <w:r w:rsidRPr="000B616B">
              <w:rPr>
                <w:i/>
                <w:color w:val="auto"/>
                <w:sz w:val="20"/>
                <w:szCs w:val="20"/>
              </w:rPr>
              <w:t>treasury</w:t>
            </w:r>
            <w:r w:rsidRPr="000B616B">
              <w:rPr>
                <w:color w:val="auto"/>
                <w:sz w:val="20"/>
                <w:szCs w:val="20"/>
              </w:rPr>
              <w:t xml:space="preserve">); </w:t>
            </w:r>
          </w:p>
          <w:p w14:paraId="7FAC163E" w14:textId="77777777" w:rsidR="000B616B" w:rsidRPr="000B616B" w:rsidRDefault="000B616B" w:rsidP="00A32F86">
            <w:pPr>
              <w:pStyle w:val="Default"/>
              <w:numPr>
                <w:ilvl w:val="0"/>
                <w:numId w:val="92"/>
              </w:numPr>
              <w:spacing w:after="0" w:line="240" w:lineRule="auto"/>
              <w:ind w:left="3402" w:hanging="567"/>
              <w:rPr>
                <w:color w:val="auto"/>
                <w:sz w:val="20"/>
                <w:szCs w:val="20"/>
              </w:rPr>
            </w:pPr>
            <w:r w:rsidRPr="000B616B">
              <w:rPr>
                <w:color w:val="auto"/>
                <w:sz w:val="20"/>
                <w:szCs w:val="20"/>
              </w:rPr>
              <w:t xml:space="preserve">jasa pelayanan rekening </w:t>
            </w:r>
            <w:r w:rsidRPr="000B616B">
              <w:rPr>
                <w:i/>
                <w:color w:val="auto"/>
                <w:sz w:val="20"/>
                <w:szCs w:val="20"/>
              </w:rPr>
              <w:t>escrow</w:t>
            </w:r>
            <w:r w:rsidRPr="000B616B">
              <w:rPr>
                <w:color w:val="auto"/>
                <w:sz w:val="20"/>
                <w:szCs w:val="20"/>
              </w:rPr>
              <w:t xml:space="preserve">; </w:t>
            </w:r>
          </w:p>
          <w:p w14:paraId="07DE5325" w14:textId="77777777" w:rsidR="000B616B" w:rsidRPr="000B616B" w:rsidRDefault="000B616B" w:rsidP="00A32F86">
            <w:pPr>
              <w:pStyle w:val="Default"/>
              <w:numPr>
                <w:ilvl w:val="0"/>
                <w:numId w:val="92"/>
              </w:numPr>
              <w:spacing w:after="0" w:line="240" w:lineRule="auto"/>
              <w:ind w:left="3402" w:hanging="567"/>
              <w:rPr>
                <w:color w:val="auto"/>
                <w:sz w:val="20"/>
                <w:szCs w:val="20"/>
              </w:rPr>
            </w:pPr>
            <w:r w:rsidRPr="000B616B">
              <w:rPr>
                <w:color w:val="auto"/>
                <w:sz w:val="20"/>
                <w:szCs w:val="20"/>
              </w:rPr>
              <w:t xml:space="preserve">transfer dana, transfer saham dan jasa keagenan, termasuk juga jasa pembayaran dan penyelesaian tidak termasuk aktifitas </w:t>
            </w:r>
            <w:r w:rsidRPr="000B616B">
              <w:rPr>
                <w:i/>
                <w:iCs/>
                <w:color w:val="auto"/>
                <w:sz w:val="20"/>
                <w:szCs w:val="20"/>
              </w:rPr>
              <w:t>correspondent banking</w:t>
            </w:r>
            <w:r w:rsidRPr="000B616B">
              <w:rPr>
                <w:color w:val="auto"/>
                <w:sz w:val="20"/>
                <w:szCs w:val="20"/>
              </w:rPr>
              <w:t xml:space="preserve">); dan </w:t>
            </w:r>
          </w:p>
          <w:p w14:paraId="7728676A" w14:textId="77777777" w:rsidR="000B616B" w:rsidRPr="000B616B" w:rsidRDefault="000B616B" w:rsidP="00A32F86">
            <w:pPr>
              <w:pStyle w:val="Default"/>
              <w:numPr>
                <w:ilvl w:val="0"/>
                <w:numId w:val="92"/>
              </w:numPr>
              <w:spacing w:after="0" w:line="240" w:lineRule="auto"/>
              <w:ind w:left="3402" w:hanging="567"/>
              <w:rPr>
                <w:i/>
                <w:color w:val="auto"/>
                <w:sz w:val="20"/>
                <w:szCs w:val="20"/>
              </w:rPr>
            </w:pPr>
            <w:r w:rsidRPr="000B616B">
              <w:rPr>
                <w:i/>
                <w:color w:val="auto"/>
                <w:sz w:val="20"/>
                <w:szCs w:val="20"/>
              </w:rPr>
              <w:t>depository receipt</w:t>
            </w:r>
            <w:r w:rsidRPr="000B616B">
              <w:rPr>
                <w:color w:val="auto"/>
                <w:sz w:val="20"/>
                <w:szCs w:val="20"/>
              </w:rPr>
              <w:t>.</w:t>
            </w:r>
          </w:p>
          <w:p w14:paraId="64143774" w14:textId="77777777" w:rsidR="000B616B" w:rsidRPr="000B616B" w:rsidRDefault="000B616B" w:rsidP="000B616B">
            <w:pPr>
              <w:pStyle w:val="Default"/>
              <w:spacing w:after="0" w:line="240" w:lineRule="auto"/>
              <w:ind w:left="2835"/>
              <w:jc w:val="both"/>
              <w:rPr>
                <w:color w:val="auto"/>
                <w:sz w:val="20"/>
                <w:szCs w:val="20"/>
              </w:rPr>
            </w:pPr>
            <w:r w:rsidRPr="000B616B">
              <w:rPr>
                <w:color w:val="auto"/>
                <w:sz w:val="20"/>
                <w:szCs w:val="20"/>
              </w:rPr>
              <w:t xml:space="preserve">Kegiatan </w:t>
            </w:r>
            <w:r w:rsidRPr="000B616B">
              <w:rPr>
                <w:i/>
                <w:iCs/>
                <w:color w:val="auto"/>
                <w:sz w:val="20"/>
                <w:szCs w:val="20"/>
              </w:rPr>
              <w:t>cash management</w:t>
            </w:r>
            <w:r w:rsidRPr="000B616B">
              <w:rPr>
                <w:color w:val="auto"/>
                <w:sz w:val="20"/>
                <w:szCs w:val="20"/>
              </w:rPr>
              <w:t xml:space="preserve"> dalam ketentuan ini adalah layanan berupa produk dan jasa kepada nasabah dalam mengelola arus kas (</w:t>
            </w:r>
            <w:r w:rsidRPr="000B616B">
              <w:rPr>
                <w:i/>
                <w:iCs/>
                <w:color w:val="auto"/>
                <w:sz w:val="20"/>
                <w:szCs w:val="20"/>
              </w:rPr>
              <w:t>cashflow</w:t>
            </w:r>
            <w:r w:rsidRPr="000B616B">
              <w:rPr>
                <w:color w:val="auto"/>
                <w:sz w:val="20"/>
                <w:szCs w:val="20"/>
              </w:rPr>
              <w:t xml:space="preserve">), aset, dan kewajiban serta transaksi keuangan yang dibutuhkan dalam operasi nasabah. Jasa dalam kegiatan </w:t>
            </w:r>
            <w:r w:rsidRPr="000B616B">
              <w:rPr>
                <w:i/>
                <w:iCs/>
                <w:color w:val="auto"/>
                <w:sz w:val="20"/>
                <w:szCs w:val="20"/>
              </w:rPr>
              <w:t xml:space="preserve">cash management </w:t>
            </w:r>
            <w:r w:rsidRPr="000B616B">
              <w:rPr>
                <w:color w:val="auto"/>
                <w:sz w:val="20"/>
                <w:szCs w:val="20"/>
              </w:rPr>
              <w:t>yang diberikan terbatas pada:</w:t>
            </w:r>
          </w:p>
          <w:p w14:paraId="76A05758" w14:textId="77777777" w:rsidR="000B616B" w:rsidRPr="000B616B" w:rsidRDefault="000B616B" w:rsidP="00A32F86">
            <w:pPr>
              <w:pStyle w:val="Default"/>
              <w:numPr>
                <w:ilvl w:val="0"/>
                <w:numId w:val="93"/>
              </w:numPr>
              <w:spacing w:after="0" w:line="240" w:lineRule="auto"/>
              <w:ind w:left="3402" w:hanging="567"/>
              <w:rPr>
                <w:color w:val="auto"/>
                <w:sz w:val="20"/>
                <w:szCs w:val="20"/>
              </w:rPr>
            </w:pPr>
            <w:r w:rsidRPr="000B616B">
              <w:rPr>
                <w:color w:val="auto"/>
                <w:sz w:val="20"/>
                <w:szCs w:val="20"/>
              </w:rPr>
              <w:t>pendebetan atau pemindahbukuan nasabah dalam rangka pembayaran tagihan atau kewajiban (</w:t>
            </w:r>
            <w:r w:rsidRPr="000B616B">
              <w:rPr>
                <w:i/>
                <w:iCs/>
                <w:color w:val="auto"/>
                <w:sz w:val="20"/>
                <w:szCs w:val="20"/>
              </w:rPr>
              <w:t>payment remittance</w:t>
            </w:r>
            <w:r w:rsidRPr="000B616B">
              <w:rPr>
                <w:color w:val="auto"/>
                <w:sz w:val="20"/>
                <w:szCs w:val="20"/>
              </w:rPr>
              <w:t xml:space="preserve">); </w:t>
            </w:r>
          </w:p>
          <w:p w14:paraId="0043D4FE" w14:textId="77777777" w:rsidR="000B616B" w:rsidRPr="000B616B" w:rsidRDefault="000B616B" w:rsidP="00A32F86">
            <w:pPr>
              <w:pStyle w:val="Default"/>
              <w:numPr>
                <w:ilvl w:val="0"/>
                <w:numId w:val="93"/>
              </w:numPr>
              <w:spacing w:after="0" w:line="240" w:lineRule="auto"/>
              <w:ind w:left="3402" w:hanging="567"/>
              <w:rPr>
                <w:color w:val="auto"/>
                <w:sz w:val="20"/>
                <w:szCs w:val="20"/>
              </w:rPr>
            </w:pPr>
            <w:r w:rsidRPr="000B616B">
              <w:rPr>
                <w:color w:val="auto"/>
                <w:sz w:val="20"/>
                <w:szCs w:val="20"/>
              </w:rPr>
              <w:t>konsolidasi (</w:t>
            </w:r>
            <w:r w:rsidRPr="000B616B">
              <w:rPr>
                <w:i/>
                <w:iCs/>
                <w:color w:val="auto"/>
                <w:sz w:val="20"/>
                <w:szCs w:val="20"/>
              </w:rPr>
              <w:t>pooling</w:t>
            </w:r>
            <w:r w:rsidRPr="000B616B">
              <w:rPr>
                <w:color w:val="auto"/>
                <w:sz w:val="20"/>
                <w:szCs w:val="20"/>
              </w:rPr>
              <w:t>) atau distribusi dana dari kantor cabang/jaringan operasional perusahaan (</w:t>
            </w:r>
            <w:r w:rsidRPr="000B616B">
              <w:rPr>
                <w:i/>
                <w:iCs/>
                <w:color w:val="auto"/>
                <w:sz w:val="20"/>
                <w:szCs w:val="20"/>
              </w:rPr>
              <w:t>collection and aggregation of funds</w:t>
            </w:r>
            <w:r w:rsidRPr="000B616B">
              <w:rPr>
                <w:color w:val="auto"/>
                <w:sz w:val="20"/>
                <w:szCs w:val="20"/>
              </w:rPr>
              <w:t xml:space="preserve">); </w:t>
            </w:r>
          </w:p>
          <w:p w14:paraId="454EB7DD" w14:textId="77777777" w:rsidR="000B616B" w:rsidRPr="000B616B" w:rsidRDefault="000B616B" w:rsidP="00A32F86">
            <w:pPr>
              <w:pStyle w:val="Default"/>
              <w:numPr>
                <w:ilvl w:val="0"/>
                <w:numId w:val="93"/>
              </w:numPr>
              <w:spacing w:after="0" w:line="240" w:lineRule="auto"/>
              <w:ind w:left="3402" w:hanging="567"/>
              <w:rPr>
                <w:color w:val="auto"/>
                <w:sz w:val="20"/>
                <w:szCs w:val="20"/>
              </w:rPr>
            </w:pPr>
            <w:r w:rsidRPr="000B616B">
              <w:rPr>
                <w:color w:val="auto"/>
                <w:sz w:val="20"/>
                <w:szCs w:val="20"/>
              </w:rPr>
              <w:t>jasa pembayaran gaji karyawan secara massal (</w:t>
            </w:r>
            <w:r w:rsidRPr="000B616B">
              <w:rPr>
                <w:i/>
                <w:iCs/>
                <w:color w:val="auto"/>
                <w:sz w:val="20"/>
                <w:szCs w:val="20"/>
              </w:rPr>
              <w:t>payroll</w:t>
            </w:r>
            <w:r w:rsidRPr="000B616B">
              <w:rPr>
                <w:color w:val="auto"/>
                <w:sz w:val="20"/>
                <w:szCs w:val="20"/>
              </w:rPr>
              <w:t xml:space="preserve">); dan </w:t>
            </w:r>
          </w:p>
          <w:p w14:paraId="77F07DD6" w14:textId="5EC74C6C" w:rsidR="000B616B" w:rsidRPr="000B616B" w:rsidRDefault="000B616B" w:rsidP="00A32F86">
            <w:pPr>
              <w:pStyle w:val="Default"/>
              <w:numPr>
                <w:ilvl w:val="0"/>
                <w:numId w:val="93"/>
              </w:numPr>
              <w:spacing w:after="0" w:line="240" w:lineRule="auto"/>
              <w:ind w:left="3402" w:hanging="567"/>
              <w:rPr>
                <w:color w:val="auto"/>
                <w:sz w:val="20"/>
                <w:szCs w:val="20"/>
              </w:rPr>
            </w:pPr>
            <w:r w:rsidRPr="000B616B">
              <w:rPr>
                <w:color w:val="auto"/>
                <w:sz w:val="20"/>
                <w:szCs w:val="20"/>
              </w:rPr>
              <w:t>pengendalian atas pencairan dana (</w:t>
            </w:r>
            <w:r w:rsidRPr="000B616B">
              <w:rPr>
                <w:i/>
                <w:iCs/>
                <w:color w:val="auto"/>
                <w:sz w:val="20"/>
                <w:szCs w:val="20"/>
              </w:rPr>
              <w:t xml:space="preserve">control over the </w:t>
            </w:r>
            <w:r w:rsidRPr="000B616B">
              <w:rPr>
                <w:color w:val="auto"/>
                <w:sz w:val="20"/>
                <w:szCs w:val="20"/>
              </w:rPr>
              <w:t>disbursement</w:t>
            </w:r>
            <w:r w:rsidRPr="000B616B">
              <w:rPr>
                <w:i/>
                <w:iCs/>
                <w:color w:val="auto"/>
                <w:sz w:val="20"/>
                <w:szCs w:val="20"/>
              </w:rPr>
              <w:t xml:space="preserve"> of funds</w:t>
            </w:r>
            <w:r w:rsidRPr="000B616B">
              <w:rPr>
                <w:color w:val="auto"/>
                <w:sz w:val="20"/>
                <w:szCs w:val="20"/>
              </w:rPr>
              <w:t xml:space="preserve">). </w:t>
            </w:r>
          </w:p>
          <w:p w14:paraId="0515A0C0" w14:textId="77777777" w:rsidR="000B616B" w:rsidRPr="000B616B" w:rsidRDefault="000B616B" w:rsidP="000B616B">
            <w:pPr>
              <w:pStyle w:val="Default"/>
              <w:spacing w:after="0" w:line="240" w:lineRule="auto"/>
              <w:ind w:left="2835"/>
              <w:jc w:val="both"/>
              <w:rPr>
                <w:color w:val="auto"/>
                <w:sz w:val="20"/>
                <w:szCs w:val="20"/>
              </w:rPr>
            </w:pPr>
            <w:r w:rsidRPr="000B616B">
              <w:rPr>
                <w:color w:val="auto"/>
                <w:sz w:val="20"/>
                <w:szCs w:val="20"/>
              </w:rPr>
              <w:t>Bank harus memiliki metode untuk menentukan nilai Simpanan yang dapat diklasifikasikan sebagai Rekening operasional. Dalam hal Bank tidak dapat menentukan nilai rekening yang diklasifikasikan sebagai Rekening</w:t>
            </w:r>
            <w:r w:rsidRPr="000B616B" w:rsidDel="00445533">
              <w:rPr>
                <w:color w:val="auto"/>
                <w:sz w:val="20"/>
                <w:szCs w:val="20"/>
              </w:rPr>
              <w:t xml:space="preserve"> </w:t>
            </w:r>
            <w:r w:rsidRPr="000B616B">
              <w:rPr>
                <w:color w:val="auto"/>
                <w:sz w:val="20"/>
                <w:szCs w:val="20"/>
              </w:rPr>
              <w:t>operasional, seluruh rekening diklasifikasikan sebagai rekening non-operasional dan/atau atau kewajiban lainnya yang bersifat non-operasional. Besarnya tingkat penarikan untuk Rekening operasional ditetapkan:</w:t>
            </w:r>
          </w:p>
          <w:p w14:paraId="491E8B1C" w14:textId="77777777" w:rsidR="000B616B" w:rsidRPr="000B616B" w:rsidRDefault="000B616B" w:rsidP="00A32F86">
            <w:pPr>
              <w:pStyle w:val="Default"/>
              <w:numPr>
                <w:ilvl w:val="0"/>
                <w:numId w:val="94"/>
              </w:numPr>
              <w:spacing w:after="0" w:line="240" w:lineRule="auto"/>
              <w:ind w:left="3402" w:hanging="567"/>
              <w:jc w:val="both"/>
              <w:rPr>
                <w:color w:val="auto"/>
                <w:sz w:val="20"/>
                <w:szCs w:val="20"/>
              </w:rPr>
            </w:pPr>
            <w:r w:rsidRPr="000B616B">
              <w:rPr>
                <w:color w:val="auto"/>
                <w:sz w:val="20"/>
                <w:szCs w:val="20"/>
              </w:rPr>
              <w:t>5% (lima persen) dari nilai Rekening</w:t>
            </w:r>
            <w:r w:rsidRPr="000B616B" w:rsidDel="00445533">
              <w:rPr>
                <w:color w:val="auto"/>
                <w:sz w:val="20"/>
                <w:szCs w:val="20"/>
              </w:rPr>
              <w:t xml:space="preserve"> </w:t>
            </w:r>
            <w:r w:rsidRPr="000B616B">
              <w:rPr>
                <w:color w:val="auto"/>
                <w:sz w:val="20"/>
                <w:szCs w:val="20"/>
              </w:rPr>
              <w:t>operasional jika memenuhi kriteria penjaminan oleh LPS; atau</w:t>
            </w:r>
          </w:p>
          <w:p w14:paraId="1ECBA214" w14:textId="4AD42F11" w:rsidR="000B616B" w:rsidRPr="000B616B" w:rsidRDefault="000B616B" w:rsidP="00A32F86">
            <w:pPr>
              <w:pStyle w:val="Default"/>
              <w:numPr>
                <w:ilvl w:val="0"/>
                <w:numId w:val="94"/>
              </w:numPr>
              <w:spacing w:after="0" w:line="240" w:lineRule="auto"/>
              <w:ind w:left="3402" w:hanging="567"/>
              <w:jc w:val="both"/>
              <w:rPr>
                <w:color w:val="auto"/>
                <w:sz w:val="20"/>
                <w:szCs w:val="20"/>
              </w:rPr>
            </w:pPr>
            <w:r w:rsidRPr="000B616B">
              <w:rPr>
                <w:color w:val="auto"/>
                <w:sz w:val="20"/>
                <w:szCs w:val="20"/>
              </w:rPr>
              <w:lastRenderedPageBreak/>
              <w:t>25% (dua puluh lima persen) dari nilai Rekening</w:t>
            </w:r>
            <w:r w:rsidRPr="000B616B" w:rsidDel="00445533">
              <w:rPr>
                <w:color w:val="auto"/>
                <w:sz w:val="20"/>
                <w:szCs w:val="20"/>
              </w:rPr>
              <w:t xml:space="preserve"> </w:t>
            </w:r>
            <w:r w:rsidRPr="000B616B">
              <w:rPr>
                <w:color w:val="auto"/>
                <w:sz w:val="20"/>
                <w:szCs w:val="20"/>
              </w:rPr>
              <w:t xml:space="preserve"> operasional jika tidak memenuhi kriteria penjaminan oleh LPS.</w:t>
            </w:r>
          </w:p>
          <w:p w14:paraId="11029504" w14:textId="0E6FFC42" w:rsidR="000B616B" w:rsidRPr="000B616B" w:rsidRDefault="000B616B" w:rsidP="000B616B">
            <w:pPr>
              <w:pStyle w:val="BodyText"/>
              <w:widowControl w:val="0"/>
              <w:autoSpaceDE w:val="0"/>
              <w:autoSpaceDN w:val="0"/>
              <w:ind w:right="-1"/>
              <w:outlineLvl w:val="0"/>
              <w:rPr>
                <w:rFonts w:ascii="Bookman Old Style" w:hAnsi="Bookman Old Style"/>
                <w:sz w:val="20"/>
                <w:szCs w:val="20"/>
                <w:u w:val="single"/>
              </w:rPr>
            </w:pPr>
          </w:p>
        </w:tc>
        <w:tc>
          <w:tcPr>
            <w:tcW w:w="3686" w:type="dxa"/>
            <w:shd w:val="clear" w:color="auto" w:fill="auto"/>
            <w:vAlign w:val="center"/>
          </w:tcPr>
          <w:p w14:paraId="2B1B7EDD"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58DEB7E7"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54A2A4E7" w14:textId="77777777" w:rsidTr="00B03AEA">
        <w:trPr>
          <w:trHeight w:val="564"/>
          <w:tblHeader/>
        </w:trPr>
        <w:tc>
          <w:tcPr>
            <w:tcW w:w="9634" w:type="dxa"/>
            <w:shd w:val="clear" w:color="auto" w:fill="auto"/>
            <w:vAlign w:val="center"/>
          </w:tcPr>
          <w:p w14:paraId="3B6E1BBC" w14:textId="77777777" w:rsidR="000B616B" w:rsidRPr="000B616B" w:rsidRDefault="000B616B" w:rsidP="00A32F86">
            <w:pPr>
              <w:pStyle w:val="BodyText"/>
              <w:widowControl w:val="0"/>
              <w:numPr>
                <w:ilvl w:val="0"/>
                <w:numId w:val="99"/>
              </w:numPr>
              <w:autoSpaceDE w:val="0"/>
              <w:autoSpaceDN w:val="0"/>
              <w:ind w:left="2835" w:right="-1"/>
              <w:outlineLvl w:val="0"/>
              <w:rPr>
                <w:rFonts w:ascii="Bookman Old Style" w:hAnsi="Bookman Old Style"/>
                <w:sz w:val="20"/>
                <w:szCs w:val="20"/>
              </w:rPr>
            </w:pPr>
            <w:r w:rsidRPr="000B616B">
              <w:rPr>
                <w:rFonts w:ascii="Bookman Old Style" w:hAnsi="Bookman Old Style"/>
                <w:sz w:val="20"/>
                <w:szCs w:val="20"/>
              </w:rPr>
              <w:lastRenderedPageBreak/>
              <w:t>Rekening non-operasional dan/atau kewajiban lainnya yang bersifat non-operasional.</w:t>
            </w:r>
          </w:p>
          <w:p w14:paraId="0A2ADC68" w14:textId="77777777" w:rsidR="000B616B" w:rsidRPr="000B616B" w:rsidRDefault="000B616B"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 xml:space="preserve">Rekening non-operasional dan/atau kewajiban lainnya yang bersifat non-operasional adalah Rekening yang berasal dari nasabah korporasi yang tidak memenuhi persyaratan sebagai rekening operasional. </w:t>
            </w:r>
          </w:p>
          <w:p w14:paraId="295644D8" w14:textId="77777777" w:rsidR="000B616B" w:rsidRPr="000B616B" w:rsidRDefault="000B616B" w:rsidP="000B616B">
            <w:pPr>
              <w:pStyle w:val="BodyText"/>
              <w:ind w:left="2835" w:right="-1"/>
              <w:outlineLvl w:val="0"/>
              <w:rPr>
                <w:rFonts w:ascii="Bookman Old Style" w:hAnsi="Bookman Old Style"/>
                <w:i/>
                <w:iCs/>
                <w:sz w:val="20"/>
                <w:szCs w:val="20"/>
              </w:rPr>
            </w:pPr>
            <w:r w:rsidRPr="000B616B">
              <w:rPr>
                <w:rFonts w:ascii="Bookman Old Style" w:hAnsi="Bookman Old Style"/>
                <w:sz w:val="20"/>
                <w:szCs w:val="20"/>
              </w:rPr>
              <w:t xml:space="preserve">Contoh Rekening non-operasional dan/atau kewajiban lainnya yang bersifat non-operasional antara lain aktivitas </w:t>
            </w:r>
            <w:r w:rsidRPr="000B616B">
              <w:rPr>
                <w:rFonts w:ascii="Bookman Old Style" w:hAnsi="Bookman Old Style"/>
                <w:i/>
                <w:iCs/>
                <w:sz w:val="20"/>
                <w:szCs w:val="20"/>
              </w:rPr>
              <w:t xml:space="preserve">correspondent banking </w:t>
            </w:r>
            <w:r w:rsidRPr="000B616B">
              <w:rPr>
                <w:rFonts w:ascii="Bookman Old Style" w:hAnsi="Bookman Old Style"/>
                <w:sz w:val="20"/>
                <w:szCs w:val="20"/>
              </w:rPr>
              <w:t xml:space="preserve">atau jasa </w:t>
            </w:r>
            <w:r w:rsidRPr="000B616B">
              <w:rPr>
                <w:rFonts w:ascii="Bookman Old Style" w:hAnsi="Bookman Old Style"/>
                <w:i/>
                <w:iCs/>
                <w:sz w:val="20"/>
                <w:szCs w:val="20"/>
              </w:rPr>
              <w:t>prime brokerage.</w:t>
            </w:r>
          </w:p>
          <w:p w14:paraId="6D9BDBBF" w14:textId="77777777" w:rsidR="000B616B" w:rsidRPr="000B616B" w:rsidRDefault="000B616B" w:rsidP="000B616B">
            <w:pPr>
              <w:pStyle w:val="BodyText"/>
              <w:ind w:left="2835" w:right="-1"/>
              <w:outlineLvl w:val="0"/>
              <w:rPr>
                <w:rFonts w:ascii="Bookman Old Style" w:hAnsi="Bookman Old Style"/>
                <w:i/>
                <w:iCs/>
                <w:sz w:val="20"/>
                <w:szCs w:val="20"/>
              </w:rPr>
            </w:pPr>
            <w:r w:rsidRPr="000B616B">
              <w:rPr>
                <w:rFonts w:ascii="Bookman Old Style" w:hAnsi="Bookman Old Style"/>
                <w:sz w:val="20"/>
                <w:szCs w:val="20"/>
              </w:rPr>
              <w:t xml:space="preserve">Yang dimaksud dengan “aktivitas </w:t>
            </w:r>
            <w:r w:rsidRPr="000B616B">
              <w:rPr>
                <w:rFonts w:ascii="Bookman Old Style" w:hAnsi="Bookman Old Style"/>
                <w:i/>
                <w:iCs/>
                <w:sz w:val="20"/>
                <w:szCs w:val="20"/>
              </w:rPr>
              <w:t xml:space="preserve">correspondent banking” </w:t>
            </w:r>
            <w:r w:rsidRPr="000B616B">
              <w:rPr>
                <w:rFonts w:ascii="Bookman Old Style" w:hAnsi="Bookman Old Style"/>
                <w:sz w:val="20"/>
                <w:szCs w:val="20"/>
              </w:rPr>
              <w:t>adalah suatu aktivitas Bank (</w:t>
            </w:r>
            <w:r w:rsidRPr="000B616B">
              <w:rPr>
                <w:rFonts w:ascii="Bookman Old Style" w:hAnsi="Bookman Old Style"/>
                <w:i/>
                <w:iCs/>
                <w:sz w:val="20"/>
                <w:szCs w:val="20"/>
              </w:rPr>
              <w:t>correspondent</w:t>
            </w:r>
            <w:r w:rsidRPr="000B616B">
              <w:rPr>
                <w:rFonts w:ascii="Bookman Old Style" w:hAnsi="Bookman Old Style"/>
                <w:sz w:val="20"/>
                <w:szCs w:val="20"/>
              </w:rPr>
              <w:t>) yang bertindak sebagai pemegang deposit yang dimiliki oleh Bank lain (</w:t>
            </w:r>
            <w:r w:rsidRPr="000B616B">
              <w:rPr>
                <w:rFonts w:ascii="Bookman Old Style" w:hAnsi="Bookman Old Style"/>
                <w:i/>
                <w:iCs/>
                <w:sz w:val="20"/>
                <w:szCs w:val="20"/>
              </w:rPr>
              <w:t>respondent</w:t>
            </w:r>
            <w:r w:rsidRPr="000B616B">
              <w:rPr>
                <w:rFonts w:ascii="Bookman Old Style" w:hAnsi="Bookman Old Style"/>
                <w:sz w:val="20"/>
                <w:szCs w:val="20"/>
              </w:rPr>
              <w:t xml:space="preserve">) dan memberikan jasa pembayaran dalam rangka penyelesaian transaksi dalam mata uang asing, yaitu rekening </w:t>
            </w:r>
            <w:r w:rsidRPr="000B616B">
              <w:rPr>
                <w:rFonts w:ascii="Bookman Old Style" w:hAnsi="Bookman Old Style"/>
                <w:i/>
                <w:iCs/>
                <w:sz w:val="20"/>
                <w:szCs w:val="20"/>
              </w:rPr>
              <w:t xml:space="preserve">nostro </w:t>
            </w:r>
            <w:r w:rsidRPr="000B616B">
              <w:rPr>
                <w:rFonts w:ascii="Bookman Old Style" w:hAnsi="Bookman Old Style"/>
                <w:sz w:val="20"/>
                <w:szCs w:val="20"/>
              </w:rPr>
              <w:t xml:space="preserve">dan </w:t>
            </w:r>
            <w:r w:rsidRPr="000B616B">
              <w:rPr>
                <w:rFonts w:ascii="Bookman Old Style" w:hAnsi="Bookman Old Style"/>
                <w:i/>
                <w:iCs/>
                <w:sz w:val="20"/>
                <w:szCs w:val="20"/>
              </w:rPr>
              <w:t xml:space="preserve">vostro </w:t>
            </w:r>
            <w:r w:rsidRPr="000B616B">
              <w:rPr>
                <w:rFonts w:ascii="Bookman Old Style" w:hAnsi="Bookman Old Style"/>
                <w:sz w:val="20"/>
                <w:szCs w:val="20"/>
              </w:rPr>
              <w:t xml:space="preserve">yang digunakan untuk menyelesaikan transaksi dalam mata uang asing dari responden Bank dalam rangka kliring dan </w:t>
            </w:r>
            <w:r w:rsidRPr="000B616B">
              <w:rPr>
                <w:rFonts w:ascii="Bookman Old Style" w:hAnsi="Bookman Old Style"/>
                <w:i/>
                <w:iCs/>
                <w:sz w:val="20"/>
                <w:szCs w:val="20"/>
              </w:rPr>
              <w:t>settlement</w:t>
            </w:r>
            <w:r w:rsidRPr="000B616B">
              <w:rPr>
                <w:rFonts w:ascii="Bookman Old Style" w:hAnsi="Bookman Old Style"/>
                <w:sz w:val="20"/>
                <w:szCs w:val="20"/>
              </w:rPr>
              <w:t xml:space="preserve">. </w:t>
            </w:r>
          </w:p>
          <w:p w14:paraId="0F4A20F5" w14:textId="1C3D8B33" w:rsidR="000B616B" w:rsidRPr="000B616B" w:rsidRDefault="000B616B"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Yang dimaksud dengan “</w:t>
            </w:r>
            <w:r w:rsidRPr="000B616B">
              <w:rPr>
                <w:rFonts w:ascii="Bookman Old Style" w:hAnsi="Bookman Old Style"/>
                <w:i/>
                <w:iCs/>
                <w:sz w:val="20"/>
                <w:szCs w:val="20"/>
              </w:rPr>
              <w:t>prime brokerage</w:t>
            </w:r>
            <w:r w:rsidRPr="000B616B">
              <w:rPr>
                <w:rFonts w:ascii="Bookman Old Style" w:hAnsi="Bookman Old Style"/>
                <w:sz w:val="20"/>
                <w:szCs w:val="20"/>
              </w:rPr>
              <w:t>“</w:t>
            </w:r>
            <w:r w:rsidR="00A22891">
              <w:rPr>
                <w:rFonts w:ascii="Bookman Old Style" w:hAnsi="Bookman Old Style"/>
                <w:sz w:val="20"/>
                <w:szCs w:val="20"/>
              </w:rPr>
              <w:t xml:space="preserve"> </w:t>
            </w:r>
            <w:r w:rsidRPr="000B616B">
              <w:rPr>
                <w:rFonts w:ascii="Bookman Old Style" w:hAnsi="Bookman Old Style"/>
                <w:sz w:val="20"/>
                <w:szCs w:val="20"/>
              </w:rPr>
              <w:t xml:space="preserve">adalah suatu paket jasa yang ditawarkan kepada investor besar, khususnya perusahaan </w:t>
            </w:r>
            <w:r w:rsidRPr="000B616B">
              <w:rPr>
                <w:rFonts w:ascii="Bookman Old Style" w:hAnsi="Bookman Old Style"/>
                <w:i/>
                <w:iCs/>
                <w:sz w:val="20"/>
                <w:szCs w:val="20"/>
              </w:rPr>
              <w:t>hedge funds</w:t>
            </w:r>
            <w:r w:rsidRPr="000B616B">
              <w:rPr>
                <w:rFonts w:ascii="Bookman Old Style" w:hAnsi="Bookman Old Style"/>
                <w:sz w:val="20"/>
                <w:szCs w:val="20"/>
              </w:rPr>
              <w:t xml:space="preserve">. Jasa-jasa yang ditawarkan biasanya meliputi kliring, </w:t>
            </w:r>
            <w:r w:rsidRPr="000B616B">
              <w:rPr>
                <w:rFonts w:ascii="Bookman Old Style" w:hAnsi="Bookman Old Style"/>
                <w:i/>
                <w:iCs/>
                <w:sz w:val="20"/>
                <w:szCs w:val="20"/>
              </w:rPr>
              <w:t>settlement</w:t>
            </w:r>
            <w:r w:rsidRPr="000B616B">
              <w:rPr>
                <w:rFonts w:ascii="Bookman Old Style" w:hAnsi="Bookman Old Style"/>
                <w:sz w:val="20"/>
                <w:szCs w:val="20"/>
              </w:rPr>
              <w:t xml:space="preserve">, kustodian, pelaporan konsolidasi, pembiayaan, </w:t>
            </w:r>
            <w:r w:rsidRPr="000B616B">
              <w:rPr>
                <w:rFonts w:ascii="Bookman Old Style" w:hAnsi="Bookman Old Style"/>
                <w:i/>
                <w:iCs/>
                <w:sz w:val="20"/>
                <w:szCs w:val="20"/>
              </w:rPr>
              <w:t xml:space="preserve">securities lending, </w:t>
            </w:r>
            <w:r w:rsidRPr="000B616B">
              <w:rPr>
                <w:rFonts w:ascii="Bookman Old Style" w:hAnsi="Bookman Old Style"/>
                <w:sz w:val="20"/>
                <w:szCs w:val="20"/>
              </w:rPr>
              <w:t>dan analisis risiko.</w:t>
            </w:r>
          </w:p>
          <w:p w14:paraId="29DF0024" w14:textId="77777777" w:rsidR="000B616B" w:rsidRPr="000B616B" w:rsidRDefault="000B616B" w:rsidP="000B616B">
            <w:pPr>
              <w:pStyle w:val="BodyText"/>
              <w:ind w:left="2835" w:right="-1"/>
              <w:outlineLvl w:val="0"/>
              <w:rPr>
                <w:rFonts w:ascii="Bookman Old Style" w:hAnsi="Bookman Old Style"/>
                <w:sz w:val="20"/>
                <w:szCs w:val="20"/>
              </w:rPr>
            </w:pPr>
            <w:r w:rsidRPr="000B616B">
              <w:rPr>
                <w:rFonts w:ascii="Bookman Old Style" w:hAnsi="Bookman Old Style"/>
                <w:sz w:val="20"/>
                <w:szCs w:val="20"/>
              </w:rPr>
              <w:t>Besarnya tingkat penarikan untuk Rekening non-operasional dan/atau kewajiban lainnya yang bersifat non-operasional ditetapkan:</w:t>
            </w:r>
          </w:p>
          <w:p w14:paraId="6B153433" w14:textId="77777777" w:rsidR="000B616B" w:rsidRPr="000B616B" w:rsidRDefault="000B616B" w:rsidP="00A32F86">
            <w:pPr>
              <w:pStyle w:val="BodyText"/>
              <w:widowControl w:val="0"/>
              <w:numPr>
                <w:ilvl w:val="0"/>
                <w:numId w:val="9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Rekening non-operasional dan/atau kewajiban lainnya yang bersifat non-operasional yang berasal dari perusahaan non-keuangan, Pemerintah Pusat, Bank Indonesia, pemerintah negara lain, bank sentral negara lain, bank pembangunan multilateral, dan/atau entitas sektor publik, ditetapkan:</w:t>
            </w:r>
          </w:p>
          <w:p w14:paraId="2780818A" w14:textId="77777777" w:rsidR="000B616B" w:rsidRPr="000B616B" w:rsidRDefault="000B616B" w:rsidP="00A32F86">
            <w:pPr>
              <w:pStyle w:val="BodyText"/>
              <w:widowControl w:val="0"/>
              <w:numPr>
                <w:ilvl w:val="0"/>
                <w:numId w:val="96"/>
              </w:numPr>
              <w:autoSpaceDE w:val="0"/>
              <w:autoSpaceDN w:val="0"/>
              <w:ind w:right="-1"/>
              <w:outlineLvl w:val="0"/>
              <w:rPr>
                <w:rFonts w:ascii="Bookman Old Style" w:hAnsi="Bookman Old Style"/>
                <w:sz w:val="20"/>
                <w:szCs w:val="20"/>
              </w:rPr>
            </w:pPr>
            <w:r w:rsidRPr="000B616B">
              <w:rPr>
                <w:rFonts w:ascii="Bookman Old Style" w:hAnsi="Bookman Old Style"/>
                <w:sz w:val="20"/>
                <w:szCs w:val="20"/>
              </w:rPr>
              <w:t>20% (dua puluh persen) dari nilai Rekening non-operasional dan/atau kewajiban lainnya yang bersifat non-operasional apabila memenuhi kriteria penjaminan oleh LPS; atau</w:t>
            </w:r>
          </w:p>
          <w:p w14:paraId="07F64C19" w14:textId="77777777" w:rsidR="000B616B" w:rsidRPr="000B616B" w:rsidRDefault="000B616B" w:rsidP="00A32F86">
            <w:pPr>
              <w:pStyle w:val="BodyText"/>
              <w:widowControl w:val="0"/>
              <w:numPr>
                <w:ilvl w:val="0"/>
                <w:numId w:val="96"/>
              </w:numPr>
              <w:autoSpaceDE w:val="0"/>
              <w:autoSpaceDN w:val="0"/>
              <w:ind w:right="-1"/>
              <w:outlineLvl w:val="0"/>
              <w:rPr>
                <w:rFonts w:ascii="Bookman Old Style" w:hAnsi="Bookman Old Style"/>
                <w:sz w:val="20"/>
                <w:szCs w:val="20"/>
              </w:rPr>
            </w:pPr>
            <w:r w:rsidRPr="000B616B">
              <w:rPr>
                <w:rFonts w:ascii="Bookman Old Style" w:hAnsi="Bookman Old Style"/>
                <w:sz w:val="20"/>
                <w:szCs w:val="20"/>
              </w:rPr>
              <w:t xml:space="preserve">40% (empat puluh persen) dari nilai Rekening non-operasional dan/atau kewajiban lainnya yang bersifat non-operasional apabila tidak memenuhi kriteria </w:t>
            </w:r>
            <w:r w:rsidRPr="000B616B">
              <w:rPr>
                <w:rFonts w:ascii="Bookman Old Style" w:hAnsi="Bookman Old Style"/>
                <w:sz w:val="20"/>
                <w:szCs w:val="20"/>
              </w:rPr>
              <w:lastRenderedPageBreak/>
              <w:t>penjaminan oleh LPS;</w:t>
            </w:r>
          </w:p>
          <w:p w14:paraId="0ED22112" w14:textId="77777777" w:rsidR="000B616B" w:rsidRPr="000B616B" w:rsidRDefault="000B616B" w:rsidP="00A32F86">
            <w:pPr>
              <w:pStyle w:val="BodyText"/>
              <w:widowControl w:val="0"/>
              <w:numPr>
                <w:ilvl w:val="0"/>
                <w:numId w:val="9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Rekening non-operasional dan/atau kewajiban lainnya yang bersifat non-operasional yang berasal dari entitas lainnya ditetapkan 100% (seratus persen) dari nilai Rekening non-operasional dan/atau kewajiban lainnya yang bersifat non-operasional. Contoh entitas lainnya antara lain Bank, perusahaan sekuritas, asuransi, dan lembaga jasa keuangan lainnya; dan/atau</w:t>
            </w:r>
          </w:p>
          <w:p w14:paraId="2D81AAEA" w14:textId="77777777" w:rsidR="000B616B" w:rsidRDefault="000B616B" w:rsidP="00A32F86">
            <w:pPr>
              <w:pStyle w:val="BodyText"/>
              <w:widowControl w:val="0"/>
              <w:numPr>
                <w:ilvl w:val="0"/>
                <w:numId w:val="9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surat berharga Syariah yang diterbitkan oleh Bank dikenakan tingkat penarikan 100% (seratus persen) tanpa memperhatikan pemegang surat berharga syariah.</w:t>
            </w:r>
          </w:p>
          <w:p w14:paraId="74569B2C" w14:textId="066360B5" w:rsidR="000B616B" w:rsidRPr="000B616B" w:rsidRDefault="000B616B" w:rsidP="00A32F86">
            <w:pPr>
              <w:pStyle w:val="BodyText"/>
              <w:widowControl w:val="0"/>
              <w:numPr>
                <w:ilvl w:val="0"/>
                <w:numId w:val="95"/>
              </w:numPr>
              <w:autoSpaceDE w:val="0"/>
              <w:autoSpaceDN w:val="0"/>
              <w:ind w:left="3402" w:right="-1" w:hanging="567"/>
              <w:outlineLvl w:val="0"/>
              <w:rPr>
                <w:rFonts w:ascii="Bookman Old Style" w:hAnsi="Bookman Old Style"/>
                <w:sz w:val="20"/>
                <w:szCs w:val="20"/>
              </w:rPr>
            </w:pPr>
            <w:r w:rsidRPr="000B616B">
              <w:rPr>
                <w:rFonts w:ascii="Bookman Old Style" w:hAnsi="Bookman Old Style"/>
                <w:sz w:val="20"/>
                <w:szCs w:val="20"/>
              </w:rPr>
              <w:t>Dalam hal surat berharga Syariah dijual secara ekslusif di pasar retail, dikelola dalam akun retail, dibeli dan dimiliki oleh nasabah perorangan (termasuk nasabah Usaha Mikro dan Usaha Kecil yang diperlakukan sebagai nasabah perorangan) dapat diperlakukan sama seperti nasabah perorangan atau nasabah Usaha Mikro dan Usaha Kecil.</w:t>
            </w:r>
          </w:p>
        </w:tc>
        <w:tc>
          <w:tcPr>
            <w:tcW w:w="3686" w:type="dxa"/>
            <w:shd w:val="clear" w:color="auto" w:fill="auto"/>
            <w:vAlign w:val="center"/>
          </w:tcPr>
          <w:p w14:paraId="398BED08"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8112419"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71A5E8EE" w14:textId="77777777" w:rsidTr="00B03AEA">
        <w:trPr>
          <w:trHeight w:val="564"/>
          <w:tblHeader/>
        </w:trPr>
        <w:tc>
          <w:tcPr>
            <w:tcW w:w="9634" w:type="dxa"/>
            <w:shd w:val="clear" w:color="auto" w:fill="auto"/>
            <w:vAlign w:val="center"/>
          </w:tcPr>
          <w:p w14:paraId="48CDE73C" w14:textId="77777777" w:rsidR="000B616B" w:rsidRPr="000B616B" w:rsidRDefault="000B616B" w:rsidP="00A32F86">
            <w:pPr>
              <w:pStyle w:val="BodyText"/>
              <w:widowControl w:val="0"/>
              <w:numPr>
                <w:ilvl w:val="0"/>
                <w:numId w:val="73"/>
              </w:numPr>
              <w:autoSpaceDE w:val="0"/>
              <w:autoSpaceDN w:val="0"/>
              <w:ind w:left="1701" w:right="620" w:hanging="567"/>
              <w:outlineLvl w:val="0"/>
              <w:rPr>
                <w:rFonts w:ascii="Bookman Old Style" w:hAnsi="Bookman Old Style"/>
                <w:sz w:val="20"/>
                <w:szCs w:val="20"/>
                <w:u w:val="single"/>
              </w:rPr>
            </w:pPr>
            <w:r w:rsidRPr="000B616B">
              <w:rPr>
                <w:rFonts w:ascii="Bookman Old Style" w:hAnsi="Bookman Old Style"/>
                <w:sz w:val="20"/>
                <w:szCs w:val="20"/>
                <w:u w:val="single"/>
              </w:rPr>
              <w:t>Pendanaan dengan agunan (</w:t>
            </w:r>
            <w:r w:rsidRPr="000B616B">
              <w:rPr>
                <w:rFonts w:ascii="Bookman Old Style" w:hAnsi="Bookman Old Style"/>
                <w:i/>
                <w:sz w:val="20"/>
                <w:szCs w:val="20"/>
                <w:u w:val="single"/>
              </w:rPr>
              <w:t>secured funding</w:t>
            </w:r>
            <w:r w:rsidRPr="000B616B">
              <w:rPr>
                <w:rFonts w:ascii="Bookman Old Style" w:hAnsi="Bookman Old Style"/>
                <w:sz w:val="20"/>
                <w:szCs w:val="20"/>
                <w:u w:val="single"/>
              </w:rPr>
              <w:t>)</w:t>
            </w:r>
          </w:p>
          <w:p w14:paraId="1E2CBC92" w14:textId="77777777" w:rsidR="000B616B" w:rsidRPr="000B616B" w:rsidRDefault="000B616B" w:rsidP="000B616B">
            <w:pPr>
              <w:pStyle w:val="BodyText"/>
              <w:ind w:left="1701" w:right="-1"/>
              <w:outlineLvl w:val="0"/>
              <w:rPr>
                <w:rFonts w:ascii="Bookman Old Style" w:hAnsi="Bookman Old Style"/>
                <w:sz w:val="20"/>
                <w:szCs w:val="20"/>
              </w:rPr>
            </w:pPr>
            <w:r w:rsidRPr="000B616B">
              <w:rPr>
                <w:rFonts w:ascii="Bookman Old Style" w:hAnsi="Bookman Old Style"/>
                <w:sz w:val="20"/>
                <w:szCs w:val="20"/>
              </w:rPr>
              <w:t>Pendanaan dengan agunan (</w:t>
            </w:r>
            <w:r w:rsidRPr="000B616B">
              <w:rPr>
                <w:rFonts w:ascii="Bookman Old Style" w:hAnsi="Bookman Old Style"/>
                <w:i/>
                <w:iCs/>
                <w:sz w:val="20"/>
                <w:szCs w:val="20"/>
              </w:rPr>
              <w:t>secured funding</w:t>
            </w:r>
            <w:r w:rsidRPr="000B616B">
              <w:rPr>
                <w:rFonts w:ascii="Bookman Old Style" w:hAnsi="Bookman Old Style"/>
                <w:sz w:val="20"/>
                <w:szCs w:val="20"/>
              </w:rPr>
              <w:t>) adalah kewajiban yang dijamin dengan suatu hak secara hukum atas aset tertentu yang dimiliki oleh Bank apabila terjadi kebangkrutan, ketidakmampuan memenuhi kewajiban (</w:t>
            </w:r>
            <w:r w:rsidRPr="000B616B">
              <w:rPr>
                <w:rFonts w:ascii="Bookman Old Style" w:hAnsi="Bookman Old Style"/>
                <w:i/>
                <w:iCs/>
                <w:sz w:val="20"/>
                <w:szCs w:val="20"/>
              </w:rPr>
              <w:t>insolvency</w:t>
            </w:r>
            <w:r w:rsidRPr="000B616B">
              <w:rPr>
                <w:rFonts w:ascii="Bookman Old Style" w:hAnsi="Bookman Old Style"/>
                <w:sz w:val="20"/>
                <w:szCs w:val="20"/>
              </w:rPr>
              <w:t xml:space="preserve">), likuidasi atau resolusi. </w:t>
            </w:r>
          </w:p>
          <w:p w14:paraId="354AE35D" w14:textId="77777777" w:rsidR="000B616B" w:rsidRPr="000B616B" w:rsidRDefault="000B616B" w:rsidP="000B616B">
            <w:pPr>
              <w:pStyle w:val="BodyText"/>
              <w:ind w:left="1701" w:right="-1"/>
              <w:outlineLvl w:val="0"/>
              <w:rPr>
                <w:rFonts w:ascii="Bookman Old Style" w:hAnsi="Bookman Old Style"/>
                <w:sz w:val="20"/>
                <w:szCs w:val="20"/>
              </w:rPr>
            </w:pPr>
            <w:r w:rsidRPr="000B616B">
              <w:rPr>
                <w:rFonts w:ascii="Bookman Old Style" w:hAnsi="Bookman Old Style"/>
                <w:sz w:val="20"/>
                <w:szCs w:val="20"/>
              </w:rPr>
              <w:t>Bank wajib menghitung tingkat penarikan untuk Pendanaan dengan agunan (</w:t>
            </w:r>
            <w:r w:rsidRPr="000B616B">
              <w:rPr>
                <w:rFonts w:ascii="Bookman Old Style" w:hAnsi="Bookman Old Style"/>
                <w:i/>
                <w:sz w:val="20"/>
                <w:szCs w:val="20"/>
              </w:rPr>
              <w:t>secured funding</w:t>
            </w:r>
            <w:r w:rsidRPr="000B616B">
              <w:rPr>
                <w:rFonts w:ascii="Bookman Old Style" w:hAnsi="Bookman Old Style"/>
                <w:sz w:val="20"/>
                <w:szCs w:val="20"/>
              </w:rPr>
              <w:t>) yang akan jatuh tempo dalam jangka waktu 30 (tiga puluh) hari.</w:t>
            </w:r>
          </w:p>
          <w:p w14:paraId="150134B7" w14:textId="4543837C" w:rsidR="000B616B" w:rsidRPr="000B616B" w:rsidRDefault="000B616B" w:rsidP="000B616B">
            <w:pPr>
              <w:pStyle w:val="BodyText"/>
              <w:ind w:left="1701" w:right="-1"/>
              <w:outlineLvl w:val="0"/>
              <w:rPr>
                <w:rFonts w:ascii="Bookman Old Style" w:hAnsi="Bookman Old Style"/>
                <w:sz w:val="20"/>
                <w:szCs w:val="20"/>
              </w:rPr>
            </w:pPr>
            <w:r w:rsidRPr="000B616B">
              <w:rPr>
                <w:rFonts w:ascii="Bookman Old Style" w:hAnsi="Bookman Old Style"/>
                <w:sz w:val="20"/>
                <w:szCs w:val="20"/>
              </w:rPr>
              <w:t>Besarnya tingkat penarikan untuk Pendanaan dengan agunan (</w:t>
            </w:r>
            <w:r w:rsidRPr="000B616B">
              <w:rPr>
                <w:rFonts w:ascii="Bookman Old Style" w:hAnsi="Bookman Old Style"/>
                <w:i/>
                <w:sz w:val="20"/>
                <w:szCs w:val="20"/>
              </w:rPr>
              <w:t>secured funding</w:t>
            </w:r>
            <w:r w:rsidRPr="000B616B">
              <w:rPr>
                <w:rFonts w:ascii="Bookman Old Style" w:hAnsi="Bookman Old Style"/>
                <w:sz w:val="20"/>
                <w:szCs w:val="20"/>
              </w:rPr>
              <w:t>) ditetapkan:</w:t>
            </w:r>
          </w:p>
          <w:p w14:paraId="6A50005B" w14:textId="77777777" w:rsidR="000B616B" w:rsidRPr="000B616B" w:rsidRDefault="000B616B" w:rsidP="00A32F86">
            <w:pPr>
              <w:pStyle w:val="BodyText"/>
              <w:widowControl w:val="0"/>
              <w:numPr>
                <w:ilvl w:val="0"/>
                <w:numId w:val="100"/>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0% (nol persen) dari Pendanaan dalam hal agunan berupa HQLA Level 1 atau pihak lawan (</w:t>
            </w:r>
            <w:r w:rsidRPr="000B616B">
              <w:rPr>
                <w:rFonts w:ascii="Bookman Old Style" w:hAnsi="Bookman Old Style"/>
                <w:i/>
                <w:sz w:val="20"/>
                <w:szCs w:val="20"/>
              </w:rPr>
              <w:t>counterparty</w:t>
            </w:r>
            <w:r w:rsidRPr="000B616B">
              <w:rPr>
                <w:rFonts w:ascii="Bookman Old Style" w:hAnsi="Bookman Old Style"/>
                <w:sz w:val="20"/>
                <w:szCs w:val="20"/>
              </w:rPr>
              <w:t>) transaksi adalah Bank Indonesia;</w:t>
            </w:r>
          </w:p>
          <w:p w14:paraId="1A2AA5E3" w14:textId="77777777" w:rsidR="000B616B" w:rsidRPr="000B616B" w:rsidRDefault="000B616B" w:rsidP="00A32F86">
            <w:pPr>
              <w:pStyle w:val="BodyText"/>
              <w:widowControl w:val="0"/>
              <w:numPr>
                <w:ilvl w:val="0"/>
                <w:numId w:val="100"/>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15% (lima belas persen) dari Pendanaan dalam hal agunan berupa HQLA Level 2A;</w:t>
            </w:r>
          </w:p>
          <w:p w14:paraId="712AAE7C" w14:textId="77777777" w:rsidR="000B616B" w:rsidRPr="000B616B" w:rsidRDefault="000B616B" w:rsidP="00A32F86">
            <w:pPr>
              <w:pStyle w:val="BodyText"/>
              <w:widowControl w:val="0"/>
              <w:numPr>
                <w:ilvl w:val="0"/>
                <w:numId w:val="100"/>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25% (dua puluh lima persen) dari Pendanaan dalam hal:</w:t>
            </w:r>
          </w:p>
          <w:p w14:paraId="0D74ADA8" w14:textId="77777777" w:rsidR="000B616B" w:rsidRPr="000B616B" w:rsidRDefault="000B616B" w:rsidP="00A32F86">
            <w:pPr>
              <w:pStyle w:val="BodyText"/>
              <w:widowControl w:val="0"/>
              <w:numPr>
                <w:ilvl w:val="0"/>
                <w:numId w:val="101"/>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t>pihak lawan (</w:t>
            </w:r>
            <w:r w:rsidRPr="000B616B">
              <w:rPr>
                <w:rFonts w:ascii="Bookman Old Style" w:hAnsi="Bookman Old Style"/>
                <w:i/>
                <w:sz w:val="20"/>
                <w:szCs w:val="20"/>
              </w:rPr>
              <w:t>counterparty</w:t>
            </w:r>
            <w:r w:rsidRPr="000B616B">
              <w:rPr>
                <w:rFonts w:ascii="Bookman Old Style" w:hAnsi="Bookman Old Style"/>
                <w:sz w:val="20"/>
                <w:szCs w:val="20"/>
              </w:rPr>
              <w:t>) transaksi adalah Pemerintah Pusat, entitas sektor publik atau bank pembangunan multilateral dengan agunan selain HQLA Level 1 atau Level 2A. Entitas sektor publik dalam hal ini memiliki bobot risiko paling tinggi 20% (dua puluh persen) sebagaimana ketentuan yang mengatur mengenai perhitungan ATMR untuk risiko kredit dengan menggunakan pendekatan standar bank umum syariah; atau</w:t>
            </w:r>
          </w:p>
          <w:p w14:paraId="5036BB01" w14:textId="77777777" w:rsidR="000B616B" w:rsidRPr="000B616B" w:rsidRDefault="000B616B" w:rsidP="00A32F86">
            <w:pPr>
              <w:pStyle w:val="BodyText"/>
              <w:widowControl w:val="0"/>
              <w:numPr>
                <w:ilvl w:val="0"/>
                <w:numId w:val="101"/>
              </w:numPr>
              <w:autoSpaceDE w:val="0"/>
              <w:autoSpaceDN w:val="0"/>
              <w:ind w:left="2835" w:right="-1" w:hanging="567"/>
              <w:outlineLvl w:val="0"/>
              <w:rPr>
                <w:rFonts w:ascii="Bookman Old Style" w:hAnsi="Bookman Old Style"/>
                <w:sz w:val="20"/>
                <w:szCs w:val="20"/>
              </w:rPr>
            </w:pPr>
            <w:r w:rsidRPr="000B616B">
              <w:rPr>
                <w:rFonts w:ascii="Bookman Old Style" w:hAnsi="Bookman Old Style"/>
                <w:sz w:val="20"/>
                <w:szCs w:val="20"/>
              </w:rPr>
              <w:lastRenderedPageBreak/>
              <w:t>agunan merupakan efek beragun aset berupa rumah tinggal yang memenuhi kriteria HQLA Level 2B;</w:t>
            </w:r>
          </w:p>
          <w:p w14:paraId="585EBB47" w14:textId="77777777" w:rsidR="000B616B" w:rsidRPr="000B616B" w:rsidRDefault="000B616B" w:rsidP="00A32F86">
            <w:pPr>
              <w:pStyle w:val="BodyText"/>
              <w:widowControl w:val="0"/>
              <w:numPr>
                <w:ilvl w:val="0"/>
                <w:numId w:val="100"/>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50% (lima puluh persen) dari Pendanaan dalam hal agunan berupa HQLA Level 2B selain agunan sebagaimana huruf c angka 2);</w:t>
            </w:r>
          </w:p>
          <w:p w14:paraId="1B022AB5" w14:textId="303E12A9" w:rsidR="000B616B" w:rsidRPr="000B616B" w:rsidRDefault="000B616B" w:rsidP="00A32F86">
            <w:pPr>
              <w:pStyle w:val="BodyText"/>
              <w:widowControl w:val="0"/>
              <w:numPr>
                <w:ilvl w:val="0"/>
                <w:numId w:val="100"/>
              </w:numPr>
              <w:autoSpaceDE w:val="0"/>
              <w:autoSpaceDN w:val="0"/>
              <w:ind w:left="2268" w:right="-1" w:hanging="567"/>
              <w:outlineLvl w:val="0"/>
              <w:rPr>
                <w:rFonts w:ascii="Bookman Old Style" w:hAnsi="Bookman Old Style"/>
                <w:sz w:val="20"/>
                <w:szCs w:val="20"/>
              </w:rPr>
            </w:pPr>
            <w:r w:rsidRPr="000B616B">
              <w:rPr>
                <w:rFonts w:ascii="Bookman Old Style" w:hAnsi="Bookman Old Style"/>
                <w:sz w:val="20"/>
                <w:szCs w:val="20"/>
              </w:rPr>
              <w:t>100% (seratus persen) dari Pendanaan untuk Pendanaan dengan agunan (</w:t>
            </w:r>
            <w:r w:rsidRPr="000B616B">
              <w:rPr>
                <w:rFonts w:ascii="Bookman Old Style" w:hAnsi="Bookman Old Style"/>
                <w:i/>
                <w:sz w:val="20"/>
                <w:szCs w:val="20"/>
              </w:rPr>
              <w:t>secured funding</w:t>
            </w:r>
            <w:r w:rsidRPr="000B616B">
              <w:rPr>
                <w:rFonts w:ascii="Bookman Old Style" w:hAnsi="Bookman Old Style"/>
                <w:sz w:val="20"/>
                <w:szCs w:val="20"/>
              </w:rPr>
              <w:t>) yang tidak memenuhi kriteria pada huruf a, huruf</w:t>
            </w:r>
            <w:r w:rsidRPr="000B616B" w:rsidDel="00284819">
              <w:rPr>
                <w:rFonts w:ascii="Bookman Old Style" w:hAnsi="Bookman Old Style"/>
                <w:sz w:val="20"/>
                <w:szCs w:val="20"/>
              </w:rPr>
              <w:t xml:space="preserve"> </w:t>
            </w:r>
            <w:r w:rsidRPr="000B616B">
              <w:rPr>
                <w:rFonts w:ascii="Bookman Old Style" w:hAnsi="Bookman Old Style"/>
                <w:sz w:val="20"/>
                <w:szCs w:val="20"/>
              </w:rPr>
              <w:t>b, huruf c, dan huruf d.</w:t>
            </w:r>
          </w:p>
        </w:tc>
        <w:tc>
          <w:tcPr>
            <w:tcW w:w="3686" w:type="dxa"/>
            <w:shd w:val="clear" w:color="auto" w:fill="auto"/>
            <w:vAlign w:val="center"/>
          </w:tcPr>
          <w:p w14:paraId="3D2D1827"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6046511"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09682F66" w14:textId="77777777" w:rsidTr="00B03AEA">
        <w:trPr>
          <w:trHeight w:val="564"/>
          <w:tblHeader/>
        </w:trPr>
        <w:tc>
          <w:tcPr>
            <w:tcW w:w="9634" w:type="dxa"/>
            <w:shd w:val="clear" w:color="auto" w:fill="auto"/>
            <w:vAlign w:val="center"/>
          </w:tcPr>
          <w:p w14:paraId="10F3C833" w14:textId="77777777" w:rsidR="000B616B" w:rsidRPr="0098476F" w:rsidRDefault="000B616B" w:rsidP="00A32F86">
            <w:pPr>
              <w:pStyle w:val="BodyText"/>
              <w:widowControl w:val="0"/>
              <w:numPr>
                <w:ilvl w:val="0"/>
                <w:numId w:val="73"/>
              </w:numPr>
              <w:autoSpaceDE w:val="0"/>
              <w:autoSpaceDN w:val="0"/>
              <w:ind w:left="1701" w:right="620" w:hanging="567"/>
              <w:outlineLvl w:val="0"/>
              <w:rPr>
                <w:rFonts w:ascii="Bookman Old Style" w:hAnsi="Bookman Old Style"/>
                <w:sz w:val="20"/>
                <w:szCs w:val="20"/>
                <w:u w:val="single"/>
              </w:rPr>
            </w:pPr>
            <w:r w:rsidRPr="0098476F">
              <w:rPr>
                <w:rFonts w:ascii="Bookman Old Style" w:hAnsi="Bookman Old Style"/>
                <w:sz w:val="20"/>
                <w:szCs w:val="20"/>
                <w:u w:val="single"/>
              </w:rPr>
              <w:t>Arus kas keluar lainnya (</w:t>
            </w:r>
            <w:r w:rsidRPr="0098476F">
              <w:rPr>
                <w:rFonts w:ascii="Bookman Old Style" w:hAnsi="Bookman Old Style"/>
                <w:i/>
                <w:sz w:val="20"/>
                <w:szCs w:val="20"/>
                <w:u w:val="single"/>
              </w:rPr>
              <w:t>additional requirement</w:t>
            </w:r>
            <w:r w:rsidRPr="0098476F">
              <w:rPr>
                <w:rFonts w:ascii="Bookman Old Style" w:hAnsi="Bookman Old Style"/>
                <w:sz w:val="20"/>
                <w:szCs w:val="20"/>
                <w:u w:val="single"/>
              </w:rPr>
              <w:t>)</w:t>
            </w:r>
          </w:p>
          <w:p w14:paraId="7353F9B5" w14:textId="77777777" w:rsidR="000B616B" w:rsidRPr="0098476F" w:rsidRDefault="000B616B" w:rsidP="0098476F">
            <w:pPr>
              <w:pStyle w:val="BodyText"/>
              <w:ind w:left="1701" w:right="-1"/>
              <w:outlineLvl w:val="0"/>
              <w:rPr>
                <w:rFonts w:ascii="Bookman Old Style" w:hAnsi="Bookman Old Style"/>
                <w:sz w:val="20"/>
                <w:szCs w:val="20"/>
              </w:rPr>
            </w:pPr>
            <w:r w:rsidRPr="0098476F">
              <w:rPr>
                <w:rFonts w:ascii="Bookman Old Style" w:hAnsi="Bookman Old Style"/>
                <w:sz w:val="20"/>
                <w:szCs w:val="20"/>
              </w:rPr>
              <w:t>Tingkat penarikan (</w:t>
            </w:r>
            <w:r w:rsidRPr="0098476F">
              <w:rPr>
                <w:rFonts w:ascii="Bookman Old Style" w:hAnsi="Bookman Old Style"/>
                <w:i/>
                <w:iCs/>
                <w:sz w:val="20"/>
                <w:szCs w:val="20"/>
              </w:rPr>
              <w:t>run-off rate</w:t>
            </w:r>
            <w:r w:rsidRPr="0098476F">
              <w:rPr>
                <w:rFonts w:ascii="Bookman Old Style" w:hAnsi="Bookman Old Style"/>
                <w:sz w:val="20"/>
                <w:szCs w:val="20"/>
              </w:rPr>
              <w:t>)</w:t>
            </w:r>
            <w:r w:rsidRPr="0098476F">
              <w:rPr>
                <w:rFonts w:ascii="Bookman Old Style" w:hAnsi="Bookman Old Style"/>
                <w:i/>
                <w:iCs/>
                <w:sz w:val="20"/>
                <w:szCs w:val="20"/>
              </w:rPr>
              <w:t xml:space="preserve"> </w:t>
            </w:r>
            <w:r w:rsidRPr="0098476F">
              <w:rPr>
                <w:rFonts w:ascii="Bookman Old Style" w:hAnsi="Bookman Old Style"/>
                <w:sz w:val="20"/>
                <w:szCs w:val="20"/>
              </w:rPr>
              <w:t>adalah tingkat prediksi penarikan kewajiban Bank berdasarkan skenario tertentu. Bank wajib menghitung arus kas keluar lainnya (</w:t>
            </w:r>
            <w:r w:rsidRPr="0098476F">
              <w:rPr>
                <w:rFonts w:ascii="Bookman Old Style" w:hAnsi="Bookman Old Style"/>
                <w:i/>
                <w:sz w:val="20"/>
                <w:szCs w:val="20"/>
              </w:rPr>
              <w:t>additional requirement</w:t>
            </w:r>
            <w:r w:rsidRPr="0098476F">
              <w:rPr>
                <w:rFonts w:ascii="Bookman Old Style" w:hAnsi="Bookman Old Style"/>
                <w:sz w:val="20"/>
                <w:szCs w:val="20"/>
              </w:rPr>
              <w:t>), yang meliputi:</w:t>
            </w:r>
          </w:p>
          <w:p w14:paraId="779F82E5" w14:textId="77777777" w:rsidR="000B616B" w:rsidRPr="0098476F" w:rsidRDefault="000B616B"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98476F">
              <w:rPr>
                <w:rFonts w:ascii="Bookman Old Style" w:hAnsi="Bookman Old Style"/>
                <w:sz w:val="20"/>
                <w:szCs w:val="20"/>
              </w:rPr>
              <w:t>transaksi derivatif syariah</w:t>
            </w:r>
          </w:p>
          <w:p w14:paraId="3D6D8BFE" w14:textId="77777777" w:rsidR="000B616B" w:rsidRPr="0098476F" w:rsidRDefault="000B616B" w:rsidP="00A32F86">
            <w:pPr>
              <w:pStyle w:val="BodyText"/>
              <w:widowControl w:val="0"/>
              <w:numPr>
                <w:ilvl w:val="0"/>
                <w:numId w:val="103"/>
              </w:numPr>
              <w:autoSpaceDE w:val="0"/>
              <w:autoSpaceDN w:val="0"/>
              <w:ind w:left="2835" w:right="-1" w:hanging="567"/>
              <w:outlineLvl w:val="0"/>
              <w:rPr>
                <w:rFonts w:ascii="Bookman Old Style" w:hAnsi="Bookman Old Style"/>
                <w:sz w:val="20"/>
                <w:szCs w:val="20"/>
              </w:rPr>
            </w:pPr>
            <w:r w:rsidRPr="0098476F">
              <w:rPr>
                <w:rFonts w:ascii="Bookman Old Style" w:hAnsi="Bookman Old Style"/>
                <w:sz w:val="20"/>
                <w:szCs w:val="20"/>
              </w:rPr>
              <w:t>Bank wajib memperhitungkan estimasi arus kas keluar dalam 30 (tiga puluh) hari kedepan atas transaksi derivatif berdasarkan metode valuasi yang berlaku pada masing-masing Bank. Tingkat penarikan untuk transaksi derivatif syariah ditetapkan 100% (seratus persen) dari nilai transaksi derivatif syariah.</w:t>
            </w:r>
          </w:p>
          <w:p w14:paraId="2EA07268" w14:textId="77777777" w:rsidR="000B616B" w:rsidRPr="0098476F" w:rsidRDefault="000B616B" w:rsidP="00A32F86">
            <w:pPr>
              <w:pStyle w:val="BodyText"/>
              <w:widowControl w:val="0"/>
              <w:numPr>
                <w:ilvl w:val="0"/>
                <w:numId w:val="103"/>
              </w:numPr>
              <w:autoSpaceDE w:val="0"/>
              <w:autoSpaceDN w:val="0"/>
              <w:ind w:left="2835" w:right="-1" w:hanging="567"/>
              <w:outlineLvl w:val="0"/>
              <w:rPr>
                <w:rFonts w:ascii="Bookman Old Style" w:hAnsi="Bookman Old Style"/>
                <w:sz w:val="20"/>
                <w:szCs w:val="20"/>
              </w:rPr>
            </w:pPr>
            <w:r w:rsidRPr="0098476F">
              <w:rPr>
                <w:rFonts w:ascii="Bookman Old Style" w:hAnsi="Bookman Old Style"/>
                <w:sz w:val="20"/>
                <w:szCs w:val="20"/>
              </w:rPr>
              <w:t>Arus kas masuk dan arus kas keluar yang berasal dari transaksi derivatif syariah dapat dihitung selisih bersih (net) berdasarkan pihak lawan (</w:t>
            </w:r>
            <w:r w:rsidRPr="0098476F">
              <w:rPr>
                <w:rFonts w:ascii="Bookman Old Style" w:hAnsi="Bookman Old Style"/>
                <w:i/>
                <w:sz w:val="20"/>
                <w:szCs w:val="20"/>
              </w:rPr>
              <w:t>counterparty</w:t>
            </w:r>
            <w:r w:rsidRPr="0098476F">
              <w:rPr>
                <w:rFonts w:ascii="Bookman Old Style" w:hAnsi="Bookman Old Style"/>
                <w:sz w:val="20"/>
                <w:szCs w:val="20"/>
              </w:rPr>
              <w:t xml:space="preserve">) dalam hal terdapat valid </w:t>
            </w:r>
            <w:r w:rsidRPr="0098476F">
              <w:rPr>
                <w:rFonts w:ascii="Bookman Old Style" w:hAnsi="Bookman Old Style"/>
                <w:i/>
                <w:sz w:val="20"/>
                <w:szCs w:val="20"/>
              </w:rPr>
              <w:t>master netting agreement</w:t>
            </w:r>
            <w:r w:rsidRPr="0098476F">
              <w:rPr>
                <w:rFonts w:ascii="Bookman Old Style" w:hAnsi="Bookman Old Style"/>
                <w:sz w:val="20"/>
                <w:szCs w:val="20"/>
              </w:rPr>
              <w:t>.</w:t>
            </w:r>
          </w:p>
          <w:p w14:paraId="5C51BF2B" w14:textId="77777777" w:rsidR="000B616B" w:rsidRPr="0098476F" w:rsidRDefault="000B616B" w:rsidP="00A32F86">
            <w:pPr>
              <w:pStyle w:val="BodyText"/>
              <w:widowControl w:val="0"/>
              <w:numPr>
                <w:ilvl w:val="0"/>
                <w:numId w:val="103"/>
              </w:numPr>
              <w:autoSpaceDE w:val="0"/>
              <w:autoSpaceDN w:val="0"/>
              <w:ind w:left="2835" w:right="-1" w:hanging="567"/>
              <w:outlineLvl w:val="0"/>
              <w:rPr>
                <w:rFonts w:ascii="Bookman Old Style" w:hAnsi="Bookman Old Style"/>
                <w:sz w:val="20"/>
                <w:szCs w:val="20"/>
              </w:rPr>
            </w:pPr>
            <w:r w:rsidRPr="0098476F">
              <w:rPr>
                <w:rFonts w:ascii="Bookman Old Style" w:hAnsi="Bookman Old Style"/>
                <w:sz w:val="20"/>
                <w:szCs w:val="20"/>
              </w:rPr>
              <w:t xml:space="preserve">Arus kas masuk dan arus kas keluar yang berasal dari transaksi derivatif syariah valuta asing dapat dihitung selisih bersih (net) meskipun tanpa </w:t>
            </w:r>
            <w:r w:rsidRPr="0098476F">
              <w:rPr>
                <w:rFonts w:ascii="Bookman Old Style" w:hAnsi="Bookman Old Style"/>
                <w:i/>
                <w:sz w:val="20"/>
                <w:szCs w:val="20"/>
              </w:rPr>
              <w:t>valid master netting agreement</w:t>
            </w:r>
            <w:r w:rsidRPr="0098476F">
              <w:rPr>
                <w:rFonts w:ascii="Bookman Old Style" w:hAnsi="Bookman Old Style"/>
                <w:sz w:val="20"/>
                <w:szCs w:val="20"/>
              </w:rPr>
              <w:t xml:space="preserve"> dalam hal transaksi derivatif syariah merupakan pemindahan dana pokok secara penuh dan simultan atau pada hari yang sama.</w:t>
            </w:r>
          </w:p>
          <w:p w14:paraId="471FC816" w14:textId="77777777" w:rsidR="000B616B" w:rsidRPr="0098476F" w:rsidRDefault="000B616B" w:rsidP="00A32F86">
            <w:pPr>
              <w:pStyle w:val="BodyText"/>
              <w:widowControl w:val="0"/>
              <w:numPr>
                <w:ilvl w:val="0"/>
                <w:numId w:val="103"/>
              </w:numPr>
              <w:autoSpaceDE w:val="0"/>
              <w:autoSpaceDN w:val="0"/>
              <w:ind w:left="2835" w:right="-1" w:hanging="567"/>
              <w:outlineLvl w:val="0"/>
              <w:rPr>
                <w:rFonts w:ascii="Bookman Old Style" w:hAnsi="Bookman Old Style"/>
                <w:sz w:val="20"/>
                <w:szCs w:val="20"/>
              </w:rPr>
            </w:pPr>
            <w:r w:rsidRPr="0098476F">
              <w:rPr>
                <w:rFonts w:ascii="Bookman Old Style" w:hAnsi="Bookman Old Style"/>
                <w:sz w:val="20"/>
                <w:szCs w:val="20"/>
              </w:rPr>
              <w:t>Perhitungan arus kas keluar lainnya (</w:t>
            </w:r>
            <w:r w:rsidRPr="0098476F">
              <w:rPr>
                <w:rFonts w:ascii="Bookman Old Style" w:hAnsi="Bookman Old Style"/>
                <w:i/>
                <w:sz w:val="20"/>
                <w:szCs w:val="20"/>
              </w:rPr>
              <w:t>additional requirement</w:t>
            </w:r>
            <w:r w:rsidRPr="0098476F">
              <w:rPr>
                <w:rFonts w:ascii="Bookman Old Style" w:hAnsi="Bookman Old Style"/>
                <w:sz w:val="20"/>
                <w:szCs w:val="20"/>
              </w:rPr>
              <w:t>) yang terkait dengan penyelesaian (</w:t>
            </w:r>
            <w:r w:rsidRPr="0098476F">
              <w:rPr>
                <w:rFonts w:ascii="Bookman Old Style" w:hAnsi="Bookman Old Style"/>
                <w:i/>
                <w:sz w:val="20"/>
                <w:szCs w:val="20"/>
              </w:rPr>
              <w:t>settlement</w:t>
            </w:r>
            <w:r w:rsidRPr="0098476F">
              <w:rPr>
                <w:rFonts w:ascii="Bookman Old Style" w:hAnsi="Bookman Old Style"/>
                <w:sz w:val="20"/>
                <w:szCs w:val="20"/>
              </w:rPr>
              <w:t>) transaksi derivatif syariah sebagaimana dimaksud pada ayat (1) dapat dikurangkan dengan arus kas masuk (</w:t>
            </w:r>
            <w:r w:rsidRPr="0098476F">
              <w:rPr>
                <w:rFonts w:ascii="Bookman Old Style" w:hAnsi="Bookman Old Style"/>
                <w:i/>
                <w:sz w:val="20"/>
                <w:szCs w:val="20"/>
              </w:rPr>
              <w:t>cash inflow</w:t>
            </w:r>
            <w:r w:rsidRPr="0098476F">
              <w:rPr>
                <w:rFonts w:ascii="Bookman Old Style" w:hAnsi="Bookman Old Style"/>
                <w:sz w:val="20"/>
                <w:szCs w:val="20"/>
              </w:rPr>
              <w:t>) dari penggunaan agunan yang diterima oleh Bank sepanjang memenuhi persyaratan:</w:t>
            </w:r>
          </w:p>
          <w:p w14:paraId="294BCA50" w14:textId="77777777" w:rsidR="000B616B" w:rsidRPr="0098476F" w:rsidRDefault="000B616B" w:rsidP="00A32F86">
            <w:pPr>
              <w:pStyle w:val="BodyText"/>
              <w:widowControl w:val="0"/>
              <w:numPr>
                <w:ilvl w:val="0"/>
                <w:numId w:val="104"/>
              </w:numPr>
              <w:autoSpaceDE w:val="0"/>
              <w:autoSpaceDN w:val="0"/>
              <w:ind w:left="3402" w:right="-1" w:hanging="567"/>
              <w:outlineLvl w:val="0"/>
              <w:rPr>
                <w:rFonts w:ascii="Bookman Old Style" w:hAnsi="Bookman Old Style"/>
                <w:sz w:val="20"/>
                <w:szCs w:val="20"/>
              </w:rPr>
            </w:pPr>
            <w:r w:rsidRPr="0098476F">
              <w:rPr>
                <w:rFonts w:ascii="Bookman Old Style" w:hAnsi="Bookman Old Style"/>
                <w:sz w:val="20"/>
                <w:szCs w:val="20"/>
              </w:rPr>
              <w:t>memenuhi kriteria sebagai HQLA;</w:t>
            </w:r>
          </w:p>
          <w:p w14:paraId="0EBF2F52" w14:textId="77777777" w:rsidR="000B616B" w:rsidRPr="0098476F" w:rsidRDefault="000B616B" w:rsidP="00A32F86">
            <w:pPr>
              <w:pStyle w:val="BodyText"/>
              <w:widowControl w:val="0"/>
              <w:numPr>
                <w:ilvl w:val="0"/>
                <w:numId w:val="104"/>
              </w:numPr>
              <w:autoSpaceDE w:val="0"/>
              <w:autoSpaceDN w:val="0"/>
              <w:ind w:left="3402" w:right="-1" w:hanging="567"/>
              <w:outlineLvl w:val="0"/>
              <w:rPr>
                <w:rFonts w:ascii="Bookman Old Style" w:hAnsi="Bookman Old Style"/>
                <w:sz w:val="20"/>
                <w:szCs w:val="20"/>
              </w:rPr>
            </w:pPr>
            <w:r w:rsidRPr="0098476F">
              <w:rPr>
                <w:rFonts w:ascii="Bookman Old Style" w:hAnsi="Bookman Old Style"/>
                <w:sz w:val="20"/>
                <w:szCs w:val="20"/>
              </w:rPr>
              <w:t xml:space="preserve">tidak diperhitungkan sebagai bagian dari HQLA dalam pemenuhan LCR; dan </w:t>
            </w:r>
          </w:p>
          <w:p w14:paraId="0090BAED" w14:textId="4671971E" w:rsidR="000B616B" w:rsidRPr="0098476F" w:rsidRDefault="000B616B" w:rsidP="00A32F86">
            <w:pPr>
              <w:pStyle w:val="BodyText"/>
              <w:widowControl w:val="0"/>
              <w:numPr>
                <w:ilvl w:val="0"/>
                <w:numId w:val="104"/>
              </w:numPr>
              <w:autoSpaceDE w:val="0"/>
              <w:autoSpaceDN w:val="0"/>
              <w:ind w:left="3402" w:right="-1" w:hanging="567"/>
              <w:outlineLvl w:val="0"/>
              <w:rPr>
                <w:rFonts w:ascii="Bookman Old Style" w:hAnsi="Bookman Old Style"/>
                <w:sz w:val="20"/>
                <w:szCs w:val="20"/>
              </w:rPr>
            </w:pPr>
            <w:r w:rsidRPr="0098476F">
              <w:rPr>
                <w:rFonts w:ascii="Bookman Old Style" w:hAnsi="Bookman Old Style"/>
                <w:sz w:val="20"/>
                <w:szCs w:val="20"/>
              </w:rPr>
              <w:t>Bank secara legal memiliki hak dan kemampuan operasional menggunakan agunan untuk menghasilkan dana baru.</w:t>
            </w:r>
          </w:p>
        </w:tc>
        <w:tc>
          <w:tcPr>
            <w:tcW w:w="3686" w:type="dxa"/>
            <w:shd w:val="clear" w:color="auto" w:fill="auto"/>
            <w:vAlign w:val="center"/>
          </w:tcPr>
          <w:p w14:paraId="4B5FC873"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499C004"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3A8E8F21" w14:textId="77777777" w:rsidTr="00B03AEA">
        <w:trPr>
          <w:trHeight w:val="564"/>
          <w:tblHeader/>
        </w:trPr>
        <w:tc>
          <w:tcPr>
            <w:tcW w:w="9634" w:type="dxa"/>
            <w:shd w:val="clear" w:color="auto" w:fill="auto"/>
            <w:vAlign w:val="center"/>
          </w:tcPr>
          <w:p w14:paraId="37587A75" w14:textId="77777777" w:rsidR="000B616B" w:rsidRPr="007A648D" w:rsidRDefault="000B616B"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peningkatan kebutuhan likuiditas;</w:t>
            </w:r>
          </w:p>
          <w:p w14:paraId="585E9FF6" w14:textId="77777777" w:rsidR="000B616B" w:rsidRPr="007A648D" w:rsidRDefault="000B616B"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lastRenderedPageBreak/>
              <w:t>Bank wajib memperhitungkan estimasi arus kas keluar dalam 30 (tiga puluh) hari kedepan atas peningkatan kebutuhan likuiditas terkait dengan:</w:t>
            </w:r>
          </w:p>
          <w:p w14:paraId="412B88D1" w14:textId="77777777" w:rsidR="000B616B" w:rsidRPr="007A648D" w:rsidRDefault="000B616B" w:rsidP="00A32F86">
            <w:pPr>
              <w:pStyle w:val="BodyText"/>
              <w:widowControl w:val="0"/>
              <w:numPr>
                <w:ilvl w:val="0"/>
                <w:numId w:val="10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penurunan peringkat (rating) Bank dalam transaksi Pendanaan, derivatif, dan perjanjian lainnya;</w:t>
            </w:r>
          </w:p>
          <w:p w14:paraId="3E2C9BB5"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penarikan untuk peningkatan kebutuhan likuiditas terkait dengan penurunan peringkat (</w:t>
            </w:r>
            <w:r w:rsidRPr="007A648D">
              <w:rPr>
                <w:rFonts w:ascii="Bookman Old Style" w:hAnsi="Bookman Old Style"/>
                <w:i/>
                <w:sz w:val="20"/>
                <w:szCs w:val="20"/>
              </w:rPr>
              <w:t>rating</w:t>
            </w:r>
            <w:r w:rsidRPr="007A648D">
              <w:rPr>
                <w:rFonts w:ascii="Bookman Old Style" w:hAnsi="Bookman Old Style"/>
                <w:sz w:val="20"/>
                <w:szCs w:val="20"/>
              </w:rPr>
              <w:t>) Bank dalam transaksi Pendanaan, derivatif syariah, dan perjanjian lainnya ditetapkan 100% (seratus persen) dari jumlah agunan yang harus diberikan atau arus kas keluar sesuai perjanjian yang berhubungan dengan penurunan peringkat (</w:t>
            </w:r>
            <w:r w:rsidRPr="007A648D">
              <w:rPr>
                <w:rFonts w:ascii="Bookman Old Style" w:hAnsi="Bookman Old Style"/>
                <w:i/>
                <w:sz w:val="20"/>
                <w:szCs w:val="20"/>
              </w:rPr>
              <w:t>rating</w:t>
            </w:r>
            <w:r w:rsidRPr="007A648D">
              <w:rPr>
                <w:rFonts w:ascii="Bookman Old Style" w:hAnsi="Bookman Old Style"/>
                <w:sz w:val="20"/>
                <w:szCs w:val="20"/>
              </w:rPr>
              <w:t>) jangka panjang sampai dengan atau sama dengan 3 (tiga) level peringkat (</w:t>
            </w:r>
            <w:r w:rsidRPr="007A648D">
              <w:rPr>
                <w:rFonts w:ascii="Bookman Old Style" w:hAnsi="Bookman Old Style"/>
                <w:i/>
                <w:sz w:val="20"/>
                <w:szCs w:val="20"/>
              </w:rPr>
              <w:t>notches</w:t>
            </w:r>
            <w:r w:rsidRPr="007A648D">
              <w:rPr>
                <w:rFonts w:ascii="Bookman Old Style" w:hAnsi="Bookman Old Style"/>
                <w:sz w:val="20"/>
                <w:szCs w:val="20"/>
              </w:rPr>
              <w:t>).</w:t>
            </w:r>
          </w:p>
          <w:p w14:paraId="505E4A2A"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Untuk mengantisipasi penurunan peringkat (</w:t>
            </w:r>
            <w:r w:rsidRPr="007A648D">
              <w:rPr>
                <w:rFonts w:ascii="Bookman Old Style" w:hAnsi="Bookman Old Style"/>
                <w:i/>
                <w:iCs/>
                <w:sz w:val="20"/>
                <w:szCs w:val="20"/>
              </w:rPr>
              <w:t>rating</w:t>
            </w:r>
            <w:r w:rsidRPr="007A648D">
              <w:rPr>
                <w:rFonts w:ascii="Bookman Old Style" w:hAnsi="Bookman Old Style"/>
                <w:sz w:val="20"/>
                <w:szCs w:val="20"/>
              </w:rPr>
              <w:t>) Bank oleh lembaga pemeringkat yang diakui, dalam perjanjian yang berhubungan dengan derivatif syariah dan transaksi lainnya pada umumnya ditambahkan klausul yang mensyaratkan untuk memberikan tambahan agunan, fasilitas penarikan kontijensi atau pembayaran dipercepat dari kewajiban yang ada. Penurunan peringkat berdampak pada semua agunan termasuk terhadap hak untuk mengagunkan kembali.</w:t>
            </w:r>
          </w:p>
          <w:p w14:paraId="4C501E2D" w14:textId="77777777" w:rsidR="000B616B" w:rsidRPr="007A648D" w:rsidRDefault="000B616B" w:rsidP="00A32F86">
            <w:pPr>
              <w:pStyle w:val="BodyText"/>
              <w:widowControl w:val="0"/>
              <w:numPr>
                <w:ilvl w:val="0"/>
                <w:numId w:val="10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Perubahan </w:t>
            </w:r>
            <w:r w:rsidRPr="007A648D">
              <w:rPr>
                <w:rFonts w:ascii="Bookman Old Style" w:hAnsi="Bookman Old Style"/>
                <w:i/>
                <w:sz w:val="20"/>
                <w:szCs w:val="20"/>
              </w:rPr>
              <w:t>mark to market</w:t>
            </w:r>
            <w:r w:rsidRPr="007A648D">
              <w:rPr>
                <w:rFonts w:ascii="Bookman Old Style" w:hAnsi="Bookman Old Style"/>
                <w:sz w:val="20"/>
                <w:szCs w:val="20"/>
              </w:rPr>
              <w:t xml:space="preserve"> atas transaksi derivatif syariah atau transaksi lainnya;</w:t>
            </w:r>
          </w:p>
          <w:p w14:paraId="38A273EC"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penarikan untuk peningkatan kebutuhan likuiditas terkait dengan perubahan mark to market atas transaksi derivatif syariah atau transaksi lainnya ditetapkan sebesar aliran agunan bersih absolut selama 30 (tiga puluh) hari yang terbesar yang direalisasikan dalam 24 (dua puluh empat) bulan.</w:t>
            </w:r>
          </w:p>
          <w:p w14:paraId="4B45FAD4"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Aliran agunan bersih absolut didasarkan pada realisasi arus keluar (</w:t>
            </w:r>
            <w:r w:rsidRPr="007A648D">
              <w:rPr>
                <w:rFonts w:ascii="Bookman Old Style" w:hAnsi="Bookman Old Style"/>
                <w:i/>
                <w:iCs/>
                <w:sz w:val="20"/>
                <w:szCs w:val="20"/>
              </w:rPr>
              <w:t>outflow</w:t>
            </w:r>
            <w:r w:rsidRPr="007A648D">
              <w:rPr>
                <w:rFonts w:ascii="Bookman Old Style" w:hAnsi="Bookman Old Style"/>
                <w:sz w:val="20"/>
                <w:szCs w:val="20"/>
              </w:rPr>
              <w:t>) dan arus masuk (</w:t>
            </w:r>
            <w:r w:rsidRPr="007A648D">
              <w:rPr>
                <w:rFonts w:ascii="Bookman Old Style" w:hAnsi="Bookman Old Style"/>
                <w:i/>
                <w:iCs/>
                <w:sz w:val="20"/>
                <w:szCs w:val="20"/>
              </w:rPr>
              <w:t>inflow</w:t>
            </w:r>
            <w:r w:rsidRPr="007A648D">
              <w:rPr>
                <w:rFonts w:ascii="Bookman Old Style" w:hAnsi="Bookman Old Style"/>
                <w:sz w:val="20"/>
                <w:szCs w:val="20"/>
              </w:rPr>
              <w:t>).</w:t>
            </w:r>
          </w:p>
          <w:p w14:paraId="56B4658A"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 xml:space="preserve">Dalam hal transaksi derivatif syariah atau transaksi lainnya mensyaratkan agunan atas eksposur </w:t>
            </w:r>
            <w:r w:rsidRPr="007A648D">
              <w:rPr>
                <w:rFonts w:ascii="Bookman Old Style" w:hAnsi="Bookman Old Style"/>
                <w:i/>
                <w:iCs/>
                <w:sz w:val="20"/>
                <w:szCs w:val="20"/>
              </w:rPr>
              <w:t xml:space="preserve">mark to market </w:t>
            </w:r>
            <w:r w:rsidRPr="007A648D">
              <w:rPr>
                <w:rFonts w:ascii="Bookman Old Style" w:hAnsi="Bookman Old Style"/>
                <w:sz w:val="20"/>
                <w:szCs w:val="20"/>
              </w:rPr>
              <w:t xml:space="preserve">untuk transaksi dimaksud, Bank memiliki potensi peningkatan kebutuhan likuiditas akibat </w:t>
            </w:r>
            <w:r w:rsidRPr="007A648D">
              <w:rPr>
                <w:rFonts w:ascii="Bookman Old Style" w:hAnsi="Bookman Old Style"/>
                <w:i/>
                <w:iCs/>
                <w:sz w:val="20"/>
                <w:szCs w:val="20"/>
              </w:rPr>
              <w:t xml:space="preserve">mark to market </w:t>
            </w:r>
            <w:r w:rsidRPr="007A648D">
              <w:rPr>
                <w:rFonts w:ascii="Bookman Old Style" w:hAnsi="Bookman Old Style"/>
                <w:sz w:val="20"/>
                <w:szCs w:val="20"/>
              </w:rPr>
              <w:t>tersebut.</w:t>
            </w:r>
          </w:p>
          <w:p w14:paraId="61A846C2" w14:textId="77777777" w:rsidR="000B616B" w:rsidRPr="007A648D" w:rsidRDefault="000B616B" w:rsidP="00A32F86">
            <w:pPr>
              <w:pStyle w:val="BodyText"/>
              <w:widowControl w:val="0"/>
              <w:numPr>
                <w:ilvl w:val="0"/>
                <w:numId w:val="10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potensi perubahan nilai agunan untuk derivatif dan transaksi lainnya;</w:t>
            </w:r>
          </w:p>
          <w:p w14:paraId="0FAF6256"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 xml:space="preserve">Dalam hal terdapat persyaratan agar setiap pihak dalam transaksi derivatif harus menjaga valuasi </w:t>
            </w:r>
            <w:r w:rsidRPr="007A648D">
              <w:rPr>
                <w:rFonts w:ascii="Bookman Old Style" w:hAnsi="Bookman Old Style"/>
                <w:i/>
                <w:iCs/>
                <w:sz w:val="20"/>
                <w:szCs w:val="20"/>
              </w:rPr>
              <w:t xml:space="preserve">mark to market </w:t>
            </w:r>
            <w:r w:rsidRPr="007A648D">
              <w:rPr>
                <w:rFonts w:ascii="Bookman Old Style" w:hAnsi="Bookman Old Style"/>
                <w:sz w:val="20"/>
                <w:szCs w:val="20"/>
              </w:rPr>
              <w:t xml:space="preserve">dari posisi transaksi dengan menggunakan agunan tertentu, Bank harus menghitung peningkatan kebutuhan likuiditas yang terkait dengan potensi </w:t>
            </w:r>
            <w:r w:rsidRPr="007A648D">
              <w:rPr>
                <w:rFonts w:ascii="Bookman Old Style" w:hAnsi="Bookman Old Style"/>
                <w:sz w:val="20"/>
                <w:szCs w:val="20"/>
              </w:rPr>
              <w:lastRenderedPageBreak/>
              <w:t>perubahan nilai agunan. Dalam hal agunan berupa HQLA Level 1, Bank tidak perlu menghitung peningkatan kebutuhan likuiditas terkait dengan perubahan nilai agunan.</w:t>
            </w:r>
          </w:p>
          <w:p w14:paraId="565C3942"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penarikan untuk peningkatan kebutuhan likuiditas terkait dengan potensi perubahan nilai agunan untuk derivatif syariah dan transaksi lainnya ditetapkan 20% (dua puluh persen) dari nilai agunan yang bukan HQLA Level 1 setelah pengurangan nilai (</w:t>
            </w:r>
            <w:r w:rsidRPr="007A648D">
              <w:rPr>
                <w:rFonts w:ascii="Bookman Old Style" w:hAnsi="Bookman Old Style"/>
                <w:i/>
                <w:sz w:val="20"/>
                <w:szCs w:val="20"/>
              </w:rPr>
              <w:t>haircut</w:t>
            </w:r>
            <w:r w:rsidRPr="007A648D">
              <w:rPr>
                <w:rFonts w:ascii="Bookman Old Style" w:hAnsi="Bookman Old Style"/>
                <w:sz w:val="20"/>
                <w:szCs w:val="20"/>
              </w:rPr>
              <w:t>) yang berasal dari nilai seluruh agunan setelah dikurangi agunan yang diterima dari pihak lawan (</w:t>
            </w:r>
            <w:r w:rsidRPr="007A648D">
              <w:rPr>
                <w:rFonts w:ascii="Bookman Old Style" w:hAnsi="Bookman Old Style"/>
                <w:i/>
                <w:sz w:val="20"/>
                <w:szCs w:val="20"/>
              </w:rPr>
              <w:t>counterparty</w:t>
            </w:r>
            <w:r w:rsidRPr="007A648D">
              <w:rPr>
                <w:rFonts w:ascii="Bookman Old Style" w:hAnsi="Bookman Old Style"/>
                <w:sz w:val="20"/>
                <w:szCs w:val="20"/>
              </w:rPr>
              <w:t>) sepanjang agunan yang diterima dapat diagunkan kembali.</w:t>
            </w:r>
          </w:p>
          <w:p w14:paraId="2B0D85C6"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Pengurangan nilai (</w:t>
            </w:r>
            <w:r w:rsidRPr="007A648D">
              <w:rPr>
                <w:rFonts w:ascii="Bookman Old Style" w:hAnsi="Bookman Old Style"/>
                <w:i/>
                <w:iCs/>
                <w:sz w:val="20"/>
                <w:szCs w:val="20"/>
              </w:rPr>
              <w:t>haircut</w:t>
            </w:r>
            <w:r w:rsidRPr="007A648D">
              <w:rPr>
                <w:rFonts w:ascii="Bookman Old Style" w:hAnsi="Bookman Old Style"/>
                <w:sz w:val="20"/>
                <w:szCs w:val="20"/>
              </w:rPr>
              <w:t>) yang dikenakan mengacu pada pengurangan nilai (</w:t>
            </w:r>
            <w:r w:rsidRPr="007A648D">
              <w:rPr>
                <w:rFonts w:ascii="Bookman Old Style" w:hAnsi="Bookman Old Style"/>
                <w:i/>
                <w:iCs/>
                <w:sz w:val="20"/>
                <w:szCs w:val="20"/>
              </w:rPr>
              <w:t>haircut</w:t>
            </w:r>
            <w:r w:rsidRPr="007A648D">
              <w:rPr>
                <w:rFonts w:ascii="Bookman Old Style" w:hAnsi="Bookman Old Style"/>
                <w:sz w:val="20"/>
                <w:szCs w:val="20"/>
              </w:rPr>
              <w:t>) sesuai perjanjian dengan pihak lawan (</w:t>
            </w:r>
            <w:r w:rsidRPr="007A648D">
              <w:rPr>
                <w:rFonts w:ascii="Bookman Old Style" w:hAnsi="Bookman Old Style"/>
                <w:i/>
                <w:iCs/>
                <w:sz w:val="20"/>
                <w:szCs w:val="20"/>
              </w:rPr>
              <w:t>counterparty</w:t>
            </w:r>
            <w:r w:rsidRPr="007A648D">
              <w:rPr>
                <w:rFonts w:ascii="Bookman Old Style" w:hAnsi="Bookman Old Style"/>
                <w:sz w:val="20"/>
                <w:szCs w:val="20"/>
              </w:rPr>
              <w:t>). Perhitungan arus kas keluar lainnya (</w:t>
            </w:r>
            <w:r w:rsidRPr="007A648D">
              <w:rPr>
                <w:rFonts w:ascii="Bookman Old Style" w:hAnsi="Bookman Old Style"/>
                <w:i/>
                <w:iCs/>
                <w:sz w:val="20"/>
                <w:szCs w:val="20"/>
              </w:rPr>
              <w:t>additional requirement</w:t>
            </w:r>
            <w:r w:rsidRPr="007A648D">
              <w:rPr>
                <w:rFonts w:ascii="Bookman Old Style" w:hAnsi="Bookman Old Style"/>
                <w:sz w:val="20"/>
                <w:szCs w:val="20"/>
              </w:rPr>
              <w:t>) dalam klasifikasi ini hanya dihitung apabila agunan yang diberikan kepada pihak lawan (</w:t>
            </w:r>
            <w:r w:rsidRPr="007A648D">
              <w:rPr>
                <w:rFonts w:ascii="Bookman Old Style" w:hAnsi="Bookman Old Style"/>
                <w:i/>
                <w:iCs/>
                <w:sz w:val="20"/>
                <w:szCs w:val="20"/>
              </w:rPr>
              <w:t>counterparty</w:t>
            </w:r>
            <w:r w:rsidRPr="007A648D">
              <w:rPr>
                <w:rFonts w:ascii="Bookman Old Style" w:hAnsi="Bookman Old Style"/>
                <w:sz w:val="20"/>
                <w:szCs w:val="20"/>
              </w:rPr>
              <w:t>) berupa agunan yang bukan HQLA Level 1.</w:t>
            </w:r>
          </w:p>
          <w:p w14:paraId="40D1CCE1" w14:textId="77777777" w:rsidR="000B616B" w:rsidRPr="007A648D" w:rsidRDefault="000B616B" w:rsidP="00A32F86">
            <w:pPr>
              <w:pStyle w:val="BodyText"/>
              <w:widowControl w:val="0"/>
              <w:numPr>
                <w:ilvl w:val="0"/>
                <w:numId w:val="10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kelebihan agunan yang tidak terpisah (</w:t>
            </w:r>
            <w:r w:rsidRPr="007A648D">
              <w:rPr>
                <w:rFonts w:ascii="Bookman Old Style" w:hAnsi="Bookman Old Style"/>
                <w:i/>
                <w:sz w:val="20"/>
                <w:szCs w:val="20"/>
              </w:rPr>
              <w:t>non-segregated collateral</w:t>
            </w:r>
            <w:r w:rsidRPr="007A648D">
              <w:rPr>
                <w:rFonts w:ascii="Bookman Old Style" w:hAnsi="Bookman Old Style"/>
                <w:sz w:val="20"/>
                <w:szCs w:val="20"/>
              </w:rPr>
              <w:t>) yang dikuasai oleh Bank yang secara kontraktual dapat diambil setiap saat oleh pihak lawan (</w:t>
            </w:r>
            <w:r w:rsidRPr="007A648D">
              <w:rPr>
                <w:rFonts w:ascii="Bookman Old Style" w:hAnsi="Bookman Old Style"/>
                <w:i/>
                <w:sz w:val="20"/>
                <w:szCs w:val="20"/>
              </w:rPr>
              <w:t>counterparty</w:t>
            </w:r>
            <w:r w:rsidRPr="007A648D">
              <w:rPr>
                <w:rFonts w:ascii="Bookman Old Style" w:hAnsi="Bookman Old Style"/>
                <w:sz w:val="20"/>
                <w:szCs w:val="20"/>
              </w:rPr>
              <w:t>);</w:t>
            </w:r>
          </w:p>
          <w:p w14:paraId="4BADA64F"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i/>
                <w:iCs/>
                <w:sz w:val="20"/>
                <w:szCs w:val="20"/>
              </w:rPr>
              <w:t>Non-segregated collateral</w:t>
            </w:r>
            <w:r w:rsidRPr="007A648D">
              <w:rPr>
                <w:rFonts w:ascii="Bookman Old Style" w:hAnsi="Bookman Old Style"/>
                <w:sz w:val="20"/>
                <w:szCs w:val="20"/>
              </w:rPr>
              <w:t xml:space="preserve"> adalah agunan yang diterima oleh Bank namun pencatatannya tidak dipisahkan dari laporan posisi keuangan Bank.</w:t>
            </w:r>
          </w:p>
          <w:p w14:paraId="5FD204FB"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penarikan untuk peningkatan kebutuhan likuiditas terkait dengan kelebihan agunan yang tidak terpisah (</w:t>
            </w:r>
            <w:r w:rsidRPr="007A648D">
              <w:rPr>
                <w:rFonts w:ascii="Bookman Old Style" w:hAnsi="Bookman Old Style"/>
                <w:i/>
                <w:sz w:val="20"/>
                <w:szCs w:val="20"/>
              </w:rPr>
              <w:t>non-segregated collateral</w:t>
            </w:r>
            <w:r w:rsidRPr="007A648D">
              <w:rPr>
                <w:rFonts w:ascii="Bookman Old Style" w:hAnsi="Bookman Old Style"/>
                <w:sz w:val="20"/>
                <w:szCs w:val="20"/>
              </w:rPr>
              <w:t>) yang dikuasai oleh Bank yang secara kontraktual dapat diambil setiap saat oleh pihak lawan (</w:t>
            </w:r>
            <w:r w:rsidRPr="007A648D">
              <w:rPr>
                <w:rFonts w:ascii="Bookman Old Style" w:hAnsi="Bookman Old Style"/>
                <w:i/>
                <w:sz w:val="20"/>
                <w:szCs w:val="20"/>
              </w:rPr>
              <w:t>counterparty</w:t>
            </w:r>
            <w:r w:rsidRPr="007A648D">
              <w:rPr>
                <w:rFonts w:ascii="Bookman Old Style" w:hAnsi="Bookman Old Style"/>
                <w:sz w:val="20"/>
                <w:szCs w:val="20"/>
              </w:rPr>
              <w:t xml:space="preserve">) ditetapkan 100% (seratus persen) dari nilai </w:t>
            </w:r>
            <w:r w:rsidRPr="007A648D">
              <w:rPr>
                <w:rFonts w:ascii="Bookman Old Style" w:hAnsi="Bookman Old Style"/>
                <w:i/>
                <w:sz w:val="20"/>
                <w:szCs w:val="20"/>
              </w:rPr>
              <w:t>non-segregated collateral</w:t>
            </w:r>
            <w:r w:rsidRPr="007A648D">
              <w:rPr>
                <w:rFonts w:ascii="Bookman Old Style" w:hAnsi="Bookman Old Style"/>
                <w:sz w:val="20"/>
                <w:szCs w:val="20"/>
              </w:rPr>
              <w:t xml:space="preserve"> yang secara kontraktual dapat ditarik kembali oleh pihak lawan (</w:t>
            </w:r>
            <w:r w:rsidRPr="007A648D">
              <w:rPr>
                <w:rFonts w:ascii="Bookman Old Style" w:hAnsi="Bookman Old Style"/>
                <w:i/>
                <w:sz w:val="20"/>
                <w:szCs w:val="20"/>
              </w:rPr>
              <w:t>counterparty</w:t>
            </w:r>
            <w:r w:rsidRPr="007A648D">
              <w:rPr>
                <w:rFonts w:ascii="Bookman Old Style" w:hAnsi="Bookman Old Style"/>
                <w:sz w:val="20"/>
                <w:szCs w:val="20"/>
              </w:rPr>
              <w:t>) karena nilai agunan melebihi dari yang dipersyaratkan.</w:t>
            </w:r>
          </w:p>
          <w:p w14:paraId="1715FAAF" w14:textId="77777777" w:rsidR="000B616B" w:rsidRPr="007A648D" w:rsidRDefault="000B616B" w:rsidP="00A32F86">
            <w:pPr>
              <w:pStyle w:val="BodyText"/>
              <w:widowControl w:val="0"/>
              <w:numPr>
                <w:ilvl w:val="0"/>
                <w:numId w:val="10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kewajiban penyediaan agunan kepada pihak lawan (</w:t>
            </w:r>
            <w:r w:rsidRPr="007A648D">
              <w:rPr>
                <w:rFonts w:ascii="Bookman Old Style" w:hAnsi="Bookman Old Style"/>
                <w:i/>
                <w:sz w:val="20"/>
                <w:szCs w:val="20"/>
              </w:rPr>
              <w:t>counterparty</w:t>
            </w:r>
            <w:r w:rsidRPr="007A648D">
              <w:rPr>
                <w:rFonts w:ascii="Bookman Old Style" w:hAnsi="Bookman Old Style"/>
                <w:sz w:val="20"/>
                <w:szCs w:val="20"/>
              </w:rPr>
              <w:t>) atas suatu transaksi tertentu namun pihak lawan (</w:t>
            </w:r>
            <w:r w:rsidRPr="007A648D">
              <w:rPr>
                <w:rFonts w:ascii="Bookman Old Style" w:hAnsi="Bookman Old Style"/>
                <w:i/>
                <w:sz w:val="20"/>
                <w:szCs w:val="20"/>
              </w:rPr>
              <w:t>counterparty</w:t>
            </w:r>
            <w:r w:rsidRPr="007A648D">
              <w:rPr>
                <w:rFonts w:ascii="Bookman Old Style" w:hAnsi="Bookman Old Style"/>
                <w:sz w:val="20"/>
                <w:szCs w:val="20"/>
              </w:rPr>
              <w:t>) belum meminta agunan tersebut; dan</w:t>
            </w:r>
          </w:p>
          <w:p w14:paraId="413EDBD3"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penarikan untuk peningkatan kebutuhan likuiditas terkait dengan kewajiban penyediaan agunan kepada pihak lawan (</w:t>
            </w:r>
            <w:r w:rsidRPr="007A648D">
              <w:rPr>
                <w:rFonts w:ascii="Bookman Old Style" w:hAnsi="Bookman Old Style"/>
                <w:i/>
                <w:sz w:val="20"/>
                <w:szCs w:val="20"/>
              </w:rPr>
              <w:t>counterparty</w:t>
            </w:r>
            <w:r w:rsidRPr="007A648D">
              <w:rPr>
                <w:rFonts w:ascii="Bookman Old Style" w:hAnsi="Bookman Old Style"/>
                <w:sz w:val="20"/>
                <w:szCs w:val="20"/>
              </w:rPr>
              <w:t>) atas suatu transaksi tertentu namun pihak lawan (</w:t>
            </w:r>
            <w:r w:rsidRPr="007A648D">
              <w:rPr>
                <w:rFonts w:ascii="Bookman Old Style" w:hAnsi="Bookman Old Style"/>
                <w:i/>
                <w:sz w:val="20"/>
                <w:szCs w:val="20"/>
              </w:rPr>
              <w:t>counterparty</w:t>
            </w:r>
            <w:r w:rsidRPr="007A648D">
              <w:rPr>
                <w:rFonts w:ascii="Bookman Old Style" w:hAnsi="Bookman Old Style"/>
                <w:sz w:val="20"/>
                <w:szCs w:val="20"/>
              </w:rPr>
              <w:t>) belum meminta agunan ditetapkan 100% (seratus persen) dari nilai agunan yang secara kontraktual harus dipenuhi.</w:t>
            </w:r>
          </w:p>
          <w:p w14:paraId="367680AE" w14:textId="77777777" w:rsidR="000B616B" w:rsidRPr="007A648D" w:rsidRDefault="000B616B" w:rsidP="00A32F86">
            <w:pPr>
              <w:pStyle w:val="BodyText"/>
              <w:widowControl w:val="0"/>
              <w:numPr>
                <w:ilvl w:val="0"/>
                <w:numId w:val="10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potensi penukaran agunan yang berupa HQLA menjadi bukan </w:t>
            </w:r>
            <w:r w:rsidRPr="007A648D">
              <w:rPr>
                <w:rFonts w:ascii="Bookman Old Style" w:hAnsi="Bookman Old Style"/>
                <w:sz w:val="20"/>
                <w:szCs w:val="20"/>
              </w:rPr>
              <w:lastRenderedPageBreak/>
              <w:t>HQLA.</w:t>
            </w:r>
          </w:p>
          <w:p w14:paraId="79407CAF" w14:textId="79330C94" w:rsidR="000B616B" w:rsidRPr="007A648D" w:rsidRDefault="000B616B" w:rsidP="007A648D">
            <w:pPr>
              <w:pStyle w:val="BodyText"/>
              <w:widowControl w:val="0"/>
              <w:autoSpaceDE w:val="0"/>
              <w:autoSpaceDN w:val="0"/>
              <w:ind w:left="2835" w:right="-1"/>
              <w:outlineLvl w:val="0"/>
              <w:rPr>
                <w:rFonts w:ascii="Bookman Old Style" w:hAnsi="Bookman Old Style"/>
                <w:sz w:val="20"/>
                <w:szCs w:val="20"/>
              </w:rPr>
            </w:pPr>
            <w:r w:rsidRPr="007A648D">
              <w:rPr>
                <w:rFonts w:ascii="Bookman Old Style" w:hAnsi="Bookman Old Style"/>
                <w:sz w:val="20"/>
                <w:szCs w:val="20"/>
              </w:rPr>
              <w:t>Tingkat penarikan untuk peningkatan kebutuhan likuiditas terkait dengan potensi penukaran agunan yang berupa HQLA menjadi bukan HQLA ditetapkan 100% (seratus persen) dari nilai HQLA yang dapat ditukar dengan aset bukan HQLA.</w:t>
            </w:r>
          </w:p>
        </w:tc>
        <w:tc>
          <w:tcPr>
            <w:tcW w:w="3686" w:type="dxa"/>
            <w:shd w:val="clear" w:color="auto" w:fill="auto"/>
            <w:vAlign w:val="center"/>
          </w:tcPr>
          <w:p w14:paraId="39FC3811"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1BFFACA2"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50272C58" w14:textId="77777777" w:rsidTr="0098476F">
        <w:trPr>
          <w:trHeight w:val="415"/>
          <w:tblHeader/>
        </w:trPr>
        <w:tc>
          <w:tcPr>
            <w:tcW w:w="9634" w:type="dxa"/>
            <w:shd w:val="clear" w:color="auto" w:fill="auto"/>
            <w:vAlign w:val="center"/>
          </w:tcPr>
          <w:p w14:paraId="68C3A2FF" w14:textId="77777777" w:rsidR="000B616B" w:rsidRPr="007A648D" w:rsidRDefault="000B616B"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lastRenderedPageBreak/>
              <w:t>kehilangan Pendanaan;</w:t>
            </w:r>
          </w:p>
          <w:p w14:paraId="345105E7" w14:textId="77777777" w:rsidR="000B616B" w:rsidRPr="007A648D" w:rsidRDefault="000B616B" w:rsidP="00A32F86">
            <w:pPr>
              <w:pStyle w:val="BodyText"/>
              <w:widowControl w:val="0"/>
              <w:numPr>
                <w:ilvl w:val="0"/>
                <w:numId w:val="106"/>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Bank wajib memperhitungkan estimasi arus kas keluar dalam 30 (tiga puluh) hari kedepan atas risiko kehilangan Pendanaan yang terkait dengan:</w:t>
            </w:r>
          </w:p>
          <w:p w14:paraId="235C2CA9" w14:textId="77777777" w:rsidR="000B616B" w:rsidRPr="007A648D" w:rsidRDefault="000B616B" w:rsidP="00A32F86">
            <w:pPr>
              <w:pStyle w:val="BodyText"/>
              <w:widowControl w:val="0"/>
              <w:numPr>
                <w:ilvl w:val="0"/>
                <w:numId w:val="107"/>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 xml:space="preserve">kehilangan Pendanaan yang berasal dari efek beragun aset syariah, </w:t>
            </w:r>
            <w:r w:rsidRPr="007A648D">
              <w:rPr>
                <w:rFonts w:ascii="Bookman Old Style" w:hAnsi="Bookman Old Style"/>
                <w:i/>
                <w:sz w:val="20"/>
                <w:szCs w:val="20"/>
              </w:rPr>
              <w:t>covered</w:t>
            </w:r>
            <w:r w:rsidRPr="007A648D">
              <w:rPr>
                <w:rFonts w:ascii="Bookman Old Style" w:hAnsi="Bookman Old Style"/>
                <w:sz w:val="20"/>
                <w:szCs w:val="20"/>
              </w:rPr>
              <w:t>sukuk, dan instrumen pembiayaan terstruktur lainnya yang diterbitkan oleh Bank; atau</w:t>
            </w:r>
          </w:p>
          <w:p w14:paraId="222A1CA6" w14:textId="568D7DCC" w:rsidR="000B616B" w:rsidRPr="007A648D" w:rsidRDefault="000B616B" w:rsidP="007A648D">
            <w:pPr>
              <w:pStyle w:val="BodyText"/>
              <w:ind w:left="3402" w:right="-1"/>
              <w:outlineLvl w:val="0"/>
              <w:rPr>
                <w:rFonts w:ascii="Bookman Old Style" w:hAnsi="Bookman Old Style"/>
                <w:sz w:val="20"/>
                <w:szCs w:val="20"/>
              </w:rPr>
            </w:pPr>
            <w:r w:rsidRPr="007A648D">
              <w:rPr>
                <w:rFonts w:ascii="Bookman Old Style" w:hAnsi="Bookman Old Style"/>
                <w:sz w:val="20"/>
                <w:szCs w:val="20"/>
              </w:rPr>
              <w:t xml:space="preserve">Tingkat penarikan untuk kehilangan pendanaan yang </w:t>
            </w:r>
            <w:r w:rsidR="007A648D">
              <w:rPr>
                <w:rFonts w:ascii="Bookman Old Style" w:hAnsi="Bookman Old Style"/>
                <w:sz w:val="20"/>
                <w:szCs w:val="20"/>
              </w:rPr>
              <w:t>S</w:t>
            </w:r>
            <w:r w:rsidRPr="007A648D">
              <w:rPr>
                <w:rFonts w:ascii="Bookman Old Style" w:hAnsi="Bookman Old Style"/>
                <w:sz w:val="20"/>
                <w:szCs w:val="20"/>
              </w:rPr>
              <w:t>berasal</w:t>
            </w:r>
            <w:r w:rsidR="007A648D">
              <w:rPr>
                <w:rFonts w:ascii="Bookman Old Style" w:hAnsi="Bookman Old Style"/>
                <w:sz w:val="20"/>
                <w:szCs w:val="20"/>
              </w:rPr>
              <w:t xml:space="preserve"> </w:t>
            </w:r>
            <w:r w:rsidRPr="007A648D">
              <w:rPr>
                <w:rFonts w:ascii="Bookman Old Style" w:hAnsi="Bookman Old Style"/>
                <w:sz w:val="20"/>
                <w:szCs w:val="20"/>
              </w:rPr>
              <w:t xml:space="preserve">dari efek beragun aset syariah, </w:t>
            </w:r>
            <w:r w:rsidRPr="007A648D">
              <w:rPr>
                <w:rFonts w:ascii="Bookman Old Style" w:hAnsi="Bookman Old Style"/>
                <w:i/>
                <w:sz w:val="20"/>
                <w:szCs w:val="20"/>
              </w:rPr>
              <w:t>covered</w:t>
            </w:r>
            <w:r w:rsidRPr="007A648D">
              <w:rPr>
                <w:rFonts w:ascii="Bookman Old Style" w:hAnsi="Bookman Old Style"/>
                <w:sz w:val="20"/>
                <w:szCs w:val="20"/>
              </w:rPr>
              <w:t xml:space="preserve"> sukuk, dan instrumen pembiayaan terstruktur lainnya yang diterbitkan oleh Bank ditetapkan 100% (seratus persen) dari transaksi Pendanaan yang jatuh tempo dalam jangka waktu 30 (tiga puluh) hari.</w:t>
            </w:r>
          </w:p>
          <w:p w14:paraId="4499CA32" w14:textId="77777777" w:rsidR="000B616B" w:rsidRPr="007A648D" w:rsidRDefault="000B616B" w:rsidP="00A32F86">
            <w:pPr>
              <w:pStyle w:val="BodyText"/>
              <w:widowControl w:val="0"/>
              <w:numPr>
                <w:ilvl w:val="0"/>
                <w:numId w:val="107"/>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 xml:space="preserve">kehilangan Pendanaan yang berasal dari </w:t>
            </w:r>
            <w:r w:rsidRPr="007A648D">
              <w:rPr>
                <w:rFonts w:ascii="Bookman Old Style" w:hAnsi="Bookman Old Style"/>
                <w:i/>
                <w:sz w:val="20"/>
                <w:szCs w:val="20"/>
              </w:rPr>
              <w:t>asset-backed commercial paper, conduits, securities investment vehicles</w:t>
            </w:r>
            <w:r w:rsidRPr="007A648D">
              <w:rPr>
                <w:rFonts w:ascii="Bookman Old Style" w:hAnsi="Bookman Old Style"/>
                <w:sz w:val="20"/>
                <w:szCs w:val="20"/>
              </w:rPr>
              <w:t>, dan fasilitas pembiayaan lain yang serupa.</w:t>
            </w:r>
          </w:p>
          <w:p w14:paraId="5AEEBB5A" w14:textId="77777777" w:rsidR="000B616B" w:rsidRPr="007A648D" w:rsidRDefault="000B616B" w:rsidP="00A32F86">
            <w:pPr>
              <w:pStyle w:val="BodyText"/>
              <w:widowControl w:val="0"/>
              <w:numPr>
                <w:ilvl w:val="0"/>
                <w:numId w:val="107"/>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Hal tersebut antara lain namun tidak terbatas pada:</w:t>
            </w:r>
          </w:p>
          <w:p w14:paraId="139647B6" w14:textId="77777777" w:rsidR="000B616B" w:rsidRPr="007A648D" w:rsidRDefault="000B616B" w:rsidP="00A32F86">
            <w:pPr>
              <w:pStyle w:val="BodyText"/>
              <w:widowControl w:val="0"/>
              <w:numPr>
                <w:ilvl w:val="0"/>
                <w:numId w:val="110"/>
              </w:numPr>
              <w:autoSpaceDE w:val="0"/>
              <w:autoSpaceDN w:val="0"/>
              <w:ind w:left="3969" w:right="-1" w:hanging="567"/>
              <w:outlineLvl w:val="0"/>
              <w:rPr>
                <w:rFonts w:ascii="Bookman Old Style" w:hAnsi="Bookman Old Style"/>
                <w:sz w:val="20"/>
                <w:szCs w:val="20"/>
              </w:rPr>
            </w:pPr>
            <w:r w:rsidRPr="007A648D">
              <w:rPr>
                <w:rFonts w:ascii="Bookman Old Style" w:hAnsi="Bookman Old Style"/>
                <w:sz w:val="20"/>
                <w:szCs w:val="20"/>
              </w:rPr>
              <w:t>ketidakmampuan untuk membiayai utang yang jatuh tempo; dan</w:t>
            </w:r>
          </w:p>
          <w:p w14:paraId="0749C6B2" w14:textId="77777777" w:rsidR="000B616B" w:rsidRPr="007A648D" w:rsidRDefault="000B616B" w:rsidP="00A32F86">
            <w:pPr>
              <w:pStyle w:val="BodyText"/>
              <w:widowControl w:val="0"/>
              <w:numPr>
                <w:ilvl w:val="0"/>
                <w:numId w:val="110"/>
              </w:numPr>
              <w:autoSpaceDE w:val="0"/>
              <w:autoSpaceDN w:val="0"/>
              <w:ind w:left="3969" w:right="-1" w:hanging="567"/>
              <w:outlineLvl w:val="0"/>
              <w:rPr>
                <w:rFonts w:ascii="Bookman Old Style" w:hAnsi="Bookman Old Style"/>
                <w:sz w:val="20"/>
                <w:szCs w:val="20"/>
              </w:rPr>
            </w:pPr>
            <w:r w:rsidRPr="007A648D">
              <w:rPr>
                <w:rFonts w:ascii="Bookman Old Style" w:hAnsi="Bookman Old Style"/>
                <w:sz w:val="20"/>
                <w:szCs w:val="20"/>
              </w:rPr>
              <w:t>adanya derivatif syariah atau komponen yang menyerupai derivatif syariah yang secara kontraktual tertulis dalam dokumentasi yang terkait dengan struktur yang akan memungkinkan pengembalian aset dalam pembiayaan, atau yang mensyaratkan pihak yang mengalihkan aset asal (</w:t>
            </w:r>
            <w:r w:rsidRPr="007A648D">
              <w:rPr>
                <w:rFonts w:ascii="Bookman Old Style" w:hAnsi="Bookman Old Style"/>
                <w:i/>
                <w:iCs/>
                <w:sz w:val="20"/>
                <w:szCs w:val="20"/>
              </w:rPr>
              <w:t>original asset transferor</w:t>
            </w:r>
            <w:r w:rsidRPr="007A648D">
              <w:rPr>
                <w:rFonts w:ascii="Bookman Old Style" w:hAnsi="Bookman Old Style"/>
                <w:sz w:val="20"/>
                <w:szCs w:val="20"/>
              </w:rPr>
              <w:t>) untuk menyediakan likuiditas, yang secara efektif mengakhiri pembiayaan (</w:t>
            </w:r>
            <w:r w:rsidRPr="007A648D">
              <w:rPr>
                <w:rFonts w:ascii="Bookman Old Style" w:hAnsi="Bookman Old Style"/>
                <w:i/>
                <w:iCs/>
                <w:sz w:val="20"/>
                <w:szCs w:val="20"/>
              </w:rPr>
              <w:t>liquidity puts</w:t>
            </w:r>
            <w:r w:rsidRPr="007A648D">
              <w:rPr>
                <w:rFonts w:ascii="Bookman Old Style" w:hAnsi="Bookman Old Style"/>
                <w:sz w:val="20"/>
                <w:szCs w:val="20"/>
              </w:rPr>
              <w:t>) dalam jangka waktu 30 (tiga puluh) hari.</w:t>
            </w:r>
          </w:p>
          <w:p w14:paraId="34584945" w14:textId="77777777" w:rsidR="000B616B" w:rsidRPr="007A648D" w:rsidRDefault="000B616B" w:rsidP="007A648D">
            <w:pPr>
              <w:pStyle w:val="BodyText"/>
              <w:ind w:left="3402" w:right="-1"/>
              <w:outlineLvl w:val="0"/>
              <w:rPr>
                <w:rFonts w:ascii="Bookman Old Style" w:hAnsi="Bookman Old Style"/>
                <w:sz w:val="20"/>
                <w:szCs w:val="20"/>
              </w:rPr>
            </w:pPr>
            <w:r w:rsidRPr="007A648D">
              <w:rPr>
                <w:rFonts w:ascii="Bookman Old Style" w:hAnsi="Bookman Old Style"/>
                <w:sz w:val="20"/>
                <w:szCs w:val="20"/>
              </w:rPr>
              <w:t xml:space="preserve">Tingkat penarikan untuk kehilangan Pendanaan yang berasal dari </w:t>
            </w:r>
            <w:r w:rsidRPr="007A648D">
              <w:rPr>
                <w:rFonts w:ascii="Bookman Old Style" w:hAnsi="Bookman Old Style"/>
                <w:i/>
                <w:sz w:val="20"/>
                <w:szCs w:val="20"/>
              </w:rPr>
              <w:t>asset-backed commercial paper</w:t>
            </w:r>
            <w:r w:rsidRPr="007A648D">
              <w:rPr>
                <w:rFonts w:ascii="Bookman Old Style" w:hAnsi="Bookman Old Style"/>
                <w:sz w:val="20"/>
                <w:szCs w:val="20"/>
              </w:rPr>
              <w:t xml:space="preserve">, </w:t>
            </w:r>
            <w:r w:rsidRPr="007A648D">
              <w:rPr>
                <w:rFonts w:ascii="Bookman Old Style" w:hAnsi="Bookman Old Style"/>
                <w:i/>
                <w:sz w:val="20"/>
                <w:szCs w:val="20"/>
              </w:rPr>
              <w:t>conduits, securities investment vehicles</w:t>
            </w:r>
            <w:r w:rsidRPr="007A648D">
              <w:rPr>
                <w:rFonts w:ascii="Bookman Old Style" w:hAnsi="Bookman Old Style"/>
                <w:sz w:val="20"/>
                <w:szCs w:val="20"/>
              </w:rPr>
              <w:t>, dan fasilitas pembiayaan lain yang serupa ditetapkan 100% (seratus persen) dari:</w:t>
            </w:r>
          </w:p>
          <w:p w14:paraId="39FFB528" w14:textId="77777777" w:rsidR="000B616B" w:rsidRPr="007A648D" w:rsidRDefault="000B616B" w:rsidP="00A32F86">
            <w:pPr>
              <w:pStyle w:val="BodyText"/>
              <w:widowControl w:val="0"/>
              <w:numPr>
                <w:ilvl w:val="0"/>
                <w:numId w:val="108"/>
              </w:numPr>
              <w:autoSpaceDE w:val="0"/>
              <w:autoSpaceDN w:val="0"/>
              <w:ind w:left="3969" w:right="-1" w:hanging="567"/>
              <w:outlineLvl w:val="0"/>
              <w:rPr>
                <w:rFonts w:ascii="Bookman Old Style" w:hAnsi="Bookman Old Style"/>
                <w:sz w:val="20"/>
                <w:szCs w:val="20"/>
              </w:rPr>
            </w:pPr>
            <w:r w:rsidRPr="007A648D">
              <w:rPr>
                <w:rFonts w:ascii="Bookman Old Style" w:hAnsi="Bookman Old Style"/>
                <w:sz w:val="20"/>
                <w:szCs w:val="20"/>
              </w:rPr>
              <w:t>Pendanaan yang akan jatuh tempo dalam 30 (tiga puluh) hari kedepan; dan</w:t>
            </w:r>
          </w:p>
          <w:p w14:paraId="21D59840" w14:textId="77777777" w:rsidR="000B616B" w:rsidRPr="007A648D" w:rsidRDefault="000B616B" w:rsidP="00A32F86">
            <w:pPr>
              <w:pStyle w:val="BodyText"/>
              <w:widowControl w:val="0"/>
              <w:numPr>
                <w:ilvl w:val="0"/>
                <w:numId w:val="108"/>
              </w:numPr>
              <w:autoSpaceDE w:val="0"/>
              <w:autoSpaceDN w:val="0"/>
              <w:ind w:left="3969" w:right="-1" w:hanging="567"/>
              <w:outlineLvl w:val="0"/>
              <w:rPr>
                <w:rFonts w:ascii="Bookman Old Style" w:hAnsi="Bookman Old Style"/>
                <w:sz w:val="20"/>
                <w:szCs w:val="20"/>
              </w:rPr>
            </w:pPr>
            <w:r w:rsidRPr="007A648D">
              <w:rPr>
                <w:rFonts w:ascii="Bookman Old Style" w:hAnsi="Bookman Old Style"/>
                <w:sz w:val="20"/>
                <w:szCs w:val="20"/>
              </w:rPr>
              <w:lastRenderedPageBreak/>
              <w:t>aset yang berpotensi untuk dilunasi dalam 30 (tiga puluh) hari kedepan walaupun belum jatuh tempo. Aset yang berpotensi untuk dilunasi antara lain disebabkan karena adanya opsi bagi investor untuk melakukan penjualan kembali kepada penerbit.</w:t>
            </w:r>
          </w:p>
          <w:p w14:paraId="1A3E8520" w14:textId="77777777" w:rsidR="000B616B" w:rsidRPr="007A648D" w:rsidRDefault="000B616B" w:rsidP="00A32F86">
            <w:pPr>
              <w:pStyle w:val="BodyText"/>
              <w:widowControl w:val="0"/>
              <w:numPr>
                <w:ilvl w:val="0"/>
                <w:numId w:val="106"/>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Dalam hal aktivitas Pendanaan terstruktur Bank dilakukan melalui entitas bertujuan khusus, dalam menentukan persyaratan HQLA, Bank wajib memperhitungkan:</w:t>
            </w:r>
          </w:p>
          <w:p w14:paraId="6B85E71A" w14:textId="77777777" w:rsidR="000B616B" w:rsidRPr="007A648D" w:rsidRDefault="000B616B" w:rsidP="00A32F86">
            <w:pPr>
              <w:pStyle w:val="BodyText"/>
              <w:widowControl w:val="0"/>
              <w:numPr>
                <w:ilvl w:val="0"/>
                <w:numId w:val="109"/>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instrumen pendanaan yang diterbitkan oleh entitas yang jatuh tempo dalam 30 (tiga puluh) hari dikenakan tingkat penarikan 100% (seratus persen); atau</w:t>
            </w:r>
          </w:p>
          <w:p w14:paraId="0AFFBF6B" w14:textId="77777777" w:rsidR="000B616B" w:rsidRPr="007A648D" w:rsidRDefault="000B616B" w:rsidP="00A32F86">
            <w:pPr>
              <w:pStyle w:val="BodyText"/>
              <w:widowControl w:val="0"/>
              <w:numPr>
                <w:ilvl w:val="0"/>
                <w:numId w:val="109"/>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opsi tertanam dalam pembiayaan yang berpotensi memicu pengembalian aset atau kebutuhan untuk likuiditas, dikenakan tingkat penarikan 100% (seratus persen) dari nilai aset yang berpotensi untuk diperoleh kembali.</w:t>
            </w:r>
          </w:p>
          <w:p w14:paraId="26B52C7E" w14:textId="105F1FCD" w:rsidR="000B616B" w:rsidRPr="007A648D" w:rsidRDefault="000B616B" w:rsidP="007A648D">
            <w:pPr>
              <w:pStyle w:val="BodyText"/>
              <w:widowControl w:val="0"/>
              <w:autoSpaceDE w:val="0"/>
              <w:autoSpaceDN w:val="0"/>
              <w:ind w:left="2835"/>
              <w:outlineLvl w:val="0"/>
              <w:rPr>
                <w:rFonts w:ascii="Bookman Old Style" w:hAnsi="Bookman Old Style"/>
                <w:sz w:val="20"/>
                <w:szCs w:val="20"/>
                <w:u w:val="single"/>
              </w:rPr>
            </w:pPr>
            <w:r w:rsidRPr="007A648D">
              <w:rPr>
                <w:rFonts w:ascii="Bookman Old Style" w:hAnsi="Bookman Old Style"/>
                <w:sz w:val="20"/>
                <w:szCs w:val="20"/>
              </w:rPr>
              <w:t xml:space="preserve">Entitas bertujuan khusus misalnya </w:t>
            </w:r>
            <w:r w:rsidRPr="007A648D">
              <w:rPr>
                <w:rFonts w:ascii="Bookman Old Style" w:hAnsi="Bookman Old Style"/>
                <w:i/>
                <w:iCs/>
                <w:sz w:val="20"/>
                <w:szCs w:val="20"/>
              </w:rPr>
              <w:t xml:space="preserve">special purpose vehicle </w:t>
            </w:r>
            <w:r w:rsidRPr="007A648D">
              <w:rPr>
                <w:rFonts w:ascii="Bookman Old Style" w:hAnsi="Bookman Old Style"/>
                <w:sz w:val="20"/>
                <w:szCs w:val="20"/>
              </w:rPr>
              <w:t xml:space="preserve">(SPV), </w:t>
            </w:r>
            <w:r w:rsidRPr="007A648D">
              <w:rPr>
                <w:rFonts w:ascii="Bookman Old Style" w:hAnsi="Bookman Old Style"/>
                <w:i/>
                <w:iCs/>
                <w:sz w:val="20"/>
                <w:szCs w:val="20"/>
              </w:rPr>
              <w:t xml:space="preserve">conduit </w:t>
            </w:r>
            <w:r w:rsidRPr="007A648D">
              <w:rPr>
                <w:rFonts w:ascii="Bookman Old Style" w:hAnsi="Bookman Old Style"/>
                <w:sz w:val="20"/>
                <w:szCs w:val="20"/>
              </w:rPr>
              <w:t xml:space="preserve">atau </w:t>
            </w:r>
            <w:r w:rsidRPr="007A648D">
              <w:rPr>
                <w:rFonts w:ascii="Bookman Old Style" w:hAnsi="Bookman Old Style"/>
                <w:i/>
                <w:iCs/>
                <w:sz w:val="20"/>
                <w:szCs w:val="20"/>
              </w:rPr>
              <w:t xml:space="preserve">structured investment vehicle </w:t>
            </w:r>
            <w:r w:rsidRPr="007A648D">
              <w:rPr>
                <w:rFonts w:ascii="Bookman Old Style" w:hAnsi="Bookman Old Style"/>
                <w:sz w:val="20"/>
                <w:szCs w:val="20"/>
              </w:rPr>
              <w:t>(SIV).</w:t>
            </w:r>
          </w:p>
        </w:tc>
        <w:tc>
          <w:tcPr>
            <w:tcW w:w="3686" w:type="dxa"/>
            <w:shd w:val="clear" w:color="auto" w:fill="auto"/>
            <w:vAlign w:val="center"/>
          </w:tcPr>
          <w:p w14:paraId="0F7892AE"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1F9FCA78"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0B616B" w:rsidRPr="000B616B" w14:paraId="20B301E5" w14:textId="77777777" w:rsidTr="00B03AEA">
        <w:trPr>
          <w:trHeight w:val="564"/>
          <w:tblHeader/>
        </w:trPr>
        <w:tc>
          <w:tcPr>
            <w:tcW w:w="9634" w:type="dxa"/>
            <w:shd w:val="clear" w:color="auto" w:fill="auto"/>
            <w:vAlign w:val="center"/>
          </w:tcPr>
          <w:p w14:paraId="6236A275" w14:textId="77777777" w:rsidR="000B616B" w:rsidRPr="007A648D" w:rsidRDefault="000B616B"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penarikan komitmen fasilitas pembiayaan dan fasilitas likuiditas;</w:t>
            </w:r>
          </w:p>
          <w:p w14:paraId="650351FF" w14:textId="3655906C" w:rsidR="000B616B" w:rsidRPr="007A648D" w:rsidRDefault="000B616B" w:rsidP="00A32F86">
            <w:pPr>
              <w:pStyle w:val="BodyText"/>
              <w:widowControl w:val="0"/>
              <w:numPr>
                <w:ilvl w:val="0"/>
                <w:numId w:val="111"/>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Tingkat penarikan arus kas keluar lainnya (</w:t>
            </w:r>
            <w:r w:rsidRPr="007A648D">
              <w:rPr>
                <w:rFonts w:ascii="Bookman Old Style" w:hAnsi="Bookman Old Style"/>
                <w:i/>
                <w:sz w:val="20"/>
                <w:szCs w:val="20"/>
              </w:rPr>
              <w:t>additional requirement</w:t>
            </w:r>
            <w:r w:rsidRPr="007A648D">
              <w:rPr>
                <w:rFonts w:ascii="Bookman Old Style" w:hAnsi="Bookman Old Style"/>
                <w:sz w:val="20"/>
                <w:szCs w:val="20"/>
              </w:rPr>
              <w:t>) yang terkait dengan kewajiban komitmen dalam bentuk fasilitas pembiayaan</w:t>
            </w:r>
            <w:r w:rsidRPr="007A648D" w:rsidDel="007B07F7">
              <w:rPr>
                <w:rFonts w:ascii="Bookman Old Style" w:hAnsi="Bookman Old Style"/>
                <w:sz w:val="20"/>
                <w:szCs w:val="20"/>
              </w:rPr>
              <w:t xml:space="preserve"> </w:t>
            </w:r>
            <w:r w:rsidRPr="007A648D">
              <w:rPr>
                <w:rFonts w:ascii="Bookman Old Style" w:hAnsi="Bookman Old Style"/>
                <w:sz w:val="20"/>
                <w:szCs w:val="20"/>
              </w:rPr>
              <w:t>ditetapkan:</w:t>
            </w:r>
          </w:p>
          <w:p w14:paraId="4B6D8844" w14:textId="27FB1D5C" w:rsidR="000B616B" w:rsidRPr="007A648D" w:rsidRDefault="000B616B" w:rsidP="00A32F86">
            <w:pPr>
              <w:pStyle w:val="BodyText"/>
              <w:widowControl w:val="0"/>
              <w:numPr>
                <w:ilvl w:val="0"/>
                <w:numId w:val="112"/>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5% (lima persen) dari fasilitas pembiayaan</w:t>
            </w:r>
            <w:r w:rsidRPr="007A648D" w:rsidDel="007B07F7">
              <w:rPr>
                <w:rFonts w:ascii="Bookman Old Style" w:hAnsi="Bookman Old Style"/>
                <w:sz w:val="20"/>
                <w:szCs w:val="20"/>
              </w:rPr>
              <w:t xml:space="preserve"> </w:t>
            </w:r>
            <w:r w:rsidRPr="007A648D">
              <w:rPr>
                <w:rFonts w:ascii="Bookman Old Style" w:hAnsi="Bookman Old Style"/>
                <w:sz w:val="20"/>
                <w:szCs w:val="20"/>
              </w:rPr>
              <w:t>yang belum ditarik dalam hal fasilitas diberikan kepada perorangan atau Usaha Mikro dan Usaha Kecil;</w:t>
            </w:r>
          </w:p>
          <w:p w14:paraId="4411705F" w14:textId="67A22BBC" w:rsidR="000B616B" w:rsidRPr="007A648D" w:rsidRDefault="000B616B" w:rsidP="00A32F86">
            <w:pPr>
              <w:pStyle w:val="BodyText"/>
              <w:widowControl w:val="0"/>
              <w:numPr>
                <w:ilvl w:val="0"/>
                <w:numId w:val="112"/>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10% (sepuluh persen) dari fasilitas pembiayaan</w:t>
            </w:r>
            <w:r w:rsidRPr="007A648D" w:rsidDel="007B07F7">
              <w:rPr>
                <w:rFonts w:ascii="Bookman Old Style" w:hAnsi="Bookman Old Style"/>
                <w:sz w:val="20"/>
                <w:szCs w:val="20"/>
              </w:rPr>
              <w:t xml:space="preserve"> </w:t>
            </w:r>
            <w:r w:rsidRPr="007A648D">
              <w:rPr>
                <w:rFonts w:ascii="Bookman Old Style" w:hAnsi="Bookman Old Style"/>
                <w:sz w:val="20"/>
                <w:szCs w:val="20"/>
              </w:rPr>
              <w:t xml:space="preserve">yang belum ditarik dalam hal fasilitas diberikan kepada korporasi non-keuangan, Pemerintah Pusat, Bank Indonesia, pemerintah negara lain, bank sentral negara lain, entitas sektor publik, dan/atau bank pembangunan multilateral; </w:t>
            </w:r>
          </w:p>
          <w:p w14:paraId="6C10B3EB" w14:textId="2BE29F3B" w:rsidR="000B616B" w:rsidRPr="007A648D" w:rsidRDefault="000B616B" w:rsidP="00A32F86">
            <w:pPr>
              <w:pStyle w:val="BodyText"/>
              <w:widowControl w:val="0"/>
              <w:numPr>
                <w:ilvl w:val="0"/>
                <w:numId w:val="112"/>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40% (empat puluh persen) dari fasilitas pembiayaan</w:t>
            </w:r>
            <w:r w:rsidRPr="007A648D" w:rsidDel="007B07F7">
              <w:rPr>
                <w:rFonts w:ascii="Bookman Old Style" w:hAnsi="Bookman Old Style"/>
                <w:sz w:val="20"/>
                <w:szCs w:val="20"/>
              </w:rPr>
              <w:t xml:space="preserve"> </w:t>
            </w:r>
            <w:r w:rsidRPr="007A648D">
              <w:rPr>
                <w:rFonts w:ascii="Bookman Old Style" w:hAnsi="Bookman Old Style"/>
                <w:sz w:val="20"/>
                <w:szCs w:val="20"/>
              </w:rPr>
              <w:t xml:space="preserve">yang belum ditarik dalam hal fasilitas diberikan kepada Bank dan/atau lembaga jasa keuangan; dan/atau </w:t>
            </w:r>
          </w:p>
          <w:p w14:paraId="57D31C2E" w14:textId="3003564D" w:rsidR="000B616B" w:rsidRPr="007A648D" w:rsidRDefault="000B616B" w:rsidP="00A32F86">
            <w:pPr>
              <w:pStyle w:val="BodyText"/>
              <w:widowControl w:val="0"/>
              <w:numPr>
                <w:ilvl w:val="0"/>
                <w:numId w:val="112"/>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100% (seratus persen) dari fasilitas pembiayaan</w:t>
            </w:r>
            <w:r w:rsidRPr="007A648D" w:rsidDel="007B07F7">
              <w:rPr>
                <w:rFonts w:ascii="Bookman Old Style" w:hAnsi="Bookman Old Style"/>
                <w:sz w:val="20"/>
                <w:szCs w:val="20"/>
              </w:rPr>
              <w:t xml:space="preserve"> </w:t>
            </w:r>
            <w:r w:rsidRPr="007A648D">
              <w:rPr>
                <w:rFonts w:ascii="Bookman Old Style" w:hAnsi="Bookman Old Style"/>
                <w:sz w:val="20"/>
                <w:szCs w:val="20"/>
              </w:rPr>
              <w:t>yang belum ditarik dalam hal fasilitas diberikan kepada entitas selain sebagaimana dimaksud pada huruf a), huruf b), dan huruf c).</w:t>
            </w:r>
          </w:p>
          <w:p w14:paraId="58ECFA6F"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Kewajiban komitmen dalam bentuk fasilitas pembiayaan</w:t>
            </w:r>
            <w:r w:rsidRPr="007A648D" w:rsidDel="00A8715A">
              <w:rPr>
                <w:rFonts w:ascii="Bookman Old Style" w:hAnsi="Bookman Old Style"/>
                <w:sz w:val="20"/>
                <w:szCs w:val="20"/>
              </w:rPr>
              <w:t xml:space="preserve"> </w:t>
            </w:r>
            <w:r w:rsidRPr="007A648D">
              <w:rPr>
                <w:rFonts w:ascii="Bookman Old Style" w:hAnsi="Bookman Old Style"/>
                <w:sz w:val="20"/>
                <w:szCs w:val="20"/>
              </w:rPr>
              <w:t>adalah perjanjian untuk melakukan penyediaan dana dimasa depan dalam bentuk pembiayaan</w:t>
            </w:r>
            <w:r w:rsidRPr="007A648D" w:rsidDel="00A8715A">
              <w:rPr>
                <w:rFonts w:ascii="Bookman Old Style" w:hAnsi="Bookman Old Style"/>
                <w:sz w:val="20"/>
                <w:szCs w:val="20"/>
              </w:rPr>
              <w:t xml:space="preserve"> </w:t>
            </w:r>
            <w:r w:rsidRPr="007A648D">
              <w:rPr>
                <w:rFonts w:ascii="Bookman Old Style" w:hAnsi="Bookman Old Style"/>
                <w:sz w:val="20"/>
                <w:szCs w:val="20"/>
              </w:rPr>
              <w:t xml:space="preserve">baik kepada individu maupun badan usaha </w:t>
            </w:r>
            <w:r w:rsidRPr="007A648D">
              <w:rPr>
                <w:rFonts w:ascii="Bookman Old Style" w:hAnsi="Bookman Old Style"/>
                <w:sz w:val="20"/>
                <w:szCs w:val="20"/>
              </w:rPr>
              <w:lastRenderedPageBreak/>
              <w:t>yang bersifat tidak dapat dibatalkan (</w:t>
            </w:r>
            <w:r w:rsidRPr="007A648D">
              <w:rPr>
                <w:rFonts w:ascii="Bookman Old Style" w:hAnsi="Bookman Old Style"/>
                <w:i/>
                <w:iCs/>
                <w:sz w:val="20"/>
                <w:szCs w:val="20"/>
              </w:rPr>
              <w:t>irrevocable</w:t>
            </w:r>
            <w:r w:rsidRPr="007A648D">
              <w:rPr>
                <w:rFonts w:ascii="Bookman Old Style" w:hAnsi="Bookman Old Style"/>
                <w:sz w:val="20"/>
                <w:szCs w:val="20"/>
              </w:rPr>
              <w:t>) atau dapat dibatalkan dengan persyaratan tertentu (</w:t>
            </w:r>
            <w:r w:rsidRPr="007A648D">
              <w:rPr>
                <w:rFonts w:ascii="Bookman Old Style" w:hAnsi="Bookman Old Style"/>
                <w:i/>
                <w:iCs/>
                <w:sz w:val="20"/>
                <w:szCs w:val="20"/>
              </w:rPr>
              <w:t>conditionally revocable</w:t>
            </w:r>
            <w:r w:rsidRPr="007A648D">
              <w:rPr>
                <w:rFonts w:ascii="Bookman Old Style" w:hAnsi="Bookman Old Style"/>
                <w:sz w:val="20"/>
                <w:szCs w:val="20"/>
              </w:rPr>
              <w:t>).</w:t>
            </w:r>
          </w:p>
          <w:p w14:paraId="1650597B" w14:textId="77777777" w:rsidR="000B616B" w:rsidRPr="007A648D" w:rsidRDefault="000B616B" w:rsidP="00A32F86">
            <w:pPr>
              <w:pStyle w:val="BodyText"/>
              <w:widowControl w:val="0"/>
              <w:numPr>
                <w:ilvl w:val="0"/>
                <w:numId w:val="111"/>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Tingkat penarikan arus kas keluar lainnya (</w:t>
            </w:r>
            <w:r w:rsidRPr="007A648D">
              <w:rPr>
                <w:rFonts w:ascii="Bookman Old Style" w:hAnsi="Bookman Old Style"/>
                <w:i/>
                <w:sz w:val="20"/>
                <w:szCs w:val="20"/>
              </w:rPr>
              <w:t>additional requirement</w:t>
            </w:r>
            <w:r w:rsidRPr="007A648D">
              <w:rPr>
                <w:rFonts w:ascii="Bookman Old Style" w:hAnsi="Bookman Old Style"/>
                <w:sz w:val="20"/>
                <w:szCs w:val="20"/>
              </w:rPr>
              <w:t>) yang terkait dengan kewajiban komitmen dalam bentuk fasilitas likuiditas ditetapkan:</w:t>
            </w:r>
          </w:p>
          <w:p w14:paraId="23857F67" w14:textId="77777777" w:rsidR="000B616B" w:rsidRPr="007A648D" w:rsidRDefault="000B616B" w:rsidP="00A32F86">
            <w:pPr>
              <w:pStyle w:val="BodyText"/>
              <w:widowControl w:val="0"/>
              <w:numPr>
                <w:ilvl w:val="0"/>
                <w:numId w:val="113"/>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 xml:space="preserve">5% (lima persen) dari fasilitas likuiditas yang belum ditarik dalam hal fasilitas diberikan kepada perorangan atau Usaha Mikro dan Usaha Kecil; </w:t>
            </w:r>
          </w:p>
          <w:p w14:paraId="53756357" w14:textId="77777777" w:rsidR="000B616B" w:rsidRPr="007A648D" w:rsidRDefault="000B616B" w:rsidP="00A32F86">
            <w:pPr>
              <w:pStyle w:val="BodyText"/>
              <w:widowControl w:val="0"/>
              <w:numPr>
                <w:ilvl w:val="0"/>
                <w:numId w:val="113"/>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 xml:space="preserve">30% (tiga puluh persen) dari fasilitas likuiditas yang belum ditarik dalam hal fasilitas diberikan kepada korporasi non-keuangan, Pemerintah Pusat, Bank Indonesia, pemerintah negara lain, bank sentral negara lain, entitas sektor publik, dan/atau bank pembangunan multilateral; </w:t>
            </w:r>
          </w:p>
          <w:p w14:paraId="5970E109" w14:textId="77777777" w:rsidR="000B616B" w:rsidRPr="007A648D" w:rsidRDefault="000B616B" w:rsidP="00A32F86">
            <w:pPr>
              <w:pStyle w:val="BodyText"/>
              <w:widowControl w:val="0"/>
              <w:numPr>
                <w:ilvl w:val="0"/>
                <w:numId w:val="113"/>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40% (empat puluh persen) dari fasilitas likuiditas yang belum ditarik dalam hal fasilitas diberikan kepada Bank; dan/atau</w:t>
            </w:r>
          </w:p>
          <w:p w14:paraId="5A760DB4" w14:textId="77777777" w:rsidR="000B616B" w:rsidRPr="007A648D" w:rsidRDefault="000B616B" w:rsidP="00A32F86">
            <w:pPr>
              <w:pStyle w:val="BodyText"/>
              <w:widowControl w:val="0"/>
              <w:numPr>
                <w:ilvl w:val="0"/>
                <w:numId w:val="113"/>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100% (seratus persen) dari fasilitas likuiditas yang belum ditarik dalam hal fasilitas diberikan kepada lembaga jasa keuangan dan/atau entitas selain sebagaimana dimaksud pada huruf a), huruf b), dan huruf c).</w:t>
            </w:r>
          </w:p>
          <w:p w14:paraId="7DF8A0C2"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kewajiban komitmen dalam bentuk fasilitas likuiditas adalah fasilitas yang belum ditarik yang digunakan untuk membiayai kembali (</w:t>
            </w:r>
            <w:r w:rsidRPr="007A648D">
              <w:rPr>
                <w:rFonts w:ascii="Bookman Old Style" w:hAnsi="Bookman Old Style"/>
                <w:i/>
                <w:iCs/>
                <w:sz w:val="20"/>
                <w:szCs w:val="20"/>
              </w:rPr>
              <w:t>refinance</w:t>
            </w:r>
            <w:r w:rsidRPr="007A648D">
              <w:rPr>
                <w:rFonts w:ascii="Bookman Old Style" w:hAnsi="Bookman Old Style"/>
                <w:sz w:val="20"/>
                <w:szCs w:val="20"/>
              </w:rPr>
              <w:t>) utang nasabah kepada pihak ketiga pada saat nasabah tersebut tidak dapat memperpanjang (</w:t>
            </w:r>
            <w:r w:rsidRPr="007A648D">
              <w:rPr>
                <w:rFonts w:ascii="Bookman Old Style" w:hAnsi="Bookman Old Style"/>
                <w:i/>
                <w:iCs/>
                <w:sz w:val="20"/>
                <w:szCs w:val="20"/>
              </w:rPr>
              <w:t>roll over</w:t>
            </w:r>
            <w:r w:rsidRPr="007A648D">
              <w:rPr>
                <w:rFonts w:ascii="Bookman Old Style" w:hAnsi="Bookman Old Style"/>
                <w:sz w:val="20"/>
                <w:szCs w:val="20"/>
              </w:rPr>
              <w:t>) kewajibannya di pasar keuangan.</w:t>
            </w:r>
          </w:p>
          <w:p w14:paraId="463C21AC"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Kewajiban komitmen dalam bentuk fasilitas likuiditas yang diperhitungkan dalam perhitungan LCR adalah kewajiban komitmen dalam bentuk fasilitas likuiditas yang terkait dengan utang nasabah kepada pihak ketiga yang akan jatuh tempo dalam jangka waktu 30 (tiga puluh) hari kedepan.</w:t>
            </w:r>
          </w:p>
          <w:p w14:paraId="0BE48C3E"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Dalam hal utang nasabah kepada pihak ketiga akan jatuh tempo lebih dari 30 (tiga puluh) hari kedepan, fasilitas tersebut dikategorikan sebagai kewajiban komitmen dalam bentuk fasilitas kredit.</w:t>
            </w:r>
          </w:p>
          <w:p w14:paraId="59E4E84F"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Contoh kewajiban komitmen dalam bentuk fasilitas kredit adalah kredit modal kerja.</w:t>
            </w:r>
          </w:p>
          <w:p w14:paraId="3DB10AF9"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 xml:space="preserve">Segala bentuk fasilitas kewajiban komitmen yang diberikan kepada </w:t>
            </w:r>
            <w:r w:rsidRPr="007A648D">
              <w:rPr>
                <w:rFonts w:ascii="Bookman Old Style" w:hAnsi="Bookman Old Style"/>
                <w:i/>
                <w:iCs/>
                <w:sz w:val="20"/>
                <w:szCs w:val="20"/>
              </w:rPr>
              <w:t>hedge funds, money market funds</w:t>
            </w:r>
            <w:r w:rsidRPr="007A648D">
              <w:rPr>
                <w:rFonts w:ascii="Bookman Old Style" w:hAnsi="Bookman Old Style"/>
                <w:sz w:val="20"/>
                <w:szCs w:val="20"/>
              </w:rPr>
              <w:t xml:space="preserve">, </w:t>
            </w:r>
            <w:r w:rsidRPr="007A648D">
              <w:rPr>
                <w:rFonts w:ascii="Bookman Old Style" w:hAnsi="Bookman Old Style"/>
                <w:i/>
                <w:iCs/>
                <w:sz w:val="20"/>
                <w:szCs w:val="20"/>
              </w:rPr>
              <w:t xml:space="preserve">special purpose vehicle </w:t>
            </w:r>
            <w:r w:rsidRPr="007A648D">
              <w:rPr>
                <w:rFonts w:ascii="Bookman Old Style" w:hAnsi="Bookman Old Style"/>
                <w:sz w:val="20"/>
                <w:szCs w:val="20"/>
              </w:rPr>
              <w:t xml:space="preserve">(SPV) atau bentuk entitas lain yang bertujuan khusus untuk membiayai aset </w:t>
            </w:r>
            <w:r w:rsidRPr="007A648D">
              <w:rPr>
                <w:rFonts w:ascii="Bookman Old Style" w:hAnsi="Bookman Old Style"/>
                <w:sz w:val="20"/>
                <w:szCs w:val="20"/>
              </w:rPr>
              <w:lastRenderedPageBreak/>
              <w:t>Bank sendiri harus dimasukkan dalam kategori fasilitas likuiditas kepada entitas lain.</w:t>
            </w:r>
          </w:p>
          <w:p w14:paraId="4BFEB7FD"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Kewajiban komitmen selain fasilitas likuiditas dikategorikan sebagai kewajiban komitmen dalam bentuk fasilitas kredit.</w:t>
            </w:r>
          </w:p>
          <w:p w14:paraId="05E55455" w14:textId="77777777" w:rsidR="000B616B" w:rsidRPr="007A648D" w:rsidRDefault="000B616B" w:rsidP="00A32F86">
            <w:pPr>
              <w:pStyle w:val="BodyText"/>
              <w:widowControl w:val="0"/>
              <w:numPr>
                <w:ilvl w:val="0"/>
                <w:numId w:val="111"/>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Dalam hal komitmen fasilitas pembiayaan dan/atau fasilitas likuiditas mempunyai agunan berupa HQLA, agunan dapat dihitung sebagai pengurang arus kas keluar sepanjang belum diperhitungkan sebagai HQLA dan memenuhi syarat:</w:t>
            </w:r>
          </w:p>
          <w:p w14:paraId="49E0F82D" w14:textId="77777777" w:rsidR="000B616B" w:rsidRPr="007A648D" w:rsidRDefault="000B616B" w:rsidP="00A32F86">
            <w:pPr>
              <w:pStyle w:val="BodyText"/>
              <w:widowControl w:val="0"/>
              <w:numPr>
                <w:ilvl w:val="0"/>
                <w:numId w:val="114"/>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HQLA sudah dijadikan agunan oleh pihak ketiga untuk menjamin fasilitas atau secara kontraktual wajib disertakan ketika pihak ketiga akan menarik fasilitas;</w:t>
            </w:r>
          </w:p>
          <w:p w14:paraId="569DB222" w14:textId="77777777" w:rsidR="000B616B" w:rsidRPr="007A648D" w:rsidRDefault="000B616B" w:rsidP="00A32F86">
            <w:pPr>
              <w:pStyle w:val="BodyText"/>
              <w:widowControl w:val="0"/>
              <w:numPr>
                <w:ilvl w:val="0"/>
                <w:numId w:val="114"/>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Bank berhak menggunakan kembali agunan untuk memperoleh dana baru saat fasilitas sudah ditarik; dan</w:t>
            </w:r>
          </w:p>
          <w:p w14:paraId="7AC7AFBE" w14:textId="77777777" w:rsidR="000B616B" w:rsidRPr="007A648D" w:rsidRDefault="000B616B" w:rsidP="00A32F86">
            <w:pPr>
              <w:pStyle w:val="BodyText"/>
              <w:widowControl w:val="0"/>
              <w:numPr>
                <w:ilvl w:val="0"/>
                <w:numId w:val="114"/>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tidak ada korelasi antara kemungkinan penarikan fasilitas dan nilai pasar dari agunan.</w:t>
            </w:r>
          </w:p>
          <w:p w14:paraId="59AE13B8"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Contoh HQLA yang dijadikan agunan untuk menjamin fasilitas adalah fasilitas likuiditas berupa Sertifikat Pengelolaan Dana Berdasarkan Prinsip Syariah (SiPA).</w:t>
            </w:r>
          </w:p>
          <w:p w14:paraId="0C76D8B7" w14:textId="77777777"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Syarat Bank berhak menggunakan kembali agunan untuk memperoleh dana baru antara lain harus didukung dengan aspek legal dan kemampuan operasional.</w:t>
            </w:r>
          </w:p>
          <w:p w14:paraId="1009B6B6" w14:textId="0CB81128" w:rsidR="000B616B" w:rsidRPr="007A648D" w:rsidRDefault="000B616B"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Agunan berupa HQLA yang telah digunakan sebagai pengurang arus kas keluar maka harus dikeluarkan dari perhitungan HQLA. Perlakuan ini ditujukan untuk menghindari penghitungan ganda (</w:t>
            </w:r>
            <w:r w:rsidRPr="007A648D">
              <w:rPr>
                <w:rFonts w:ascii="Bookman Old Style" w:hAnsi="Bookman Old Style"/>
                <w:i/>
                <w:iCs/>
                <w:sz w:val="20"/>
                <w:szCs w:val="20"/>
              </w:rPr>
              <w:t>double counting</w:t>
            </w:r>
            <w:r w:rsidRPr="007A648D">
              <w:rPr>
                <w:rFonts w:ascii="Bookman Old Style" w:hAnsi="Bookman Old Style"/>
                <w:sz w:val="20"/>
                <w:szCs w:val="20"/>
              </w:rPr>
              <w:t>).</w:t>
            </w:r>
          </w:p>
        </w:tc>
        <w:tc>
          <w:tcPr>
            <w:tcW w:w="3686" w:type="dxa"/>
            <w:shd w:val="clear" w:color="auto" w:fill="auto"/>
            <w:vAlign w:val="center"/>
          </w:tcPr>
          <w:p w14:paraId="5FB31C9D"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55D8B39" w14:textId="77777777" w:rsidR="000B616B" w:rsidRPr="000B616B" w:rsidRDefault="000B616B"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3520E1FA" w14:textId="77777777" w:rsidTr="00B03AEA">
        <w:trPr>
          <w:trHeight w:val="564"/>
          <w:tblHeader/>
        </w:trPr>
        <w:tc>
          <w:tcPr>
            <w:tcW w:w="9634" w:type="dxa"/>
            <w:shd w:val="clear" w:color="auto" w:fill="auto"/>
            <w:vAlign w:val="center"/>
          </w:tcPr>
          <w:p w14:paraId="3951F912" w14:textId="77777777" w:rsidR="0098476F" w:rsidRPr="007A648D" w:rsidRDefault="0098476F"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lastRenderedPageBreak/>
              <w:t>kewajiban kontraktual lainnya terkait penyaluran dana;</w:t>
            </w:r>
          </w:p>
          <w:p w14:paraId="18CCF0D2" w14:textId="77777777" w:rsidR="0098476F" w:rsidRPr="007A648D" w:rsidRDefault="0098476F" w:rsidP="00A32F86">
            <w:pPr>
              <w:pStyle w:val="BodyText"/>
              <w:widowControl w:val="0"/>
              <w:numPr>
                <w:ilvl w:val="0"/>
                <w:numId w:val="11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Tingkat penarikan terhadap kewajiban kontraktual lainnya terkait penyaluran dana ditetapkan 100% (seratus persen) dari kewajiban kontraktual terkait penyaluran dana kepada lembaga jasa keuangan dalam periode 30 (tiga puluh) hari.</w:t>
            </w:r>
          </w:p>
          <w:p w14:paraId="093F747F" w14:textId="77777777" w:rsidR="0098476F" w:rsidRPr="007A648D" w:rsidRDefault="0098476F" w:rsidP="00A32F86">
            <w:pPr>
              <w:pStyle w:val="BodyText"/>
              <w:widowControl w:val="0"/>
              <w:numPr>
                <w:ilvl w:val="0"/>
                <w:numId w:val="11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Jika total seluruh kewajiban kontraktual terkait penyaluran dana kepada nasabah perorangan dan korporasi non-keuangan dalam jangka waktu 30 (tiga puluh) hari kedepan yang belum tercakup dalam kategori lainnya melebihi 50% (lima puluh persen) dari total arus masuk (</w:t>
            </w:r>
            <w:r w:rsidRPr="007A648D">
              <w:rPr>
                <w:rFonts w:ascii="Bookman Old Style" w:hAnsi="Bookman Old Style"/>
                <w:i/>
                <w:sz w:val="20"/>
                <w:szCs w:val="20"/>
              </w:rPr>
              <w:t>inflow</w:t>
            </w:r>
            <w:r w:rsidRPr="007A648D">
              <w:rPr>
                <w:rFonts w:ascii="Bookman Old Style" w:hAnsi="Bookman Old Style"/>
                <w:sz w:val="20"/>
                <w:szCs w:val="20"/>
              </w:rPr>
              <w:t>) yang bersifat kontraktual dalam periode 30 (tiga puluh) hari, tingkat penarikan ditetapkan 100% (seratus persen) dari nilai selisih lebih antara:</w:t>
            </w:r>
          </w:p>
          <w:p w14:paraId="6F980674" w14:textId="77777777" w:rsidR="0098476F" w:rsidRPr="007A648D" w:rsidRDefault="0098476F" w:rsidP="00A32F86">
            <w:pPr>
              <w:pStyle w:val="BodyText"/>
              <w:widowControl w:val="0"/>
              <w:numPr>
                <w:ilvl w:val="0"/>
                <w:numId w:val="116"/>
              </w:numPr>
              <w:autoSpaceDE w:val="0"/>
              <w:autoSpaceDN w:val="0"/>
              <w:ind w:right="-1"/>
              <w:outlineLvl w:val="0"/>
              <w:rPr>
                <w:rFonts w:ascii="Bookman Old Style" w:hAnsi="Bookman Old Style"/>
                <w:sz w:val="20"/>
                <w:szCs w:val="20"/>
              </w:rPr>
            </w:pPr>
            <w:r w:rsidRPr="007A648D">
              <w:rPr>
                <w:rFonts w:ascii="Bookman Old Style" w:hAnsi="Bookman Old Style"/>
                <w:sz w:val="20"/>
                <w:szCs w:val="20"/>
              </w:rPr>
              <w:t xml:space="preserve">kewajiban kontraktual untuk menyalurkan dana; dengan </w:t>
            </w:r>
          </w:p>
          <w:p w14:paraId="3C19249A" w14:textId="60928227" w:rsidR="0098476F" w:rsidRPr="007A648D" w:rsidRDefault="0098476F" w:rsidP="00A32F86">
            <w:pPr>
              <w:pStyle w:val="BodyText"/>
              <w:widowControl w:val="0"/>
              <w:numPr>
                <w:ilvl w:val="0"/>
                <w:numId w:val="116"/>
              </w:numPr>
              <w:autoSpaceDE w:val="0"/>
              <w:autoSpaceDN w:val="0"/>
              <w:ind w:right="-1"/>
              <w:outlineLvl w:val="0"/>
              <w:rPr>
                <w:rFonts w:ascii="Bookman Old Style" w:hAnsi="Bookman Old Style"/>
                <w:sz w:val="20"/>
                <w:szCs w:val="20"/>
              </w:rPr>
            </w:pPr>
            <w:r w:rsidRPr="007A648D">
              <w:rPr>
                <w:rFonts w:ascii="Bookman Old Style" w:hAnsi="Bookman Old Style"/>
                <w:sz w:val="20"/>
                <w:szCs w:val="20"/>
              </w:rPr>
              <w:t>50% (lima puluh persen) total arus kas masuk (</w:t>
            </w:r>
            <w:r w:rsidRPr="007A648D">
              <w:rPr>
                <w:rFonts w:ascii="Bookman Old Style" w:hAnsi="Bookman Old Style"/>
                <w:i/>
                <w:sz w:val="20"/>
                <w:szCs w:val="20"/>
              </w:rPr>
              <w:t>cash inflow</w:t>
            </w:r>
            <w:r w:rsidRPr="007A648D">
              <w:rPr>
                <w:rFonts w:ascii="Bookman Old Style" w:hAnsi="Bookman Old Style"/>
                <w:sz w:val="20"/>
                <w:szCs w:val="20"/>
              </w:rPr>
              <w:t>).</w:t>
            </w:r>
          </w:p>
        </w:tc>
        <w:tc>
          <w:tcPr>
            <w:tcW w:w="3686" w:type="dxa"/>
            <w:shd w:val="clear" w:color="auto" w:fill="auto"/>
            <w:vAlign w:val="center"/>
          </w:tcPr>
          <w:p w14:paraId="2B9E0921"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8D10104"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30DBD26A" w14:textId="77777777" w:rsidTr="00B03AEA">
        <w:trPr>
          <w:trHeight w:val="564"/>
          <w:tblHeader/>
        </w:trPr>
        <w:tc>
          <w:tcPr>
            <w:tcW w:w="9634" w:type="dxa"/>
            <w:shd w:val="clear" w:color="auto" w:fill="auto"/>
            <w:vAlign w:val="center"/>
          </w:tcPr>
          <w:p w14:paraId="5EC6F3A4" w14:textId="77777777" w:rsidR="0098476F" w:rsidRPr="007A648D" w:rsidRDefault="0098476F"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lastRenderedPageBreak/>
              <w:t>kewajiban kontijensi Pendanaan lainnya (</w:t>
            </w:r>
            <w:r w:rsidRPr="007A648D">
              <w:rPr>
                <w:rFonts w:ascii="Bookman Old Style" w:hAnsi="Bookman Old Style"/>
                <w:i/>
                <w:sz w:val="20"/>
                <w:szCs w:val="20"/>
              </w:rPr>
              <w:t>other contigent funding obligation</w:t>
            </w:r>
            <w:r w:rsidRPr="007A648D">
              <w:rPr>
                <w:rFonts w:ascii="Bookman Old Style" w:hAnsi="Bookman Old Style"/>
                <w:sz w:val="20"/>
                <w:szCs w:val="20"/>
              </w:rPr>
              <w:t>);</w:t>
            </w:r>
          </w:p>
          <w:p w14:paraId="117DD577" w14:textId="77777777" w:rsidR="0098476F" w:rsidRPr="007A648D" w:rsidRDefault="0098476F"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Arus kas keluar lainnya (</w:t>
            </w:r>
            <w:r w:rsidRPr="007A648D">
              <w:rPr>
                <w:rFonts w:ascii="Bookman Old Style" w:hAnsi="Bookman Old Style"/>
                <w:i/>
                <w:sz w:val="20"/>
                <w:szCs w:val="20"/>
              </w:rPr>
              <w:t>additional requirement</w:t>
            </w:r>
            <w:r w:rsidRPr="007A648D">
              <w:rPr>
                <w:rFonts w:ascii="Bookman Old Style" w:hAnsi="Bookman Old Style"/>
                <w:sz w:val="20"/>
                <w:szCs w:val="20"/>
              </w:rPr>
              <w:t>) yang terkait dengan kewajiban kontijensi Pendanaan lainnya meliputi:</w:t>
            </w:r>
          </w:p>
          <w:p w14:paraId="2372E583"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yang berasal dari instrumen </w:t>
            </w:r>
            <w:r w:rsidRPr="007A648D">
              <w:rPr>
                <w:rFonts w:ascii="Bookman Old Style" w:hAnsi="Bookman Old Style"/>
                <w:i/>
                <w:sz w:val="20"/>
                <w:szCs w:val="20"/>
              </w:rPr>
              <w:t>trade finance</w:t>
            </w:r>
            <w:r w:rsidRPr="007A648D">
              <w:rPr>
                <w:rFonts w:ascii="Bookman Old Style" w:hAnsi="Bookman Old Style"/>
                <w:sz w:val="20"/>
                <w:szCs w:val="20"/>
              </w:rPr>
              <w:t>;</w:t>
            </w:r>
          </w:p>
          <w:p w14:paraId="09DB9DAC" w14:textId="77777777" w:rsidR="0098476F" w:rsidRPr="007A648D" w:rsidRDefault="0098476F"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Komitmen pembiayaan seperti pembiayaan langsung impor dan ekspor untuk perusahaan non keuangan dikecualikan dari perhitungan ini dan Bank menerapkan tingkat penarikan seperti untuk komitmen fasilitas pembiayaan.</w:t>
            </w:r>
          </w:p>
          <w:p w14:paraId="493C831C" w14:textId="77777777" w:rsidR="0098476F" w:rsidRPr="007A648D" w:rsidRDefault="0098476F"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 xml:space="preserve">Contoh instrumen </w:t>
            </w:r>
            <w:r w:rsidRPr="007A648D">
              <w:rPr>
                <w:rFonts w:ascii="Bookman Old Style" w:hAnsi="Bookman Old Style"/>
                <w:i/>
                <w:iCs/>
                <w:sz w:val="20"/>
                <w:szCs w:val="20"/>
              </w:rPr>
              <w:t xml:space="preserve">trade finance </w:t>
            </w:r>
            <w:r w:rsidRPr="007A648D">
              <w:rPr>
                <w:rFonts w:ascii="Bookman Old Style" w:hAnsi="Bookman Old Style"/>
                <w:sz w:val="20"/>
                <w:szCs w:val="20"/>
              </w:rPr>
              <w:t>antara lain:</w:t>
            </w:r>
          </w:p>
          <w:p w14:paraId="317EA8C8" w14:textId="77777777" w:rsidR="0098476F" w:rsidRPr="007A648D" w:rsidRDefault="0098476F" w:rsidP="00A32F86">
            <w:pPr>
              <w:pStyle w:val="Default"/>
              <w:numPr>
                <w:ilvl w:val="0"/>
                <w:numId w:val="119"/>
              </w:numPr>
              <w:spacing w:after="0" w:line="240" w:lineRule="auto"/>
              <w:ind w:left="3402" w:hanging="567"/>
              <w:jc w:val="both"/>
              <w:rPr>
                <w:sz w:val="20"/>
                <w:szCs w:val="20"/>
              </w:rPr>
            </w:pPr>
            <w:r w:rsidRPr="007A648D">
              <w:rPr>
                <w:sz w:val="20"/>
                <w:szCs w:val="20"/>
              </w:rPr>
              <w:t xml:space="preserve">dokumen perdagangan menggunakan L/C, </w:t>
            </w:r>
            <w:r w:rsidRPr="007A648D">
              <w:rPr>
                <w:i/>
                <w:iCs/>
                <w:sz w:val="20"/>
                <w:szCs w:val="20"/>
              </w:rPr>
              <w:t>clean collection, documentary collection</w:t>
            </w:r>
            <w:r w:rsidRPr="007A648D">
              <w:rPr>
                <w:sz w:val="20"/>
                <w:szCs w:val="20"/>
              </w:rPr>
              <w:t xml:space="preserve">, </w:t>
            </w:r>
            <w:r w:rsidRPr="007A648D">
              <w:rPr>
                <w:i/>
                <w:iCs/>
                <w:sz w:val="20"/>
                <w:szCs w:val="20"/>
              </w:rPr>
              <w:t>import bills</w:t>
            </w:r>
            <w:r w:rsidRPr="007A648D">
              <w:rPr>
                <w:sz w:val="20"/>
                <w:szCs w:val="20"/>
              </w:rPr>
              <w:t xml:space="preserve">, dan </w:t>
            </w:r>
            <w:r w:rsidRPr="007A648D">
              <w:rPr>
                <w:i/>
                <w:iCs/>
                <w:sz w:val="20"/>
                <w:szCs w:val="20"/>
              </w:rPr>
              <w:t>export bills</w:t>
            </w:r>
            <w:r w:rsidRPr="007A648D">
              <w:rPr>
                <w:sz w:val="20"/>
                <w:szCs w:val="20"/>
              </w:rPr>
              <w:t xml:space="preserve">; dan </w:t>
            </w:r>
          </w:p>
          <w:p w14:paraId="631DD1CD" w14:textId="77777777" w:rsidR="0098476F" w:rsidRPr="007A648D" w:rsidRDefault="0098476F" w:rsidP="00A32F86">
            <w:pPr>
              <w:pStyle w:val="Default"/>
              <w:numPr>
                <w:ilvl w:val="0"/>
                <w:numId w:val="119"/>
              </w:numPr>
              <w:spacing w:after="0" w:line="240" w:lineRule="auto"/>
              <w:ind w:left="3402" w:hanging="567"/>
              <w:jc w:val="both"/>
              <w:rPr>
                <w:sz w:val="20"/>
                <w:szCs w:val="20"/>
              </w:rPr>
            </w:pPr>
            <w:r w:rsidRPr="007A648D">
              <w:rPr>
                <w:sz w:val="20"/>
                <w:szCs w:val="20"/>
              </w:rPr>
              <w:t xml:space="preserve">garansi yang terkait langsung dengan kewajiban </w:t>
            </w:r>
            <w:r w:rsidRPr="007A648D">
              <w:rPr>
                <w:i/>
                <w:iCs/>
                <w:sz w:val="20"/>
                <w:szCs w:val="20"/>
              </w:rPr>
              <w:t xml:space="preserve">trade finance </w:t>
            </w:r>
            <w:r w:rsidRPr="007A648D">
              <w:rPr>
                <w:sz w:val="20"/>
                <w:szCs w:val="20"/>
              </w:rPr>
              <w:t xml:space="preserve">seperti </w:t>
            </w:r>
            <w:r w:rsidRPr="007A648D">
              <w:rPr>
                <w:i/>
                <w:iCs/>
                <w:sz w:val="20"/>
                <w:szCs w:val="20"/>
              </w:rPr>
              <w:t>shipping guarantees</w:t>
            </w:r>
            <w:r w:rsidRPr="007A648D">
              <w:rPr>
                <w:sz w:val="20"/>
                <w:szCs w:val="20"/>
              </w:rPr>
              <w:t xml:space="preserve">. </w:t>
            </w:r>
          </w:p>
          <w:p w14:paraId="0A069AD0"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yang berasal dari fasilitas pembiayaan dan fasilitas likuiditas yang bersifat </w:t>
            </w:r>
            <w:r w:rsidRPr="007A648D">
              <w:rPr>
                <w:rFonts w:ascii="Bookman Old Style" w:hAnsi="Bookman Old Style"/>
                <w:i/>
                <w:sz w:val="20"/>
                <w:szCs w:val="20"/>
              </w:rPr>
              <w:t>unconditionally revocable uncommitted</w:t>
            </w:r>
            <w:r w:rsidRPr="007A648D">
              <w:rPr>
                <w:rFonts w:ascii="Bookman Old Style" w:hAnsi="Bookman Old Style"/>
                <w:sz w:val="20"/>
                <w:szCs w:val="20"/>
              </w:rPr>
              <w:t xml:space="preserve">; </w:t>
            </w:r>
          </w:p>
          <w:p w14:paraId="3A6DE246"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yang berasal dari </w:t>
            </w:r>
            <w:r w:rsidRPr="007A648D">
              <w:rPr>
                <w:rFonts w:ascii="Bookman Old Style" w:hAnsi="Bookman Old Style"/>
                <w:i/>
                <w:sz w:val="20"/>
                <w:szCs w:val="20"/>
              </w:rPr>
              <w:t>letter of credit</w:t>
            </w:r>
            <w:r w:rsidRPr="007A648D">
              <w:rPr>
                <w:rFonts w:ascii="Bookman Old Style" w:hAnsi="Bookman Old Style"/>
                <w:sz w:val="20"/>
                <w:szCs w:val="20"/>
              </w:rPr>
              <w:t xml:space="preserve"> (L/C) dan garansi yang tidak terkait dengan kewajiban </w:t>
            </w:r>
            <w:r w:rsidRPr="007A648D">
              <w:rPr>
                <w:rFonts w:ascii="Bookman Old Style" w:hAnsi="Bookman Old Style"/>
                <w:i/>
                <w:sz w:val="20"/>
                <w:szCs w:val="20"/>
              </w:rPr>
              <w:t>trade finance</w:t>
            </w:r>
            <w:r w:rsidRPr="007A648D">
              <w:rPr>
                <w:rFonts w:ascii="Bookman Old Style" w:hAnsi="Bookman Old Style"/>
                <w:sz w:val="20"/>
                <w:szCs w:val="20"/>
              </w:rPr>
              <w:t xml:space="preserve">; </w:t>
            </w:r>
          </w:p>
          <w:p w14:paraId="248E6090"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yang berasal dari permintaan potensial untuk membeli kembali kewajiban Bank atau yang terkait dengan </w:t>
            </w:r>
            <w:r w:rsidRPr="007A648D">
              <w:rPr>
                <w:rFonts w:ascii="Bookman Old Style" w:hAnsi="Bookman Old Style"/>
                <w:i/>
                <w:sz w:val="20"/>
                <w:szCs w:val="20"/>
              </w:rPr>
              <w:t>securities investment vehicles</w:t>
            </w:r>
            <w:r w:rsidRPr="007A648D">
              <w:rPr>
                <w:rFonts w:ascii="Bookman Old Style" w:hAnsi="Bookman Old Style"/>
                <w:sz w:val="20"/>
                <w:szCs w:val="20"/>
              </w:rPr>
              <w:t xml:space="preserve"> dan fasilitas pembiayaan lainnya; </w:t>
            </w:r>
          </w:p>
          <w:p w14:paraId="051B3295"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yang berasal dari </w:t>
            </w:r>
            <w:r w:rsidRPr="007A648D">
              <w:rPr>
                <w:rFonts w:ascii="Bookman Old Style" w:hAnsi="Bookman Old Style"/>
                <w:i/>
                <w:sz w:val="20"/>
                <w:szCs w:val="20"/>
              </w:rPr>
              <w:t>structured product</w:t>
            </w:r>
            <w:r w:rsidRPr="007A648D">
              <w:rPr>
                <w:rFonts w:ascii="Bookman Old Style" w:hAnsi="Bookman Old Style"/>
                <w:sz w:val="20"/>
                <w:szCs w:val="20"/>
              </w:rPr>
              <w:t xml:space="preserve"> yang diantisipasi oleh nasabah melalui </w:t>
            </w:r>
            <w:r w:rsidRPr="007A648D">
              <w:rPr>
                <w:rFonts w:ascii="Bookman Old Style" w:hAnsi="Bookman Old Style"/>
                <w:i/>
                <w:sz w:val="20"/>
                <w:szCs w:val="20"/>
              </w:rPr>
              <w:t>ready marketability</w:t>
            </w:r>
            <w:r w:rsidRPr="007A648D">
              <w:rPr>
                <w:rFonts w:ascii="Bookman Old Style" w:hAnsi="Bookman Old Style"/>
                <w:sz w:val="20"/>
                <w:szCs w:val="20"/>
              </w:rPr>
              <w:t xml:space="preserve">; </w:t>
            </w:r>
          </w:p>
          <w:p w14:paraId="7F702F6E" w14:textId="77777777" w:rsidR="0098476F" w:rsidRPr="007A648D" w:rsidRDefault="0098476F"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 xml:space="preserve">Antisipasi yang dilakukan oleh nasabah melalui </w:t>
            </w:r>
            <w:r w:rsidRPr="007A648D">
              <w:rPr>
                <w:rFonts w:ascii="Bookman Old Style" w:hAnsi="Bookman Old Style"/>
                <w:i/>
                <w:iCs/>
                <w:sz w:val="20"/>
                <w:szCs w:val="20"/>
              </w:rPr>
              <w:t xml:space="preserve">ready marketability </w:t>
            </w:r>
            <w:r w:rsidRPr="007A648D">
              <w:rPr>
                <w:rFonts w:ascii="Bookman Old Style" w:hAnsi="Bookman Old Style"/>
                <w:sz w:val="20"/>
                <w:szCs w:val="20"/>
              </w:rPr>
              <w:t xml:space="preserve">antara lain </w:t>
            </w:r>
            <w:r w:rsidRPr="007A648D">
              <w:rPr>
                <w:rFonts w:ascii="Bookman Old Style" w:hAnsi="Bookman Old Style"/>
                <w:i/>
                <w:iCs/>
                <w:sz w:val="20"/>
                <w:szCs w:val="20"/>
              </w:rPr>
              <w:t xml:space="preserve">adjustable rate notes </w:t>
            </w:r>
            <w:r w:rsidRPr="007A648D">
              <w:rPr>
                <w:rFonts w:ascii="Bookman Old Style" w:hAnsi="Bookman Old Style"/>
                <w:sz w:val="20"/>
                <w:szCs w:val="20"/>
              </w:rPr>
              <w:t xml:space="preserve">dan </w:t>
            </w:r>
            <w:r w:rsidRPr="007A648D">
              <w:rPr>
                <w:rFonts w:ascii="Bookman Old Style" w:hAnsi="Bookman Old Style"/>
                <w:i/>
                <w:iCs/>
                <w:sz w:val="20"/>
                <w:szCs w:val="20"/>
              </w:rPr>
              <w:t xml:space="preserve">variable rate demand notes </w:t>
            </w:r>
            <w:r w:rsidRPr="007A648D">
              <w:rPr>
                <w:rFonts w:ascii="Bookman Old Style" w:hAnsi="Bookman Old Style"/>
                <w:sz w:val="20"/>
                <w:szCs w:val="20"/>
              </w:rPr>
              <w:t>(VRDNs).</w:t>
            </w:r>
          </w:p>
          <w:p w14:paraId="0DD87CBC"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kewajiban yang berasal dari dana kelolaan (</w:t>
            </w:r>
            <w:r w:rsidRPr="007A648D">
              <w:rPr>
                <w:rFonts w:ascii="Bookman Old Style" w:hAnsi="Bookman Old Style"/>
                <w:i/>
                <w:sz w:val="20"/>
                <w:szCs w:val="20"/>
              </w:rPr>
              <w:t>managed funds</w:t>
            </w:r>
            <w:r w:rsidRPr="007A648D">
              <w:rPr>
                <w:rFonts w:ascii="Bookman Old Style" w:hAnsi="Bookman Old Style"/>
                <w:sz w:val="20"/>
                <w:szCs w:val="20"/>
              </w:rPr>
              <w:t>) yang dijual dengan tujuan menjaga kestabilan nilai;</w:t>
            </w:r>
          </w:p>
          <w:p w14:paraId="4535EFD2" w14:textId="77777777" w:rsidR="0098476F" w:rsidRPr="007A648D" w:rsidRDefault="0098476F" w:rsidP="007A648D">
            <w:pPr>
              <w:pStyle w:val="Default"/>
              <w:spacing w:after="0" w:line="240" w:lineRule="auto"/>
              <w:ind w:left="2835"/>
              <w:jc w:val="both"/>
              <w:rPr>
                <w:sz w:val="20"/>
                <w:szCs w:val="20"/>
                <w:lang w:val="en-US"/>
              </w:rPr>
            </w:pPr>
            <w:r w:rsidRPr="007A648D">
              <w:rPr>
                <w:sz w:val="20"/>
                <w:szCs w:val="20"/>
              </w:rPr>
              <w:t>Kewajiban yang berasal dari dana kelolaan (</w:t>
            </w:r>
            <w:r w:rsidRPr="007A648D">
              <w:rPr>
                <w:i/>
                <w:iCs/>
                <w:sz w:val="20"/>
                <w:szCs w:val="20"/>
              </w:rPr>
              <w:t>managed funds</w:t>
            </w:r>
            <w:r w:rsidRPr="007A648D">
              <w:rPr>
                <w:sz w:val="20"/>
                <w:szCs w:val="20"/>
              </w:rPr>
              <w:t>) yang dijual dengan tujuan menjaga kestabilan nilai antara lain reksadana pasar uang syariah atau jenis dana investasi syariah (</w:t>
            </w:r>
            <w:r w:rsidRPr="007A648D">
              <w:rPr>
                <w:i/>
                <w:sz w:val="20"/>
                <w:szCs w:val="20"/>
              </w:rPr>
              <w:t>sharia</w:t>
            </w:r>
            <w:r w:rsidRPr="007A648D">
              <w:rPr>
                <w:sz w:val="20"/>
                <w:szCs w:val="20"/>
              </w:rPr>
              <w:t xml:space="preserve"> </w:t>
            </w:r>
            <w:r w:rsidRPr="007A648D">
              <w:rPr>
                <w:i/>
                <w:iCs/>
                <w:sz w:val="20"/>
                <w:szCs w:val="20"/>
              </w:rPr>
              <w:t>investment fund</w:t>
            </w:r>
            <w:r w:rsidRPr="007A648D">
              <w:rPr>
                <w:sz w:val="20"/>
                <w:szCs w:val="20"/>
              </w:rPr>
              <w:t>) lainnya yang memiliki nilai stabil.</w:t>
            </w:r>
          </w:p>
          <w:p w14:paraId="413E159E"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untuk menutup potensi pembelian kembali surat berharga syariah dengan atau tanpa agunan, yang memiliki jangka waktu lebih dari 30 (tiga puluh) hari bagi emiten yang memiliki afiliasi dengan </w:t>
            </w:r>
            <w:r w:rsidRPr="007A648D">
              <w:rPr>
                <w:rFonts w:ascii="Bookman Old Style" w:hAnsi="Bookman Old Style"/>
                <w:i/>
                <w:sz w:val="20"/>
                <w:szCs w:val="20"/>
              </w:rPr>
              <w:t>dealer</w:t>
            </w:r>
            <w:r w:rsidRPr="007A648D">
              <w:rPr>
                <w:rFonts w:ascii="Bookman Old Style" w:hAnsi="Bookman Old Style"/>
                <w:sz w:val="20"/>
                <w:szCs w:val="20"/>
              </w:rPr>
              <w:t xml:space="preserve"> atau </w:t>
            </w:r>
            <w:r w:rsidRPr="007A648D">
              <w:rPr>
                <w:rFonts w:ascii="Bookman Old Style" w:hAnsi="Bookman Old Style"/>
                <w:i/>
                <w:sz w:val="20"/>
                <w:szCs w:val="20"/>
              </w:rPr>
              <w:t>market maker</w:t>
            </w:r>
            <w:r w:rsidRPr="007A648D">
              <w:rPr>
                <w:rFonts w:ascii="Bookman Old Style" w:hAnsi="Bookman Old Style"/>
                <w:sz w:val="20"/>
                <w:szCs w:val="20"/>
              </w:rPr>
              <w:t>; dan/atau</w:t>
            </w:r>
          </w:p>
          <w:p w14:paraId="05D02F6F" w14:textId="77777777" w:rsidR="0098476F" w:rsidRPr="007A648D" w:rsidRDefault="0098476F" w:rsidP="00A32F86">
            <w:pPr>
              <w:pStyle w:val="BodyText"/>
              <w:widowControl w:val="0"/>
              <w:numPr>
                <w:ilvl w:val="0"/>
                <w:numId w:val="117"/>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kewajiban non-kontraktual posisi </w:t>
            </w:r>
            <w:r w:rsidRPr="007A648D">
              <w:rPr>
                <w:rFonts w:ascii="Bookman Old Style" w:hAnsi="Bookman Old Style"/>
                <w:i/>
                <w:sz w:val="20"/>
                <w:szCs w:val="20"/>
              </w:rPr>
              <w:t xml:space="preserve">short </w:t>
            </w:r>
            <w:r w:rsidRPr="007A648D">
              <w:rPr>
                <w:rFonts w:ascii="Bookman Old Style" w:hAnsi="Bookman Old Style"/>
                <w:sz w:val="20"/>
                <w:szCs w:val="20"/>
              </w:rPr>
              <w:t>nasabah yang dilindungi dengan agunan nasabah lain.</w:t>
            </w:r>
          </w:p>
          <w:p w14:paraId="1EB8716B" w14:textId="77777777" w:rsidR="0098476F" w:rsidRPr="007A648D" w:rsidRDefault="0098476F"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lastRenderedPageBreak/>
              <w:t>Tingkat penarikan dari kewajiban kontijensi Pendanaan lainnya ditetapkan:</w:t>
            </w:r>
          </w:p>
          <w:p w14:paraId="24E3E346"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3% (tiga persen) untuk kewajiban yang berasal dari instrumen </w:t>
            </w:r>
            <w:r w:rsidRPr="007A648D">
              <w:rPr>
                <w:rFonts w:ascii="Bookman Old Style" w:hAnsi="Bookman Old Style"/>
                <w:i/>
                <w:sz w:val="20"/>
                <w:szCs w:val="20"/>
              </w:rPr>
              <w:t>trade finance</w:t>
            </w:r>
            <w:r w:rsidRPr="007A648D">
              <w:rPr>
                <w:rFonts w:ascii="Bookman Old Style" w:hAnsi="Bookman Old Style"/>
                <w:sz w:val="20"/>
                <w:szCs w:val="20"/>
              </w:rPr>
              <w:t xml:space="preserve">; </w:t>
            </w:r>
          </w:p>
          <w:p w14:paraId="5592C042"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0% (nol persen) untuk kewajiban yang berasal dari fasilitas pembiayaan dan fasilitas likuiditas yang bersifat </w:t>
            </w:r>
            <w:r w:rsidRPr="007A648D">
              <w:rPr>
                <w:rFonts w:ascii="Bookman Old Style" w:hAnsi="Bookman Old Style"/>
                <w:i/>
                <w:sz w:val="20"/>
                <w:szCs w:val="20"/>
              </w:rPr>
              <w:t>unconditionally revocable uncommitted</w:t>
            </w:r>
            <w:r w:rsidRPr="007A648D">
              <w:rPr>
                <w:rFonts w:ascii="Bookman Old Style" w:hAnsi="Bookman Old Style"/>
                <w:sz w:val="20"/>
                <w:szCs w:val="20"/>
              </w:rPr>
              <w:t xml:space="preserve">; </w:t>
            </w:r>
          </w:p>
          <w:p w14:paraId="79E676EB"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5% (lima persen) untuk kewajiban yang berasal dari </w:t>
            </w:r>
            <w:r w:rsidRPr="007A648D">
              <w:rPr>
                <w:rFonts w:ascii="Bookman Old Style" w:hAnsi="Bookman Old Style"/>
                <w:i/>
                <w:sz w:val="20"/>
                <w:szCs w:val="20"/>
              </w:rPr>
              <w:t>letter of credit</w:t>
            </w:r>
            <w:r w:rsidRPr="007A648D">
              <w:rPr>
                <w:rFonts w:ascii="Bookman Old Style" w:hAnsi="Bookman Old Style"/>
                <w:sz w:val="20"/>
                <w:szCs w:val="20"/>
              </w:rPr>
              <w:t xml:space="preserve"> (L/C) dan garansi yang tidak terkait dengan kewajiban </w:t>
            </w:r>
            <w:r w:rsidRPr="007A648D">
              <w:rPr>
                <w:rFonts w:ascii="Bookman Old Style" w:hAnsi="Bookman Old Style"/>
                <w:i/>
                <w:sz w:val="20"/>
                <w:szCs w:val="20"/>
              </w:rPr>
              <w:t>trade finance</w:t>
            </w:r>
            <w:r w:rsidRPr="007A648D">
              <w:rPr>
                <w:rFonts w:ascii="Bookman Old Style" w:hAnsi="Bookman Old Style"/>
                <w:sz w:val="20"/>
                <w:szCs w:val="20"/>
              </w:rPr>
              <w:t xml:space="preserve">; </w:t>
            </w:r>
          </w:p>
          <w:p w14:paraId="196D1880"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5% (lima persen) untuk kewajiban yang berasal dari permintaan potensial untuk membeli kembali utang Bank atau yang terkait dengan </w:t>
            </w:r>
            <w:r w:rsidRPr="007A648D">
              <w:rPr>
                <w:rFonts w:ascii="Bookman Old Style" w:hAnsi="Bookman Old Style"/>
                <w:i/>
                <w:sz w:val="20"/>
                <w:szCs w:val="20"/>
              </w:rPr>
              <w:t xml:space="preserve">securities investment vehicles </w:t>
            </w:r>
            <w:r w:rsidRPr="007A648D">
              <w:rPr>
                <w:rFonts w:ascii="Bookman Old Style" w:hAnsi="Bookman Old Style"/>
                <w:sz w:val="20"/>
                <w:szCs w:val="20"/>
              </w:rPr>
              <w:t xml:space="preserve">dan fasilitas pembiayaan lainnya; </w:t>
            </w:r>
          </w:p>
          <w:p w14:paraId="0951952F"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5% (lima persen) untuk kewajiban yang berasal dari </w:t>
            </w:r>
            <w:r w:rsidRPr="007A648D">
              <w:rPr>
                <w:rFonts w:ascii="Bookman Old Style" w:hAnsi="Bookman Old Style"/>
                <w:i/>
                <w:sz w:val="20"/>
                <w:szCs w:val="20"/>
              </w:rPr>
              <w:t>structured product</w:t>
            </w:r>
            <w:r w:rsidRPr="007A648D">
              <w:rPr>
                <w:rFonts w:ascii="Bookman Old Style" w:hAnsi="Bookman Old Style"/>
                <w:sz w:val="20"/>
                <w:szCs w:val="20"/>
              </w:rPr>
              <w:t xml:space="preserve"> yang diantisipasi oleh nasabah melalui </w:t>
            </w:r>
            <w:r w:rsidRPr="007A648D">
              <w:rPr>
                <w:rFonts w:ascii="Bookman Old Style" w:hAnsi="Bookman Old Style"/>
                <w:i/>
                <w:sz w:val="20"/>
                <w:szCs w:val="20"/>
              </w:rPr>
              <w:t>ready marketability</w:t>
            </w:r>
            <w:r w:rsidRPr="007A648D">
              <w:rPr>
                <w:rFonts w:ascii="Bookman Old Style" w:hAnsi="Bookman Old Style"/>
                <w:sz w:val="20"/>
                <w:szCs w:val="20"/>
              </w:rPr>
              <w:t xml:space="preserve">; </w:t>
            </w:r>
          </w:p>
          <w:p w14:paraId="19D4E5C6"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5% (lima persen) untuk kewajiban yang berasal dari dana kelolaan (</w:t>
            </w:r>
            <w:r w:rsidRPr="007A648D">
              <w:rPr>
                <w:rFonts w:ascii="Bookman Old Style" w:hAnsi="Bookman Old Style"/>
                <w:i/>
                <w:sz w:val="20"/>
                <w:szCs w:val="20"/>
              </w:rPr>
              <w:t>managed funds</w:t>
            </w:r>
            <w:r w:rsidRPr="007A648D">
              <w:rPr>
                <w:rFonts w:ascii="Bookman Old Style" w:hAnsi="Bookman Old Style"/>
                <w:sz w:val="20"/>
                <w:szCs w:val="20"/>
              </w:rPr>
              <w:t xml:space="preserve">) yang dijual dengan tujuan menjaga kestabilan nilai; </w:t>
            </w:r>
          </w:p>
          <w:p w14:paraId="4824858C" w14:textId="77777777"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 xml:space="preserve">5% (lima persen) untuk kewajiban menutup potensi pembelian kembali surat berharga syariah dengan atau tanpa agunan, yang memiliki jangka waktu lebih dari 30 (tiga puluh) hari bagi emiten yang memiliki afiliasi dengan </w:t>
            </w:r>
            <w:r w:rsidRPr="007A648D">
              <w:rPr>
                <w:rFonts w:ascii="Bookman Old Style" w:hAnsi="Bookman Old Style"/>
                <w:i/>
                <w:sz w:val="20"/>
                <w:szCs w:val="20"/>
              </w:rPr>
              <w:t>dealer</w:t>
            </w:r>
            <w:r w:rsidRPr="007A648D">
              <w:rPr>
                <w:rFonts w:ascii="Bookman Old Style" w:hAnsi="Bookman Old Style"/>
                <w:sz w:val="20"/>
                <w:szCs w:val="20"/>
              </w:rPr>
              <w:t xml:space="preserve"> atau </w:t>
            </w:r>
            <w:r w:rsidRPr="007A648D">
              <w:rPr>
                <w:rFonts w:ascii="Bookman Old Style" w:hAnsi="Bookman Old Style"/>
                <w:i/>
                <w:sz w:val="20"/>
                <w:szCs w:val="20"/>
              </w:rPr>
              <w:t>market maker</w:t>
            </w:r>
            <w:r w:rsidRPr="007A648D">
              <w:rPr>
                <w:rFonts w:ascii="Bookman Old Style" w:hAnsi="Bookman Old Style"/>
                <w:sz w:val="20"/>
                <w:szCs w:val="20"/>
              </w:rPr>
              <w:t xml:space="preserve">; dan/atau </w:t>
            </w:r>
          </w:p>
          <w:p w14:paraId="07131404" w14:textId="7D29D02F" w:rsidR="0098476F" w:rsidRPr="007A648D" w:rsidRDefault="0098476F" w:rsidP="00A32F86">
            <w:pPr>
              <w:pStyle w:val="BodyText"/>
              <w:widowControl w:val="0"/>
              <w:numPr>
                <w:ilvl w:val="0"/>
                <w:numId w:val="118"/>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50% untuk kewajiban non-kontraktual posisi short nasabah yang dilindungi dengan agunan nasabah lain.</w:t>
            </w:r>
          </w:p>
        </w:tc>
        <w:tc>
          <w:tcPr>
            <w:tcW w:w="3686" w:type="dxa"/>
            <w:shd w:val="clear" w:color="auto" w:fill="auto"/>
            <w:vAlign w:val="center"/>
          </w:tcPr>
          <w:p w14:paraId="01F38C5D"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75C7405"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41AC8E33" w14:textId="77777777" w:rsidTr="00B03AEA">
        <w:trPr>
          <w:trHeight w:val="564"/>
          <w:tblHeader/>
        </w:trPr>
        <w:tc>
          <w:tcPr>
            <w:tcW w:w="9634" w:type="dxa"/>
            <w:shd w:val="clear" w:color="auto" w:fill="auto"/>
            <w:vAlign w:val="center"/>
          </w:tcPr>
          <w:p w14:paraId="1D52E63D" w14:textId="77777777" w:rsidR="0098476F" w:rsidRPr="007A648D" w:rsidRDefault="0098476F" w:rsidP="00A32F86">
            <w:pPr>
              <w:pStyle w:val="BodyText"/>
              <w:widowControl w:val="0"/>
              <w:numPr>
                <w:ilvl w:val="0"/>
                <w:numId w:val="102"/>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arus kas keluar kontraktual lainnya.</w:t>
            </w:r>
          </w:p>
          <w:p w14:paraId="1057785F" w14:textId="77777777" w:rsidR="0098476F" w:rsidRPr="007A648D" w:rsidRDefault="0098476F"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Tingkat penarikan terhadap arus kas keluar kontraktual lainnya ditetapkan 100% (seratus persen) dari kewajiban kontraktual lainnya dalam periode 30 (tiga puluh) hari.</w:t>
            </w:r>
          </w:p>
          <w:p w14:paraId="59E80442" w14:textId="06B18F8F" w:rsidR="0098476F" w:rsidRPr="007A648D" w:rsidRDefault="0098476F" w:rsidP="007A648D">
            <w:pPr>
              <w:pStyle w:val="BodyText"/>
              <w:widowControl w:val="0"/>
              <w:autoSpaceDE w:val="0"/>
              <w:autoSpaceDN w:val="0"/>
              <w:ind w:left="2268" w:right="-1"/>
              <w:outlineLvl w:val="0"/>
              <w:rPr>
                <w:rFonts w:ascii="Bookman Old Style" w:hAnsi="Bookman Old Style"/>
                <w:sz w:val="20"/>
                <w:szCs w:val="20"/>
              </w:rPr>
            </w:pPr>
            <w:r w:rsidRPr="007A648D">
              <w:rPr>
                <w:rFonts w:ascii="Bookman Old Style" w:hAnsi="Bookman Old Style"/>
                <w:sz w:val="20"/>
                <w:szCs w:val="20"/>
              </w:rPr>
              <w:t>Contohnya adalah arus keluar (</w:t>
            </w:r>
            <w:r w:rsidRPr="007A648D">
              <w:rPr>
                <w:rFonts w:ascii="Bookman Old Style" w:hAnsi="Bookman Old Style"/>
                <w:i/>
                <w:iCs/>
                <w:sz w:val="20"/>
                <w:szCs w:val="20"/>
              </w:rPr>
              <w:t>outflow</w:t>
            </w:r>
            <w:r w:rsidRPr="007A648D">
              <w:rPr>
                <w:rFonts w:ascii="Bookman Old Style" w:hAnsi="Bookman Old Style"/>
                <w:sz w:val="20"/>
                <w:szCs w:val="20"/>
              </w:rPr>
              <w:t xml:space="preserve">) untuk menutupi </w:t>
            </w:r>
            <w:r w:rsidRPr="007A648D">
              <w:rPr>
                <w:rFonts w:ascii="Bookman Old Style" w:hAnsi="Bookman Old Style"/>
                <w:i/>
                <w:iCs/>
                <w:sz w:val="20"/>
                <w:szCs w:val="20"/>
              </w:rPr>
              <w:t>unsecured collateral borrowing</w:t>
            </w:r>
            <w:r w:rsidRPr="007A648D">
              <w:rPr>
                <w:rFonts w:ascii="Bookman Old Style" w:hAnsi="Bookman Old Style"/>
                <w:sz w:val="20"/>
                <w:szCs w:val="20"/>
              </w:rPr>
              <w:t xml:space="preserve">, posisi </w:t>
            </w:r>
            <w:r w:rsidRPr="007A648D">
              <w:rPr>
                <w:rFonts w:ascii="Bookman Old Style" w:hAnsi="Bookman Old Style"/>
                <w:i/>
                <w:iCs/>
                <w:sz w:val="20"/>
                <w:szCs w:val="20"/>
              </w:rPr>
              <w:t xml:space="preserve">short </w:t>
            </w:r>
            <w:r w:rsidRPr="007A648D">
              <w:rPr>
                <w:rFonts w:ascii="Bookman Old Style" w:hAnsi="Bookman Old Style"/>
                <w:sz w:val="20"/>
                <w:szCs w:val="20"/>
              </w:rPr>
              <w:t>yang belum terpenuhi, dividen atau pembayaran imbalan kontraktual. Arus kas keluar yang terkait dengan biaya operasional tidak termasuk dalam perhitungan.</w:t>
            </w:r>
          </w:p>
        </w:tc>
        <w:tc>
          <w:tcPr>
            <w:tcW w:w="3686" w:type="dxa"/>
            <w:shd w:val="clear" w:color="auto" w:fill="auto"/>
            <w:vAlign w:val="center"/>
          </w:tcPr>
          <w:p w14:paraId="34F8400E"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2BE1807"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0FBF820F" w14:textId="77777777" w:rsidTr="007A648D">
        <w:trPr>
          <w:trHeight w:val="564"/>
          <w:tblHeader/>
        </w:trPr>
        <w:tc>
          <w:tcPr>
            <w:tcW w:w="9634" w:type="dxa"/>
            <w:shd w:val="clear" w:color="auto" w:fill="FFF2CC" w:themeFill="accent4" w:themeFillTint="33"/>
            <w:vAlign w:val="center"/>
          </w:tcPr>
          <w:p w14:paraId="47855301" w14:textId="2640D86C" w:rsidR="0098476F" w:rsidRPr="007A648D" w:rsidRDefault="0098476F" w:rsidP="00A32F86">
            <w:pPr>
              <w:pStyle w:val="ListParagraph"/>
              <w:widowControl w:val="0"/>
              <w:numPr>
                <w:ilvl w:val="4"/>
                <w:numId w:val="29"/>
              </w:numPr>
              <w:autoSpaceDE w:val="0"/>
              <w:autoSpaceDN w:val="0"/>
              <w:spacing w:after="0" w:line="240" w:lineRule="auto"/>
              <w:ind w:left="1134" w:right="232" w:hanging="567"/>
              <w:contextualSpacing w:val="0"/>
              <w:jc w:val="both"/>
              <w:rPr>
                <w:rFonts w:ascii="Bookman Old Style" w:hAnsi="Bookman Old Style"/>
                <w:sz w:val="20"/>
                <w:szCs w:val="20"/>
              </w:rPr>
            </w:pPr>
            <w:r w:rsidRPr="007A648D">
              <w:rPr>
                <w:rFonts w:ascii="Bookman Old Style" w:hAnsi="Bookman Old Style"/>
                <w:sz w:val="20"/>
                <w:szCs w:val="20"/>
                <w:lang w:val="en-US"/>
              </w:rPr>
              <w:t>ARUS KAS MASUK (</w:t>
            </w:r>
            <w:r w:rsidRPr="007A648D">
              <w:rPr>
                <w:rFonts w:ascii="Bookman Old Style" w:hAnsi="Bookman Old Style"/>
                <w:i/>
                <w:sz w:val="20"/>
                <w:szCs w:val="20"/>
                <w:lang w:val="en-US"/>
              </w:rPr>
              <w:t>CASH INFLOW</w:t>
            </w:r>
            <w:r w:rsidRPr="007A648D">
              <w:rPr>
                <w:rFonts w:ascii="Bookman Old Style" w:hAnsi="Bookman Old Style"/>
                <w:sz w:val="20"/>
                <w:szCs w:val="20"/>
                <w:lang w:val="en-US"/>
              </w:rPr>
              <w:t>)</w:t>
            </w:r>
          </w:p>
        </w:tc>
        <w:tc>
          <w:tcPr>
            <w:tcW w:w="3686" w:type="dxa"/>
            <w:shd w:val="clear" w:color="auto" w:fill="FFF2CC" w:themeFill="accent4" w:themeFillTint="33"/>
            <w:vAlign w:val="center"/>
          </w:tcPr>
          <w:p w14:paraId="60CE19F0"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5DC5FE74"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17E524DE" w14:textId="77777777" w:rsidTr="00B03AEA">
        <w:trPr>
          <w:trHeight w:val="564"/>
          <w:tblHeader/>
        </w:trPr>
        <w:tc>
          <w:tcPr>
            <w:tcW w:w="9634" w:type="dxa"/>
            <w:shd w:val="clear" w:color="auto" w:fill="auto"/>
            <w:vAlign w:val="center"/>
          </w:tcPr>
          <w:p w14:paraId="51CE4559"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Nilai arus kas masuk yang dapat diperhitungkan dalam LCR paling tinggi 75% (tujuh puluh lima persen) dari total arus kas keluar. Bank wajib menghitung arus kas masuk (</w:t>
            </w:r>
            <w:r w:rsidRPr="007A648D">
              <w:rPr>
                <w:rFonts w:ascii="Bookman Old Style" w:hAnsi="Bookman Old Style"/>
                <w:i/>
                <w:sz w:val="20"/>
                <w:szCs w:val="20"/>
              </w:rPr>
              <w:t>cash inflow</w:t>
            </w:r>
            <w:r w:rsidRPr="007A648D">
              <w:rPr>
                <w:rFonts w:ascii="Bookman Old Style" w:hAnsi="Bookman Old Style"/>
                <w:sz w:val="20"/>
                <w:szCs w:val="20"/>
              </w:rPr>
              <w:t>) selama 30 (tiga puluh) hari kedepan yang bersumber dari:</w:t>
            </w:r>
          </w:p>
          <w:p w14:paraId="714735EE" w14:textId="77777777" w:rsidR="0098476F" w:rsidRPr="007A648D" w:rsidRDefault="0098476F" w:rsidP="00A32F86">
            <w:pPr>
              <w:pStyle w:val="BodyText"/>
              <w:widowControl w:val="0"/>
              <w:numPr>
                <w:ilvl w:val="0"/>
                <w:numId w:val="120"/>
              </w:numPr>
              <w:autoSpaceDE w:val="0"/>
              <w:autoSpaceDN w:val="0"/>
              <w:ind w:left="1701" w:right="-1" w:hanging="567"/>
              <w:outlineLvl w:val="0"/>
              <w:rPr>
                <w:rFonts w:ascii="Bookman Old Style" w:hAnsi="Bookman Old Style"/>
                <w:sz w:val="20"/>
                <w:szCs w:val="20"/>
              </w:rPr>
            </w:pPr>
            <w:r w:rsidRPr="007A648D">
              <w:rPr>
                <w:rFonts w:ascii="Bookman Old Style" w:hAnsi="Bookman Old Style"/>
                <w:sz w:val="20"/>
                <w:szCs w:val="20"/>
              </w:rPr>
              <w:lastRenderedPageBreak/>
              <w:t>pembiayaan dengan agunan (</w:t>
            </w:r>
            <w:r w:rsidRPr="007A648D">
              <w:rPr>
                <w:rFonts w:ascii="Bookman Old Style" w:hAnsi="Bookman Old Style"/>
                <w:i/>
                <w:sz w:val="20"/>
                <w:szCs w:val="20"/>
              </w:rPr>
              <w:t>secured financing</w:t>
            </w:r>
            <w:r w:rsidRPr="007A648D">
              <w:rPr>
                <w:rFonts w:ascii="Bookman Old Style" w:hAnsi="Bookman Old Style"/>
                <w:sz w:val="20"/>
                <w:szCs w:val="20"/>
              </w:rPr>
              <w:t>);</w:t>
            </w:r>
            <w:r w:rsidRPr="007A648D" w:rsidDel="00B91DAF">
              <w:rPr>
                <w:rFonts w:ascii="Bookman Old Style" w:hAnsi="Bookman Old Style"/>
                <w:sz w:val="20"/>
                <w:szCs w:val="20"/>
              </w:rPr>
              <w:t xml:space="preserve"> </w:t>
            </w:r>
          </w:p>
          <w:p w14:paraId="53ECDA0E" w14:textId="77777777" w:rsidR="0098476F" w:rsidRPr="007A648D" w:rsidRDefault="0098476F" w:rsidP="00A32F86">
            <w:pPr>
              <w:pStyle w:val="BodyText"/>
              <w:widowControl w:val="0"/>
              <w:numPr>
                <w:ilvl w:val="0"/>
                <w:numId w:val="120"/>
              </w:numPr>
              <w:autoSpaceDE w:val="0"/>
              <w:autoSpaceDN w:val="0"/>
              <w:ind w:left="1701" w:right="-1" w:hanging="567"/>
              <w:outlineLvl w:val="0"/>
              <w:rPr>
                <w:rFonts w:ascii="Bookman Old Style" w:hAnsi="Bookman Old Style"/>
                <w:sz w:val="20"/>
                <w:szCs w:val="20"/>
              </w:rPr>
            </w:pPr>
            <w:r w:rsidRPr="007A648D">
              <w:rPr>
                <w:rFonts w:ascii="Bookman Old Style" w:hAnsi="Bookman Old Style"/>
                <w:sz w:val="20"/>
                <w:szCs w:val="20"/>
              </w:rPr>
              <w:t>tagihan berdasarkan pihak lawan (</w:t>
            </w:r>
            <w:r w:rsidRPr="007A648D">
              <w:rPr>
                <w:rFonts w:ascii="Bookman Old Style" w:hAnsi="Bookman Old Style"/>
                <w:i/>
                <w:sz w:val="20"/>
                <w:szCs w:val="20"/>
              </w:rPr>
              <w:t>counterparty</w:t>
            </w:r>
            <w:r w:rsidRPr="007A648D">
              <w:rPr>
                <w:rFonts w:ascii="Bookman Old Style" w:hAnsi="Bookman Old Style"/>
                <w:sz w:val="20"/>
                <w:szCs w:val="20"/>
              </w:rPr>
              <w:t>); dan/atau</w:t>
            </w:r>
          </w:p>
          <w:p w14:paraId="407628D2" w14:textId="77777777" w:rsidR="0098476F" w:rsidRPr="007A648D" w:rsidRDefault="0098476F" w:rsidP="00A32F86">
            <w:pPr>
              <w:pStyle w:val="BodyText"/>
              <w:widowControl w:val="0"/>
              <w:numPr>
                <w:ilvl w:val="0"/>
                <w:numId w:val="120"/>
              </w:numPr>
              <w:autoSpaceDE w:val="0"/>
              <w:autoSpaceDN w:val="0"/>
              <w:ind w:left="1701" w:right="-1" w:hanging="567"/>
              <w:outlineLvl w:val="0"/>
              <w:rPr>
                <w:rFonts w:ascii="Bookman Old Style" w:hAnsi="Bookman Old Style"/>
                <w:sz w:val="20"/>
                <w:szCs w:val="20"/>
              </w:rPr>
            </w:pPr>
            <w:r w:rsidRPr="007A648D">
              <w:rPr>
                <w:rFonts w:ascii="Bookman Old Style" w:hAnsi="Bookman Old Style"/>
                <w:sz w:val="20"/>
                <w:szCs w:val="20"/>
              </w:rPr>
              <w:t>arus kas masuk lainnya.</w:t>
            </w:r>
          </w:p>
          <w:p w14:paraId="1008E30C"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Contoh transaksi pembiayaan dengan agunan (</w:t>
            </w:r>
            <w:r w:rsidRPr="007A648D">
              <w:rPr>
                <w:rFonts w:ascii="Bookman Old Style" w:hAnsi="Bookman Old Style"/>
                <w:i/>
                <w:sz w:val="20"/>
                <w:szCs w:val="20"/>
              </w:rPr>
              <w:t>secured financing</w:t>
            </w:r>
            <w:r w:rsidRPr="007A648D">
              <w:rPr>
                <w:rFonts w:ascii="Bookman Old Style" w:hAnsi="Bookman Old Style"/>
                <w:sz w:val="20"/>
                <w:szCs w:val="20"/>
              </w:rPr>
              <w:t xml:space="preserve">) adalah </w:t>
            </w:r>
            <w:r w:rsidRPr="007A648D">
              <w:rPr>
                <w:rFonts w:ascii="Bookman Old Style" w:hAnsi="Bookman Old Style"/>
                <w:i/>
                <w:iCs/>
                <w:sz w:val="20"/>
                <w:szCs w:val="20"/>
              </w:rPr>
              <w:t>reverse repo</w:t>
            </w:r>
            <w:r w:rsidRPr="007A648D">
              <w:rPr>
                <w:rFonts w:ascii="Bookman Old Style" w:hAnsi="Bookman Old Style"/>
                <w:sz w:val="20"/>
                <w:szCs w:val="20"/>
              </w:rPr>
              <w:t>.</w:t>
            </w:r>
          </w:p>
          <w:p w14:paraId="3FFB0645"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Aset yang telah dimasukkan sebagai HQLA tidak dapat diperhitungkan lagi sebagai arus kas masuk. Perlakuan ini ditujukan untuk menghindari penghitungan ganda (</w:t>
            </w:r>
            <w:r w:rsidRPr="007A648D">
              <w:rPr>
                <w:rFonts w:ascii="Bookman Old Style" w:hAnsi="Bookman Old Style"/>
                <w:i/>
                <w:iCs/>
                <w:sz w:val="20"/>
                <w:szCs w:val="20"/>
              </w:rPr>
              <w:t>double counting</w:t>
            </w:r>
            <w:r w:rsidRPr="007A648D">
              <w:rPr>
                <w:rFonts w:ascii="Bookman Old Style" w:hAnsi="Bookman Old Style"/>
                <w:sz w:val="20"/>
                <w:szCs w:val="20"/>
              </w:rPr>
              <w:t>).</w:t>
            </w:r>
          </w:p>
          <w:p w14:paraId="1C2C66C7"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Dalam menghitung arus kas masuk, Bank hanya dapat memperhitungkan arus kas masuk kontraktual yang memenuhi persyaratan:</w:t>
            </w:r>
          </w:p>
          <w:p w14:paraId="6E6F8E5F" w14:textId="77777777" w:rsidR="0098476F" w:rsidRPr="007A648D" w:rsidRDefault="0098476F" w:rsidP="00A32F86">
            <w:pPr>
              <w:pStyle w:val="BodyText"/>
              <w:widowControl w:val="0"/>
              <w:numPr>
                <w:ilvl w:val="0"/>
                <w:numId w:val="121"/>
              </w:numPr>
              <w:autoSpaceDE w:val="0"/>
              <w:autoSpaceDN w:val="0"/>
              <w:ind w:left="1701" w:right="-1" w:hanging="567"/>
              <w:outlineLvl w:val="0"/>
              <w:rPr>
                <w:rFonts w:ascii="Bookman Old Style" w:hAnsi="Bookman Old Style"/>
                <w:sz w:val="20"/>
                <w:szCs w:val="20"/>
              </w:rPr>
            </w:pPr>
            <w:r w:rsidRPr="007A648D">
              <w:rPr>
                <w:rFonts w:ascii="Bookman Old Style" w:hAnsi="Bookman Old Style"/>
                <w:sz w:val="20"/>
                <w:szCs w:val="20"/>
              </w:rPr>
              <w:t xml:space="preserve">berasal dari tagihan yang memiliki kualitas Lancar; dan </w:t>
            </w:r>
          </w:p>
          <w:p w14:paraId="48B5C78D" w14:textId="77777777" w:rsidR="0098476F" w:rsidRPr="007A648D" w:rsidRDefault="0098476F" w:rsidP="00A32F86">
            <w:pPr>
              <w:pStyle w:val="BodyText"/>
              <w:widowControl w:val="0"/>
              <w:numPr>
                <w:ilvl w:val="0"/>
                <w:numId w:val="121"/>
              </w:numPr>
              <w:autoSpaceDE w:val="0"/>
              <w:autoSpaceDN w:val="0"/>
              <w:ind w:left="1701" w:right="-1" w:hanging="567"/>
              <w:outlineLvl w:val="0"/>
              <w:rPr>
                <w:rFonts w:ascii="Bookman Old Style" w:hAnsi="Bookman Old Style"/>
                <w:sz w:val="20"/>
                <w:szCs w:val="20"/>
              </w:rPr>
            </w:pPr>
            <w:r w:rsidRPr="007A648D">
              <w:rPr>
                <w:rFonts w:ascii="Bookman Old Style" w:hAnsi="Bookman Old Style"/>
                <w:sz w:val="20"/>
                <w:szCs w:val="20"/>
              </w:rPr>
              <w:t>tidak diekspektasikan terjadi gagal bayar (</w:t>
            </w:r>
            <w:r w:rsidRPr="007A648D">
              <w:rPr>
                <w:rFonts w:ascii="Bookman Old Style" w:hAnsi="Bookman Old Style"/>
                <w:i/>
                <w:sz w:val="20"/>
                <w:szCs w:val="20"/>
              </w:rPr>
              <w:t>default</w:t>
            </w:r>
            <w:r w:rsidRPr="007A648D">
              <w:rPr>
                <w:rFonts w:ascii="Bookman Old Style" w:hAnsi="Bookman Old Style"/>
                <w:sz w:val="20"/>
                <w:szCs w:val="20"/>
              </w:rPr>
              <w:t>) dalam jangka waktu 30 (tiga puluh) hari kedepan.</w:t>
            </w:r>
          </w:p>
          <w:p w14:paraId="00B53B93"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Penetapan kualitas “Lancar” mengacu pada ketentuan yang mengatur mengenai penilaian kualitas aset Bank Umum Syariah dan Unit Usaha Syariah.</w:t>
            </w:r>
          </w:p>
          <w:p w14:paraId="43BB3797"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Contoh arus kas masuk kontraktual antara lain penerimaan imbalan atau pelunasan pembiayaan dari nasabah. Arus kas masuk yang sifatnya kontijensi tidak termasuk dalam perhitungan arus kas masuk.</w:t>
            </w:r>
          </w:p>
          <w:p w14:paraId="32BF9669" w14:textId="77777777"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Bank dilarang menghitung tagihan komitmen (</w:t>
            </w:r>
            <w:r w:rsidRPr="007A648D">
              <w:rPr>
                <w:rFonts w:ascii="Bookman Old Style" w:hAnsi="Bookman Old Style"/>
                <w:i/>
                <w:sz w:val="20"/>
                <w:szCs w:val="20"/>
              </w:rPr>
              <w:t>committed facility</w:t>
            </w:r>
            <w:r w:rsidRPr="007A648D">
              <w:rPr>
                <w:rFonts w:ascii="Bookman Old Style" w:hAnsi="Bookman Old Style"/>
                <w:sz w:val="20"/>
                <w:szCs w:val="20"/>
              </w:rPr>
              <w:t>) fasilitas pembiayaan dan fasilitas likuiditas sebagai sumber arus kas masuk. Termasuk ke dalam tagihan komitmen (</w:t>
            </w:r>
            <w:r w:rsidRPr="007A648D">
              <w:rPr>
                <w:rFonts w:ascii="Bookman Old Style" w:hAnsi="Bookman Old Style"/>
                <w:i/>
                <w:iCs/>
                <w:sz w:val="20"/>
                <w:szCs w:val="20"/>
              </w:rPr>
              <w:t>committed facility</w:t>
            </w:r>
            <w:r w:rsidRPr="007A648D">
              <w:rPr>
                <w:rFonts w:ascii="Bookman Old Style" w:hAnsi="Bookman Old Style"/>
                <w:sz w:val="20"/>
                <w:szCs w:val="20"/>
              </w:rPr>
              <w:t xml:space="preserve">) adalah fasilitas pembiayaan, fasilitas likuiditas, dan/atau fasilitas kontijensi lainnya dari entitas lain baik Bank maupun bukan Bank. LCR tidak memperhitungkan arus kas masuk yang bersumber dari tagihan komitmen </w:t>
            </w:r>
            <w:r w:rsidRPr="007A648D">
              <w:rPr>
                <w:rFonts w:ascii="Bookman Old Style" w:hAnsi="Bookman Old Style"/>
                <w:i/>
                <w:iCs/>
                <w:sz w:val="20"/>
                <w:szCs w:val="20"/>
              </w:rPr>
              <w:t>(committed facility</w:t>
            </w:r>
            <w:r w:rsidRPr="007A648D">
              <w:rPr>
                <w:rFonts w:ascii="Bookman Old Style" w:hAnsi="Bookman Old Style"/>
                <w:sz w:val="20"/>
                <w:szCs w:val="20"/>
              </w:rPr>
              <w:t>) fasilitas pembiayaan dan likuiditas untuk mengurangi dampak risiko penularan kekurangan likuiditas pada satu Bank kepada Bank lain. Selain itu terdapat risiko Bank yang menyediakan fasilitas pembiayaan dan/atau likuiditas dimaksud tidak akan memberikan fasilitas yang telah dijanjikan meskipun akan menyebabkan timbulnya risiko hukum dan reputasi, dalam rangka melindungi likuiditas Bank atau mengurangi eksposur kepada Bank.</w:t>
            </w:r>
          </w:p>
          <w:p w14:paraId="62CD3584" w14:textId="0A45CC69" w:rsidR="0098476F" w:rsidRPr="007A648D" w:rsidRDefault="0098476F" w:rsidP="007A648D">
            <w:pPr>
              <w:pStyle w:val="BodyText"/>
              <w:ind w:left="1134" w:right="-1"/>
              <w:outlineLvl w:val="0"/>
              <w:rPr>
                <w:rFonts w:ascii="Bookman Old Style" w:hAnsi="Bookman Old Style"/>
                <w:sz w:val="20"/>
                <w:szCs w:val="20"/>
              </w:rPr>
            </w:pPr>
            <w:r w:rsidRPr="007A648D">
              <w:rPr>
                <w:rFonts w:ascii="Bookman Old Style" w:hAnsi="Bookman Old Style"/>
                <w:sz w:val="20"/>
                <w:szCs w:val="20"/>
              </w:rPr>
              <w:t>Nilai arus kas masuk yang dapat diperhitungkan dalam pemenuhan LCR adalah sebesar nilai tagihan kontraktual dikalikan dengan tingkat penerimaan (</w:t>
            </w:r>
            <w:r w:rsidRPr="007A648D">
              <w:rPr>
                <w:rFonts w:ascii="Bookman Old Style" w:hAnsi="Bookman Old Style"/>
                <w:i/>
                <w:sz w:val="20"/>
                <w:szCs w:val="20"/>
              </w:rPr>
              <w:t>inflow rate</w:t>
            </w:r>
            <w:r w:rsidRPr="007A648D">
              <w:rPr>
                <w:rFonts w:ascii="Bookman Old Style" w:hAnsi="Bookman Old Style"/>
                <w:sz w:val="20"/>
                <w:szCs w:val="20"/>
              </w:rPr>
              <w:t>). Tingkat penerimaan (</w:t>
            </w:r>
            <w:r w:rsidRPr="007A648D">
              <w:rPr>
                <w:rFonts w:ascii="Bookman Old Style" w:hAnsi="Bookman Old Style"/>
                <w:i/>
                <w:iCs/>
                <w:sz w:val="20"/>
                <w:szCs w:val="20"/>
              </w:rPr>
              <w:t>inflow rate</w:t>
            </w:r>
            <w:r w:rsidRPr="007A648D">
              <w:rPr>
                <w:rFonts w:ascii="Bookman Old Style" w:hAnsi="Bookman Old Style"/>
                <w:sz w:val="20"/>
                <w:szCs w:val="20"/>
              </w:rPr>
              <w:t>)</w:t>
            </w:r>
            <w:r w:rsidRPr="007A648D">
              <w:rPr>
                <w:rFonts w:ascii="Bookman Old Style" w:hAnsi="Bookman Old Style"/>
                <w:i/>
                <w:iCs/>
                <w:sz w:val="20"/>
                <w:szCs w:val="20"/>
              </w:rPr>
              <w:t xml:space="preserve"> </w:t>
            </w:r>
            <w:r w:rsidRPr="007A648D">
              <w:rPr>
                <w:rFonts w:ascii="Bookman Old Style" w:hAnsi="Bookman Old Style"/>
                <w:sz w:val="20"/>
                <w:szCs w:val="20"/>
              </w:rPr>
              <w:t>adalah tingkat prediksi penerimaan tagihan Bank berdasarkan skenario tertentu.</w:t>
            </w:r>
          </w:p>
        </w:tc>
        <w:tc>
          <w:tcPr>
            <w:tcW w:w="3686" w:type="dxa"/>
            <w:shd w:val="clear" w:color="auto" w:fill="auto"/>
            <w:vAlign w:val="center"/>
          </w:tcPr>
          <w:p w14:paraId="758B040F"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1279DFF"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55FB56E1" w14:textId="77777777" w:rsidTr="00B03AEA">
        <w:trPr>
          <w:trHeight w:val="564"/>
          <w:tblHeader/>
        </w:trPr>
        <w:tc>
          <w:tcPr>
            <w:tcW w:w="9634" w:type="dxa"/>
            <w:shd w:val="clear" w:color="auto" w:fill="auto"/>
            <w:vAlign w:val="center"/>
          </w:tcPr>
          <w:p w14:paraId="1C269624" w14:textId="77777777" w:rsidR="0098476F" w:rsidRPr="007A648D" w:rsidRDefault="0098476F" w:rsidP="00A32F86">
            <w:pPr>
              <w:pStyle w:val="BodyText"/>
              <w:widowControl w:val="0"/>
              <w:numPr>
                <w:ilvl w:val="0"/>
                <w:numId w:val="122"/>
              </w:numPr>
              <w:autoSpaceDE w:val="0"/>
              <w:autoSpaceDN w:val="0"/>
              <w:ind w:left="1701" w:right="-1" w:hanging="567"/>
              <w:outlineLvl w:val="0"/>
              <w:rPr>
                <w:rFonts w:ascii="Bookman Old Style" w:hAnsi="Bookman Old Style"/>
                <w:b/>
                <w:sz w:val="20"/>
                <w:szCs w:val="20"/>
              </w:rPr>
            </w:pPr>
            <w:r w:rsidRPr="007A648D">
              <w:rPr>
                <w:rFonts w:ascii="Bookman Old Style" w:hAnsi="Bookman Old Style"/>
                <w:b/>
                <w:sz w:val="20"/>
                <w:szCs w:val="20"/>
              </w:rPr>
              <w:t>Pembiayaan dengan Agunan (</w:t>
            </w:r>
            <w:r w:rsidRPr="007A648D">
              <w:rPr>
                <w:rFonts w:ascii="Bookman Old Style" w:hAnsi="Bookman Old Style"/>
                <w:b/>
                <w:i/>
                <w:sz w:val="20"/>
                <w:szCs w:val="20"/>
              </w:rPr>
              <w:t>Secured Financing</w:t>
            </w:r>
            <w:r w:rsidRPr="007A648D">
              <w:rPr>
                <w:rFonts w:ascii="Bookman Old Style" w:hAnsi="Bookman Old Style"/>
                <w:b/>
                <w:sz w:val="20"/>
                <w:szCs w:val="20"/>
              </w:rPr>
              <w:t>)</w:t>
            </w:r>
          </w:p>
          <w:p w14:paraId="0F5A9702" w14:textId="77777777" w:rsidR="0098476F" w:rsidRPr="007A648D" w:rsidRDefault="0098476F" w:rsidP="007A648D">
            <w:pPr>
              <w:pStyle w:val="BodyText"/>
              <w:ind w:left="1701" w:right="-1"/>
              <w:outlineLvl w:val="0"/>
              <w:rPr>
                <w:rFonts w:ascii="Bookman Old Style" w:hAnsi="Bookman Old Style"/>
                <w:sz w:val="20"/>
                <w:szCs w:val="20"/>
              </w:rPr>
            </w:pPr>
            <w:r w:rsidRPr="007A648D">
              <w:rPr>
                <w:rFonts w:ascii="Bookman Old Style" w:hAnsi="Bookman Old Style"/>
                <w:sz w:val="20"/>
                <w:szCs w:val="20"/>
              </w:rPr>
              <w:t>Tingkat penerimaan (</w:t>
            </w:r>
            <w:r w:rsidRPr="007A648D">
              <w:rPr>
                <w:rFonts w:ascii="Bookman Old Style" w:hAnsi="Bookman Old Style"/>
                <w:i/>
                <w:sz w:val="20"/>
                <w:szCs w:val="20"/>
              </w:rPr>
              <w:t>inflow rate</w:t>
            </w:r>
            <w:r w:rsidRPr="007A648D">
              <w:rPr>
                <w:rFonts w:ascii="Bookman Old Style" w:hAnsi="Bookman Old Style"/>
                <w:sz w:val="20"/>
                <w:szCs w:val="20"/>
              </w:rPr>
              <w:t>) dari pembiayaan dengan agunan (</w:t>
            </w:r>
            <w:r w:rsidRPr="007A648D">
              <w:rPr>
                <w:rFonts w:ascii="Bookman Old Style" w:hAnsi="Bookman Old Style"/>
                <w:i/>
                <w:sz w:val="20"/>
                <w:szCs w:val="20"/>
              </w:rPr>
              <w:t>secured financing</w:t>
            </w:r>
            <w:r w:rsidRPr="007A648D">
              <w:rPr>
                <w:rFonts w:ascii="Bookman Old Style" w:hAnsi="Bookman Old Style"/>
                <w:sz w:val="20"/>
                <w:szCs w:val="20"/>
              </w:rPr>
              <w:t>) ditetapkan berdasarkan jenis agunan yang mendasari, yaitu:</w:t>
            </w:r>
          </w:p>
          <w:p w14:paraId="215FD67C" w14:textId="77777777" w:rsidR="0098476F" w:rsidRPr="007A648D" w:rsidRDefault="0098476F" w:rsidP="00A32F86">
            <w:pPr>
              <w:pStyle w:val="BodyText"/>
              <w:widowControl w:val="0"/>
              <w:numPr>
                <w:ilvl w:val="0"/>
                <w:numId w:val="123"/>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 xml:space="preserve">0% (nol persen) dari nilai kontraktual dalam hal agunan adalah HQLA Level 1; </w:t>
            </w:r>
          </w:p>
          <w:p w14:paraId="74B413B5" w14:textId="77777777" w:rsidR="0098476F" w:rsidRPr="007A648D" w:rsidRDefault="0098476F" w:rsidP="00A32F86">
            <w:pPr>
              <w:pStyle w:val="BodyText"/>
              <w:widowControl w:val="0"/>
              <w:numPr>
                <w:ilvl w:val="0"/>
                <w:numId w:val="123"/>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 xml:space="preserve">15% (lima belas persen) dari nilai kontraktual dalam hal agunan adalah </w:t>
            </w:r>
            <w:r w:rsidRPr="007A648D">
              <w:rPr>
                <w:rFonts w:ascii="Bookman Old Style" w:hAnsi="Bookman Old Style"/>
                <w:sz w:val="20"/>
                <w:szCs w:val="20"/>
              </w:rPr>
              <w:lastRenderedPageBreak/>
              <w:t xml:space="preserve">HQLA Level 2A; </w:t>
            </w:r>
          </w:p>
          <w:p w14:paraId="3B64FD97" w14:textId="77777777" w:rsidR="0098476F" w:rsidRPr="007A648D" w:rsidRDefault="0098476F" w:rsidP="00A32F86">
            <w:pPr>
              <w:pStyle w:val="BodyText"/>
              <w:widowControl w:val="0"/>
              <w:numPr>
                <w:ilvl w:val="0"/>
                <w:numId w:val="123"/>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 xml:space="preserve">25% (dua puluh lima persen) dari nilai kontraktual dalam hal agunan adalah efek beragun aset syariah yang memenuhi persyaratan sebagai HQLA Level 2B; </w:t>
            </w:r>
          </w:p>
          <w:p w14:paraId="2C6166FE" w14:textId="77777777" w:rsidR="0098476F" w:rsidRPr="007A648D" w:rsidRDefault="0098476F" w:rsidP="00A32F86">
            <w:pPr>
              <w:pStyle w:val="BodyText"/>
              <w:widowControl w:val="0"/>
              <w:numPr>
                <w:ilvl w:val="0"/>
                <w:numId w:val="123"/>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 xml:space="preserve">50% (lima puluh persen) dari nilai kontraktual dalam hal agunan adalah HQLA Level 2B selain efek beragun aset syariah; dan/atau </w:t>
            </w:r>
          </w:p>
          <w:p w14:paraId="2FB8EFA6" w14:textId="77777777" w:rsidR="0098476F" w:rsidRPr="007A648D" w:rsidRDefault="0098476F" w:rsidP="00A32F86">
            <w:pPr>
              <w:pStyle w:val="BodyText"/>
              <w:widowControl w:val="0"/>
              <w:numPr>
                <w:ilvl w:val="0"/>
                <w:numId w:val="123"/>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100% (seratus persen) dari nilai kontraktual dalam hal agunan tidak memenuhi persyaratan sebagaimana dimaksud pada huruf a sampai dengan huruf e.</w:t>
            </w:r>
          </w:p>
          <w:p w14:paraId="64CE70D2" w14:textId="77777777" w:rsidR="0098476F" w:rsidRPr="007A648D" w:rsidRDefault="0098476F" w:rsidP="007A648D">
            <w:pPr>
              <w:pStyle w:val="BodyText"/>
              <w:ind w:left="1701" w:right="-1"/>
              <w:outlineLvl w:val="0"/>
              <w:rPr>
                <w:rFonts w:ascii="Bookman Old Style" w:hAnsi="Bookman Old Style"/>
                <w:sz w:val="20"/>
                <w:szCs w:val="20"/>
              </w:rPr>
            </w:pPr>
            <w:r w:rsidRPr="007A648D">
              <w:rPr>
                <w:rFonts w:ascii="Bookman Old Style" w:hAnsi="Bookman Old Style"/>
                <w:sz w:val="20"/>
                <w:szCs w:val="20"/>
              </w:rPr>
              <w:t>Semakin tinggi jenis agunan yang mendasari, tingkat penerimaan semakin kecil karena diasumsikan Bank akan melakukan perpanjangan (</w:t>
            </w:r>
            <w:r w:rsidRPr="007A648D">
              <w:rPr>
                <w:rFonts w:ascii="Bookman Old Style" w:hAnsi="Bookman Old Style"/>
                <w:i/>
                <w:iCs/>
                <w:sz w:val="20"/>
                <w:szCs w:val="20"/>
              </w:rPr>
              <w:t>roll over</w:t>
            </w:r>
            <w:r w:rsidRPr="007A648D">
              <w:rPr>
                <w:rFonts w:ascii="Bookman Old Style" w:hAnsi="Bookman Old Style"/>
                <w:sz w:val="20"/>
                <w:szCs w:val="20"/>
              </w:rPr>
              <w:t>) atas fasilitas pinjaman dengan agunan (</w:t>
            </w:r>
            <w:r w:rsidRPr="007A648D">
              <w:rPr>
                <w:rFonts w:ascii="Bookman Old Style" w:hAnsi="Bookman Old Style"/>
                <w:i/>
                <w:sz w:val="20"/>
                <w:szCs w:val="20"/>
              </w:rPr>
              <w:t>secured financing</w:t>
            </w:r>
            <w:r w:rsidRPr="007A648D">
              <w:rPr>
                <w:rFonts w:ascii="Bookman Old Style" w:hAnsi="Bookman Old Style"/>
                <w:sz w:val="20"/>
                <w:szCs w:val="20"/>
              </w:rPr>
              <w:t>) yang diberikan.</w:t>
            </w:r>
          </w:p>
          <w:p w14:paraId="3A3968AD" w14:textId="77777777" w:rsidR="0098476F" w:rsidRPr="007A648D" w:rsidRDefault="0098476F" w:rsidP="007A648D">
            <w:pPr>
              <w:pStyle w:val="BodyText"/>
              <w:ind w:left="1701" w:right="-1"/>
              <w:outlineLvl w:val="0"/>
              <w:rPr>
                <w:rFonts w:ascii="Bookman Old Style" w:hAnsi="Bookman Old Style"/>
                <w:sz w:val="20"/>
                <w:szCs w:val="20"/>
              </w:rPr>
            </w:pPr>
            <w:r w:rsidRPr="007A648D">
              <w:rPr>
                <w:rFonts w:ascii="Bookman Old Style" w:hAnsi="Bookman Old Style"/>
                <w:sz w:val="20"/>
                <w:szCs w:val="20"/>
              </w:rPr>
              <w:t>Meskipun terdapat asumsi perpanjangan (</w:t>
            </w:r>
            <w:r w:rsidRPr="007A648D">
              <w:rPr>
                <w:rFonts w:ascii="Bookman Old Style" w:hAnsi="Bookman Old Style"/>
                <w:i/>
                <w:iCs/>
                <w:sz w:val="20"/>
                <w:szCs w:val="20"/>
              </w:rPr>
              <w:t>roll over</w:t>
            </w:r>
            <w:r w:rsidRPr="007A648D">
              <w:rPr>
                <w:rFonts w:ascii="Bookman Old Style" w:hAnsi="Bookman Old Style"/>
                <w:sz w:val="20"/>
                <w:szCs w:val="20"/>
              </w:rPr>
              <w:t>), Bank harus tetap mengelola agunan dengan baik sehingga dapat memenuhi kewajiban untuk mengembalikan agunan apabila pihak lawan (</w:t>
            </w:r>
            <w:r w:rsidRPr="007A648D">
              <w:rPr>
                <w:rFonts w:ascii="Bookman Old Style" w:hAnsi="Bookman Old Style"/>
                <w:i/>
                <w:iCs/>
                <w:sz w:val="20"/>
                <w:szCs w:val="20"/>
              </w:rPr>
              <w:t>counterparty</w:t>
            </w:r>
            <w:r w:rsidRPr="007A648D">
              <w:rPr>
                <w:rFonts w:ascii="Bookman Old Style" w:hAnsi="Bookman Old Style"/>
                <w:sz w:val="20"/>
                <w:szCs w:val="20"/>
              </w:rPr>
              <w:t>) memutuskan untuk tidak melakukan perpanjangan (</w:t>
            </w:r>
            <w:r w:rsidRPr="007A648D">
              <w:rPr>
                <w:rFonts w:ascii="Bookman Old Style" w:hAnsi="Bookman Old Style"/>
                <w:i/>
                <w:iCs/>
                <w:sz w:val="20"/>
                <w:szCs w:val="20"/>
              </w:rPr>
              <w:t>roll over</w:t>
            </w:r>
            <w:r w:rsidRPr="007A648D">
              <w:rPr>
                <w:rFonts w:ascii="Bookman Old Style" w:hAnsi="Bookman Old Style"/>
                <w:sz w:val="20"/>
                <w:szCs w:val="20"/>
              </w:rPr>
              <w:t>). Khususnya jika agunan berupa bukan HQLA mengingat estimasi arus kas keluar tidak diperhitungkan dalam perhitungan LCR.</w:t>
            </w:r>
          </w:p>
          <w:p w14:paraId="1EAA6198" w14:textId="6D037F59" w:rsidR="0098476F" w:rsidRPr="007A648D" w:rsidRDefault="0098476F" w:rsidP="007A648D">
            <w:pPr>
              <w:pStyle w:val="BodyText"/>
              <w:ind w:left="1701" w:right="-1"/>
              <w:outlineLvl w:val="0"/>
              <w:rPr>
                <w:rFonts w:ascii="Bookman Old Style" w:hAnsi="Bookman Old Style"/>
                <w:sz w:val="20"/>
                <w:szCs w:val="20"/>
              </w:rPr>
            </w:pPr>
            <w:r w:rsidRPr="007A648D">
              <w:rPr>
                <w:rFonts w:ascii="Bookman Old Style" w:hAnsi="Bookman Old Style"/>
                <w:sz w:val="20"/>
                <w:szCs w:val="20"/>
              </w:rPr>
              <w:t>Dalam hal agunan yang diterima oleh Bank dalam transaksi pembiayaan dengan agunan (</w:t>
            </w:r>
            <w:r w:rsidRPr="007A648D">
              <w:rPr>
                <w:rFonts w:ascii="Bookman Old Style" w:hAnsi="Bookman Old Style"/>
                <w:i/>
                <w:sz w:val="20"/>
                <w:szCs w:val="20"/>
              </w:rPr>
              <w:t>secured financing</w:t>
            </w:r>
            <w:r w:rsidRPr="007A648D">
              <w:rPr>
                <w:rFonts w:ascii="Bookman Old Style" w:hAnsi="Bookman Old Style"/>
                <w:sz w:val="20"/>
                <w:szCs w:val="20"/>
              </w:rPr>
              <w:t xml:space="preserve">), diagunkan dan digunakan untuk menutupi posisi </w:t>
            </w:r>
            <w:r w:rsidRPr="007A648D">
              <w:rPr>
                <w:rFonts w:ascii="Bookman Old Style" w:hAnsi="Bookman Old Style"/>
                <w:i/>
                <w:sz w:val="20"/>
                <w:szCs w:val="20"/>
              </w:rPr>
              <w:t>short</w:t>
            </w:r>
            <w:r w:rsidRPr="007A648D">
              <w:rPr>
                <w:rFonts w:ascii="Bookman Old Style" w:hAnsi="Bookman Old Style"/>
                <w:sz w:val="20"/>
                <w:szCs w:val="20"/>
              </w:rPr>
              <w:t xml:space="preserve"> Bank maka tingkat penerimaan dari transaksi pinjaman dengan agunan (</w:t>
            </w:r>
            <w:r w:rsidRPr="007A648D">
              <w:rPr>
                <w:rFonts w:ascii="Bookman Old Style" w:hAnsi="Bookman Old Style"/>
                <w:i/>
                <w:sz w:val="20"/>
                <w:szCs w:val="20"/>
              </w:rPr>
              <w:t>secured financing</w:t>
            </w:r>
            <w:r w:rsidRPr="007A648D">
              <w:rPr>
                <w:rFonts w:ascii="Bookman Old Style" w:hAnsi="Bookman Old Style"/>
                <w:sz w:val="20"/>
                <w:szCs w:val="20"/>
              </w:rPr>
              <w:t>) ditetapkan 0% (nol persen).</w:t>
            </w:r>
          </w:p>
        </w:tc>
        <w:tc>
          <w:tcPr>
            <w:tcW w:w="3686" w:type="dxa"/>
            <w:shd w:val="clear" w:color="auto" w:fill="auto"/>
            <w:vAlign w:val="center"/>
          </w:tcPr>
          <w:p w14:paraId="096EB41A"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6FFFF8A"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49861933" w14:textId="77777777" w:rsidTr="00B03AEA">
        <w:trPr>
          <w:trHeight w:val="564"/>
          <w:tblHeader/>
        </w:trPr>
        <w:tc>
          <w:tcPr>
            <w:tcW w:w="9634" w:type="dxa"/>
            <w:shd w:val="clear" w:color="auto" w:fill="auto"/>
            <w:vAlign w:val="center"/>
          </w:tcPr>
          <w:p w14:paraId="0153AEE9" w14:textId="0269C24B" w:rsidR="0098476F" w:rsidRPr="007A648D" w:rsidRDefault="0098476F" w:rsidP="00A32F86">
            <w:pPr>
              <w:pStyle w:val="BodyText"/>
              <w:widowControl w:val="0"/>
              <w:numPr>
                <w:ilvl w:val="0"/>
                <w:numId w:val="122"/>
              </w:numPr>
              <w:autoSpaceDE w:val="0"/>
              <w:autoSpaceDN w:val="0"/>
              <w:ind w:left="1701" w:right="-1" w:hanging="567"/>
              <w:outlineLvl w:val="0"/>
              <w:rPr>
                <w:rFonts w:ascii="Bookman Old Style" w:hAnsi="Bookman Old Style"/>
                <w:sz w:val="20"/>
                <w:szCs w:val="20"/>
              </w:rPr>
            </w:pPr>
            <w:r w:rsidRPr="007A648D">
              <w:rPr>
                <w:rFonts w:ascii="Bookman Old Style" w:hAnsi="Bookman Old Style"/>
                <w:b/>
                <w:sz w:val="20"/>
                <w:szCs w:val="20"/>
              </w:rPr>
              <w:t>Tagihan berdasarkan Pihak Lawan (</w:t>
            </w:r>
            <w:r w:rsidRPr="007A648D">
              <w:rPr>
                <w:rFonts w:ascii="Bookman Old Style" w:hAnsi="Bookman Old Style"/>
                <w:b/>
                <w:i/>
                <w:sz w:val="20"/>
                <w:szCs w:val="20"/>
              </w:rPr>
              <w:t>Counterparty</w:t>
            </w:r>
            <w:r w:rsidRPr="007A648D">
              <w:rPr>
                <w:rFonts w:ascii="Bookman Old Style" w:hAnsi="Bookman Old Style"/>
                <w:b/>
                <w:sz w:val="20"/>
                <w:szCs w:val="20"/>
              </w:rPr>
              <w:t>)</w:t>
            </w:r>
          </w:p>
          <w:p w14:paraId="7C5CC71B" w14:textId="16882DDA" w:rsidR="0098476F" w:rsidRPr="007A648D" w:rsidRDefault="0098476F" w:rsidP="007A648D">
            <w:pPr>
              <w:pStyle w:val="BodyText"/>
              <w:ind w:left="1701" w:right="-1"/>
              <w:outlineLvl w:val="0"/>
              <w:rPr>
                <w:rFonts w:ascii="Bookman Old Style" w:hAnsi="Bookman Old Style"/>
                <w:sz w:val="20"/>
                <w:szCs w:val="20"/>
              </w:rPr>
            </w:pPr>
            <w:r w:rsidRPr="007A648D">
              <w:rPr>
                <w:rFonts w:ascii="Bookman Old Style" w:hAnsi="Bookman Old Style"/>
                <w:sz w:val="20"/>
                <w:szCs w:val="20"/>
              </w:rPr>
              <w:t>Bank wajib menghitung arus kas masuk berdasarkan pihak lawan (</w:t>
            </w:r>
            <w:r w:rsidRPr="007A648D">
              <w:rPr>
                <w:rFonts w:ascii="Bookman Old Style" w:hAnsi="Bookman Old Style"/>
                <w:i/>
                <w:sz w:val="20"/>
                <w:szCs w:val="20"/>
              </w:rPr>
              <w:t>counterparty</w:t>
            </w:r>
            <w:r w:rsidRPr="007A648D">
              <w:rPr>
                <w:rFonts w:ascii="Bookman Old Style" w:hAnsi="Bookman Old Style"/>
                <w:sz w:val="20"/>
                <w:szCs w:val="20"/>
              </w:rPr>
              <w:t>):</w:t>
            </w:r>
          </w:p>
          <w:p w14:paraId="0E4F5464" w14:textId="77777777" w:rsidR="0098476F" w:rsidRPr="007A648D" w:rsidRDefault="0098476F" w:rsidP="00A32F86">
            <w:pPr>
              <w:pStyle w:val="BodyText"/>
              <w:widowControl w:val="0"/>
              <w:numPr>
                <w:ilvl w:val="0"/>
                <w:numId w:val="124"/>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nasabah perorangan dan Usaha Mikro dan Usaha Kecil</w:t>
            </w:r>
          </w:p>
          <w:p w14:paraId="0BF99B0F" w14:textId="4C55C54D" w:rsidR="0098476F" w:rsidRPr="007A648D" w:rsidRDefault="0098476F"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Tingkat penerimaan dari tagihan kepada nasabah perorangan dan tagihan kepada Usaha Mikro dan Usaha Kecil yang berasal dari pembayaran pokok dan imbalan atas pembiayaan dengan kualitas Lancar ditetapkan 50% (lima puluh persen) dari nilai kontraktual. Penetapan kualitas Lancar mengacu pada ketentuan yang mengatur mengenai penilaian kualitas aset Bank Umum Syariah dan Unit Usaha Syariah.</w:t>
            </w:r>
          </w:p>
          <w:p w14:paraId="01BE4F91" w14:textId="77777777" w:rsidR="0098476F" w:rsidRPr="007A648D" w:rsidRDefault="0098476F" w:rsidP="00A32F86">
            <w:pPr>
              <w:pStyle w:val="BodyText"/>
              <w:widowControl w:val="0"/>
              <w:numPr>
                <w:ilvl w:val="0"/>
                <w:numId w:val="124"/>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nasabah lainnya yang terdiri atas:</w:t>
            </w:r>
          </w:p>
          <w:p w14:paraId="7CFF1B3B" w14:textId="77777777" w:rsidR="0098476F" w:rsidRPr="007A648D" w:rsidRDefault="0098476F" w:rsidP="00A32F86">
            <w:pPr>
              <w:pStyle w:val="BodyText"/>
              <w:widowControl w:val="0"/>
              <w:numPr>
                <w:ilvl w:val="0"/>
                <w:numId w:val="12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Lembaga jasa keuangan dan Bank Indonesia</w:t>
            </w:r>
          </w:p>
          <w:p w14:paraId="61C4910F" w14:textId="77777777" w:rsidR="0098476F" w:rsidRPr="007A648D" w:rsidRDefault="0098476F"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penerimaan dari tagihan kepada lembaga jasa keuangan dan Bank Indonesia ditetapkan:</w:t>
            </w:r>
          </w:p>
          <w:p w14:paraId="4CFDC923" w14:textId="77777777" w:rsidR="0098476F" w:rsidRPr="007A648D" w:rsidRDefault="0098476F" w:rsidP="00A32F86">
            <w:pPr>
              <w:pStyle w:val="BodyText"/>
              <w:widowControl w:val="0"/>
              <w:numPr>
                <w:ilvl w:val="0"/>
                <w:numId w:val="127"/>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Tingkat penerimaan yang berasal dari pembayaran pokok dan imbalan atas pembiayaan dengan kualitas Lancar ditetapkan 100% (seratus persen) dari nilai kontraktual;</w:t>
            </w:r>
          </w:p>
          <w:p w14:paraId="3F1A11A4" w14:textId="77777777" w:rsidR="0098476F" w:rsidRPr="007A648D" w:rsidRDefault="0098476F" w:rsidP="00A32F86">
            <w:pPr>
              <w:pStyle w:val="BodyText"/>
              <w:widowControl w:val="0"/>
              <w:numPr>
                <w:ilvl w:val="0"/>
                <w:numId w:val="127"/>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lastRenderedPageBreak/>
              <w:t>Tingkat penerimaan yang berasal dari surat berharga syariah yang tidak diperhitungkan sebagai HQLA dengan sisa jangka waktu kurang dari 30 (tiga puluh) hari ditetapkan 100% (seratus persen) dari nilai kontraktual;</w:t>
            </w:r>
          </w:p>
          <w:p w14:paraId="662396D2" w14:textId="77777777" w:rsidR="0098476F" w:rsidRPr="007A648D" w:rsidRDefault="0098476F" w:rsidP="00A32F86">
            <w:pPr>
              <w:pStyle w:val="BodyText"/>
              <w:widowControl w:val="0"/>
              <w:numPr>
                <w:ilvl w:val="0"/>
                <w:numId w:val="127"/>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 xml:space="preserve">Tingkat penerimaan dari penempatan dana pada Bank lain untuk keperluan aktivitas operasional ditetapkan 0% (nol persen) dari nilai kontraktual. Aktivitas operasional dimaksud adalah kliring, kustodian, dan aktivitas </w:t>
            </w:r>
            <w:r w:rsidRPr="007A648D">
              <w:rPr>
                <w:rFonts w:ascii="Bookman Old Style" w:hAnsi="Bookman Old Style"/>
                <w:i/>
                <w:iCs/>
                <w:sz w:val="20"/>
                <w:szCs w:val="20"/>
              </w:rPr>
              <w:t>cash management</w:t>
            </w:r>
            <w:r w:rsidRPr="007A648D">
              <w:rPr>
                <w:rFonts w:ascii="Bookman Old Style" w:hAnsi="Bookman Old Style"/>
                <w:iCs/>
                <w:sz w:val="20"/>
                <w:szCs w:val="20"/>
              </w:rPr>
              <w:t>.</w:t>
            </w:r>
          </w:p>
          <w:p w14:paraId="7E5DD2BF" w14:textId="77777777" w:rsidR="0098476F" w:rsidRPr="007A648D" w:rsidRDefault="0098476F" w:rsidP="00A32F86">
            <w:pPr>
              <w:pStyle w:val="BodyText"/>
              <w:widowControl w:val="0"/>
              <w:numPr>
                <w:ilvl w:val="0"/>
                <w:numId w:val="125"/>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Lainnya.</w:t>
            </w:r>
          </w:p>
          <w:p w14:paraId="706AEF22" w14:textId="77777777" w:rsidR="0098476F" w:rsidRPr="007A648D" w:rsidRDefault="0098476F"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Nasabah lainnya selain lembaga jasa keuangan dan Bank Indonesia contohnya korporasi non-keuangan, Pemerintah Pusat, pemerintah negara lain, entitas sektor publik, dan bank pembangunan multilateral.</w:t>
            </w:r>
          </w:p>
          <w:p w14:paraId="5164CE08" w14:textId="77777777" w:rsidR="0098476F" w:rsidRPr="007A648D" w:rsidRDefault="0098476F" w:rsidP="007A648D">
            <w:pPr>
              <w:pStyle w:val="BodyText"/>
              <w:ind w:left="2835" w:right="-1"/>
              <w:outlineLvl w:val="0"/>
              <w:rPr>
                <w:rFonts w:ascii="Bookman Old Style" w:hAnsi="Bookman Old Style"/>
                <w:sz w:val="20"/>
                <w:szCs w:val="20"/>
              </w:rPr>
            </w:pPr>
            <w:r w:rsidRPr="007A648D">
              <w:rPr>
                <w:rFonts w:ascii="Bookman Old Style" w:hAnsi="Bookman Old Style"/>
                <w:sz w:val="20"/>
                <w:szCs w:val="20"/>
              </w:rPr>
              <w:t>Tingkat penerimaan dari tagihan kepada nasabah korporasi non-keuangan, Pemerintah Pusat, pemerintah negara lain, entitas sektor publik, dan bank pembangunan multilateral ditetapkan:</w:t>
            </w:r>
          </w:p>
          <w:p w14:paraId="1AA39DF4" w14:textId="77777777" w:rsidR="007A648D" w:rsidRPr="007A648D" w:rsidRDefault="0098476F" w:rsidP="00A32F86">
            <w:pPr>
              <w:pStyle w:val="BodyText"/>
              <w:widowControl w:val="0"/>
              <w:numPr>
                <w:ilvl w:val="0"/>
                <w:numId w:val="126"/>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tingkat penerimaan yang berasal dari pembayaran pokok dan imbalan atas pembiayaan dengan kualitas Lancar ditetapkan 50% (lima puluh persen) dari nilai kontraktual. Penetapan kualitas “Lancar” mengacu pada ketentuan yang mengatur mengenai penilaian kualitas aset Bank Umum Syariah dan Unit Usaha Syariah; dan/atau</w:t>
            </w:r>
          </w:p>
          <w:p w14:paraId="68A59CC0" w14:textId="77777777" w:rsidR="0098476F" w:rsidRPr="007A648D" w:rsidRDefault="0098476F" w:rsidP="00A32F86">
            <w:pPr>
              <w:pStyle w:val="BodyText"/>
              <w:widowControl w:val="0"/>
              <w:numPr>
                <w:ilvl w:val="0"/>
                <w:numId w:val="126"/>
              </w:numPr>
              <w:autoSpaceDE w:val="0"/>
              <w:autoSpaceDN w:val="0"/>
              <w:ind w:left="3402" w:right="-1" w:hanging="567"/>
              <w:outlineLvl w:val="0"/>
              <w:rPr>
                <w:rFonts w:ascii="Bookman Old Style" w:hAnsi="Bookman Old Style"/>
                <w:sz w:val="20"/>
                <w:szCs w:val="20"/>
              </w:rPr>
            </w:pPr>
            <w:r w:rsidRPr="007A648D">
              <w:rPr>
                <w:rFonts w:ascii="Bookman Old Style" w:hAnsi="Bookman Old Style"/>
                <w:sz w:val="20"/>
                <w:szCs w:val="20"/>
              </w:rPr>
              <w:t>tingkat penerimaan yang berasal dari surat berharga syariah yang tidak diperhitungkan sebagai HQLA dengan sisa jangka waktu kurang dari 30 (tiga puluh) hari ditetapkan 100% (seratus persen) dari nilai kontraktual.</w:t>
            </w:r>
          </w:p>
          <w:p w14:paraId="3A5B1567" w14:textId="77777777" w:rsidR="007A648D" w:rsidRPr="007A648D" w:rsidRDefault="007A648D" w:rsidP="007A648D">
            <w:pPr>
              <w:pStyle w:val="BodyText"/>
              <w:ind w:left="1701" w:right="-1"/>
              <w:outlineLvl w:val="0"/>
              <w:rPr>
                <w:rFonts w:ascii="Bookman Old Style" w:hAnsi="Bookman Old Style"/>
                <w:sz w:val="20"/>
                <w:szCs w:val="20"/>
              </w:rPr>
            </w:pPr>
            <w:r w:rsidRPr="007A648D">
              <w:rPr>
                <w:rFonts w:ascii="Bookman Old Style" w:hAnsi="Bookman Old Style"/>
                <w:b/>
                <w:sz w:val="20"/>
                <w:szCs w:val="20"/>
              </w:rPr>
              <w:t>Persyaratan perhitungan Tagihan berdasarkan Pihak Lawan</w:t>
            </w:r>
            <w:r w:rsidRPr="007A648D">
              <w:rPr>
                <w:rFonts w:ascii="Bookman Old Style" w:hAnsi="Bookman Old Style"/>
                <w:sz w:val="20"/>
                <w:szCs w:val="20"/>
              </w:rPr>
              <w:t>, yaitu:</w:t>
            </w:r>
          </w:p>
          <w:p w14:paraId="5350F44C" w14:textId="77777777" w:rsidR="007A648D" w:rsidRPr="007A648D" w:rsidRDefault="007A648D" w:rsidP="00A32F86">
            <w:pPr>
              <w:pStyle w:val="BodyText"/>
              <w:widowControl w:val="0"/>
              <w:numPr>
                <w:ilvl w:val="0"/>
                <w:numId w:val="128"/>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Arus kas masuk yang berasal dari pembiayaan tanpa jangka waktu tertentu dilarang diperhitungkan sebagai arus kas masuk dalam perhitungan LCR. Pembiayaan tanpa jangka waktu tertentu adalah pembiayaan yang tidak memiliki jangka waktu (</w:t>
            </w:r>
            <w:r w:rsidRPr="007A648D">
              <w:rPr>
                <w:rFonts w:ascii="Bookman Old Style" w:hAnsi="Bookman Old Style"/>
                <w:i/>
                <w:iCs/>
                <w:sz w:val="20"/>
                <w:szCs w:val="20"/>
              </w:rPr>
              <w:t>open maturity</w:t>
            </w:r>
            <w:r w:rsidRPr="007A648D">
              <w:rPr>
                <w:rFonts w:ascii="Bookman Old Style" w:hAnsi="Bookman Old Style"/>
                <w:sz w:val="20"/>
                <w:szCs w:val="20"/>
              </w:rPr>
              <w:t>), diasumsikan bahwa pembiayaan yang ada saat ini akan diperpanjang (</w:t>
            </w:r>
            <w:r w:rsidRPr="007A648D">
              <w:rPr>
                <w:rFonts w:ascii="Bookman Old Style" w:hAnsi="Bookman Old Style"/>
                <w:i/>
                <w:iCs/>
                <w:sz w:val="20"/>
                <w:szCs w:val="20"/>
              </w:rPr>
              <w:t>roll over</w:t>
            </w:r>
            <w:r w:rsidRPr="007A648D">
              <w:rPr>
                <w:rFonts w:ascii="Bookman Old Style" w:hAnsi="Bookman Old Style"/>
                <w:sz w:val="20"/>
                <w:szCs w:val="20"/>
              </w:rPr>
              <w:t>), dan diperlakukan sebagai fasilitas komitmen.</w:t>
            </w:r>
          </w:p>
          <w:p w14:paraId="63B8E651" w14:textId="77777777" w:rsidR="007A648D" w:rsidRPr="007A648D" w:rsidRDefault="007A648D"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Contoh:</w:t>
            </w:r>
          </w:p>
          <w:p w14:paraId="4768A20B" w14:textId="77777777" w:rsidR="007A648D" w:rsidRPr="007A648D" w:rsidRDefault="007A648D"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Pembiayaan tanpa jangka waktu tertentu antara lain adalah kartu pembiayaan.</w:t>
            </w:r>
          </w:p>
          <w:p w14:paraId="3C0FA798" w14:textId="77777777" w:rsidR="007A648D" w:rsidRPr="007A648D" w:rsidRDefault="007A648D" w:rsidP="00A32F86">
            <w:pPr>
              <w:pStyle w:val="BodyText"/>
              <w:widowControl w:val="0"/>
              <w:numPr>
                <w:ilvl w:val="0"/>
                <w:numId w:val="128"/>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 xml:space="preserve">Dalam hal arus kas masuk berasal dari pembayaran pokok minimum, imbalan atas pembiayaan tanpa jangka waktu tertentu yang secara kontraktual jatuh tempo dalam 30 (tiga puluh) hari, arus kas masuk </w:t>
            </w:r>
            <w:r w:rsidRPr="007A648D">
              <w:rPr>
                <w:rFonts w:ascii="Bookman Old Style" w:hAnsi="Bookman Old Style"/>
                <w:sz w:val="20"/>
                <w:szCs w:val="20"/>
              </w:rPr>
              <w:lastRenderedPageBreak/>
              <w:t>dapat diperhitungkan sebagai arus kas masuk dalam perhitungan LCR.</w:t>
            </w:r>
          </w:p>
          <w:p w14:paraId="41EBD9AF" w14:textId="46C98567" w:rsidR="007A648D" w:rsidRPr="007A648D" w:rsidRDefault="007A648D" w:rsidP="00A32F86">
            <w:pPr>
              <w:pStyle w:val="BodyText"/>
              <w:widowControl w:val="0"/>
              <w:numPr>
                <w:ilvl w:val="0"/>
                <w:numId w:val="128"/>
              </w:numPr>
              <w:autoSpaceDE w:val="0"/>
              <w:autoSpaceDN w:val="0"/>
              <w:ind w:left="2268" w:right="-1" w:hanging="567"/>
              <w:outlineLvl w:val="0"/>
              <w:rPr>
                <w:rFonts w:ascii="Bookman Old Style" w:hAnsi="Bookman Old Style"/>
                <w:sz w:val="20"/>
                <w:szCs w:val="20"/>
              </w:rPr>
            </w:pPr>
            <w:r w:rsidRPr="007A648D">
              <w:rPr>
                <w:rFonts w:ascii="Bookman Old Style" w:hAnsi="Bookman Old Style"/>
                <w:sz w:val="20"/>
                <w:szCs w:val="20"/>
              </w:rPr>
              <w:t>Fasilitas pembiayaan yang diperjanjikan untuk diperpanjang (</w:t>
            </w:r>
            <w:r w:rsidRPr="007A648D">
              <w:rPr>
                <w:rFonts w:ascii="Bookman Old Style" w:hAnsi="Bookman Old Style"/>
                <w:i/>
                <w:sz w:val="20"/>
                <w:szCs w:val="20"/>
              </w:rPr>
              <w:t>revolving financing facilities</w:t>
            </w:r>
            <w:r w:rsidRPr="007A648D">
              <w:rPr>
                <w:rFonts w:ascii="Bookman Old Style" w:hAnsi="Bookman Old Style"/>
                <w:sz w:val="20"/>
                <w:szCs w:val="20"/>
              </w:rPr>
              <w:t>) tidak dapat diperhitungkan sebagai arus kas masuk dalam perhitungan LCR.</w:t>
            </w:r>
          </w:p>
        </w:tc>
        <w:tc>
          <w:tcPr>
            <w:tcW w:w="3686" w:type="dxa"/>
            <w:shd w:val="clear" w:color="auto" w:fill="auto"/>
            <w:vAlign w:val="center"/>
          </w:tcPr>
          <w:p w14:paraId="100AF142"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ED62CEC"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59156A6C" w14:textId="77777777" w:rsidTr="00B03AEA">
        <w:trPr>
          <w:trHeight w:val="564"/>
          <w:tblHeader/>
        </w:trPr>
        <w:tc>
          <w:tcPr>
            <w:tcW w:w="9634" w:type="dxa"/>
            <w:shd w:val="clear" w:color="auto" w:fill="auto"/>
            <w:vAlign w:val="center"/>
          </w:tcPr>
          <w:p w14:paraId="3CC6FDA2" w14:textId="77777777" w:rsidR="007A648D" w:rsidRPr="007A648D" w:rsidRDefault="007A648D" w:rsidP="00A32F86">
            <w:pPr>
              <w:pStyle w:val="BodyText"/>
              <w:widowControl w:val="0"/>
              <w:numPr>
                <w:ilvl w:val="0"/>
                <w:numId w:val="122"/>
              </w:numPr>
              <w:autoSpaceDE w:val="0"/>
              <w:autoSpaceDN w:val="0"/>
              <w:ind w:left="1701" w:right="-1" w:hanging="567"/>
              <w:outlineLvl w:val="0"/>
              <w:rPr>
                <w:rFonts w:ascii="Bookman Old Style" w:hAnsi="Bookman Old Style"/>
                <w:b/>
                <w:sz w:val="20"/>
                <w:szCs w:val="20"/>
              </w:rPr>
            </w:pPr>
            <w:r w:rsidRPr="007A648D">
              <w:rPr>
                <w:rFonts w:ascii="Bookman Old Style" w:hAnsi="Bookman Old Style"/>
                <w:b/>
                <w:sz w:val="20"/>
                <w:szCs w:val="20"/>
              </w:rPr>
              <w:lastRenderedPageBreak/>
              <w:t>Arus Kas Masuk Lainnya</w:t>
            </w:r>
          </w:p>
          <w:p w14:paraId="38FCFD1A" w14:textId="77777777" w:rsidR="007A648D" w:rsidRPr="007A648D" w:rsidRDefault="007A648D" w:rsidP="007A648D">
            <w:pPr>
              <w:pStyle w:val="BodyText"/>
              <w:ind w:left="1701" w:right="-1"/>
              <w:outlineLvl w:val="0"/>
              <w:rPr>
                <w:rFonts w:ascii="Bookman Old Style" w:hAnsi="Bookman Old Style"/>
                <w:sz w:val="20"/>
                <w:szCs w:val="20"/>
              </w:rPr>
            </w:pPr>
            <w:r w:rsidRPr="007A648D">
              <w:rPr>
                <w:rFonts w:ascii="Bookman Old Style" w:hAnsi="Bookman Old Style"/>
                <w:sz w:val="20"/>
                <w:szCs w:val="20"/>
              </w:rPr>
              <w:t>Bank wajib menghitung arus kas masuk lainnya yang bersumber dari:</w:t>
            </w:r>
          </w:p>
          <w:p w14:paraId="5C86B2B3" w14:textId="77777777" w:rsidR="007A648D" w:rsidRPr="007A648D" w:rsidRDefault="007A648D" w:rsidP="00A32F86">
            <w:pPr>
              <w:pStyle w:val="BodyText"/>
              <w:widowControl w:val="0"/>
              <w:numPr>
                <w:ilvl w:val="0"/>
                <w:numId w:val="129"/>
              </w:numPr>
              <w:autoSpaceDE w:val="0"/>
              <w:autoSpaceDN w:val="0"/>
              <w:ind w:left="2268" w:right="-1" w:hanging="567"/>
              <w:outlineLvl w:val="0"/>
              <w:rPr>
                <w:rFonts w:ascii="Bookman Old Style" w:hAnsi="Bookman Old Style"/>
                <w:b/>
                <w:sz w:val="20"/>
                <w:szCs w:val="20"/>
              </w:rPr>
            </w:pPr>
            <w:r w:rsidRPr="007A648D">
              <w:rPr>
                <w:rFonts w:ascii="Bookman Old Style" w:hAnsi="Bookman Old Style"/>
                <w:sz w:val="20"/>
                <w:szCs w:val="20"/>
              </w:rPr>
              <w:t>Tagihan transaksi derivatif syariah</w:t>
            </w:r>
          </w:p>
          <w:p w14:paraId="36825837" w14:textId="77777777" w:rsidR="007A648D" w:rsidRPr="007A648D" w:rsidRDefault="007A648D"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 xml:space="preserve">Tingkat penerimaan tagihan transaksi derivatif syariah ditetapkan 100% (seratus persen) dari nilai tagihan transaksi derivatif syariah. </w:t>
            </w:r>
          </w:p>
          <w:p w14:paraId="417F11FE" w14:textId="77777777" w:rsidR="007A648D" w:rsidRPr="007A648D" w:rsidRDefault="007A648D"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Persyaratan, yaitu:</w:t>
            </w:r>
          </w:p>
          <w:p w14:paraId="42E21936" w14:textId="77777777" w:rsidR="007A648D" w:rsidRPr="007A648D" w:rsidRDefault="007A648D" w:rsidP="00A32F86">
            <w:pPr>
              <w:pStyle w:val="BodyText"/>
              <w:widowControl w:val="0"/>
              <w:numPr>
                <w:ilvl w:val="0"/>
                <w:numId w:val="130"/>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Arus kas masuk dan arus kas keluar yang berasal dari transaksi derivatif dapat dihitung selisih bersih (</w:t>
            </w:r>
            <w:r w:rsidRPr="007A648D">
              <w:rPr>
                <w:rFonts w:ascii="Bookman Old Style" w:hAnsi="Bookman Old Style"/>
                <w:i/>
                <w:iCs/>
                <w:sz w:val="20"/>
                <w:szCs w:val="20"/>
              </w:rPr>
              <w:t>net</w:t>
            </w:r>
            <w:r w:rsidRPr="007A648D">
              <w:rPr>
                <w:rFonts w:ascii="Bookman Old Style" w:hAnsi="Bookman Old Style"/>
                <w:sz w:val="20"/>
                <w:szCs w:val="20"/>
              </w:rPr>
              <w:t>) berdasarkan pihak lawan (</w:t>
            </w:r>
            <w:r w:rsidRPr="007A648D">
              <w:rPr>
                <w:rFonts w:ascii="Bookman Old Style" w:hAnsi="Bookman Old Style"/>
                <w:i/>
                <w:iCs/>
                <w:sz w:val="20"/>
                <w:szCs w:val="20"/>
              </w:rPr>
              <w:t>counterparty</w:t>
            </w:r>
            <w:r w:rsidRPr="007A648D">
              <w:rPr>
                <w:rFonts w:ascii="Bookman Old Style" w:hAnsi="Bookman Old Style"/>
                <w:sz w:val="20"/>
                <w:szCs w:val="20"/>
              </w:rPr>
              <w:t xml:space="preserve">) dalam hal terdapat </w:t>
            </w:r>
            <w:r w:rsidRPr="007A648D">
              <w:rPr>
                <w:rFonts w:ascii="Bookman Old Style" w:hAnsi="Bookman Old Style"/>
                <w:i/>
                <w:iCs/>
                <w:sz w:val="20"/>
                <w:szCs w:val="20"/>
              </w:rPr>
              <w:t>valid master netting agreement</w:t>
            </w:r>
            <w:r w:rsidRPr="007A648D">
              <w:rPr>
                <w:rFonts w:ascii="Bookman Old Style" w:hAnsi="Bookman Old Style"/>
                <w:sz w:val="20"/>
                <w:szCs w:val="20"/>
              </w:rPr>
              <w:t>.</w:t>
            </w:r>
          </w:p>
          <w:p w14:paraId="76EE0195" w14:textId="77777777" w:rsidR="007A648D" w:rsidRPr="007A648D" w:rsidRDefault="007A648D" w:rsidP="00A32F86">
            <w:pPr>
              <w:pStyle w:val="BodyText"/>
              <w:widowControl w:val="0"/>
              <w:numPr>
                <w:ilvl w:val="0"/>
                <w:numId w:val="130"/>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Perhitungan arus kas masuk dan arus kas keluar dari transaksi derivatif syariah mengacu pada metode valuasi yang berlaku pada masing-masing Bank.</w:t>
            </w:r>
          </w:p>
          <w:p w14:paraId="23BFB096" w14:textId="77777777" w:rsidR="007A648D" w:rsidRPr="007A648D" w:rsidRDefault="007A648D" w:rsidP="00A32F86">
            <w:pPr>
              <w:pStyle w:val="BodyText"/>
              <w:widowControl w:val="0"/>
              <w:numPr>
                <w:ilvl w:val="0"/>
                <w:numId w:val="130"/>
              </w:numPr>
              <w:autoSpaceDE w:val="0"/>
              <w:autoSpaceDN w:val="0"/>
              <w:ind w:left="2835" w:right="-1" w:hanging="567"/>
              <w:outlineLvl w:val="0"/>
              <w:rPr>
                <w:rFonts w:ascii="Bookman Old Style" w:hAnsi="Bookman Old Style"/>
                <w:sz w:val="20"/>
                <w:szCs w:val="20"/>
              </w:rPr>
            </w:pPr>
            <w:r w:rsidRPr="007A648D">
              <w:rPr>
                <w:rFonts w:ascii="Bookman Old Style" w:hAnsi="Bookman Old Style"/>
                <w:sz w:val="20"/>
                <w:szCs w:val="20"/>
              </w:rPr>
              <w:t>Dalam hal Bank menyerahkan agunan berupa HQLA dalam transaksi derivatif syariah, perhitungan arus kas masuk dari tagihan transaksi derivatif syariah harus dikurangi dengan nilai agunan yang diberikan. Hal ini sesuai prinsip bahwa Bank tidak boleh melakukan penghitungan ganda (</w:t>
            </w:r>
            <w:r w:rsidRPr="007A648D">
              <w:rPr>
                <w:rFonts w:ascii="Bookman Old Style" w:hAnsi="Bookman Old Style"/>
                <w:i/>
                <w:iCs/>
                <w:sz w:val="20"/>
                <w:szCs w:val="20"/>
              </w:rPr>
              <w:t>double counting</w:t>
            </w:r>
            <w:r w:rsidRPr="007A648D">
              <w:rPr>
                <w:rFonts w:ascii="Bookman Old Style" w:hAnsi="Bookman Old Style"/>
                <w:sz w:val="20"/>
                <w:szCs w:val="20"/>
              </w:rPr>
              <w:t>), perhitungan arus masuk maupun arus keluar.</w:t>
            </w:r>
          </w:p>
          <w:p w14:paraId="0BE61CEC" w14:textId="77777777" w:rsidR="007A648D" w:rsidRPr="007A648D" w:rsidRDefault="007A648D" w:rsidP="00A32F86">
            <w:pPr>
              <w:pStyle w:val="BodyText"/>
              <w:widowControl w:val="0"/>
              <w:numPr>
                <w:ilvl w:val="0"/>
                <w:numId w:val="129"/>
              </w:numPr>
              <w:autoSpaceDE w:val="0"/>
              <w:autoSpaceDN w:val="0"/>
              <w:ind w:left="2268" w:right="-1" w:hanging="567"/>
              <w:outlineLvl w:val="0"/>
              <w:rPr>
                <w:rFonts w:ascii="Bookman Old Style" w:hAnsi="Bookman Old Style"/>
                <w:b/>
                <w:sz w:val="20"/>
                <w:szCs w:val="20"/>
              </w:rPr>
            </w:pPr>
            <w:r w:rsidRPr="007A648D">
              <w:rPr>
                <w:rFonts w:ascii="Bookman Old Style" w:hAnsi="Bookman Old Style"/>
                <w:sz w:val="20"/>
                <w:szCs w:val="20"/>
              </w:rPr>
              <w:t>Tagihan kontraktual lainnya.</w:t>
            </w:r>
          </w:p>
          <w:p w14:paraId="15F04694" w14:textId="77777777" w:rsidR="007A648D" w:rsidRPr="007A648D" w:rsidRDefault="007A648D" w:rsidP="007A648D">
            <w:pPr>
              <w:pStyle w:val="BodyText"/>
              <w:ind w:left="2268" w:right="-1"/>
              <w:outlineLvl w:val="0"/>
              <w:rPr>
                <w:rFonts w:ascii="Bookman Old Style" w:hAnsi="Bookman Old Style"/>
                <w:sz w:val="20"/>
                <w:szCs w:val="20"/>
              </w:rPr>
            </w:pPr>
            <w:r w:rsidRPr="007A648D">
              <w:rPr>
                <w:rFonts w:ascii="Bookman Old Style" w:hAnsi="Bookman Old Style"/>
                <w:sz w:val="20"/>
                <w:szCs w:val="20"/>
              </w:rPr>
              <w:t>Tagihan kontraktual lainnya adalah seluruh penerimaan arus kas masuk yang tidak tercakup dalam pembiayaan dengan agunan (</w:t>
            </w:r>
            <w:r w:rsidRPr="007A648D">
              <w:rPr>
                <w:rFonts w:ascii="Bookman Old Style" w:hAnsi="Bookman Old Style"/>
                <w:i/>
                <w:iCs/>
                <w:sz w:val="20"/>
                <w:szCs w:val="20"/>
              </w:rPr>
              <w:t>secured financing</w:t>
            </w:r>
            <w:r w:rsidRPr="007A648D">
              <w:rPr>
                <w:rFonts w:ascii="Bookman Old Style" w:hAnsi="Bookman Old Style"/>
                <w:sz w:val="20"/>
                <w:szCs w:val="20"/>
              </w:rPr>
              <w:t>) dan tagihan berdasarkan pihak lawan (</w:t>
            </w:r>
            <w:r w:rsidRPr="007A648D">
              <w:rPr>
                <w:rFonts w:ascii="Bookman Old Style" w:hAnsi="Bookman Old Style"/>
                <w:i/>
                <w:iCs/>
                <w:sz w:val="20"/>
                <w:szCs w:val="20"/>
              </w:rPr>
              <w:t>counterpart</w:t>
            </w:r>
            <w:r w:rsidRPr="007A648D">
              <w:rPr>
                <w:rFonts w:ascii="Bookman Old Style" w:hAnsi="Bookman Old Style"/>
                <w:sz w:val="20"/>
                <w:szCs w:val="20"/>
              </w:rPr>
              <w:t>y). Tingkat penerimaan dari tagihan kontraktual lainnya ditetapkan 50% (lima puluh persen) dari nilai tagihan.</w:t>
            </w:r>
          </w:p>
          <w:p w14:paraId="3DD06220" w14:textId="77777777" w:rsidR="007A648D" w:rsidRPr="007A648D" w:rsidRDefault="007A648D" w:rsidP="007A648D">
            <w:pPr>
              <w:pStyle w:val="BodyText"/>
              <w:ind w:left="2268" w:right="-1"/>
              <w:outlineLvl w:val="0"/>
              <w:rPr>
                <w:rFonts w:ascii="Bookman Old Style" w:hAnsi="Bookman Old Style"/>
                <w:sz w:val="20"/>
                <w:szCs w:val="20"/>
              </w:rPr>
            </w:pPr>
            <w:r w:rsidRPr="007A648D">
              <w:rPr>
                <w:rFonts w:ascii="Bookman Old Style" w:hAnsi="Bookman Old Style"/>
                <w:b/>
                <w:sz w:val="20"/>
                <w:szCs w:val="20"/>
              </w:rPr>
              <w:t>Persyaratan perhitungan</w:t>
            </w:r>
            <w:r w:rsidRPr="007A648D">
              <w:rPr>
                <w:rFonts w:ascii="Bookman Old Style" w:hAnsi="Bookman Old Style"/>
                <w:sz w:val="20"/>
                <w:szCs w:val="20"/>
              </w:rPr>
              <w:t>, yaitu:</w:t>
            </w:r>
          </w:p>
          <w:p w14:paraId="32B6EFBD" w14:textId="77777777" w:rsidR="007A648D" w:rsidRPr="007A648D" w:rsidRDefault="007A648D" w:rsidP="00A32F86">
            <w:pPr>
              <w:pStyle w:val="BodyText"/>
              <w:widowControl w:val="0"/>
              <w:numPr>
                <w:ilvl w:val="0"/>
                <w:numId w:val="131"/>
              </w:numPr>
              <w:autoSpaceDE w:val="0"/>
              <w:autoSpaceDN w:val="0"/>
              <w:ind w:right="-1"/>
              <w:outlineLvl w:val="0"/>
              <w:rPr>
                <w:rFonts w:ascii="Bookman Old Style" w:hAnsi="Bookman Old Style"/>
                <w:b/>
                <w:sz w:val="20"/>
                <w:szCs w:val="20"/>
              </w:rPr>
            </w:pPr>
            <w:r w:rsidRPr="007A648D">
              <w:rPr>
                <w:rFonts w:ascii="Bookman Old Style" w:hAnsi="Bookman Old Style"/>
                <w:sz w:val="20"/>
                <w:szCs w:val="20"/>
              </w:rPr>
              <w:t>Arus kas masuk yang terkait pendapatan non-keuangan tidak dapat diperhitungkan dalam arus masuk; dan</w:t>
            </w:r>
          </w:p>
          <w:p w14:paraId="0C5C6CD4" w14:textId="777DDDE7" w:rsidR="0098476F" w:rsidRPr="007A648D" w:rsidRDefault="007A648D" w:rsidP="00A32F86">
            <w:pPr>
              <w:pStyle w:val="BodyText"/>
              <w:widowControl w:val="0"/>
              <w:numPr>
                <w:ilvl w:val="0"/>
                <w:numId w:val="131"/>
              </w:numPr>
              <w:autoSpaceDE w:val="0"/>
              <w:autoSpaceDN w:val="0"/>
              <w:ind w:right="-1"/>
              <w:outlineLvl w:val="0"/>
              <w:rPr>
                <w:rFonts w:ascii="Bookman Old Style" w:hAnsi="Bookman Old Style"/>
                <w:b/>
                <w:sz w:val="20"/>
                <w:szCs w:val="20"/>
              </w:rPr>
            </w:pPr>
            <w:r w:rsidRPr="007A648D">
              <w:rPr>
                <w:rFonts w:ascii="Bookman Old Style" w:hAnsi="Bookman Old Style"/>
                <w:sz w:val="20"/>
                <w:szCs w:val="20"/>
              </w:rPr>
              <w:t>Arus kas masuk yang terkait pendapatan non-keuangan tidak dapat diperhitungkan dalam perhitungan arus masuk.</w:t>
            </w:r>
          </w:p>
        </w:tc>
        <w:tc>
          <w:tcPr>
            <w:tcW w:w="3686" w:type="dxa"/>
            <w:shd w:val="clear" w:color="auto" w:fill="auto"/>
            <w:vAlign w:val="center"/>
          </w:tcPr>
          <w:p w14:paraId="50C7A91A"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16AF2B1B"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98476F" w:rsidRPr="000B616B" w14:paraId="047E27C7" w14:textId="77777777" w:rsidTr="007A648D">
        <w:trPr>
          <w:trHeight w:val="564"/>
          <w:tblHeader/>
        </w:trPr>
        <w:tc>
          <w:tcPr>
            <w:tcW w:w="9634" w:type="dxa"/>
            <w:shd w:val="clear" w:color="auto" w:fill="DBDBDB" w:themeFill="accent3" w:themeFillTint="66"/>
            <w:vAlign w:val="center"/>
          </w:tcPr>
          <w:p w14:paraId="6B1DF112" w14:textId="2BAE6DB0" w:rsidR="0098476F" w:rsidRPr="007A648D" w:rsidRDefault="007A648D" w:rsidP="00A32F86">
            <w:pPr>
              <w:pStyle w:val="BodyText"/>
              <w:numPr>
                <w:ilvl w:val="3"/>
                <w:numId w:val="29"/>
              </w:numPr>
              <w:ind w:left="596" w:right="-1" w:hanging="567"/>
              <w:rPr>
                <w:rFonts w:ascii="Bookman Old Style" w:hAnsi="Bookman Old Style"/>
                <w:sz w:val="20"/>
                <w:szCs w:val="20"/>
              </w:rPr>
            </w:pPr>
            <w:r w:rsidRPr="007A648D">
              <w:rPr>
                <w:rFonts w:ascii="Bookman Old Style" w:hAnsi="Bookman Old Style"/>
                <w:sz w:val="20"/>
                <w:szCs w:val="20"/>
              </w:rPr>
              <w:t>PENYUSUNAN LAPORAN KONSOLIDASI</w:t>
            </w:r>
          </w:p>
        </w:tc>
        <w:tc>
          <w:tcPr>
            <w:tcW w:w="3686" w:type="dxa"/>
            <w:shd w:val="clear" w:color="auto" w:fill="DBDBDB" w:themeFill="accent3" w:themeFillTint="66"/>
            <w:vAlign w:val="center"/>
          </w:tcPr>
          <w:p w14:paraId="76B63181"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46960658" w14:textId="77777777" w:rsidR="0098476F" w:rsidRPr="000B616B" w:rsidRDefault="0098476F"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A648D" w:rsidRPr="000B616B" w14:paraId="16142950" w14:textId="77777777" w:rsidTr="007A648D">
        <w:trPr>
          <w:trHeight w:val="564"/>
          <w:tblHeader/>
        </w:trPr>
        <w:tc>
          <w:tcPr>
            <w:tcW w:w="9634" w:type="dxa"/>
            <w:shd w:val="clear" w:color="auto" w:fill="auto"/>
            <w:vAlign w:val="center"/>
          </w:tcPr>
          <w:p w14:paraId="78D2B70A" w14:textId="77777777" w:rsidR="007A648D" w:rsidRPr="007A648D" w:rsidRDefault="007A648D" w:rsidP="007A648D">
            <w:pPr>
              <w:pStyle w:val="BodyText"/>
              <w:ind w:left="567" w:right="-1"/>
              <w:outlineLvl w:val="0"/>
              <w:rPr>
                <w:rFonts w:ascii="Bookman Old Style" w:hAnsi="Bookman Old Style"/>
                <w:sz w:val="20"/>
                <w:szCs w:val="20"/>
              </w:rPr>
            </w:pPr>
            <w:r w:rsidRPr="007A648D">
              <w:rPr>
                <w:rFonts w:ascii="Bookman Old Style" w:hAnsi="Bookman Old Style"/>
                <w:sz w:val="20"/>
                <w:szCs w:val="20"/>
              </w:rPr>
              <w:t>Dalam penyusunan laporan konsolidasi bagi bank yang beroperasi secara lintas batas (</w:t>
            </w:r>
            <w:r w:rsidRPr="007A648D">
              <w:rPr>
                <w:rFonts w:ascii="Bookman Old Style" w:hAnsi="Bookman Old Style"/>
                <w:i/>
                <w:sz w:val="20"/>
                <w:szCs w:val="20"/>
              </w:rPr>
              <w:t>cross border</w:t>
            </w:r>
            <w:r w:rsidRPr="007A648D">
              <w:rPr>
                <w:rFonts w:ascii="Bookman Old Style" w:hAnsi="Bookman Old Style"/>
                <w:sz w:val="20"/>
                <w:szCs w:val="20"/>
              </w:rPr>
              <w:t>) ditetapkan:</w:t>
            </w:r>
          </w:p>
          <w:p w14:paraId="46C4F750" w14:textId="77777777" w:rsidR="007A648D" w:rsidRPr="007A648D" w:rsidRDefault="007A648D" w:rsidP="00A32F86">
            <w:pPr>
              <w:pStyle w:val="BodyText"/>
              <w:widowControl w:val="0"/>
              <w:numPr>
                <w:ilvl w:val="0"/>
                <w:numId w:val="132"/>
              </w:numPr>
              <w:autoSpaceDE w:val="0"/>
              <w:autoSpaceDN w:val="0"/>
              <w:ind w:left="1134" w:right="-1" w:hanging="567"/>
              <w:outlineLvl w:val="0"/>
              <w:rPr>
                <w:rFonts w:ascii="Bookman Old Style" w:hAnsi="Bookman Old Style"/>
                <w:b/>
                <w:sz w:val="20"/>
                <w:szCs w:val="20"/>
              </w:rPr>
            </w:pPr>
            <w:r w:rsidRPr="007A648D">
              <w:rPr>
                <w:rFonts w:ascii="Bookman Old Style" w:hAnsi="Bookman Old Style"/>
                <w:sz w:val="20"/>
                <w:szCs w:val="20"/>
              </w:rPr>
              <w:lastRenderedPageBreak/>
              <w:t>tingkat penarikan yang digunakan untuk nasabah korporasi mengikuti negara tempat bank asal (</w:t>
            </w:r>
            <w:r w:rsidRPr="007A648D">
              <w:rPr>
                <w:rFonts w:ascii="Bookman Old Style" w:hAnsi="Bookman Old Style"/>
                <w:i/>
                <w:sz w:val="20"/>
                <w:szCs w:val="20"/>
              </w:rPr>
              <w:t>home country</w:t>
            </w:r>
            <w:r w:rsidRPr="007A648D">
              <w:rPr>
                <w:rFonts w:ascii="Bookman Old Style" w:hAnsi="Bookman Old Style"/>
                <w:sz w:val="20"/>
                <w:szCs w:val="20"/>
              </w:rPr>
              <w:t>); dan</w:t>
            </w:r>
          </w:p>
          <w:p w14:paraId="0D509B7F" w14:textId="77777777" w:rsidR="007A648D" w:rsidRPr="007A648D" w:rsidRDefault="007A648D" w:rsidP="00A32F86">
            <w:pPr>
              <w:pStyle w:val="BodyText"/>
              <w:widowControl w:val="0"/>
              <w:numPr>
                <w:ilvl w:val="0"/>
                <w:numId w:val="132"/>
              </w:numPr>
              <w:autoSpaceDE w:val="0"/>
              <w:autoSpaceDN w:val="0"/>
              <w:ind w:left="1134" w:right="-1" w:hanging="567"/>
              <w:outlineLvl w:val="0"/>
              <w:rPr>
                <w:rFonts w:ascii="Bookman Old Style" w:hAnsi="Bookman Old Style"/>
                <w:b/>
                <w:sz w:val="20"/>
                <w:szCs w:val="20"/>
              </w:rPr>
            </w:pPr>
            <w:r w:rsidRPr="007A648D">
              <w:rPr>
                <w:rFonts w:ascii="Bookman Old Style" w:hAnsi="Bookman Old Style"/>
                <w:sz w:val="20"/>
                <w:szCs w:val="20"/>
              </w:rPr>
              <w:t>tingkat penarikan yang digunakan untuk nasabah perorangan atau Usaha Mikro dan Usaha Kecil mengikuti negara tempat cabang bank beroperasi (</w:t>
            </w:r>
            <w:r w:rsidRPr="007A648D">
              <w:rPr>
                <w:rFonts w:ascii="Bookman Old Style" w:hAnsi="Bookman Old Style"/>
                <w:i/>
                <w:sz w:val="20"/>
                <w:szCs w:val="20"/>
              </w:rPr>
              <w:t>host country</w:t>
            </w:r>
            <w:r w:rsidRPr="007A648D">
              <w:rPr>
                <w:rFonts w:ascii="Bookman Old Style" w:hAnsi="Bookman Old Style"/>
                <w:sz w:val="20"/>
                <w:szCs w:val="20"/>
              </w:rPr>
              <w:t>).</w:t>
            </w:r>
            <w:r w:rsidRPr="007A648D">
              <w:rPr>
                <w:rFonts w:ascii="Bookman Old Style" w:hAnsi="Bookman Old Style"/>
                <w:b/>
                <w:sz w:val="20"/>
                <w:szCs w:val="20"/>
              </w:rPr>
              <w:t xml:space="preserve"> </w:t>
            </w:r>
            <w:r w:rsidRPr="007A648D">
              <w:rPr>
                <w:rFonts w:ascii="Bookman Old Style" w:hAnsi="Bookman Old Style"/>
                <w:sz w:val="20"/>
                <w:szCs w:val="20"/>
              </w:rPr>
              <w:t>Tingkat penarikan yang digunakan untuk nasabah perorangan atau Usaha Mikro dan Usaha Kecil dapat menggunakan tingkat penarikan berdasarkan negara asal (</w:t>
            </w:r>
            <w:r w:rsidRPr="007A648D">
              <w:rPr>
                <w:rFonts w:ascii="Bookman Old Style" w:hAnsi="Bookman Old Style"/>
                <w:i/>
                <w:sz w:val="20"/>
                <w:szCs w:val="20"/>
              </w:rPr>
              <w:t>home country</w:t>
            </w:r>
            <w:r w:rsidRPr="007A648D">
              <w:rPr>
                <w:rFonts w:ascii="Bookman Old Style" w:hAnsi="Bookman Old Style"/>
                <w:sz w:val="20"/>
                <w:szCs w:val="20"/>
              </w:rPr>
              <w:t>), apabila memenuhi kriteria:</w:t>
            </w:r>
          </w:p>
          <w:p w14:paraId="686A0C09" w14:textId="77777777" w:rsidR="007A648D" w:rsidRPr="007A648D" w:rsidRDefault="007A648D" w:rsidP="00A32F86">
            <w:pPr>
              <w:pStyle w:val="BodyText"/>
              <w:widowControl w:val="0"/>
              <w:numPr>
                <w:ilvl w:val="0"/>
                <w:numId w:val="133"/>
              </w:numPr>
              <w:autoSpaceDE w:val="0"/>
              <w:autoSpaceDN w:val="0"/>
              <w:ind w:left="1701" w:right="-1" w:hanging="567"/>
              <w:outlineLvl w:val="0"/>
              <w:rPr>
                <w:rFonts w:ascii="Bookman Old Style" w:hAnsi="Bookman Old Style"/>
                <w:b/>
                <w:sz w:val="20"/>
                <w:szCs w:val="20"/>
              </w:rPr>
            </w:pPr>
            <w:r w:rsidRPr="007A648D">
              <w:rPr>
                <w:rFonts w:ascii="Bookman Old Style" w:hAnsi="Bookman Old Style"/>
                <w:sz w:val="20"/>
                <w:szCs w:val="20"/>
              </w:rPr>
              <w:t>tidak ada persyaratan untuk Pendanaan perorangan serta Usaha Mikro dan Usaha Kecil pada negara tempat cabang bank beroperasi (</w:t>
            </w:r>
            <w:r w:rsidRPr="007A648D">
              <w:rPr>
                <w:rFonts w:ascii="Bookman Old Style" w:hAnsi="Bookman Old Style"/>
                <w:i/>
                <w:sz w:val="20"/>
                <w:szCs w:val="20"/>
              </w:rPr>
              <w:t>host country</w:t>
            </w:r>
            <w:r w:rsidRPr="007A648D">
              <w:rPr>
                <w:rFonts w:ascii="Bookman Old Style" w:hAnsi="Bookman Old Style"/>
                <w:sz w:val="20"/>
                <w:szCs w:val="20"/>
              </w:rPr>
              <w:t xml:space="preserve">); </w:t>
            </w:r>
          </w:p>
          <w:p w14:paraId="475C9840" w14:textId="77777777" w:rsidR="007A648D" w:rsidRPr="007A648D" w:rsidRDefault="007A648D" w:rsidP="00A32F86">
            <w:pPr>
              <w:pStyle w:val="BodyText"/>
              <w:widowControl w:val="0"/>
              <w:numPr>
                <w:ilvl w:val="0"/>
                <w:numId w:val="133"/>
              </w:numPr>
              <w:autoSpaceDE w:val="0"/>
              <w:autoSpaceDN w:val="0"/>
              <w:ind w:left="1701" w:right="-1" w:hanging="567"/>
              <w:outlineLvl w:val="0"/>
              <w:rPr>
                <w:rFonts w:ascii="Bookman Old Style" w:hAnsi="Bookman Old Style"/>
                <w:b/>
                <w:sz w:val="20"/>
                <w:szCs w:val="20"/>
              </w:rPr>
            </w:pPr>
            <w:r w:rsidRPr="007A648D">
              <w:rPr>
                <w:rFonts w:ascii="Bookman Old Style" w:hAnsi="Bookman Old Style"/>
                <w:sz w:val="20"/>
                <w:szCs w:val="20"/>
              </w:rPr>
              <w:t xml:space="preserve">kantor cabang bank beroperasi di negara yang belum menerapkan LCR; dan/atau </w:t>
            </w:r>
          </w:p>
          <w:p w14:paraId="4649A711" w14:textId="77777777" w:rsidR="007A648D" w:rsidRPr="007A648D" w:rsidRDefault="007A648D" w:rsidP="00A32F86">
            <w:pPr>
              <w:pStyle w:val="BodyText"/>
              <w:widowControl w:val="0"/>
              <w:numPr>
                <w:ilvl w:val="0"/>
                <w:numId w:val="133"/>
              </w:numPr>
              <w:autoSpaceDE w:val="0"/>
              <w:autoSpaceDN w:val="0"/>
              <w:ind w:left="1701" w:right="-1" w:hanging="567"/>
              <w:outlineLvl w:val="0"/>
              <w:rPr>
                <w:rFonts w:ascii="Bookman Old Style" w:hAnsi="Bookman Old Style"/>
                <w:b/>
                <w:sz w:val="20"/>
                <w:szCs w:val="20"/>
              </w:rPr>
            </w:pPr>
            <w:r w:rsidRPr="007A648D">
              <w:rPr>
                <w:rFonts w:ascii="Bookman Old Style" w:hAnsi="Bookman Old Style"/>
                <w:sz w:val="20"/>
                <w:szCs w:val="20"/>
              </w:rPr>
              <w:t>diskresi otoritas pengawas perbankan dari negara asal (</w:t>
            </w:r>
            <w:r w:rsidRPr="007A648D">
              <w:rPr>
                <w:rFonts w:ascii="Bookman Old Style" w:hAnsi="Bookman Old Style"/>
                <w:i/>
                <w:sz w:val="20"/>
                <w:szCs w:val="20"/>
              </w:rPr>
              <w:t>home country</w:t>
            </w:r>
            <w:r w:rsidRPr="007A648D">
              <w:rPr>
                <w:rFonts w:ascii="Bookman Old Style" w:hAnsi="Bookman Old Style"/>
                <w:sz w:val="20"/>
                <w:szCs w:val="20"/>
              </w:rPr>
              <w:t>) untuk menerapkan tingkat penarikan pada negara asal (</w:t>
            </w:r>
            <w:r w:rsidRPr="007A648D">
              <w:rPr>
                <w:rFonts w:ascii="Bookman Old Style" w:hAnsi="Bookman Old Style"/>
                <w:i/>
                <w:sz w:val="20"/>
                <w:szCs w:val="20"/>
              </w:rPr>
              <w:t>home country</w:t>
            </w:r>
            <w:r w:rsidRPr="007A648D">
              <w:rPr>
                <w:rFonts w:ascii="Bookman Old Style" w:hAnsi="Bookman Old Style"/>
                <w:sz w:val="20"/>
                <w:szCs w:val="20"/>
              </w:rPr>
              <w:t>) apabila tingkat penarikan lebih ketat daripada persyaratan pada negara tempat cabang Bank beroperasi (</w:t>
            </w:r>
            <w:r w:rsidRPr="007A648D">
              <w:rPr>
                <w:rFonts w:ascii="Bookman Old Style" w:hAnsi="Bookman Old Style"/>
                <w:i/>
                <w:sz w:val="20"/>
                <w:szCs w:val="20"/>
              </w:rPr>
              <w:t>host country</w:t>
            </w:r>
            <w:r w:rsidRPr="007A648D">
              <w:rPr>
                <w:rFonts w:ascii="Bookman Old Style" w:hAnsi="Bookman Old Style"/>
                <w:sz w:val="20"/>
                <w:szCs w:val="20"/>
              </w:rPr>
              <w:t>).</w:t>
            </w:r>
          </w:p>
          <w:p w14:paraId="129B0C86" w14:textId="77777777" w:rsidR="007A648D" w:rsidRPr="007A648D" w:rsidRDefault="007A648D" w:rsidP="007A648D">
            <w:pPr>
              <w:pStyle w:val="BodyText"/>
              <w:ind w:left="567" w:right="-1"/>
              <w:outlineLvl w:val="0"/>
              <w:rPr>
                <w:rFonts w:ascii="Bookman Old Style" w:hAnsi="Bookman Old Style"/>
                <w:sz w:val="20"/>
                <w:szCs w:val="20"/>
              </w:rPr>
            </w:pPr>
          </w:p>
          <w:p w14:paraId="4A8908F1" w14:textId="613C1FE2" w:rsidR="007A648D" w:rsidRPr="007A648D" w:rsidRDefault="007A648D" w:rsidP="007A648D">
            <w:pPr>
              <w:pStyle w:val="BodyText"/>
              <w:ind w:left="596" w:right="-1"/>
              <w:rPr>
                <w:rFonts w:ascii="Bookman Old Style" w:hAnsi="Bookman Old Style"/>
                <w:sz w:val="20"/>
                <w:szCs w:val="20"/>
              </w:rPr>
            </w:pPr>
            <w:r w:rsidRPr="007A648D">
              <w:rPr>
                <w:rFonts w:ascii="Bookman Old Style" w:hAnsi="Bookman Old Style"/>
                <w:sz w:val="20"/>
                <w:szCs w:val="20"/>
              </w:rPr>
              <w:t>Bank yang beroperasi secara lintas batas (</w:t>
            </w:r>
            <w:r w:rsidRPr="007A648D">
              <w:rPr>
                <w:rFonts w:ascii="Bookman Old Style" w:hAnsi="Bookman Old Style"/>
                <w:i/>
                <w:iCs/>
                <w:sz w:val="20"/>
                <w:szCs w:val="20"/>
              </w:rPr>
              <w:t>cross border</w:t>
            </w:r>
            <w:r w:rsidRPr="007A648D">
              <w:rPr>
                <w:rFonts w:ascii="Bookman Old Style" w:hAnsi="Bookman Old Style"/>
                <w:sz w:val="20"/>
                <w:szCs w:val="20"/>
              </w:rPr>
              <w:t>) harus dapat mengidentifikasi hambatan yang mungkin timbul dalam transfer likuiditas dan memonitor peraturan pada negara tempat cabang bank beroperasi (</w:t>
            </w:r>
            <w:r w:rsidRPr="007A648D">
              <w:rPr>
                <w:rFonts w:ascii="Bookman Old Style" w:hAnsi="Bookman Old Style"/>
                <w:i/>
                <w:iCs/>
                <w:sz w:val="20"/>
                <w:szCs w:val="20"/>
              </w:rPr>
              <w:t>host country</w:t>
            </w:r>
            <w:r w:rsidRPr="007A648D">
              <w:rPr>
                <w:rFonts w:ascii="Bookman Old Style" w:hAnsi="Bookman Old Style"/>
                <w:sz w:val="20"/>
                <w:szCs w:val="20"/>
              </w:rPr>
              <w:t>) serta menguji implikasi dari hambatan transfer likuiditas dan peraturan pada negara tempat cabang bank beroperasi (</w:t>
            </w:r>
            <w:r w:rsidRPr="007A648D">
              <w:rPr>
                <w:rFonts w:ascii="Bookman Old Style" w:hAnsi="Bookman Old Style"/>
                <w:i/>
                <w:iCs/>
                <w:sz w:val="20"/>
                <w:szCs w:val="20"/>
              </w:rPr>
              <w:t>host country</w:t>
            </w:r>
            <w:r w:rsidRPr="007A648D">
              <w:rPr>
                <w:rFonts w:ascii="Bookman Old Style" w:hAnsi="Bookman Old Style"/>
                <w:sz w:val="20"/>
                <w:szCs w:val="20"/>
              </w:rPr>
              <w:t>) terhadap kondisi likuiditas bank secara keseluruhan.</w:t>
            </w:r>
          </w:p>
        </w:tc>
        <w:tc>
          <w:tcPr>
            <w:tcW w:w="3686" w:type="dxa"/>
            <w:shd w:val="clear" w:color="auto" w:fill="auto"/>
            <w:vAlign w:val="center"/>
          </w:tcPr>
          <w:p w14:paraId="0628DC06" w14:textId="77777777" w:rsidR="007A648D" w:rsidRPr="000B616B" w:rsidRDefault="007A648D"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88D76D1" w14:textId="77777777" w:rsidR="007A648D" w:rsidRPr="000B616B" w:rsidRDefault="007A648D"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A648D" w:rsidRPr="000B616B" w14:paraId="12AC2764" w14:textId="77777777" w:rsidTr="007A648D">
        <w:trPr>
          <w:trHeight w:val="564"/>
          <w:tblHeader/>
        </w:trPr>
        <w:tc>
          <w:tcPr>
            <w:tcW w:w="9634" w:type="dxa"/>
            <w:shd w:val="clear" w:color="auto" w:fill="auto"/>
            <w:vAlign w:val="center"/>
          </w:tcPr>
          <w:p w14:paraId="02BA6279" w14:textId="77777777" w:rsidR="007A648D" w:rsidRPr="007A648D" w:rsidRDefault="007A648D" w:rsidP="007A648D">
            <w:pPr>
              <w:spacing w:after="0" w:line="240" w:lineRule="auto"/>
              <w:ind w:left="4536"/>
              <w:rPr>
                <w:rFonts w:ascii="Bookman Old Style" w:eastAsia="Times New Roman" w:hAnsi="Bookman Old Style" w:cs="Arial"/>
                <w:sz w:val="20"/>
                <w:szCs w:val="20"/>
              </w:rPr>
            </w:pPr>
            <w:r w:rsidRPr="007A648D">
              <w:rPr>
                <w:rFonts w:ascii="Bookman Old Style" w:eastAsia="Times New Roman" w:hAnsi="Bookman Old Style" w:cs="Arial"/>
                <w:sz w:val="20"/>
                <w:szCs w:val="20"/>
              </w:rPr>
              <w:t>Ditetapkan di Jakarta</w:t>
            </w:r>
          </w:p>
          <w:p w14:paraId="43607E6B" w14:textId="77777777" w:rsidR="007A648D" w:rsidRPr="007A648D" w:rsidRDefault="007A648D" w:rsidP="007A648D">
            <w:pPr>
              <w:spacing w:after="0" w:line="240" w:lineRule="auto"/>
              <w:ind w:left="4536"/>
              <w:rPr>
                <w:rFonts w:ascii="Bookman Old Style" w:eastAsia="Times New Roman" w:hAnsi="Bookman Old Style" w:cs="Arial"/>
                <w:sz w:val="20"/>
                <w:szCs w:val="20"/>
              </w:rPr>
            </w:pPr>
            <w:r w:rsidRPr="007A648D">
              <w:rPr>
                <w:rFonts w:ascii="Bookman Old Style" w:eastAsia="Times New Roman" w:hAnsi="Bookman Old Style" w:cs="Arial"/>
                <w:sz w:val="20"/>
                <w:szCs w:val="20"/>
              </w:rPr>
              <w:t xml:space="preserve">pada tanggal </w:t>
            </w:r>
          </w:p>
          <w:p w14:paraId="67DEAD22" w14:textId="77777777" w:rsidR="007A648D" w:rsidRPr="007A648D" w:rsidRDefault="007A648D" w:rsidP="007A648D">
            <w:pPr>
              <w:spacing w:after="0" w:line="240" w:lineRule="auto"/>
              <w:ind w:left="4536"/>
              <w:rPr>
                <w:rFonts w:ascii="Bookman Old Style" w:eastAsia="Times New Roman" w:hAnsi="Bookman Old Style" w:cs="Arial"/>
                <w:sz w:val="20"/>
                <w:szCs w:val="20"/>
              </w:rPr>
            </w:pPr>
          </w:p>
          <w:p w14:paraId="64A4CF29" w14:textId="77777777" w:rsidR="007A648D" w:rsidRPr="007A648D" w:rsidRDefault="007A648D" w:rsidP="007A648D">
            <w:pPr>
              <w:spacing w:after="0" w:line="240" w:lineRule="auto"/>
              <w:ind w:left="4536"/>
              <w:rPr>
                <w:rFonts w:ascii="Bookman Old Style" w:eastAsia="Times New Roman" w:hAnsi="Bookman Old Style" w:cs="Arial"/>
                <w:sz w:val="20"/>
                <w:szCs w:val="20"/>
                <w:lang w:val="en-US"/>
              </w:rPr>
            </w:pPr>
            <w:r w:rsidRPr="007A648D">
              <w:rPr>
                <w:rFonts w:ascii="Bookman Old Style" w:eastAsia="Times New Roman" w:hAnsi="Bookman Old Style" w:cs="Arial"/>
                <w:sz w:val="20"/>
                <w:szCs w:val="20"/>
                <w:lang w:val="en-US"/>
              </w:rPr>
              <w:t>KETUA DEWAN KOMISIONER</w:t>
            </w:r>
          </w:p>
          <w:p w14:paraId="21AC419F" w14:textId="77777777" w:rsidR="007A648D" w:rsidRPr="007A648D" w:rsidRDefault="007A648D" w:rsidP="007A648D">
            <w:pPr>
              <w:spacing w:after="0" w:line="240" w:lineRule="auto"/>
              <w:ind w:left="4536"/>
              <w:rPr>
                <w:rFonts w:ascii="Bookman Old Style" w:eastAsia="Times New Roman" w:hAnsi="Bookman Old Style" w:cs="Arial"/>
                <w:sz w:val="20"/>
                <w:szCs w:val="20"/>
              </w:rPr>
            </w:pPr>
            <w:r w:rsidRPr="007A648D">
              <w:rPr>
                <w:rFonts w:ascii="Bookman Old Style" w:eastAsia="Times New Roman" w:hAnsi="Bookman Old Style" w:cs="Arial"/>
                <w:sz w:val="20"/>
                <w:szCs w:val="20"/>
              </w:rPr>
              <w:t>OTORITAS JASA KEUANGAN</w:t>
            </w:r>
          </w:p>
          <w:p w14:paraId="685E2F8D" w14:textId="77777777" w:rsidR="007A648D" w:rsidRPr="007A648D" w:rsidRDefault="007A648D" w:rsidP="007A648D">
            <w:pPr>
              <w:spacing w:after="0" w:line="240" w:lineRule="auto"/>
              <w:ind w:left="4536"/>
              <w:rPr>
                <w:rFonts w:ascii="Bookman Old Style" w:eastAsia="Times New Roman" w:hAnsi="Bookman Old Style" w:cs="Arial"/>
                <w:sz w:val="20"/>
                <w:szCs w:val="20"/>
              </w:rPr>
            </w:pPr>
            <w:r w:rsidRPr="007A648D">
              <w:rPr>
                <w:rFonts w:ascii="Bookman Old Style" w:eastAsia="Times New Roman" w:hAnsi="Bookman Old Style" w:cs="Arial"/>
                <w:sz w:val="20"/>
                <w:szCs w:val="20"/>
              </w:rPr>
              <w:t>REPUBLIK INDONESIA,</w:t>
            </w:r>
          </w:p>
          <w:p w14:paraId="0053164F" w14:textId="77777777" w:rsidR="007A648D" w:rsidRPr="007A648D" w:rsidRDefault="007A648D" w:rsidP="007A648D">
            <w:pPr>
              <w:spacing w:after="0" w:line="240" w:lineRule="auto"/>
              <w:ind w:left="4536"/>
              <w:rPr>
                <w:rFonts w:ascii="Bookman Old Style" w:eastAsia="Times New Roman" w:hAnsi="Bookman Old Style" w:cs="Arial"/>
                <w:sz w:val="20"/>
                <w:szCs w:val="20"/>
              </w:rPr>
            </w:pPr>
          </w:p>
          <w:p w14:paraId="0E8B7F43" w14:textId="77777777" w:rsidR="007A648D" w:rsidRPr="007A648D" w:rsidRDefault="007A648D" w:rsidP="007A648D">
            <w:pPr>
              <w:spacing w:after="0" w:line="240" w:lineRule="auto"/>
              <w:ind w:left="4536"/>
              <w:rPr>
                <w:rFonts w:ascii="Bookman Old Style" w:eastAsia="Times New Roman" w:hAnsi="Bookman Old Style" w:cs="Arial"/>
                <w:sz w:val="20"/>
                <w:szCs w:val="20"/>
              </w:rPr>
            </w:pPr>
          </w:p>
          <w:p w14:paraId="189DE76A" w14:textId="77777777" w:rsidR="007A648D" w:rsidRPr="007A648D" w:rsidRDefault="007A648D" w:rsidP="007A648D">
            <w:pPr>
              <w:spacing w:after="0" w:line="240" w:lineRule="auto"/>
              <w:ind w:left="4536"/>
              <w:rPr>
                <w:rFonts w:ascii="Bookman Old Style" w:eastAsia="Times New Roman" w:hAnsi="Bookman Old Style" w:cs="Arial"/>
                <w:sz w:val="20"/>
                <w:szCs w:val="20"/>
              </w:rPr>
            </w:pPr>
          </w:p>
          <w:p w14:paraId="7CC38695" w14:textId="77777777" w:rsidR="007A648D" w:rsidRPr="007A648D" w:rsidRDefault="007A648D" w:rsidP="007A648D">
            <w:pPr>
              <w:spacing w:after="0" w:line="240" w:lineRule="auto"/>
              <w:ind w:left="4536"/>
              <w:rPr>
                <w:rFonts w:ascii="Bookman Old Style" w:eastAsia="Times New Roman" w:hAnsi="Bookman Old Style" w:cs="Arial"/>
                <w:sz w:val="20"/>
                <w:szCs w:val="20"/>
              </w:rPr>
            </w:pPr>
          </w:p>
          <w:p w14:paraId="17A05223" w14:textId="740EF38C" w:rsidR="007A648D" w:rsidRPr="007A648D" w:rsidRDefault="007A648D" w:rsidP="007A648D">
            <w:pPr>
              <w:pStyle w:val="BodyText"/>
              <w:ind w:left="4554" w:right="-1"/>
              <w:rPr>
                <w:rFonts w:ascii="Bookman Old Style" w:hAnsi="Bookman Old Style"/>
                <w:sz w:val="20"/>
                <w:szCs w:val="20"/>
              </w:rPr>
            </w:pPr>
            <w:r w:rsidRPr="007A648D">
              <w:rPr>
                <w:rFonts w:ascii="Bookman Old Style" w:hAnsi="Bookman Old Style" w:cs="Arial"/>
                <w:sz w:val="20"/>
                <w:szCs w:val="20"/>
              </w:rPr>
              <w:t>MAHENDRA SIREGAR</w:t>
            </w:r>
          </w:p>
        </w:tc>
        <w:tc>
          <w:tcPr>
            <w:tcW w:w="3686" w:type="dxa"/>
            <w:shd w:val="clear" w:color="auto" w:fill="auto"/>
            <w:vAlign w:val="center"/>
          </w:tcPr>
          <w:p w14:paraId="7C7BD6F0" w14:textId="77777777" w:rsidR="007A648D" w:rsidRPr="000B616B" w:rsidRDefault="007A648D"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5F1A74E" w14:textId="77777777" w:rsidR="007A648D" w:rsidRPr="000B616B" w:rsidRDefault="007A648D" w:rsidP="000B616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bl>
    <w:p w14:paraId="7603B503" w14:textId="47718BB0" w:rsidR="00B03AEA" w:rsidRDefault="00B03AEA"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6A08CCC8" w14:textId="77777777" w:rsidR="0098476F" w:rsidRDefault="0098476F"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069EDBF0" w14:textId="527F94AA" w:rsidR="0098476F" w:rsidRDefault="0098476F" w:rsidP="00605F4C">
      <w:pPr>
        <w:spacing w:beforeLines="60" w:before="144" w:afterLines="60" w:after="144" w:line="240" w:lineRule="auto"/>
        <w:rPr>
          <w:rFonts w:ascii="Bookman Old Style" w:eastAsia="Bookman Old Style" w:hAnsi="Bookman Old Style" w:cs="Bookman Old Style"/>
          <w:color w:val="000000" w:themeColor="text1"/>
          <w:sz w:val="20"/>
          <w:szCs w:val="20"/>
        </w:rPr>
      </w:pPr>
    </w:p>
    <w:p w14:paraId="7EACBD2E" w14:textId="7484FD67" w:rsidR="0065350A" w:rsidRDefault="0065350A" w:rsidP="00B03AEA">
      <w:pPr>
        <w:tabs>
          <w:tab w:val="left" w:pos="1256"/>
        </w:tabs>
        <w:rPr>
          <w:rFonts w:ascii="Bookman Old Style" w:eastAsia="Bookman Old Style" w:hAnsi="Bookman Old Style" w:cs="Bookman Old Style"/>
          <w:sz w:val="20"/>
          <w:szCs w:val="20"/>
        </w:rPr>
      </w:pPr>
    </w:p>
    <w:tbl>
      <w:tblPr>
        <w:tblpPr w:leftFromText="180" w:rightFromText="180" w:vertAnchor="text" w:tblpY="1"/>
        <w:tblOverlap w:val="never"/>
        <w:tblW w:w="1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25"/>
        <w:gridCol w:w="5953"/>
        <w:gridCol w:w="3827"/>
      </w:tblGrid>
      <w:tr w:rsidR="00623B56" w:rsidRPr="00B03AEA" w14:paraId="3362AFE9" w14:textId="77777777" w:rsidTr="00623B56">
        <w:trPr>
          <w:trHeight w:val="564"/>
          <w:tblHeader/>
        </w:trPr>
        <w:tc>
          <w:tcPr>
            <w:tcW w:w="7225" w:type="dxa"/>
            <w:shd w:val="clear" w:color="auto" w:fill="FFFF00"/>
            <w:vAlign w:val="center"/>
          </w:tcPr>
          <w:p w14:paraId="18E7B760"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lastRenderedPageBreak/>
              <w:t>DRAF PERATURAN</w:t>
            </w:r>
          </w:p>
        </w:tc>
        <w:tc>
          <w:tcPr>
            <w:tcW w:w="5953" w:type="dxa"/>
            <w:vMerge w:val="restart"/>
            <w:shd w:val="clear" w:color="auto" w:fill="FFFF00"/>
            <w:vAlign w:val="center"/>
          </w:tcPr>
          <w:p w14:paraId="0C72AA75"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TANGGAPAN</w:t>
            </w:r>
          </w:p>
        </w:tc>
        <w:tc>
          <w:tcPr>
            <w:tcW w:w="3827" w:type="dxa"/>
            <w:vMerge w:val="restart"/>
            <w:shd w:val="clear" w:color="auto" w:fill="FFFF00"/>
            <w:vAlign w:val="center"/>
          </w:tcPr>
          <w:p w14:paraId="2601F00B"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USULAN PERUBAHAN</w:t>
            </w:r>
          </w:p>
        </w:tc>
      </w:tr>
      <w:tr w:rsidR="00623B56" w:rsidRPr="00B03AEA" w14:paraId="647751A2" w14:textId="77777777" w:rsidTr="00623B56">
        <w:trPr>
          <w:trHeight w:val="564"/>
          <w:tblHeader/>
        </w:trPr>
        <w:tc>
          <w:tcPr>
            <w:tcW w:w="7225" w:type="dxa"/>
            <w:shd w:val="clear" w:color="auto" w:fill="FFFF00"/>
            <w:vAlign w:val="center"/>
          </w:tcPr>
          <w:p w14:paraId="6C035648" w14:textId="18E0C0B5"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t>LAMPIRAN I</w:t>
            </w:r>
            <w:r>
              <w:rPr>
                <w:rFonts w:ascii="Bookman Old Style" w:eastAsia="Bookman Old Style" w:hAnsi="Bookman Old Style" w:cs="Bookman Old Style"/>
                <w:b/>
                <w:bCs/>
                <w:color w:val="000000" w:themeColor="text1"/>
                <w:sz w:val="20"/>
                <w:szCs w:val="20"/>
                <w:lang w:val="en-US"/>
              </w:rPr>
              <w:t>I</w:t>
            </w:r>
          </w:p>
          <w:p w14:paraId="571203C9"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RANCANGAN</w:t>
            </w:r>
          </w:p>
          <w:p w14:paraId="69282B21"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PERATURAN OTORITAS JASA KEUANGAN</w:t>
            </w:r>
          </w:p>
          <w:p w14:paraId="450B8D85" w14:textId="77777777" w:rsidR="00623B56" w:rsidRPr="00B03AEA" w:rsidRDefault="00623B56" w:rsidP="007A2AAB">
            <w:pPr>
              <w:spacing w:after="0" w:line="240" w:lineRule="auto"/>
              <w:jc w:val="center"/>
              <w:rPr>
                <w:rFonts w:ascii="Bookman Old Style" w:hAnsi="Bookman Old Style"/>
                <w:color w:val="000000" w:themeColor="text1"/>
                <w:sz w:val="20"/>
                <w:szCs w:val="20"/>
              </w:rPr>
            </w:pPr>
            <w:r w:rsidRPr="00B03AEA">
              <w:rPr>
                <w:rFonts w:ascii="Bookman Old Style" w:hAnsi="Bookman Old Style"/>
                <w:color w:val="000000" w:themeColor="text1"/>
                <w:sz w:val="20"/>
                <w:szCs w:val="20"/>
              </w:rPr>
              <w:t xml:space="preserve">REPUBLIK </w:t>
            </w:r>
            <w:r w:rsidRPr="00B03AEA">
              <w:rPr>
                <w:rFonts w:ascii="Bookman Old Style" w:eastAsia="Bookman Old Style" w:hAnsi="Bookman Old Style" w:cs="Bookman Old Style"/>
                <w:color w:val="000000" w:themeColor="text1"/>
                <w:sz w:val="20"/>
                <w:szCs w:val="20"/>
              </w:rPr>
              <w:t>INDONESIA</w:t>
            </w:r>
          </w:p>
          <w:p w14:paraId="6740FCCF"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p>
          <w:p w14:paraId="432F74B4"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NOMOR ... TAHUN 2024</w:t>
            </w:r>
          </w:p>
          <w:p w14:paraId="0E9CFFA0" w14:textId="77777777" w:rsidR="00623B56" w:rsidRPr="00B03AEA" w:rsidRDefault="00623B56" w:rsidP="007A2AAB">
            <w:pPr>
              <w:spacing w:after="0" w:line="240" w:lineRule="auto"/>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TENTANG</w:t>
            </w:r>
          </w:p>
          <w:p w14:paraId="3807559F" w14:textId="77777777" w:rsidR="00623B56" w:rsidRPr="00B03AEA" w:rsidRDefault="00623B56" w:rsidP="007A2AAB">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 xml:space="preserve">KEWAJIBAN PEMENUHAN </w:t>
            </w:r>
          </w:p>
          <w:p w14:paraId="0C6C8CF5" w14:textId="77777777" w:rsidR="00623B56" w:rsidRPr="00B03AEA" w:rsidRDefault="00623B56" w:rsidP="007A2AAB">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KECUKUPAN LIKUIDITAS (</w:t>
            </w:r>
            <w:r w:rsidRPr="00B03AEA">
              <w:rPr>
                <w:rFonts w:ascii="Bookman Old Style" w:hAnsi="Bookman Old Style"/>
                <w:i/>
                <w:color w:val="000000" w:themeColor="text1"/>
                <w:sz w:val="20"/>
                <w:szCs w:val="20"/>
                <w:lang w:val="sv-SE"/>
              </w:rPr>
              <w:t>LIQUIDITY COVERAGE RATIO</w:t>
            </w:r>
            <w:r w:rsidRPr="00B03AEA">
              <w:rPr>
                <w:rFonts w:ascii="Bookman Old Style" w:hAnsi="Bookman Old Style"/>
                <w:color w:val="000000" w:themeColor="text1"/>
                <w:sz w:val="20"/>
                <w:szCs w:val="20"/>
                <w:lang w:val="sv-SE"/>
              </w:rPr>
              <w:t xml:space="preserve">) DAN </w:t>
            </w:r>
          </w:p>
          <w:p w14:paraId="3B683E77" w14:textId="77777777" w:rsidR="00623B56" w:rsidRPr="00B03AEA" w:rsidRDefault="00623B56" w:rsidP="007A2AAB">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PENDANAAN STABIL BERSIH (</w:t>
            </w:r>
            <w:r w:rsidRPr="00B03AEA">
              <w:rPr>
                <w:rFonts w:ascii="Bookman Old Style" w:hAnsi="Bookman Old Style"/>
                <w:i/>
                <w:color w:val="000000" w:themeColor="text1"/>
                <w:sz w:val="20"/>
                <w:szCs w:val="20"/>
                <w:lang w:val="sv-SE"/>
              </w:rPr>
              <w:t>NET STABLE FUNDING RATIO)</w:t>
            </w:r>
            <w:r w:rsidRPr="00B03AEA">
              <w:rPr>
                <w:rFonts w:ascii="Bookman Old Style" w:hAnsi="Bookman Old Style"/>
                <w:color w:val="000000" w:themeColor="text1"/>
                <w:sz w:val="20"/>
                <w:szCs w:val="20"/>
                <w:lang w:val="sv-SE"/>
              </w:rPr>
              <w:t xml:space="preserve"> </w:t>
            </w:r>
          </w:p>
          <w:p w14:paraId="29311C32"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hAnsi="Bookman Old Style"/>
                <w:color w:val="000000" w:themeColor="text1"/>
                <w:sz w:val="20"/>
                <w:szCs w:val="20"/>
                <w:lang w:val="sv-SE"/>
              </w:rPr>
              <w:t>BAGI BANK UMUM SYARIAH DAN UNIT USAHA SYARIAH</w:t>
            </w:r>
          </w:p>
        </w:tc>
        <w:tc>
          <w:tcPr>
            <w:tcW w:w="5953" w:type="dxa"/>
            <w:vMerge/>
            <w:shd w:val="clear" w:color="auto" w:fill="FFFF00"/>
            <w:vAlign w:val="center"/>
          </w:tcPr>
          <w:p w14:paraId="5C137025"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FFFF00"/>
            <w:vAlign w:val="center"/>
          </w:tcPr>
          <w:p w14:paraId="70C22E4E"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23B56" w:rsidRPr="00B03AEA" w14:paraId="638C4FDD" w14:textId="77777777" w:rsidTr="00623B56">
        <w:trPr>
          <w:trHeight w:val="564"/>
          <w:tblHeader/>
        </w:trPr>
        <w:tc>
          <w:tcPr>
            <w:tcW w:w="7225" w:type="dxa"/>
            <w:shd w:val="clear" w:color="auto" w:fill="auto"/>
            <w:vAlign w:val="center"/>
          </w:tcPr>
          <w:p w14:paraId="15104814" w14:textId="786DB980" w:rsidR="00623B56" w:rsidRPr="00623B56" w:rsidRDefault="00623B56" w:rsidP="00623B56">
            <w:pPr>
              <w:pStyle w:val="BodyText"/>
              <w:ind w:right="-1"/>
              <w:jc w:val="center"/>
              <w:rPr>
                <w:rFonts w:ascii="Bookman Old Style" w:hAnsi="Bookman Old Style"/>
                <w:sz w:val="20"/>
                <w:szCs w:val="20"/>
                <w:lang w:val="sv-SE"/>
              </w:rPr>
            </w:pPr>
            <w:r>
              <w:rPr>
                <w:rFonts w:ascii="Bookman Old Style" w:hAnsi="Bookman Old Style"/>
                <w:sz w:val="20"/>
                <w:szCs w:val="20"/>
                <w:lang w:val="sv-SE"/>
              </w:rPr>
              <w:t>L</w:t>
            </w:r>
            <w:r w:rsidRPr="00623B56">
              <w:rPr>
                <w:rFonts w:ascii="Bookman Old Style" w:hAnsi="Bookman Old Style"/>
                <w:sz w:val="20"/>
                <w:szCs w:val="20"/>
                <w:lang w:val="sv-SE"/>
              </w:rPr>
              <w:t xml:space="preserve">APORAN PERHITUNGAN </w:t>
            </w:r>
          </w:p>
          <w:p w14:paraId="628089BB" w14:textId="2CA9D785" w:rsidR="00623B56" w:rsidRPr="00623B56" w:rsidRDefault="00623B56" w:rsidP="00623B56">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623B56">
              <w:rPr>
                <w:rFonts w:ascii="Bookman Old Style" w:hAnsi="Bookman Old Style"/>
                <w:sz w:val="20"/>
                <w:szCs w:val="20"/>
                <w:lang w:val="sv-SE"/>
              </w:rPr>
              <w:t>KEWAJIBAN PEMENUHAN RASIO KECUKUPAN LIKUIDITAS (</w:t>
            </w:r>
            <w:r w:rsidRPr="00623B56">
              <w:rPr>
                <w:rFonts w:ascii="Bookman Old Style" w:hAnsi="Bookman Old Style"/>
                <w:i/>
                <w:sz w:val="20"/>
                <w:szCs w:val="20"/>
                <w:lang w:val="sv-SE"/>
              </w:rPr>
              <w:t>LIQUIDITY COVERAGE RATIO</w:t>
            </w:r>
            <w:r w:rsidRPr="00623B56">
              <w:rPr>
                <w:rFonts w:ascii="Bookman Old Style" w:hAnsi="Bookman Old Style"/>
                <w:sz w:val="20"/>
                <w:szCs w:val="20"/>
                <w:lang w:val="sv-SE"/>
              </w:rPr>
              <w:t>) BULANAN</w:t>
            </w:r>
          </w:p>
        </w:tc>
        <w:tc>
          <w:tcPr>
            <w:tcW w:w="5953" w:type="dxa"/>
            <w:vMerge w:val="restart"/>
            <w:shd w:val="clear" w:color="auto" w:fill="auto"/>
            <w:vAlign w:val="center"/>
          </w:tcPr>
          <w:p w14:paraId="6A768E3A" w14:textId="77777777" w:rsidR="00623B56" w:rsidRDefault="00623B56" w:rsidP="00623B56">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sidRPr="00623B56">
              <w:rPr>
                <w:rFonts w:ascii="Bookman Old Style" w:eastAsia="Bookman Old Style" w:hAnsi="Bookman Old Style" w:cs="Bookman Old Style"/>
                <w:b/>
                <w:bCs/>
                <w:i/>
                <w:color w:val="000000" w:themeColor="text1"/>
                <w:sz w:val="20"/>
                <w:szCs w:val="20"/>
                <w:lang w:val="en-US"/>
              </w:rPr>
              <w:t xml:space="preserve">(Isi </w:t>
            </w:r>
            <w:r>
              <w:rPr>
                <w:rFonts w:ascii="Bookman Old Style" w:eastAsia="Bookman Old Style" w:hAnsi="Bookman Old Style" w:cs="Bookman Old Style"/>
                <w:b/>
                <w:bCs/>
                <w:i/>
                <w:color w:val="000000" w:themeColor="text1"/>
                <w:sz w:val="20"/>
                <w:szCs w:val="20"/>
                <w:lang w:val="en-US"/>
              </w:rPr>
              <w:t>t</w:t>
            </w:r>
            <w:r w:rsidRPr="00623B56">
              <w:rPr>
                <w:rFonts w:ascii="Bookman Old Style" w:eastAsia="Bookman Old Style" w:hAnsi="Bookman Old Style" w:cs="Bookman Old Style"/>
                <w:b/>
                <w:bCs/>
                <w:i/>
                <w:color w:val="000000" w:themeColor="text1"/>
                <w:sz w:val="20"/>
                <w:szCs w:val="20"/>
                <w:lang w:val="en-US"/>
              </w:rPr>
              <w:t>anggapan</w:t>
            </w:r>
            <w:r>
              <w:rPr>
                <w:rFonts w:ascii="Bookman Old Style" w:eastAsia="Bookman Old Style" w:hAnsi="Bookman Old Style" w:cs="Bookman Old Style"/>
                <w:b/>
                <w:bCs/>
                <w:i/>
                <w:color w:val="000000" w:themeColor="text1"/>
                <w:sz w:val="20"/>
                <w:szCs w:val="20"/>
                <w:lang w:val="en-US"/>
              </w:rPr>
              <w:t xml:space="preserve"> atas </w:t>
            </w:r>
          </w:p>
          <w:p w14:paraId="7830A3B8" w14:textId="34CE53EE" w:rsidR="00623B56" w:rsidRPr="00623B56" w:rsidRDefault="00623B56" w:rsidP="00623B56">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Pr>
                <w:rFonts w:ascii="Bookman Old Style" w:eastAsia="Bookman Old Style" w:hAnsi="Bookman Old Style" w:cs="Bookman Old Style"/>
                <w:b/>
                <w:bCs/>
                <w:i/>
                <w:color w:val="000000" w:themeColor="text1"/>
                <w:sz w:val="20"/>
                <w:szCs w:val="20"/>
                <w:lang w:val="en-US"/>
              </w:rPr>
              <w:t>Lampiran II</w:t>
            </w:r>
            <w:r w:rsidRPr="00623B56">
              <w:rPr>
                <w:rFonts w:ascii="Bookman Old Style" w:eastAsia="Bookman Old Style" w:hAnsi="Bookman Old Style" w:cs="Bookman Old Style"/>
                <w:b/>
                <w:bCs/>
                <w:i/>
                <w:color w:val="000000" w:themeColor="text1"/>
                <w:sz w:val="20"/>
                <w:szCs w:val="20"/>
                <w:lang w:val="en-US"/>
              </w:rPr>
              <w:t xml:space="preserve"> Disini)</w:t>
            </w:r>
          </w:p>
        </w:tc>
        <w:tc>
          <w:tcPr>
            <w:tcW w:w="3827" w:type="dxa"/>
            <w:vMerge w:val="restart"/>
            <w:shd w:val="clear" w:color="auto" w:fill="auto"/>
            <w:vAlign w:val="center"/>
          </w:tcPr>
          <w:p w14:paraId="7D05D369" w14:textId="119EAAAE"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623B56">
              <w:rPr>
                <w:rFonts w:ascii="Bookman Old Style" w:eastAsia="Bookman Old Style" w:hAnsi="Bookman Old Style" w:cs="Bookman Old Style"/>
                <w:b/>
                <w:bCs/>
                <w:i/>
                <w:color w:val="000000" w:themeColor="text1"/>
                <w:sz w:val="20"/>
                <w:szCs w:val="20"/>
                <w:lang w:val="en-US"/>
              </w:rPr>
              <w:t xml:space="preserve">(Isi </w:t>
            </w:r>
            <w:r>
              <w:rPr>
                <w:rFonts w:ascii="Bookman Old Style" w:eastAsia="Bookman Old Style" w:hAnsi="Bookman Old Style" w:cs="Bookman Old Style"/>
                <w:b/>
                <w:bCs/>
                <w:i/>
                <w:color w:val="000000" w:themeColor="text1"/>
                <w:sz w:val="20"/>
                <w:szCs w:val="20"/>
                <w:lang w:val="en-US"/>
              </w:rPr>
              <w:t>usulan perubahan atas Lampiran II disini</w:t>
            </w:r>
            <w:r w:rsidRPr="00623B56">
              <w:rPr>
                <w:rFonts w:ascii="Bookman Old Style" w:eastAsia="Bookman Old Style" w:hAnsi="Bookman Old Style" w:cs="Bookman Old Style"/>
                <w:b/>
                <w:bCs/>
                <w:i/>
                <w:color w:val="000000" w:themeColor="text1"/>
                <w:sz w:val="20"/>
                <w:szCs w:val="20"/>
                <w:lang w:val="en-US"/>
              </w:rPr>
              <w:t>)</w:t>
            </w:r>
          </w:p>
        </w:tc>
      </w:tr>
      <w:tr w:rsidR="00623B56" w:rsidRPr="00B03AEA" w14:paraId="1FBDB54D" w14:textId="77777777" w:rsidTr="00623B56">
        <w:trPr>
          <w:trHeight w:val="564"/>
          <w:tblHeader/>
        </w:trPr>
        <w:tc>
          <w:tcPr>
            <w:tcW w:w="7225" w:type="dxa"/>
            <w:shd w:val="clear" w:color="auto" w:fill="auto"/>
            <w:vAlign w:val="center"/>
          </w:tcPr>
          <w:p w14:paraId="247C422C" w14:textId="77777777" w:rsidR="00623B56" w:rsidRPr="00623B56" w:rsidRDefault="00623B56" w:rsidP="00623B56">
            <w:pPr>
              <w:pStyle w:val="BodyText"/>
              <w:ind w:right="-1"/>
              <w:rPr>
                <w:rFonts w:ascii="Bookman Old Style" w:hAnsi="Bookman Old Style"/>
                <w:sz w:val="20"/>
                <w:szCs w:val="20"/>
                <w:lang w:val="sv-SE"/>
              </w:rPr>
            </w:pPr>
            <w:r w:rsidRPr="00623B56">
              <w:rPr>
                <w:rFonts w:ascii="Bookman Old Style" w:hAnsi="Bookman Old Style"/>
                <w:sz w:val="20"/>
                <w:szCs w:val="20"/>
                <w:lang w:val="sv-SE"/>
              </w:rPr>
              <w:t>Nama Bank</w:t>
            </w:r>
            <w:r w:rsidRPr="00623B56">
              <w:rPr>
                <w:rFonts w:ascii="Bookman Old Style" w:hAnsi="Bookman Old Style"/>
                <w:sz w:val="20"/>
                <w:szCs w:val="20"/>
                <w:lang w:val="sv-SE"/>
              </w:rPr>
              <w:tab/>
            </w:r>
            <w:r w:rsidRPr="00623B56">
              <w:rPr>
                <w:rFonts w:ascii="Bookman Old Style" w:hAnsi="Bookman Old Style"/>
                <w:sz w:val="20"/>
                <w:szCs w:val="20"/>
                <w:lang w:val="sv-SE"/>
              </w:rPr>
              <w:tab/>
              <w:t>:</w:t>
            </w:r>
          </w:p>
          <w:p w14:paraId="71433A7F" w14:textId="77777777" w:rsidR="00623B56" w:rsidRDefault="00623B56" w:rsidP="00623B56">
            <w:pPr>
              <w:pStyle w:val="BodyText"/>
              <w:ind w:right="-1"/>
              <w:rPr>
                <w:rFonts w:ascii="Bookman Old Style" w:hAnsi="Bookman Old Style"/>
                <w:sz w:val="20"/>
                <w:szCs w:val="20"/>
                <w:lang w:val="sv-SE"/>
              </w:rPr>
            </w:pPr>
            <w:r w:rsidRPr="00623B56">
              <w:rPr>
                <w:rFonts w:ascii="Bookman Old Style" w:hAnsi="Bookman Old Style"/>
                <w:sz w:val="20"/>
                <w:szCs w:val="20"/>
                <w:lang w:val="sv-SE"/>
              </w:rPr>
              <w:t>Bulan Laporan</w:t>
            </w:r>
            <w:r w:rsidRPr="00623B56">
              <w:rPr>
                <w:rFonts w:ascii="Bookman Old Style" w:hAnsi="Bookman Old Style"/>
                <w:sz w:val="20"/>
                <w:szCs w:val="20"/>
                <w:lang w:val="sv-SE"/>
              </w:rPr>
              <w:tab/>
              <w:t>:</w:t>
            </w:r>
          </w:p>
          <w:p w14:paraId="0CEEC8B3" w14:textId="77777777" w:rsidR="00623B56" w:rsidRDefault="00623B56" w:rsidP="00623B56">
            <w:pPr>
              <w:pStyle w:val="BodyText"/>
              <w:ind w:right="-1"/>
              <w:rPr>
                <w:rFonts w:ascii="Bookman Old Style" w:hAnsi="Bookman Old Style"/>
                <w:sz w:val="20"/>
                <w:szCs w:val="20"/>
                <w:lang w:val="sv-SE"/>
              </w:rPr>
            </w:pPr>
          </w:p>
          <w:p w14:paraId="57BE28F2" w14:textId="3B281D09" w:rsidR="00623B56" w:rsidRPr="00623B56" w:rsidRDefault="00623B56" w:rsidP="00623B56">
            <w:pPr>
              <w:pStyle w:val="BodyText"/>
              <w:ind w:right="-1"/>
              <w:rPr>
                <w:rFonts w:ascii="Bookman Old Style" w:hAnsi="Bookman Old Style"/>
                <w:sz w:val="20"/>
                <w:szCs w:val="20"/>
                <w:lang w:val="sv-SE"/>
              </w:rPr>
            </w:pPr>
          </w:p>
        </w:tc>
        <w:tc>
          <w:tcPr>
            <w:tcW w:w="5953" w:type="dxa"/>
            <w:vMerge/>
            <w:shd w:val="clear" w:color="auto" w:fill="auto"/>
            <w:vAlign w:val="center"/>
          </w:tcPr>
          <w:p w14:paraId="3535C1ED"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auto"/>
            <w:vAlign w:val="center"/>
          </w:tcPr>
          <w:p w14:paraId="6A5D7E28"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bl>
    <w:p w14:paraId="241CDDF7" w14:textId="77777777" w:rsidR="00623B56" w:rsidRDefault="00623B56" w:rsidP="00B03AEA">
      <w:pPr>
        <w:tabs>
          <w:tab w:val="left" w:pos="1256"/>
        </w:tabs>
        <w:rPr>
          <w:rFonts w:ascii="Bookman Old Style" w:eastAsia="Bookman Old Style" w:hAnsi="Bookman Old Style" w:cs="Bookman Old Style"/>
          <w:sz w:val="20"/>
          <w:szCs w:val="20"/>
        </w:rPr>
      </w:pPr>
    </w:p>
    <w:tbl>
      <w:tblPr>
        <w:tblW w:w="17043" w:type="dxa"/>
        <w:tblLook w:val="04A0" w:firstRow="1" w:lastRow="0" w:firstColumn="1" w:lastColumn="0" w:noHBand="0" w:noVBand="1"/>
      </w:tblPr>
      <w:tblGrid>
        <w:gridCol w:w="872"/>
        <w:gridCol w:w="10038"/>
        <w:gridCol w:w="2258"/>
        <w:gridCol w:w="1984"/>
        <w:gridCol w:w="1843"/>
        <w:gridCol w:w="48"/>
      </w:tblGrid>
      <w:tr w:rsidR="002F3310" w:rsidRPr="00E971A9" w14:paraId="3D77C221" w14:textId="77777777" w:rsidTr="002F3310">
        <w:trPr>
          <w:gridAfter w:val="1"/>
          <w:wAfter w:w="48" w:type="dxa"/>
          <w:trHeight w:val="1360"/>
          <w:tblHeader/>
        </w:trPr>
        <w:tc>
          <w:tcPr>
            <w:tcW w:w="87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66959A51"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No.</w:t>
            </w:r>
          </w:p>
        </w:tc>
        <w:tc>
          <w:tcPr>
            <w:tcW w:w="10038"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44E1435"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Komponen</w:t>
            </w:r>
          </w:p>
        </w:tc>
        <w:tc>
          <w:tcPr>
            <w:tcW w:w="2258" w:type="dxa"/>
            <w:tcBorders>
              <w:top w:val="single" w:sz="4" w:space="0" w:color="auto"/>
              <w:left w:val="nil"/>
              <w:bottom w:val="single" w:sz="4" w:space="0" w:color="auto"/>
              <w:right w:val="nil"/>
            </w:tcBorders>
            <w:shd w:val="clear" w:color="auto" w:fill="FFE599" w:themeFill="accent4" w:themeFillTint="66"/>
            <w:vAlign w:val="center"/>
            <w:hideMark/>
          </w:tcPr>
          <w:p w14:paraId="1269F59F"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Haircut atau Run-off Rate atau Inflow Rate</w:t>
            </w:r>
          </w:p>
        </w:tc>
        <w:tc>
          <w:tcPr>
            <w:tcW w:w="1984" w:type="dxa"/>
            <w:tcBorders>
              <w:top w:val="single" w:sz="4" w:space="0" w:color="auto"/>
              <w:left w:val="single" w:sz="4" w:space="0" w:color="auto"/>
              <w:bottom w:val="single" w:sz="4" w:space="0" w:color="auto"/>
              <w:right w:val="nil"/>
            </w:tcBorders>
            <w:shd w:val="clear" w:color="auto" w:fill="FFE599" w:themeFill="accent4" w:themeFillTint="66"/>
            <w:vAlign w:val="center"/>
            <w:hideMark/>
          </w:tcPr>
          <w:p w14:paraId="0600895E"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Nilai Outstanding atau Nilai Pasar</w:t>
            </w:r>
          </w:p>
        </w:tc>
        <w:tc>
          <w:tcPr>
            <w:tcW w:w="1843" w:type="dxa"/>
            <w:tcBorders>
              <w:top w:val="single" w:sz="4" w:space="0" w:color="auto"/>
              <w:left w:val="single" w:sz="4" w:space="0" w:color="auto"/>
              <w:bottom w:val="single" w:sz="4" w:space="0" w:color="auto"/>
              <w:right w:val="nil"/>
            </w:tcBorders>
            <w:shd w:val="clear" w:color="auto" w:fill="FFE599" w:themeFill="accent4" w:themeFillTint="66"/>
            <w:vAlign w:val="center"/>
            <w:hideMark/>
          </w:tcPr>
          <w:p w14:paraId="5DA27BE4"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Nilai setelah Haircut atau Run-off Rate atau Inflow Rate</w:t>
            </w:r>
          </w:p>
        </w:tc>
      </w:tr>
      <w:tr w:rsidR="002F3310" w:rsidRPr="00E971A9" w14:paraId="4B742F20" w14:textId="77777777" w:rsidTr="002F3310">
        <w:trPr>
          <w:gridAfter w:val="1"/>
          <w:wAfter w:w="48" w:type="dxa"/>
          <w:trHeight w:val="290"/>
        </w:trPr>
        <w:tc>
          <w:tcPr>
            <w:tcW w:w="10910" w:type="dxa"/>
            <w:gridSpan w:val="2"/>
            <w:tcBorders>
              <w:top w:val="nil"/>
              <w:left w:val="single" w:sz="4" w:space="0" w:color="auto"/>
              <w:bottom w:val="nil"/>
              <w:right w:val="nil"/>
            </w:tcBorders>
            <w:shd w:val="clear" w:color="000000" w:fill="BFBFBF"/>
            <w:noWrap/>
            <w:vAlign w:val="center"/>
            <w:hideMark/>
          </w:tcPr>
          <w:p w14:paraId="365F3FD5"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A. HQLA</w:t>
            </w:r>
          </w:p>
        </w:tc>
        <w:tc>
          <w:tcPr>
            <w:tcW w:w="2258" w:type="dxa"/>
            <w:tcBorders>
              <w:top w:val="nil"/>
              <w:left w:val="nil"/>
              <w:bottom w:val="nil"/>
              <w:right w:val="nil"/>
            </w:tcBorders>
            <w:shd w:val="clear" w:color="000000" w:fill="BFBFBF"/>
            <w:noWrap/>
            <w:vAlign w:val="center"/>
            <w:hideMark/>
          </w:tcPr>
          <w:p w14:paraId="7F20B208"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nil"/>
              <w:left w:val="nil"/>
              <w:bottom w:val="nil"/>
              <w:right w:val="nil"/>
            </w:tcBorders>
            <w:shd w:val="clear" w:color="000000" w:fill="BFBFBF"/>
            <w:noWrap/>
            <w:vAlign w:val="center"/>
            <w:hideMark/>
          </w:tcPr>
          <w:p w14:paraId="245ACD13"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843" w:type="dxa"/>
            <w:tcBorders>
              <w:top w:val="nil"/>
              <w:left w:val="nil"/>
              <w:bottom w:val="nil"/>
              <w:right w:val="nil"/>
            </w:tcBorders>
            <w:shd w:val="clear" w:color="000000" w:fill="BFBFBF"/>
            <w:noWrap/>
            <w:vAlign w:val="center"/>
            <w:hideMark/>
          </w:tcPr>
          <w:p w14:paraId="4A7A2898"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r>
      <w:tr w:rsidR="002F3310" w:rsidRPr="00E971A9" w14:paraId="259A2751"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CBA5"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1. HQLA Level 1</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15DCC"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6082152"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0F301D6"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r>
      <w:tr w:rsidR="002F3310" w:rsidRPr="00E971A9" w14:paraId="2C48EA38"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E3073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1.1</w:t>
            </w:r>
          </w:p>
        </w:tc>
        <w:tc>
          <w:tcPr>
            <w:tcW w:w="10038" w:type="dxa"/>
            <w:tcBorders>
              <w:top w:val="nil"/>
              <w:left w:val="nil"/>
              <w:bottom w:val="single" w:sz="4" w:space="0" w:color="auto"/>
              <w:right w:val="nil"/>
            </w:tcBorders>
            <w:shd w:val="clear" w:color="auto" w:fill="F2F2F2" w:themeFill="background1" w:themeFillShade="F2"/>
            <w:vAlign w:val="center"/>
            <w:hideMark/>
          </w:tcPr>
          <w:p w14:paraId="1198E36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Kas dan setara kas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158F47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3CA7FB8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368887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40611C44" w14:textId="77777777" w:rsidTr="00B60AB6">
        <w:trPr>
          <w:gridAfter w:val="1"/>
          <w:wAfter w:w="48" w:type="dxa"/>
          <w:trHeight w:val="368"/>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4E32C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1.2</w:t>
            </w:r>
          </w:p>
        </w:tc>
        <w:tc>
          <w:tcPr>
            <w:tcW w:w="10038" w:type="dxa"/>
            <w:tcBorders>
              <w:top w:val="nil"/>
              <w:left w:val="nil"/>
              <w:bottom w:val="single" w:sz="4" w:space="0" w:color="auto"/>
              <w:right w:val="nil"/>
            </w:tcBorders>
            <w:shd w:val="clear" w:color="auto" w:fill="F2F2F2" w:themeFill="background1" w:themeFillShade="F2"/>
            <w:vAlign w:val="center"/>
            <w:hideMark/>
          </w:tcPr>
          <w:p w14:paraId="46FE93E5"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Total penempatan pada Bank Indonesia (instrumen syariah al. SBIS, SUKBI, TD Valas Syariah), yaitu:</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F7C9A5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5A3A203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2F3070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674BB86"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86213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CB42007"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bagian dari penempatan pada Bank Indonesia yang dapat ditarik saat kondisi stres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53D947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675970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8300D2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10FD057D" w14:textId="77777777" w:rsidTr="00B60AB6">
        <w:trPr>
          <w:gridAfter w:val="1"/>
          <w:wAfter w:w="48" w:type="dxa"/>
          <w:trHeight w:val="361"/>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AEC4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1.3</w:t>
            </w:r>
          </w:p>
        </w:tc>
        <w:tc>
          <w:tcPr>
            <w:tcW w:w="10038" w:type="dxa"/>
            <w:tcBorders>
              <w:top w:val="nil"/>
              <w:left w:val="nil"/>
              <w:bottom w:val="single" w:sz="4" w:space="0" w:color="auto"/>
              <w:right w:val="nil"/>
            </w:tcBorders>
            <w:shd w:val="clear" w:color="auto" w:fill="F2F2F2" w:themeFill="background1" w:themeFillShade="F2"/>
            <w:vAlign w:val="center"/>
            <w:hideMark/>
          </w:tcPr>
          <w:p w14:paraId="70574F82"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Surat berharga syariah yang memenuhi kriteria </w:t>
            </w:r>
            <w:r w:rsidRPr="00E971A9">
              <w:rPr>
                <w:rFonts w:eastAsia="Times New Roman"/>
                <w:b/>
                <w:sz w:val="24"/>
                <w:szCs w:val="24"/>
                <w:lang w:val="en-ID" w:eastAsia="en-ID"/>
              </w:rPr>
              <w:t>Lampiran I poin III Huruf B angka 1 huruf c</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09227C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620C2F4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7F26B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B60AB6" w14:paraId="0629B954" w14:textId="77777777" w:rsidTr="00B60AB6">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C83911" w14:textId="4580A9B9" w:rsidR="002F3310" w:rsidRPr="00E971A9" w:rsidRDefault="002F3310" w:rsidP="00B60AB6">
            <w:pPr>
              <w:spacing w:after="0" w:line="240" w:lineRule="auto"/>
              <w:jc w:val="both"/>
              <w:rPr>
                <w:rFonts w:eastAsia="Times New Roman"/>
                <w:sz w:val="24"/>
                <w:szCs w:val="24"/>
                <w:lang w:val="en-ID" w:eastAsia="en-ID"/>
              </w:rPr>
            </w:pPr>
          </w:p>
        </w:tc>
        <w:tc>
          <w:tcPr>
            <w:tcW w:w="10038" w:type="dxa"/>
            <w:tcBorders>
              <w:top w:val="nil"/>
              <w:left w:val="nil"/>
              <w:bottom w:val="single" w:sz="4" w:space="0" w:color="auto"/>
              <w:right w:val="nil"/>
            </w:tcBorders>
            <w:shd w:val="clear" w:color="auto" w:fill="auto"/>
            <w:vAlign w:val="center"/>
            <w:hideMark/>
          </w:tcPr>
          <w:p w14:paraId="7D4224E7"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pemerintah negara lain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D8EA90D" w14:textId="77777777" w:rsidR="002F3310" w:rsidRPr="00E971A9" w:rsidRDefault="002F3310" w:rsidP="00B60AB6">
            <w:pPr>
              <w:spacing w:after="0" w:line="240" w:lineRule="auto"/>
              <w:ind w:left="296"/>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14F850BC"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DFD43"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150E488D" w14:textId="77777777" w:rsidTr="00B60AB6">
        <w:trPr>
          <w:gridAfter w:val="1"/>
          <w:wAfter w:w="48" w:type="dxa"/>
          <w:trHeight w:val="10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B771A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D8FFEF7"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bank sentral negara lain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83527C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2A43627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6256E8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22F5FD40" w14:textId="77777777" w:rsidTr="00B60AB6">
        <w:trPr>
          <w:gridAfter w:val="1"/>
          <w:wAfter w:w="48" w:type="dxa"/>
          <w:trHeight w:val="36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02077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8E61E13"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entitas sektor publik</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F1CACA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A19204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0F8C6F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28D22FE9"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013BF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4666A05"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bank pembangunan multilateral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7FDFBE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25B5048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C7BEA2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57CAEC22" w14:textId="77777777" w:rsidTr="00B60AB6">
        <w:trPr>
          <w:gridAfter w:val="1"/>
          <w:wAfter w:w="48" w:type="dxa"/>
          <w:trHeight w:val="42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84C66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ABC1F34"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lembaga internasional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E05FA2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65AE2C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7BB4EC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006049C7" w14:textId="77777777" w:rsidTr="002F3310">
        <w:trPr>
          <w:gridAfter w:val="1"/>
          <w:wAfter w:w="48" w:type="dxa"/>
          <w:trHeight w:val="84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D1B024"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1.4</w:t>
            </w:r>
          </w:p>
        </w:tc>
        <w:tc>
          <w:tcPr>
            <w:tcW w:w="10038" w:type="dxa"/>
            <w:tcBorders>
              <w:top w:val="nil"/>
              <w:left w:val="nil"/>
              <w:bottom w:val="single" w:sz="4" w:space="0" w:color="auto"/>
              <w:right w:val="nil"/>
            </w:tcBorders>
            <w:shd w:val="clear" w:color="auto" w:fill="F2F2F2" w:themeFill="background1" w:themeFillShade="F2"/>
            <w:vAlign w:val="center"/>
            <w:hideMark/>
          </w:tcPr>
          <w:p w14:paraId="6D5F1C1C"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Surat berharga syariah yang diterbitkan Pemerintah Pusat dan Bank Indonesia dalam rupiah dan valuta asing</w:t>
            </w:r>
            <w:r w:rsidRPr="00E971A9">
              <w:rPr>
                <w:rFonts w:eastAsia="Times New Roman"/>
                <w:bCs/>
                <w:sz w:val="24"/>
                <w:szCs w:val="24"/>
                <w:lang w:val="en-ID" w:eastAsia="en-ID"/>
              </w:rPr>
              <w:t xml:space="preserve"> yang memenuhi kriteria</w:t>
            </w:r>
            <w:r w:rsidRPr="00E971A9">
              <w:rPr>
                <w:rFonts w:eastAsia="Times New Roman"/>
                <w:b/>
                <w:bCs/>
                <w:sz w:val="24"/>
                <w:szCs w:val="24"/>
                <w:lang w:val="en-ID" w:eastAsia="en-ID"/>
              </w:rPr>
              <w:t xml:space="preserve"> </w:t>
            </w:r>
            <w:r w:rsidRPr="00E971A9">
              <w:rPr>
                <w:rFonts w:eastAsia="Times New Roman"/>
                <w:b/>
                <w:sz w:val="24"/>
                <w:szCs w:val="24"/>
                <w:lang w:val="en-ID" w:eastAsia="en-ID"/>
              </w:rPr>
              <w:t>Lampiran I poin III Huruf B angka 1 huruf d dan e</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4C63F8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747F0FE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991FB3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108312B4" w14:textId="77777777" w:rsidTr="002F3310">
        <w:trPr>
          <w:gridAfter w:val="1"/>
          <w:wAfter w:w="48" w:type="dxa"/>
          <w:trHeight w:val="112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FAF904"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1.5</w:t>
            </w:r>
          </w:p>
        </w:tc>
        <w:tc>
          <w:tcPr>
            <w:tcW w:w="10038" w:type="dxa"/>
            <w:tcBorders>
              <w:top w:val="nil"/>
              <w:left w:val="nil"/>
              <w:bottom w:val="single" w:sz="4" w:space="0" w:color="auto"/>
              <w:right w:val="nil"/>
            </w:tcBorders>
            <w:shd w:val="clear" w:color="auto" w:fill="F2F2F2" w:themeFill="background1" w:themeFillShade="F2"/>
            <w:vAlign w:val="center"/>
            <w:hideMark/>
          </w:tcPr>
          <w:p w14:paraId="1F2FB7E4"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Surat berharga syariah yang diterbitkan oleh pemerintah dan bank sentral negara lain dalam valuta asing dengan bobot risiko lebih dari 0% yang memenuhi kriteria </w:t>
            </w:r>
            <w:r w:rsidRPr="00E971A9">
              <w:rPr>
                <w:rFonts w:eastAsia="Times New Roman"/>
                <w:b/>
                <w:sz w:val="24"/>
                <w:szCs w:val="24"/>
                <w:lang w:val="en-ID" w:eastAsia="en-ID"/>
              </w:rPr>
              <w:t>Lampiran I poin III Huruf B angka 1 huruf f</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4AE78D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345EA49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DDCF3D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xml:space="preserve">                             -   </w:t>
            </w:r>
          </w:p>
        </w:tc>
      </w:tr>
      <w:tr w:rsidR="002F3310" w:rsidRPr="00E971A9" w14:paraId="60450041" w14:textId="77777777" w:rsidTr="00B60AB6">
        <w:trPr>
          <w:gridAfter w:val="1"/>
          <w:wAfter w:w="48" w:type="dxa"/>
          <w:trHeight w:val="422"/>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0F7136D5"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HQLA Level 1</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05514464"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19B9523C"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9495D5"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 xml:space="preserve">                             -   </w:t>
            </w:r>
          </w:p>
        </w:tc>
      </w:tr>
      <w:tr w:rsidR="002F3310" w:rsidRPr="00E971A9" w14:paraId="5645B3A7" w14:textId="77777777" w:rsidTr="002F3310">
        <w:trPr>
          <w:trHeight w:val="280"/>
        </w:trPr>
        <w:tc>
          <w:tcPr>
            <w:tcW w:w="170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27A730"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2. HQLA Level 2A</w:t>
            </w:r>
          </w:p>
        </w:tc>
      </w:tr>
      <w:tr w:rsidR="002F3310" w:rsidRPr="00E971A9" w14:paraId="2FC83FC6"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09F7F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2.1</w:t>
            </w:r>
          </w:p>
        </w:tc>
        <w:tc>
          <w:tcPr>
            <w:tcW w:w="10038" w:type="dxa"/>
            <w:tcBorders>
              <w:top w:val="nil"/>
              <w:left w:val="nil"/>
              <w:bottom w:val="single" w:sz="4" w:space="0" w:color="auto"/>
              <w:right w:val="nil"/>
            </w:tcBorders>
            <w:shd w:val="clear" w:color="auto" w:fill="F2F2F2" w:themeFill="background1" w:themeFillShade="F2"/>
            <w:vAlign w:val="center"/>
            <w:hideMark/>
          </w:tcPr>
          <w:p w14:paraId="587B9B7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xml:space="preserve">Surat berharga syariah yang memenuhi kriteria </w:t>
            </w:r>
            <w:r w:rsidRPr="00E971A9">
              <w:rPr>
                <w:rFonts w:eastAsia="Times New Roman"/>
                <w:b/>
                <w:sz w:val="24"/>
                <w:szCs w:val="24"/>
                <w:lang w:val="en-ID" w:eastAsia="en-ID"/>
              </w:rPr>
              <w:t>Lampiran I poin III Huruf B angka 2 huruf a</w:t>
            </w:r>
            <w:r w:rsidRPr="00E971A9">
              <w:rPr>
                <w:rFonts w:eastAsia="Times New Roman"/>
                <w:sz w:val="24"/>
                <w:szCs w:val="24"/>
                <w:lang w:val="en-ID" w:eastAsia="en-ID"/>
              </w:rPr>
              <w:t>:</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9074BE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47F73DB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308B30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9394241"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43661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4AFA3E5"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pemerintah negara lain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12F5C7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10FBE82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05D14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68FE703"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AF8A1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D50BD8E"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bank sentral negara lain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D84A6A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24FB66F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A9A79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908E522"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99E21A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327EBD8B"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entitas sektor publik</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33A533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2F97370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726DD6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86F1B85" w14:textId="77777777" w:rsidTr="00B60AB6">
        <w:trPr>
          <w:gridAfter w:val="1"/>
          <w:wAfter w:w="48" w:type="dxa"/>
          <w:trHeight w:val="36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4AF09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vAlign w:val="center"/>
            <w:hideMark/>
          </w:tcPr>
          <w:p w14:paraId="16FD97C5" w14:textId="77777777" w:rsidR="002F3310" w:rsidRPr="00E971A9" w:rsidRDefault="002F3310" w:rsidP="00B60AB6">
            <w:pPr>
              <w:spacing w:after="0" w:line="240" w:lineRule="auto"/>
              <w:ind w:left="296"/>
              <w:jc w:val="both"/>
              <w:rPr>
                <w:rFonts w:eastAsia="Times New Roman"/>
                <w:sz w:val="24"/>
                <w:szCs w:val="24"/>
                <w:lang w:val="en-ID" w:eastAsia="en-ID"/>
              </w:rPr>
            </w:pPr>
            <w:r w:rsidRPr="00E971A9">
              <w:rPr>
                <w:rFonts w:eastAsia="Times New Roman"/>
                <w:sz w:val="24"/>
                <w:szCs w:val="24"/>
                <w:lang w:val="en-ID" w:eastAsia="en-ID"/>
              </w:rPr>
              <w:t>diterbitkan atau dijamin oleh bank pembangunan multilateral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9B4272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2F4EBAB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A5CE2A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D490012" w14:textId="77777777" w:rsidTr="002F3310">
        <w:trPr>
          <w:gridAfter w:val="1"/>
          <w:wAfter w:w="48" w:type="dxa"/>
          <w:trHeight w:val="84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7F9FD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2.2</w:t>
            </w:r>
          </w:p>
        </w:tc>
        <w:tc>
          <w:tcPr>
            <w:tcW w:w="10038" w:type="dxa"/>
            <w:tcBorders>
              <w:top w:val="nil"/>
              <w:left w:val="nil"/>
              <w:bottom w:val="single" w:sz="4" w:space="0" w:color="auto"/>
              <w:right w:val="nil"/>
            </w:tcBorders>
            <w:shd w:val="clear" w:color="auto" w:fill="F2F2F2" w:themeFill="background1" w:themeFillShade="F2"/>
            <w:vAlign w:val="center"/>
            <w:hideMark/>
          </w:tcPr>
          <w:p w14:paraId="70241C33"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Surat berharga syariah yang diterbitkan oleh korporasi non-keuangan yang memenuhi kriteria </w:t>
            </w:r>
            <w:r w:rsidRPr="00E971A9">
              <w:rPr>
                <w:rFonts w:eastAsia="Times New Roman"/>
                <w:b/>
                <w:sz w:val="24"/>
                <w:szCs w:val="24"/>
                <w:lang w:val="en-ID" w:eastAsia="en-ID"/>
              </w:rPr>
              <w:t>Lampiran I poin III Huruf B angka 2 huruf b</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45ABE9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184EC6F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34450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E15451F" w14:textId="77777777" w:rsidTr="00B60AB6">
        <w:trPr>
          <w:gridAfter w:val="1"/>
          <w:wAfter w:w="48" w:type="dxa"/>
          <w:trHeight w:val="778"/>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94AD4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2.3</w:t>
            </w:r>
          </w:p>
        </w:tc>
        <w:tc>
          <w:tcPr>
            <w:tcW w:w="10038" w:type="dxa"/>
            <w:tcBorders>
              <w:top w:val="nil"/>
              <w:left w:val="nil"/>
              <w:bottom w:val="single" w:sz="4" w:space="0" w:color="auto"/>
              <w:right w:val="nil"/>
            </w:tcBorders>
            <w:shd w:val="clear" w:color="auto" w:fill="F2F2F2" w:themeFill="background1" w:themeFillShade="F2"/>
            <w:vAlign w:val="center"/>
            <w:hideMark/>
          </w:tcPr>
          <w:p w14:paraId="76C81E48"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Surat berharga berbentuk </w:t>
            </w:r>
            <w:r w:rsidRPr="00E971A9">
              <w:rPr>
                <w:rFonts w:eastAsia="Times New Roman"/>
                <w:i/>
                <w:iCs/>
                <w:sz w:val="24"/>
                <w:szCs w:val="24"/>
                <w:lang w:val="en-ID" w:eastAsia="en-ID"/>
              </w:rPr>
              <w:t>covered</w:t>
            </w:r>
            <w:r w:rsidRPr="00E971A9">
              <w:rPr>
                <w:rFonts w:eastAsia="Times New Roman"/>
                <w:sz w:val="24"/>
                <w:szCs w:val="24"/>
                <w:lang w:val="en-ID" w:eastAsia="en-ID"/>
              </w:rPr>
              <w:t xml:space="preserve"> sukuk yang tidak diterbitkan oleh Bank pelapor atau pihak yang terafiliasi dengan Bank pelapor yang memenuhi kriteria </w:t>
            </w:r>
            <w:r w:rsidRPr="00E971A9">
              <w:rPr>
                <w:rFonts w:eastAsia="Times New Roman"/>
                <w:b/>
                <w:bCs/>
                <w:sz w:val="24"/>
                <w:szCs w:val="24"/>
                <w:lang w:val="en-ID" w:eastAsia="en-ID"/>
              </w:rPr>
              <w:t xml:space="preserve"> </w:t>
            </w:r>
            <w:r w:rsidRPr="00E971A9">
              <w:rPr>
                <w:rFonts w:eastAsia="Times New Roman"/>
                <w:b/>
                <w:sz w:val="24"/>
                <w:szCs w:val="24"/>
                <w:lang w:val="en-ID" w:eastAsia="en-ID"/>
              </w:rPr>
              <w:t>Lampiran I poin III Huruf B angka 2 huruf b</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63EB7C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5F1D1E7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25A41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1F04536"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09A1C9"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HQLA Level 2A</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299068AC"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240C615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FFB5D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B</w:t>
            </w:r>
          </w:p>
        </w:tc>
      </w:tr>
      <w:tr w:rsidR="002F3310" w:rsidRPr="00E971A9" w14:paraId="1FE0A225" w14:textId="77777777" w:rsidTr="002F3310">
        <w:trPr>
          <w:trHeight w:val="280"/>
        </w:trPr>
        <w:tc>
          <w:tcPr>
            <w:tcW w:w="170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9BFA5D"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3. HQLA Level 2B</w:t>
            </w:r>
          </w:p>
        </w:tc>
      </w:tr>
      <w:tr w:rsidR="002F3310" w:rsidRPr="00E971A9" w14:paraId="7561884E"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B92F8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3.1</w:t>
            </w:r>
          </w:p>
        </w:tc>
        <w:tc>
          <w:tcPr>
            <w:tcW w:w="10038" w:type="dxa"/>
            <w:tcBorders>
              <w:top w:val="nil"/>
              <w:left w:val="nil"/>
              <w:bottom w:val="single" w:sz="4" w:space="0" w:color="auto"/>
              <w:right w:val="nil"/>
            </w:tcBorders>
            <w:shd w:val="clear" w:color="auto" w:fill="F2F2F2" w:themeFill="background1" w:themeFillShade="F2"/>
            <w:vAlign w:val="center"/>
            <w:hideMark/>
          </w:tcPr>
          <w:p w14:paraId="6661D9FC"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Efek beragun aset syariah (EBAS) berupa rumah tinggal yang memenuhi kriteria </w:t>
            </w:r>
            <w:r w:rsidRPr="00E971A9">
              <w:rPr>
                <w:rFonts w:eastAsia="Times New Roman"/>
                <w:b/>
                <w:sz w:val="24"/>
                <w:szCs w:val="24"/>
                <w:lang w:val="en-ID" w:eastAsia="en-ID"/>
              </w:rPr>
              <w:t>Lampiran I poin III Huruf B angka 3 huruf 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2F4875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25%</w:t>
            </w:r>
          </w:p>
        </w:tc>
        <w:tc>
          <w:tcPr>
            <w:tcW w:w="1984" w:type="dxa"/>
            <w:tcBorders>
              <w:top w:val="nil"/>
              <w:left w:val="nil"/>
              <w:bottom w:val="single" w:sz="4" w:space="0" w:color="auto"/>
              <w:right w:val="single" w:sz="4" w:space="0" w:color="auto"/>
            </w:tcBorders>
            <w:shd w:val="clear" w:color="auto" w:fill="auto"/>
            <w:noWrap/>
            <w:vAlign w:val="center"/>
            <w:hideMark/>
          </w:tcPr>
          <w:p w14:paraId="09F9ED6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41644F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1EE7380"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B715D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3.2</w:t>
            </w:r>
          </w:p>
        </w:tc>
        <w:tc>
          <w:tcPr>
            <w:tcW w:w="10038" w:type="dxa"/>
            <w:tcBorders>
              <w:top w:val="nil"/>
              <w:left w:val="nil"/>
              <w:bottom w:val="single" w:sz="4" w:space="0" w:color="auto"/>
              <w:right w:val="nil"/>
            </w:tcBorders>
            <w:shd w:val="clear" w:color="auto" w:fill="F2F2F2" w:themeFill="background1" w:themeFillShade="F2"/>
            <w:vAlign w:val="center"/>
            <w:hideMark/>
          </w:tcPr>
          <w:p w14:paraId="3FCDBC89"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Surat berharga syariah berupa sukuk yang diterbitkan oleh korporasi yang memenuhi kriteria </w:t>
            </w:r>
            <w:r w:rsidRPr="00E971A9">
              <w:rPr>
                <w:rFonts w:eastAsia="Times New Roman"/>
                <w:b/>
                <w:sz w:val="24"/>
                <w:szCs w:val="24"/>
                <w:lang w:val="en-ID" w:eastAsia="en-ID"/>
              </w:rPr>
              <w:t>Lampiran I poin III Huruf B angka 3 huruf c</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2C6AF0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2B35A8E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49CE44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039E6E2"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D1CB11"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3.3</w:t>
            </w:r>
          </w:p>
        </w:tc>
        <w:tc>
          <w:tcPr>
            <w:tcW w:w="10038" w:type="dxa"/>
            <w:tcBorders>
              <w:top w:val="nil"/>
              <w:left w:val="nil"/>
              <w:bottom w:val="single" w:sz="4" w:space="0" w:color="auto"/>
              <w:right w:val="nil"/>
            </w:tcBorders>
            <w:shd w:val="clear" w:color="auto" w:fill="F2F2F2" w:themeFill="background1" w:themeFillShade="F2"/>
            <w:vAlign w:val="center"/>
            <w:hideMark/>
          </w:tcPr>
          <w:p w14:paraId="626835A6" w14:textId="36337336"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Saham biasa yang dimiliki perusahaan anak bukan Bank yang memenuhi kriteria </w:t>
            </w:r>
            <w:r w:rsidRPr="00E971A9">
              <w:rPr>
                <w:rFonts w:eastAsia="Times New Roman"/>
                <w:b/>
                <w:sz w:val="24"/>
                <w:szCs w:val="24"/>
                <w:lang w:val="en-ID" w:eastAsia="en-ID"/>
              </w:rPr>
              <w:t>Lampiran I poin III Huruf B angka 3 huruf d</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2DEFF6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4FF964B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D9AA1B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96474D7" w14:textId="77777777" w:rsidTr="00B60AB6">
        <w:trPr>
          <w:gridAfter w:val="1"/>
          <w:wAfter w:w="48" w:type="dxa"/>
          <w:trHeight w:val="814"/>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5B2EEF"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3.4</w:t>
            </w:r>
          </w:p>
        </w:tc>
        <w:tc>
          <w:tcPr>
            <w:tcW w:w="10038" w:type="dxa"/>
            <w:tcBorders>
              <w:top w:val="nil"/>
              <w:left w:val="nil"/>
              <w:bottom w:val="single" w:sz="4" w:space="0" w:color="auto"/>
              <w:right w:val="nil"/>
            </w:tcBorders>
            <w:shd w:val="clear" w:color="auto" w:fill="F2F2F2" w:themeFill="background1" w:themeFillShade="F2"/>
            <w:vAlign w:val="center"/>
            <w:hideMark/>
          </w:tcPr>
          <w:p w14:paraId="0D2487EE"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xml:space="preserve">Surat berharga syariah yang diterbitkan atau dijamin oleh pemerintah negara lain, bank sentral negara lain, dan/atau entitas sektor publik yang memenuhi kriteria </w:t>
            </w:r>
            <w:r w:rsidRPr="00E971A9">
              <w:rPr>
                <w:rFonts w:eastAsia="Times New Roman"/>
                <w:b/>
                <w:sz w:val="24"/>
                <w:szCs w:val="24"/>
                <w:lang w:val="en-ID" w:eastAsia="en-ID"/>
              </w:rPr>
              <w:t>Lampiran I poin III Huruf B angka 3 huruf b</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D7F67A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2BB8B30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BA192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9D5FB93" w14:textId="77777777" w:rsidTr="00B60AB6">
        <w:trPr>
          <w:gridAfter w:val="1"/>
          <w:wAfter w:w="48" w:type="dxa"/>
          <w:trHeight w:val="1159"/>
        </w:trPr>
        <w:tc>
          <w:tcPr>
            <w:tcW w:w="872" w:type="dxa"/>
            <w:tcBorders>
              <w:top w:val="nil"/>
              <w:left w:val="single" w:sz="4" w:space="0" w:color="auto"/>
              <w:bottom w:val="nil"/>
              <w:right w:val="nil"/>
            </w:tcBorders>
            <w:shd w:val="clear" w:color="auto" w:fill="F2F2F2" w:themeFill="background1" w:themeFillShade="F2"/>
            <w:noWrap/>
            <w:vAlign w:val="center"/>
            <w:hideMark/>
          </w:tcPr>
          <w:p w14:paraId="4DE33D5D"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3.5</w:t>
            </w:r>
          </w:p>
        </w:tc>
        <w:tc>
          <w:tcPr>
            <w:tcW w:w="10038" w:type="dxa"/>
            <w:tcBorders>
              <w:top w:val="nil"/>
              <w:left w:val="nil"/>
              <w:bottom w:val="nil"/>
              <w:right w:val="nil"/>
            </w:tcBorders>
            <w:shd w:val="clear" w:color="auto" w:fill="F2F2F2" w:themeFill="background1" w:themeFillShade="F2"/>
            <w:hideMark/>
          </w:tcPr>
          <w:p w14:paraId="21B5E9C9"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Sukuk atau instrumen keuangan syariah lainnya yang memenuhi kondisi dimaksud:</w:t>
            </w:r>
            <w:r w:rsidRPr="00E971A9">
              <w:rPr>
                <w:rFonts w:eastAsia="Times New Roman"/>
                <w:sz w:val="24"/>
                <w:szCs w:val="24"/>
                <w:lang w:val="en-ID" w:eastAsia="en-ID"/>
              </w:rPr>
              <w:br w:type="page"/>
            </w:r>
          </w:p>
          <w:p w14:paraId="5AD6850E"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t>- tidak diterbitkan oleh lembaga keuangan atau afiliasinya; dan</w:t>
            </w:r>
          </w:p>
          <w:p w14:paraId="72BB5D66" w14:textId="77777777" w:rsidR="002F3310" w:rsidRPr="00E971A9" w:rsidRDefault="002F3310" w:rsidP="00B60AB6">
            <w:pPr>
              <w:spacing w:after="0" w:line="240" w:lineRule="auto"/>
              <w:jc w:val="both"/>
              <w:rPr>
                <w:rFonts w:eastAsia="Times New Roman"/>
                <w:sz w:val="24"/>
                <w:szCs w:val="24"/>
                <w:lang w:val="en-ID" w:eastAsia="en-ID"/>
              </w:rPr>
            </w:pPr>
            <w:r w:rsidRPr="00E971A9">
              <w:rPr>
                <w:rFonts w:eastAsia="Times New Roman"/>
                <w:sz w:val="24"/>
                <w:szCs w:val="24"/>
                <w:lang w:val="en-ID" w:eastAsia="en-ID"/>
              </w:rPr>
              <w:br w:type="page"/>
              <w:t>- diperdagangkan pada pasar dengan konsentrasi yang rendah dan dapat menjadi sumber likuiditas setiap waktu.</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8FB00C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705A7DE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A9DFBE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342491A" w14:textId="77777777" w:rsidTr="002F3310">
        <w:trPr>
          <w:gridAfter w:val="1"/>
          <w:wAfter w:w="48" w:type="dxa"/>
          <w:trHeight w:val="280"/>
        </w:trPr>
        <w:tc>
          <w:tcPr>
            <w:tcW w:w="10910" w:type="dxa"/>
            <w:gridSpan w:val="2"/>
            <w:tcBorders>
              <w:top w:val="single" w:sz="4" w:space="0" w:color="auto"/>
              <w:left w:val="single" w:sz="4" w:space="0" w:color="auto"/>
              <w:bottom w:val="nil"/>
              <w:right w:val="nil"/>
            </w:tcBorders>
            <w:shd w:val="clear" w:color="auto" w:fill="auto"/>
            <w:noWrap/>
            <w:vAlign w:val="center"/>
            <w:hideMark/>
          </w:tcPr>
          <w:p w14:paraId="21211FC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HQLA Level 2B</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ECBF19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40FF72A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DEAA91"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C</w:t>
            </w:r>
          </w:p>
        </w:tc>
      </w:tr>
      <w:tr w:rsidR="002F3310" w:rsidRPr="00E971A9" w14:paraId="3409E416" w14:textId="77777777" w:rsidTr="002F3310">
        <w:trPr>
          <w:trHeight w:val="280"/>
        </w:trPr>
        <w:tc>
          <w:tcPr>
            <w:tcW w:w="170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B4EC7"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 </w:t>
            </w:r>
          </w:p>
        </w:tc>
      </w:tr>
      <w:tr w:rsidR="002F3310" w:rsidRPr="00E971A9" w14:paraId="111E1900" w14:textId="77777777" w:rsidTr="002F3310">
        <w:trPr>
          <w:gridAfter w:val="1"/>
          <w:wAfter w:w="48" w:type="dxa"/>
          <w:trHeight w:val="280"/>
        </w:trPr>
        <w:tc>
          <w:tcPr>
            <w:tcW w:w="10910" w:type="dxa"/>
            <w:gridSpan w:val="2"/>
            <w:tcBorders>
              <w:top w:val="nil"/>
              <w:left w:val="single" w:sz="4" w:space="0" w:color="auto"/>
              <w:bottom w:val="single" w:sz="4" w:space="0" w:color="auto"/>
              <w:right w:val="nil"/>
            </w:tcBorders>
            <w:shd w:val="clear" w:color="auto" w:fill="auto"/>
            <w:noWrap/>
            <w:vAlign w:val="center"/>
            <w:hideMark/>
          </w:tcPr>
          <w:p w14:paraId="7A7FF7E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HQLA sebelum penyesuaian</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1A55756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5B8634F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AA5F7D"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A + B + C = D</w:t>
            </w:r>
          </w:p>
        </w:tc>
      </w:tr>
      <w:tr w:rsidR="002F3310" w:rsidRPr="00E971A9" w14:paraId="5F860551"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B1DFA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Penyesuaian untuk Batas Maksimum dari HQLA Level 2B </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24DCFA0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4C70D6E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F044A4"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E</w:t>
            </w:r>
          </w:p>
        </w:tc>
      </w:tr>
      <w:tr w:rsidR="002F3310" w:rsidRPr="00E971A9" w14:paraId="21017726"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86E80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lastRenderedPageBreak/>
              <w:t xml:space="preserve">Penyesuaian untuk Batas Maksimum dari HQLA Level 2 </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5980ABE3"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384EFEA7"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98C28AE"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F</w:t>
            </w:r>
          </w:p>
        </w:tc>
      </w:tr>
      <w:tr w:rsidR="002F3310" w:rsidRPr="00E971A9" w14:paraId="44B02F6C"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44C1C6"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Total HQLA</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78CAA20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10B6728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254A7A5"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D - (E + F)</w:t>
            </w:r>
          </w:p>
        </w:tc>
      </w:tr>
      <w:tr w:rsidR="002F3310" w:rsidRPr="00E971A9" w14:paraId="0255CA1E" w14:textId="77777777" w:rsidTr="002F3310">
        <w:trPr>
          <w:gridAfter w:val="1"/>
          <w:wAfter w:w="48" w:type="dxa"/>
          <w:trHeight w:val="280"/>
        </w:trPr>
        <w:tc>
          <w:tcPr>
            <w:tcW w:w="872" w:type="dxa"/>
            <w:tcBorders>
              <w:top w:val="nil"/>
              <w:left w:val="single" w:sz="4" w:space="0" w:color="auto"/>
              <w:bottom w:val="single" w:sz="4" w:space="0" w:color="auto"/>
              <w:right w:val="nil"/>
            </w:tcBorders>
            <w:shd w:val="clear" w:color="auto" w:fill="auto"/>
            <w:noWrap/>
            <w:vAlign w:val="center"/>
            <w:hideMark/>
          </w:tcPr>
          <w:p w14:paraId="36180AD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noWrap/>
            <w:vAlign w:val="center"/>
            <w:hideMark/>
          </w:tcPr>
          <w:p w14:paraId="5364B45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9667BF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4BAD915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AD605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5C3DCBA" w14:textId="77777777" w:rsidTr="002F3310">
        <w:trPr>
          <w:gridAfter w:val="1"/>
          <w:wAfter w:w="48" w:type="dxa"/>
          <w:trHeight w:val="290"/>
        </w:trPr>
        <w:tc>
          <w:tcPr>
            <w:tcW w:w="10910" w:type="dxa"/>
            <w:gridSpan w:val="2"/>
            <w:tcBorders>
              <w:top w:val="single" w:sz="4" w:space="0" w:color="auto"/>
              <w:left w:val="single" w:sz="4" w:space="0" w:color="auto"/>
              <w:bottom w:val="single" w:sz="4" w:space="0" w:color="auto"/>
              <w:right w:val="nil"/>
            </w:tcBorders>
            <w:shd w:val="clear" w:color="000000" w:fill="BFBFBF"/>
            <w:noWrap/>
            <w:vAlign w:val="center"/>
            <w:hideMark/>
          </w:tcPr>
          <w:p w14:paraId="30379294"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B. </w:t>
            </w:r>
            <w:r w:rsidRPr="00E971A9">
              <w:rPr>
                <w:rFonts w:eastAsia="Times New Roman"/>
                <w:b/>
                <w:bCs/>
                <w:i/>
                <w:iCs/>
                <w:sz w:val="24"/>
                <w:szCs w:val="24"/>
                <w:lang w:val="en-ID" w:eastAsia="en-ID"/>
              </w:rPr>
              <w:t xml:space="preserve">Net Cash Outflow </w:t>
            </w:r>
            <w:r w:rsidRPr="00E971A9">
              <w:rPr>
                <w:rFonts w:eastAsia="Times New Roman"/>
                <w:b/>
                <w:bCs/>
                <w:sz w:val="24"/>
                <w:szCs w:val="24"/>
                <w:lang w:val="en-ID" w:eastAsia="en-ID"/>
              </w:rPr>
              <w:t>(Arus Kas Keluar Bersih)</w:t>
            </w:r>
          </w:p>
        </w:tc>
        <w:tc>
          <w:tcPr>
            <w:tcW w:w="2258" w:type="dxa"/>
            <w:tcBorders>
              <w:top w:val="nil"/>
              <w:left w:val="single" w:sz="4" w:space="0" w:color="auto"/>
              <w:bottom w:val="single" w:sz="4" w:space="0" w:color="auto"/>
              <w:right w:val="single" w:sz="4" w:space="0" w:color="auto"/>
            </w:tcBorders>
            <w:shd w:val="clear" w:color="000000" w:fill="BFBFBF"/>
            <w:noWrap/>
            <w:vAlign w:val="center"/>
            <w:hideMark/>
          </w:tcPr>
          <w:p w14:paraId="5EFEFBA7"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nil"/>
              <w:left w:val="nil"/>
              <w:bottom w:val="single" w:sz="4" w:space="0" w:color="auto"/>
              <w:right w:val="single" w:sz="4" w:space="0" w:color="auto"/>
            </w:tcBorders>
            <w:shd w:val="clear" w:color="000000" w:fill="BFBFBF"/>
            <w:noWrap/>
            <w:vAlign w:val="center"/>
            <w:hideMark/>
          </w:tcPr>
          <w:p w14:paraId="770915DF"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843" w:type="dxa"/>
            <w:tcBorders>
              <w:top w:val="nil"/>
              <w:left w:val="nil"/>
              <w:bottom w:val="single" w:sz="4" w:space="0" w:color="auto"/>
              <w:right w:val="single" w:sz="4" w:space="0" w:color="auto"/>
            </w:tcBorders>
            <w:shd w:val="clear" w:color="000000" w:fill="BFBFBF"/>
            <w:noWrap/>
            <w:vAlign w:val="center"/>
            <w:hideMark/>
          </w:tcPr>
          <w:p w14:paraId="329914E8"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r>
      <w:tr w:rsidR="002F3310" w:rsidRPr="00E971A9" w14:paraId="31123E71"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F79A3F"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1. Arus Kas Keluar</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6E53215"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51BF4F9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DD07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r>
      <w:tr w:rsidR="002F3310" w:rsidRPr="00E971A9" w14:paraId="05ADFFFE"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F2422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1.1</w:t>
            </w:r>
          </w:p>
        </w:tc>
        <w:tc>
          <w:tcPr>
            <w:tcW w:w="10038" w:type="dxa"/>
            <w:tcBorders>
              <w:top w:val="nil"/>
              <w:left w:val="nil"/>
              <w:bottom w:val="single" w:sz="4" w:space="0" w:color="auto"/>
              <w:right w:val="single" w:sz="4" w:space="0" w:color="auto"/>
            </w:tcBorders>
            <w:shd w:val="clear" w:color="auto" w:fill="F2F2F2" w:themeFill="background1" w:themeFillShade="F2"/>
            <w:hideMark/>
          </w:tcPr>
          <w:p w14:paraId="1FE0A87D"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Penarikan Pendanaan dari Nasabah Perorangan (dengan kriteria umum pada </w:t>
            </w:r>
            <w:r w:rsidRPr="00E971A9">
              <w:rPr>
                <w:rFonts w:eastAsia="Times New Roman"/>
                <w:sz w:val="24"/>
                <w:szCs w:val="24"/>
                <w:lang w:val="en-ID" w:eastAsia="en-ID"/>
              </w:rPr>
              <w:t xml:space="preserve">kriteria </w:t>
            </w:r>
            <w:r w:rsidRPr="00E971A9">
              <w:rPr>
                <w:rFonts w:eastAsia="Times New Roman"/>
                <w:b/>
                <w:sz w:val="24"/>
                <w:szCs w:val="24"/>
                <w:lang w:val="en-ID" w:eastAsia="en-ID"/>
              </w:rPr>
              <w:t>Lampiran I poin IV Huruf A angka 1 huruf a</w:t>
            </w:r>
          </w:p>
        </w:tc>
        <w:tc>
          <w:tcPr>
            <w:tcW w:w="2258" w:type="dxa"/>
            <w:tcBorders>
              <w:top w:val="nil"/>
              <w:left w:val="nil"/>
              <w:bottom w:val="single" w:sz="4" w:space="0" w:color="auto"/>
              <w:right w:val="single" w:sz="4" w:space="0" w:color="auto"/>
            </w:tcBorders>
            <w:shd w:val="clear" w:color="auto" w:fill="auto"/>
            <w:noWrap/>
            <w:vAlign w:val="center"/>
            <w:hideMark/>
          </w:tcPr>
          <w:p w14:paraId="08AC807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5CC9A39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956E1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66B06C7"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F42624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30C02D2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Jumlah pendanaan nasabah perorangan:</w:t>
            </w:r>
          </w:p>
        </w:tc>
        <w:tc>
          <w:tcPr>
            <w:tcW w:w="2258" w:type="dxa"/>
            <w:tcBorders>
              <w:top w:val="nil"/>
              <w:left w:val="nil"/>
              <w:bottom w:val="single" w:sz="4" w:space="0" w:color="auto"/>
              <w:right w:val="single" w:sz="4" w:space="0" w:color="auto"/>
            </w:tcBorders>
            <w:shd w:val="clear" w:color="auto" w:fill="auto"/>
            <w:noWrap/>
            <w:vAlign w:val="center"/>
            <w:hideMark/>
          </w:tcPr>
          <w:p w14:paraId="5792285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1D2230E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BBCB1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0917705" w14:textId="77777777" w:rsidTr="002F3310">
        <w:trPr>
          <w:gridAfter w:val="1"/>
          <w:wAfter w:w="48" w:type="dxa"/>
          <w:trHeight w:val="372"/>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EFB67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6137D995"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stabil (memenuhi kriteria </w:t>
            </w:r>
            <w:r w:rsidRPr="00E971A9">
              <w:rPr>
                <w:rFonts w:eastAsia="Times New Roman"/>
                <w:b/>
                <w:sz w:val="24"/>
                <w:szCs w:val="24"/>
                <w:lang w:val="en-ID" w:eastAsia="en-ID"/>
              </w:rPr>
              <w:t>Lampiran I poin IV Huruf A angka 1 huruf b angka 1)</w:t>
            </w:r>
            <w:r w:rsidRPr="00E971A9">
              <w:rPr>
                <w:rFonts w:eastAsia="Times New Roman"/>
                <w:bCs/>
                <w:sz w:val="24"/>
                <w:szCs w:val="24"/>
                <w:lang w:val="en-ID" w:eastAsia="en-ID"/>
              </w:rPr>
              <w:t>)</w:t>
            </w:r>
          </w:p>
        </w:tc>
        <w:tc>
          <w:tcPr>
            <w:tcW w:w="2258" w:type="dxa"/>
            <w:tcBorders>
              <w:top w:val="nil"/>
              <w:left w:val="nil"/>
              <w:bottom w:val="single" w:sz="4" w:space="0" w:color="auto"/>
              <w:right w:val="single" w:sz="4" w:space="0" w:color="auto"/>
            </w:tcBorders>
            <w:shd w:val="clear" w:color="auto" w:fill="auto"/>
            <w:noWrap/>
            <w:vAlign w:val="center"/>
            <w:hideMark/>
          </w:tcPr>
          <w:p w14:paraId="36A3079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2767EDC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9189ED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7634CFC" w14:textId="77777777" w:rsidTr="00B60AB6">
        <w:trPr>
          <w:gridAfter w:val="1"/>
          <w:wAfter w:w="48" w:type="dxa"/>
          <w:trHeight w:val="68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8FAC0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2DC808CD"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stabil (memenuhi kriteria Huruf Lampiran I poin IV Huruf A angka 1 huruf b angka 1)) dari nasabah </w:t>
            </w:r>
            <w:r w:rsidRPr="00E971A9">
              <w:rPr>
                <w:rFonts w:eastAsia="Times New Roman"/>
                <w:i/>
                <w:iCs/>
                <w:sz w:val="24"/>
                <w:szCs w:val="24"/>
                <w:lang w:val="en-ID" w:eastAsia="en-ID"/>
              </w:rPr>
              <w:t>cross border</w:t>
            </w:r>
            <w:r w:rsidRPr="00E971A9">
              <w:rPr>
                <w:rFonts w:eastAsia="Times New Roman"/>
                <w:sz w:val="24"/>
                <w:szCs w:val="24"/>
                <w:lang w:val="en-ID" w:eastAsia="en-ID"/>
              </w:rPr>
              <w:t xml:space="preserve"> yang memenuhi kriteria </w:t>
            </w:r>
            <w:r w:rsidRPr="00E971A9">
              <w:rPr>
                <w:rFonts w:eastAsia="Times New Roman"/>
                <w:b/>
                <w:sz w:val="24"/>
                <w:szCs w:val="24"/>
                <w:lang w:val="en-ID" w:eastAsia="en-ID"/>
              </w:rPr>
              <w:t>Lampiran I poin V Huruf B</w:t>
            </w:r>
          </w:p>
        </w:tc>
        <w:tc>
          <w:tcPr>
            <w:tcW w:w="2258" w:type="dxa"/>
            <w:tcBorders>
              <w:top w:val="nil"/>
              <w:left w:val="nil"/>
              <w:bottom w:val="single" w:sz="4" w:space="0" w:color="auto"/>
              <w:right w:val="nil"/>
            </w:tcBorders>
            <w:shd w:val="clear" w:color="auto" w:fill="auto"/>
            <w:vAlign w:val="center"/>
            <w:hideMark/>
          </w:tcPr>
          <w:p w14:paraId="6E065C0A" w14:textId="77777777" w:rsidR="002F3310" w:rsidRPr="000D6A42" w:rsidRDefault="002F3310" w:rsidP="00B60AB6">
            <w:pPr>
              <w:spacing w:after="0" w:line="240" w:lineRule="auto"/>
              <w:jc w:val="center"/>
              <w:rPr>
                <w:rFonts w:eastAsia="Times New Roman"/>
                <w:b/>
                <w:bCs/>
                <w:i/>
                <w:iCs/>
                <w:sz w:val="24"/>
                <w:szCs w:val="24"/>
                <w:lang w:val="en-ID" w:eastAsia="en-ID"/>
              </w:rPr>
            </w:pPr>
            <w:r w:rsidRPr="000D6A42">
              <w:rPr>
                <w:rFonts w:eastAsia="Times New Roman"/>
                <w:b/>
                <w:bCs/>
                <w:i/>
                <w:iCs/>
                <w:sz w:val="24"/>
                <w:szCs w:val="24"/>
                <w:lang w:val="en-ID" w:eastAsia="en-ID"/>
              </w:rPr>
              <w:t xml:space="preserve">0% </w:t>
            </w:r>
            <w:r w:rsidRPr="000D6A42">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505D4F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BC88A0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C983799"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8D4CB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32C4FB46"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Jumlah Pendanaan stabil dari nasabah perorangan </w:t>
            </w:r>
          </w:p>
        </w:tc>
        <w:tc>
          <w:tcPr>
            <w:tcW w:w="2258" w:type="dxa"/>
            <w:tcBorders>
              <w:top w:val="nil"/>
              <w:left w:val="nil"/>
              <w:bottom w:val="single" w:sz="4" w:space="0" w:color="auto"/>
              <w:right w:val="single" w:sz="4" w:space="0" w:color="auto"/>
            </w:tcBorders>
            <w:shd w:val="clear" w:color="auto" w:fill="auto"/>
            <w:noWrap/>
            <w:vAlign w:val="center"/>
            <w:hideMark/>
          </w:tcPr>
          <w:p w14:paraId="49E86A65" w14:textId="77777777" w:rsidR="002F3310" w:rsidRPr="000D6A42" w:rsidRDefault="002F3310" w:rsidP="00B60AB6">
            <w:pPr>
              <w:spacing w:after="0" w:line="240" w:lineRule="auto"/>
              <w:rPr>
                <w:rFonts w:eastAsia="Times New Roman"/>
                <w:sz w:val="24"/>
                <w:szCs w:val="24"/>
                <w:lang w:val="en-ID" w:eastAsia="en-ID"/>
              </w:rPr>
            </w:pPr>
            <w:r w:rsidRPr="000D6A42">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744686D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0B00AB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9C77BAC"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6999AA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0DCE1F95"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Pendanaan kurang stabil (</w:t>
            </w:r>
            <w:r w:rsidRPr="00E971A9">
              <w:rPr>
                <w:rFonts w:eastAsia="Times New Roman"/>
                <w:b/>
                <w:bCs/>
                <w:sz w:val="24"/>
                <w:szCs w:val="24"/>
                <w:lang w:val="en-ID" w:eastAsia="en-ID"/>
              </w:rPr>
              <w:t xml:space="preserve">tidak memenuhi kriteria </w:t>
            </w:r>
            <w:r w:rsidRPr="00E971A9">
              <w:rPr>
                <w:rFonts w:eastAsia="Times New Roman"/>
                <w:b/>
                <w:sz w:val="24"/>
                <w:szCs w:val="24"/>
                <w:lang w:val="en-ID" w:eastAsia="en-ID"/>
              </w:rPr>
              <w:t>Lampiran I poin IV Huruf A angka 1 huruf b angka 1)</w:t>
            </w:r>
            <w:r w:rsidRPr="00E971A9">
              <w:rPr>
                <w:rFonts w:eastAsia="Times New Roman"/>
                <w:bCs/>
                <w:sz w:val="24"/>
                <w:szCs w:val="24"/>
                <w:lang w:val="en-ID" w:eastAsia="en-ID"/>
              </w:rPr>
              <w:t>)</w:t>
            </w:r>
          </w:p>
        </w:tc>
        <w:tc>
          <w:tcPr>
            <w:tcW w:w="2258" w:type="dxa"/>
            <w:tcBorders>
              <w:top w:val="nil"/>
              <w:left w:val="nil"/>
              <w:bottom w:val="single" w:sz="4" w:space="0" w:color="auto"/>
              <w:right w:val="single" w:sz="4" w:space="0" w:color="auto"/>
            </w:tcBorders>
            <w:shd w:val="clear" w:color="auto" w:fill="auto"/>
            <w:noWrap/>
            <w:vAlign w:val="center"/>
            <w:hideMark/>
          </w:tcPr>
          <w:p w14:paraId="379E4BBB" w14:textId="77777777" w:rsidR="002F3310" w:rsidRPr="000D6A42" w:rsidRDefault="002F3310" w:rsidP="00B60AB6">
            <w:pPr>
              <w:spacing w:after="0" w:line="240" w:lineRule="auto"/>
              <w:jc w:val="center"/>
              <w:rPr>
                <w:rFonts w:eastAsia="Times New Roman"/>
                <w:sz w:val="24"/>
                <w:szCs w:val="24"/>
                <w:lang w:val="en-ID" w:eastAsia="en-ID"/>
              </w:rPr>
            </w:pPr>
            <w:r w:rsidRPr="000D6A42">
              <w:rPr>
                <w:rFonts w:eastAsia="Times New Roman"/>
                <w:sz w:val="24"/>
                <w:szCs w:val="24"/>
                <w:lang w:val="en-ID" w:eastAsia="en-ID"/>
              </w:rPr>
              <w:t>10%</w:t>
            </w:r>
          </w:p>
        </w:tc>
        <w:tc>
          <w:tcPr>
            <w:tcW w:w="1984" w:type="dxa"/>
            <w:tcBorders>
              <w:top w:val="nil"/>
              <w:left w:val="nil"/>
              <w:bottom w:val="single" w:sz="4" w:space="0" w:color="auto"/>
              <w:right w:val="single" w:sz="4" w:space="0" w:color="auto"/>
            </w:tcBorders>
            <w:shd w:val="clear" w:color="auto" w:fill="auto"/>
            <w:noWrap/>
            <w:vAlign w:val="center"/>
            <w:hideMark/>
          </w:tcPr>
          <w:p w14:paraId="4ECC0C0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4F6C3F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87EC57E" w14:textId="77777777" w:rsidTr="002F3310">
        <w:trPr>
          <w:gridAfter w:val="1"/>
          <w:wAfter w:w="48" w:type="dxa"/>
          <w:trHeight w:val="57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E032C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6808C618"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kurang stabil (tidak memenuhi kriteria </w:t>
            </w:r>
            <w:r w:rsidRPr="00E971A9">
              <w:rPr>
                <w:rFonts w:eastAsia="Times New Roman"/>
                <w:b/>
                <w:sz w:val="24"/>
                <w:szCs w:val="24"/>
                <w:lang w:val="en-ID" w:eastAsia="en-ID"/>
              </w:rPr>
              <w:t>Lampiran I poin IV Huruf A angka 1 huruf b angka 1)</w:t>
            </w:r>
            <w:r w:rsidRPr="00E971A9">
              <w:rPr>
                <w:rFonts w:eastAsia="Times New Roman"/>
                <w:sz w:val="24"/>
                <w:szCs w:val="24"/>
                <w:lang w:val="en-ID" w:eastAsia="en-ID"/>
              </w:rPr>
              <w:t>) dari nasabah DCR tanpa perataan bagi hasil</w:t>
            </w:r>
          </w:p>
        </w:tc>
        <w:tc>
          <w:tcPr>
            <w:tcW w:w="2258" w:type="dxa"/>
            <w:tcBorders>
              <w:top w:val="nil"/>
              <w:left w:val="nil"/>
              <w:bottom w:val="single" w:sz="4" w:space="0" w:color="auto"/>
              <w:right w:val="nil"/>
            </w:tcBorders>
            <w:shd w:val="clear" w:color="auto" w:fill="auto"/>
            <w:vAlign w:val="center"/>
            <w:hideMark/>
          </w:tcPr>
          <w:p w14:paraId="33A483B3" w14:textId="77777777" w:rsidR="002F3310" w:rsidRPr="000D6A42" w:rsidRDefault="002F3310" w:rsidP="00B60AB6">
            <w:pPr>
              <w:spacing w:after="0" w:line="240" w:lineRule="auto"/>
              <w:jc w:val="center"/>
              <w:rPr>
                <w:rFonts w:eastAsia="Times New Roman"/>
                <w:sz w:val="24"/>
                <w:szCs w:val="24"/>
                <w:lang w:val="en-ID" w:eastAsia="en-ID"/>
              </w:rPr>
            </w:pPr>
            <w:r w:rsidRPr="000D6A42">
              <w:rPr>
                <w:rFonts w:eastAsia="Times New Roman"/>
                <w:sz w:val="24"/>
                <w:szCs w:val="24"/>
                <w:lang w:val="en-ID" w:eastAsia="en-ID"/>
              </w:rPr>
              <w:t>15%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95D42F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9DEEEE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555D140" w14:textId="77777777" w:rsidTr="002F3310">
        <w:trPr>
          <w:gridAfter w:val="1"/>
          <w:wAfter w:w="48" w:type="dxa"/>
          <w:trHeight w:val="687"/>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6B3C8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76FCF082"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kurang stabil (tidak memenuhi kriteria </w:t>
            </w:r>
            <w:r w:rsidRPr="00E971A9">
              <w:rPr>
                <w:rFonts w:eastAsia="Times New Roman"/>
                <w:b/>
                <w:sz w:val="24"/>
                <w:szCs w:val="24"/>
                <w:lang w:val="en-ID" w:eastAsia="en-ID"/>
              </w:rPr>
              <w:t>Lampiran I poin IV Huruf A angka 1 huruf b angka 1)</w:t>
            </w:r>
            <w:r w:rsidRPr="00E971A9">
              <w:rPr>
                <w:rFonts w:eastAsia="Times New Roman"/>
                <w:sz w:val="24"/>
                <w:szCs w:val="24"/>
                <w:lang w:val="en-ID" w:eastAsia="en-ID"/>
              </w:rPr>
              <w:t xml:space="preserve">) dari nasabah </w:t>
            </w:r>
            <w:r w:rsidRPr="00E971A9">
              <w:rPr>
                <w:rFonts w:eastAsia="Times New Roman"/>
                <w:i/>
                <w:iCs/>
                <w:sz w:val="24"/>
                <w:szCs w:val="24"/>
                <w:lang w:val="en-ID" w:eastAsia="en-ID"/>
              </w:rPr>
              <w:t xml:space="preserve">cross border </w:t>
            </w:r>
            <w:r w:rsidRPr="00E971A9">
              <w:rPr>
                <w:rFonts w:eastAsia="Times New Roman"/>
                <w:sz w:val="24"/>
                <w:szCs w:val="24"/>
                <w:lang w:val="en-ID" w:eastAsia="en-ID"/>
              </w:rPr>
              <w:t xml:space="preserve">yang memenuhi kriteria </w:t>
            </w:r>
            <w:r w:rsidRPr="00E971A9">
              <w:rPr>
                <w:rFonts w:eastAsia="Times New Roman"/>
                <w:b/>
                <w:sz w:val="24"/>
                <w:szCs w:val="24"/>
                <w:lang w:val="en-ID" w:eastAsia="en-ID"/>
              </w:rPr>
              <w:t>Lampiran I poin V Huruf B</w:t>
            </w:r>
          </w:p>
        </w:tc>
        <w:tc>
          <w:tcPr>
            <w:tcW w:w="2258" w:type="dxa"/>
            <w:tcBorders>
              <w:top w:val="nil"/>
              <w:left w:val="nil"/>
              <w:bottom w:val="single" w:sz="4" w:space="0" w:color="auto"/>
              <w:right w:val="nil"/>
            </w:tcBorders>
            <w:shd w:val="clear" w:color="auto" w:fill="auto"/>
            <w:vAlign w:val="center"/>
            <w:hideMark/>
          </w:tcPr>
          <w:p w14:paraId="60A3AEA6" w14:textId="77777777" w:rsidR="002F3310" w:rsidRPr="000D6A42" w:rsidRDefault="002F3310" w:rsidP="00B60AB6">
            <w:pPr>
              <w:spacing w:after="0" w:line="240" w:lineRule="auto"/>
              <w:jc w:val="center"/>
              <w:rPr>
                <w:rFonts w:eastAsia="Times New Roman"/>
                <w:b/>
                <w:bCs/>
                <w:i/>
                <w:iCs/>
                <w:sz w:val="24"/>
                <w:szCs w:val="24"/>
                <w:lang w:val="en-ID" w:eastAsia="en-ID"/>
              </w:rPr>
            </w:pPr>
            <w:r w:rsidRPr="000D6A42">
              <w:rPr>
                <w:rFonts w:eastAsia="Times New Roman"/>
                <w:b/>
                <w:bCs/>
                <w:i/>
                <w:iCs/>
                <w:sz w:val="24"/>
                <w:szCs w:val="24"/>
                <w:lang w:val="en-ID" w:eastAsia="en-ID"/>
              </w:rPr>
              <w:t xml:space="preserve">0% </w:t>
            </w:r>
            <w:r w:rsidRPr="000D6A42">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270073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vAlign w:val="center"/>
            <w:hideMark/>
          </w:tcPr>
          <w:p w14:paraId="1ED1E54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D40E147"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4969C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336BD5EE"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Tambahan kategori pendanaan dengan tingkat penarikan yang lebih tinggi yang ditetapkan oleh pengawas</w:t>
            </w:r>
          </w:p>
        </w:tc>
        <w:tc>
          <w:tcPr>
            <w:tcW w:w="2258" w:type="dxa"/>
            <w:tcBorders>
              <w:top w:val="nil"/>
              <w:left w:val="nil"/>
              <w:bottom w:val="single" w:sz="4" w:space="0" w:color="auto"/>
              <w:right w:val="single" w:sz="4" w:space="0" w:color="auto"/>
            </w:tcBorders>
            <w:shd w:val="clear" w:color="auto" w:fill="auto"/>
            <w:noWrap/>
            <w:vAlign w:val="center"/>
            <w:hideMark/>
          </w:tcPr>
          <w:p w14:paraId="4AFACED2" w14:textId="77777777" w:rsidR="002F3310" w:rsidRPr="000D6A42" w:rsidRDefault="002F3310" w:rsidP="00B60AB6">
            <w:pPr>
              <w:spacing w:after="0" w:line="240" w:lineRule="auto"/>
              <w:jc w:val="center"/>
              <w:rPr>
                <w:rFonts w:eastAsia="Times New Roman"/>
                <w:sz w:val="24"/>
                <w:szCs w:val="24"/>
                <w:lang w:val="en-ID" w:eastAsia="en-ID"/>
              </w:rPr>
            </w:pPr>
            <w:r w:rsidRPr="000D6A42">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12DD337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B0B582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64164BA"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D0F1AD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786615C" w14:textId="77777777" w:rsidR="002F3310" w:rsidRPr="00E971A9" w:rsidRDefault="002F3310" w:rsidP="00B60AB6">
            <w:pPr>
              <w:spacing w:after="0" w:line="240" w:lineRule="auto"/>
              <w:ind w:firstLineChars="359" w:firstLine="862"/>
              <w:rPr>
                <w:rFonts w:eastAsia="Times New Roman"/>
                <w:sz w:val="24"/>
                <w:szCs w:val="24"/>
                <w:lang w:val="en-ID" w:eastAsia="en-ID"/>
              </w:rPr>
            </w:pPr>
            <w:r w:rsidRPr="00E971A9">
              <w:rPr>
                <w:rFonts w:eastAsia="Times New Roman"/>
                <w:sz w:val="24"/>
                <w:szCs w:val="24"/>
                <w:lang w:val="en-ID" w:eastAsia="en-ID"/>
              </w:rPr>
              <w:t>Kategori 1</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951CE6E" w14:textId="77777777" w:rsidR="002F3310" w:rsidRPr="000D6A42" w:rsidRDefault="002F3310" w:rsidP="00B60AB6">
            <w:pPr>
              <w:spacing w:after="0" w:line="240" w:lineRule="auto"/>
              <w:jc w:val="center"/>
              <w:rPr>
                <w:rFonts w:eastAsia="Times New Roman"/>
                <w:sz w:val="24"/>
                <w:szCs w:val="24"/>
                <w:lang w:val="en-ID" w:eastAsia="en-ID"/>
              </w:rPr>
            </w:pPr>
            <w:r w:rsidRPr="000D6A42">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72691AC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535A68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D1E4467"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C2007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E97FD30" w14:textId="77777777" w:rsidR="002F3310" w:rsidRPr="00E971A9" w:rsidRDefault="002F3310" w:rsidP="00B60AB6">
            <w:pPr>
              <w:spacing w:after="0" w:line="240" w:lineRule="auto"/>
              <w:ind w:firstLineChars="359" w:firstLine="862"/>
              <w:rPr>
                <w:rFonts w:eastAsia="Times New Roman"/>
                <w:sz w:val="24"/>
                <w:szCs w:val="24"/>
                <w:lang w:val="en-ID" w:eastAsia="en-ID"/>
              </w:rPr>
            </w:pPr>
            <w:r w:rsidRPr="00E971A9">
              <w:rPr>
                <w:rFonts w:eastAsia="Times New Roman"/>
                <w:sz w:val="24"/>
                <w:szCs w:val="24"/>
                <w:lang w:val="en-ID" w:eastAsia="en-ID"/>
              </w:rPr>
              <w:t>Kategori 2</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7D90A3B" w14:textId="77777777" w:rsidR="002F3310" w:rsidRPr="000D6A42" w:rsidRDefault="002F3310" w:rsidP="00B60AB6">
            <w:pPr>
              <w:spacing w:after="0" w:line="240" w:lineRule="auto"/>
              <w:jc w:val="center"/>
              <w:rPr>
                <w:rFonts w:eastAsia="Times New Roman"/>
                <w:sz w:val="24"/>
                <w:szCs w:val="24"/>
                <w:lang w:val="en-ID" w:eastAsia="en-ID"/>
              </w:rPr>
            </w:pPr>
            <w:r w:rsidRPr="000D6A42">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C6A539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14F59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3AF06D4"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D32CCC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00E6D254" w14:textId="77777777" w:rsidR="002F3310" w:rsidRPr="00E971A9" w:rsidRDefault="002F3310" w:rsidP="00B60AB6">
            <w:pPr>
              <w:spacing w:after="0" w:line="240" w:lineRule="auto"/>
              <w:ind w:firstLineChars="359" w:firstLine="862"/>
              <w:rPr>
                <w:rFonts w:eastAsia="Times New Roman"/>
                <w:sz w:val="24"/>
                <w:szCs w:val="24"/>
                <w:lang w:val="en-ID" w:eastAsia="en-ID"/>
              </w:rPr>
            </w:pPr>
            <w:r w:rsidRPr="00E971A9">
              <w:rPr>
                <w:rFonts w:eastAsia="Times New Roman"/>
                <w:sz w:val="24"/>
                <w:szCs w:val="24"/>
                <w:lang w:val="en-ID" w:eastAsia="en-ID"/>
              </w:rPr>
              <w:t>Kategori 3</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21F8070" w14:textId="77777777" w:rsidR="002F3310" w:rsidRPr="000D6A42" w:rsidRDefault="002F3310" w:rsidP="00B60AB6">
            <w:pPr>
              <w:spacing w:after="0" w:line="240" w:lineRule="auto"/>
              <w:jc w:val="center"/>
              <w:rPr>
                <w:rFonts w:eastAsia="Times New Roman"/>
                <w:sz w:val="24"/>
                <w:szCs w:val="24"/>
                <w:lang w:val="en-ID" w:eastAsia="en-ID"/>
              </w:rPr>
            </w:pPr>
            <w:r w:rsidRPr="000D6A42">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7D8F0AB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39A5B5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F2A62B5"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A5ADF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2B107484"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Pendanaan kurang stabil nasabah perorangan</w:t>
            </w:r>
          </w:p>
        </w:tc>
        <w:tc>
          <w:tcPr>
            <w:tcW w:w="2258" w:type="dxa"/>
            <w:tcBorders>
              <w:top w:val="nil"/>
              <w:left w:val="nil"/>
              <w:bottom w:val="single" w:sz="4" w:space="0" w:color="auto"/>
              <w:right w:val="single" w:sz="4" w:space="0" w:color="auto"/>
            </w:tcBorders>
            <w:shd w:val="clear" w:color="000000" w:fill="000000"/>
            <w:noWrap/>
            <w:vAlign w:val="center"/>
            <w:hideMark/>
          </w:tcPr>
          <w:p w14:paraId="3152A90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4B2B001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4BAEE23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736BEBB"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968B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lastRenderedPageBreak/>
              <w:t>Jumlah Penarikan Pendanaan Nasabah Perorangan</w:t>
            </w:r>
          </w:p>
        </w:tc>
        <w:tc>
          <w:tcPr>
            <w:tcW w:w="2258" w:type="dxa"/>
            <w:tcBorders>
              <w:top w:val="nil"/>
              <w:left w:val="nil"/>
              <w:bottom w:val="single" w:sz="4" w:space="0" w:color="auto"/>
              <w:right w:val="single" w:sz="4" w:space="0" w:color="auto"/>
            </w:tcBorders>
            <w:shd w:val="clear" w:color="auto" w:fill="auto"/>
            <w:noWrap/>
            <w:vAlign w:val="center"/>
            <w:hideMark/>
          </w:tcPr>
          <w:p w14:paraId="31D3C9D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24F40DC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1C0A99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9BF3CAC"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3FBA3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1.2</w:t>
            </w:r>
          </w:p>
        </w:tc>
        <w:tc>
          <w:tcPr>
            <w:tcW w:w="10038" w:type="dxa"/>
            <w:tcBorders>
              <w:top w:val="nil"/>
              <w:left w:val="nil"/>
              <w:bottom w:val="single" w:sz="4" w:space="0" w:color="auto"/>
              <w:right w:val="single" w:sz="4" w:space="0" w:color="auto"/>
            </w:tcBorders>
            <w:shd w:val="clear" w:color="auto" w:fill="F2F2F2" w:themeFill="background1" w:themeFillShade="F2"/>
            <w:vAlign w:val="center"/>
            <w:hideMark/>
          </w:tcPr>
          <w:p w14:paraId="69D899BD"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Penarikan Pendanaan dari Nasabah Usaha Mikro dan Usaha Kecil (dengan kriteria umum pada Lampiran I poin IV Huruf A angka 2 huruf a angka 1) s.d. 3))</w:t>
            </w:r>
          </w:p>
        </w:tc>
        <w:tc>
          <w:tcPr>
            <w:tcW w:w="2258" w:type="dxa"/>
            <w:tcBorders>
              <w:top w:val="nil"/>
              <w:left w:val="nil"/>
              <w:bottom w:val="single" w:sz="4" w:space="0" w:color="auto"/>
              <w:right w:val="single" w:sz="4" w:space="0" w:color="auto"/>
            </w:tcBorders>
            <w:shd w:val="clear" w:color="auto" w:fill="auto"/>
            <w:noWrap/>
            <w:vAlign w:val="center"/>
            <w:hideMark/>
          </w:tcPr>
          <w:p w14:paraId="358ED0D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42EF62A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8C5F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79FD08C"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873EE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7858C32"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Pendanaan nasabah Usaha Mikro dan Usaha Kecil: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960374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2B36565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E9B51D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FC55474"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102EC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hideMark/>
          </w:tcPr>
          <w:p w14:paraId="1CDE55D1" w14:textId="553A5134" w:rsidR="002F3310" w:rsidRPr="00E971A9" w:rsidRDefault="002F3310" w:rsidP="00B60AB6">
            <w:pPr>
              <w:spacing w:after="0" w:line="240" w:lineRule="auto"/>
              <w:ind w:left="296" w:hanging="1"/>
              <w:jc w:val="both"/>
              <w:rPr>
                <w:rFonts w:eastAsia="Times New Roman"/>
                <w:b/>
                <w:sz w:val="24"/>
                <w:szCs w:val="24"/>
                <w:lang w:val="en-ID" w:eastAsia="en-ID"/>
              </w:rPr>
            </w:pPr>
            <w:r w:rsidRPr="00E971A9">
              <w:rPr>
                <w:rFonts w:eastAsia="Times New Roman"/>
                <w:sz w:val="24"/>
                <w:szCs w:val="24"/>
                <w:lang w:val="en-ID" w:eastAsia="en-ID"/>
              </w:rPr>
              <w:t xml:space="preserve">Pendanaan stabil dari nasabah yang memenuhi kriteria </w:t>
            </w:r>
            <w:r w:rsidRPr="00E971A9">
              <w:rPr>
                <w:rFonts w:eastAsia="Times New Roman"/>
                <w:b/>
                <w:sz w:val="24"/>
                <w:szCs w:val="24"/>
                <w:lang w:val="en-ID" w:eastAsia="en-ID"/>
              </w:rPr>
              <w:t>Lampiran I poin IV Huruf A:</w:t>
            </w:r>
          </w:p>
          <w:p w14:paraId="188EF324" w14:textId="77777777" w:rsidR="002F3310" w:rsidRPr="00E971A9" w:rsidRDefault="002F3310" w:rsidP="00B60AB6">
            <w:pPr>
              <w:spacing w:after="0" w:line="240" w:lineRule="auto"/>
              <w:ind w:left="296" w:hanging="1"/>
              <w:jc w:val="both"/>
              <w:rPr>
                <w:rFonts w:eastAsia="Times New Roman"/>
                <w:b/>
                <w:sz w:val="24"/>
                <w:szCs w:val="24"/>
                <w:lang w:val="en-ID" w:eastAsia="en-ID"/>
              </w:rPr>
            </w:pPr>
            <w:r w:rsidRPr="00E971A9">
              <w:rPr>
                <w:rFonts w:eastAsia="Times New Roman"/>
                <w:b/>
                <w:sz w:val="24"/>
                <w:szCs w:val="24"/>
                <w:lang w:val="en-ID" w:eastAsia="en-ID"/>
              </w:rPr>
              <w:t>- angka 2 huruf b angka 1); dan</w:t>
            </w:r>
          </w:p>
          <w:p w14:paraId="3F12791B"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b/>
                <w:sz w:val="24"/>
                <w:szCs w:val="24"/>
                <w:lang w:val="en-ID" w:eastAsia="en-ID"/>
              </w:rPr>
              <w:t xml:space="preserve">- </w:t>
            </w:r>
            <w:r w:rsidRPr="00E971A9">
              <w:rPr>
                <w:rFonts w:eastAsia="Times New Roman"/>
                <w:b/>
                <w:bCs/>
                <w:sz w:val="24"/>
                <w:szCs w:val="24"/>
                <w:lang w:val="en-ID" w:eastAsia="en-ID"/>
              </w:rPr>
              <w:t>angka 2 huruf a angka 4) dan 5).</w:t>
            </w:r>
            <w:r w:rsidRPr="00E971A9">
              <w:rPr>
                <w:rFonts w:eastAsia="Times New Roman"/>
                <w:b/>
                <w:sz w:val="24"/>
                <w:szCs w:val="24"/>
                <w:lang w:val="en-ID" w:eastAsia="en-ID"/>
              </w:rPr>
              <w:t xml:space="preserve"> </w:t>
            </w:r>
          </w:p>
        </w:tc>
        <w:tc>
          <w:tcPr>
            <w:tcW w:w="2258" w:type="dxa"/>
            <w:tcBorders>
              <w:top w:val="nil"/>
              <w:left w:val="nil"/>
              <w:bottom w:val="single" w:sz="4" w:space="0" w:color="auto"/>
              <w:right w:val="single" w:sz="4" w:space="0" w:color="auto"/>
            </w:tcBorders>
            <w:shd w:val="clear" w:color="auto" w:fill="auto"/>
            <w:noWrap/>
            <w:vAlign w:val="center"/>
            <w:hideMark/>
          </w:tcPr>
          <w:p w14:paraId="42BCD02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608A761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E0DE8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EA7E8F6"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45D29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hideMark/>
          </w:tcPr>
          <w:p w14:paraId="01ABB1C9" w14:textId="77777777" w:rsidR="002F3310" w:rsidRPr="00E971A9" w:rsidRDefault="002F3310" w:rsidP="00B60AB6">
            <w:pPr>
              <w:spacing w:after="0" w:line="240" w:lineRule="auto"/>
              <w:ind w:left="296" w:hanging="1"/>
              <w:jc w:val="both"/>
              <w:rPr>
                <w:rFonts w:eastAsia="Times New Roman"/>
                <w:b/>
                <w:sz w:val="24"/>
                <w:szCs w:val="24"/>
                <w:lang w:val="en-ID" w:eastAsia="en-ID"/>
              </w:rPr>
            </w:pPr>
            <w:r w:rsidRPr="00E971A9">
              <w:rPr>
                <w:rFonts w:eastAsia="Times New Roman"/>
                <w:sz w:val="24"/>
                <w:szCs w:val="24"/>
                <w:lang w:val="en-ID" w:eastAsia="en-ID"/>
              </w:rPr>
              <w:t xml:space="preserve">Pendanaan stabil dari nasabah yang memenuhi kriteria </w:t>
            </w:r>
            <w:r w:rsidRPr="00E971A9">
              <w:rPr>
                <w:rFonts w:eastAsia="Times New Roman"/>
                <w:b/>
                <w:sz w:val="24"/>
                <w:szCs w:val="24"/>
                <w:lang w:val="en-ID" w:eastAsia="en-ID"/>
              </w:rPr>
              <w:t>Lampiran I poin IV Huruf A:</w:t>
            </w:r>
          </w:p>
          <w:p w14:paraId="32D02CD5" w14:textId="77777777" w:rsidR="002F3310" w:rsidRPr="00E971A9" w:rsidRDefault="002F3310" w:rsidP="00B60AB6">
            <w:pPr>
              <w:spacing w:after="0" w:line="240" w:lineRule="auto"/>
              <w:ind w:left="296" w:hanging="1"/>
              <w:jc w:val="both"/>
              <w:rPr>
                <w:rFonts w:eastAsia="Times New Roman"/>
                <w:b/>
                <w:sz w:val="24"/>
                <w:szCs w:val="24"/>
                <w:lang w:val="en-ID" w:eastAsia="en-ID"/>
              </w:rPr>
            </w:pPr>
            <w:r w:rsidRPr="00E971A9">
              <w:rPr>
                <w:rFonts w:eastAsia="Times New Roman"/>
                <w:b/>
                <w:sz w:val="24"/>
                <w:szCs w:val="24"/>
                <w:lang w:val="en-ID" w:eastAsia="en-ID"/>
              </w:rPr>
              <w:t>- angka 2 huruf b angka 1); dan</w:t>
            </w:r>
          </w:p>
          <w:p w14:paraId="7754C5CA"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 </w:t>
            </w:r>
            <w:r w:rsidRPr="00E971A9">
              <w:rPr>
                <w:rFonts w:eastAsia="Times New Roman"/>
                <w:b/>
                <w:bCs/>
                <w:sz w:val="24"/>
                <w:szCs w:val="24"/>
                <w:lang w:val="en-ID" w:eastAsia="en-ID"/>
              </w:rPr>
              <w:t>angka 2 huruf a angka 6).</w:t>
            </w:r>
          </w:p>
        </w:tc>
        <w:tc>
          <w:tcPr>
            <w:tcW w:w="2258" w:type="dxa"/>
            <w:tcBorders>
              <w:top w:val="nil"/>
              <w:left w:val="nil"/>
              <w:bottom w:val="single" w:sz="4" w:space="0" w:color="auto"/>
              <w:right w:val="single" w:sz="4" w:space="0" w:color="auto"/>
            </w:tcBorders>
            <w:shd w:val="clear" w:color="auto" w:fill="auto"/>
            <w:noWrap/>
            <w:vAlign w:val="center"/>
            <w:hideMark/>
          </w:tcPr>
          <w:p w14:paraId="0A34C22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25084D9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969A3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88A475B" w14:textId="77777777" w:rsidTr="002F3310">
        <w:trPr>
          <w:gridAfter w:val="1"/>
          <w:wAfter w:w="48" w:type="dxa"/>
          <w:trHeight w:val="11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A0CDD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hideMark/>
          </w:tcPr>
          <w:p w14:paraId="66051B26"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stabil dari nasabah yang memenuhi kriteria </w:t>
            </w:r>
            <w:r w:rsidRPr="00E971A9">
              <w:rPr>
                <w:rFonts w:eastAsia="Times New Roman"/>
                <w:b/>
                <w:bCs/>
                <w:sz w:val="24"/>
                <w:szCs w:val="24"/>
                <w:lang w:val="en-ID" w:eastAsia="en-ID"/>
              </w:rPr>
              <w:t>(</w:t>
            </w:r>
            <w:r w:rsidRPr="00E971A9">
              <w:rPr>
                <w:rFonts w:eastAsia="Times New Roman"/>
                <w:sz w:val="24"/>
                <w:szCs w:val="24"/>
                <w:lang w:val="en-ID" w:eastAsia="en-ID"/>
              </w:rPr>
              <w:t>Lampiran I poin IV Huruf A:</w:t>
            </w:r>
          </w:p>
          <w:p w14:paraId="6CEF788A"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 angka 2 huruf b angka 1), </w:t>
            </w:r>
            <w:r w:rsidRPr="00E971A9">
              <w:rPr>
                <w:rFonts w:eastAsia="Times New Roman"/>
                <w:b/>
                <w:sz w:val="24"/>
                <w:szCs w:val="24"/>
                <w:lang w:val="en-ID" w:eastAsia="en-ID"/>
              </w:rPr>
              <w:t>dan</w:t>
            </w:r>
          </w:p>
          <w:p w14:paraId="39F02A03" w14:textId="77777777" w:rsidR="002F3310" w:rsidRPr="00E971A9" w:rsidRDefault="002F3310" w:rsidP="00B60AB6">
            <w:pPr>
              <w:spacing w:after="0" w:line="240" w:lineRule="auto"/>
              <w:ind w:left="296" w:hanging="1"/>
              <w:jc w:val="both"/>
              <w:rPr>
                <w:rFonts w:eastAsia="Times New Roman"/>
                <w:bCs/>
                <w:sz w:val="24"/>
                <w:szCs w:val="24"/>
                <w:lang w:val="en-ID" w:eastAsia="en-ID"/>
              </w:rPr>
            </w:pPr>
            <w:r w:rsidRPr="00E971A9">
              <w:rPr>
                <w:rFonts w:eastAsia="Times New Roman"/>
                <w:bCs/>
                <w:sz w:val="24"/>
                <w:szCs w:val="24"/>
                <w:lang w:val="en-ID" w:eastAsia="en-ID"/>
              </w:rPr>
              <w:t xml:space="preserve">- angka 2 huruf a angka 4) dan 5) </w:t>
            </w:r>
            <w:r w:rsidRPr="00E971A9">
              <w:rPr>
                <w:rFonts w:eastAsia="Times New Roman"/>
                <w:b/>
                <w:bCs/>
                <w:sz w:val="24"/>
                <w:szCs w:val="24"/>
                <w:lang w:val="en-ID" w:eastAsia="en-ID"/>
              </w:rPr>
              <w:t>atau</w:t>
            </w:r>
            <w:r w:rsidRPr="00E971A9">
              <w:rPr>
                <w:rFonts w:eastAsia="Times New Roman"/>
                <w:bCs/>
                <w:sz w:val="24"/>
                <w:szCs w:val="24"/>
                <w:lang w:val="en-ID" w:eastAsia="en-ID"/>
              </w:rPr>
              <w:t xml:space="preserve"> angka 2 huruf a angka 6</w:t>
            </w:r>
            <w:r w:rsidRPr="00E971A9">
              <w:rPr>
                <w:rFonts w:eastAsia="Times New Roman"/>
                <w:b/>
                <w:bCs/>
                <w:sz w:val="24"/>
                <w:szCs w:val="24"/>
                <w:lang w:val="en-ID" w:eastAsia="en-ID"/>
              </w:rPr>
              <w:t>)</w:t>
            </w:r>
          </w:p>
          <w:p w14:paraId="4D8893E0"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b/>
                <w:bCs/>
                <w:i/>
                <w:iCs/>
                <w:sz w:val="24"/>
                <w:szCs w:val="24"/>
                <w:lang w:val="en-ID" w:eastAsia="en-ID"/>
              </w:rPr>
              <w:t>cross border</w:t>
            </w:r>
            <w:r w:rsidRPr="00E971A9">
              <w:rPr>
                <w:rFonts w:eastAsia="Times New Roman"/>
                <w:b/>
                <w:bCs/>
                <w:sz w:val="24"/>
                <w:szCs w:val="24"/>
                <w:lang w:val="en-ID" w:eastAsia="en-ID"/>
              </w:rPr>
              <w:t xml:space="preserve"> yang memenuhi huruf kriteria </w:t>
            </w:r>
            <w:r w:rsidRPr="00E971A9">
              <w:rPr>
                <w:rFonts w:eastAsia="Times New Roman"/>
                <w:b/>
                <w:sz w:val="24"/>
                <w:szCs w:val="24"/>
                <w:lang w:val="en-ID" w:eastAsia="en-ID"/>
              </w:rPr>
              <w:t>Lampiran I poin V Huruf B</w:t>
            </w:r>
            <w:r w:rsidRPr="00E971A9">
              <w:rPr>
                <w:rFonts w:eastAsia="Times New Roman"/>
                <w:b/>
                <w:bCs/>
                <w:sz w:val="24"/>
                <w:szCs w:val="24"/>
                <w:lang w:val="en-ID" w:eastAsia="en-ID"/>
              </w:rPr>
              <w:t>)</w:t>
            </w:r>
          </w:p>
        </w:tc>
        <w:tc>
          <w:tcPr>
            <w:tcW w:w="2258" w:type="dxa"/>
            <w:tcBorders>
              <w:top w:val="nil"/>
              <w:left w:val="nil"/>
              <w:bottom w:val="single" w:sz="4" w:space="0" w:color="auto"/>
              <w:right w:val="nil"/>
            </w:tcBorders>
            <w:shd w:val="clear" w:color="auto" w:fill="auto"/>
            <w:hideMark/>
          </w:tcPr>
          <w:p w14:paraId="0B9DC99A"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xml:space="preserve">0% </w:t>
            </w:r>
            <w:r w:rsidRPr="00E971A9">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F4BC88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958A3A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3DEC6DB"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E04F2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749E7AE"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Pendanaan stabil nasabah Usaha Mikro dan Usaha Kecil</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4949EDD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3436B6C3"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000000" w:fill="000000"/>
            <w:noWrap/>
            <w:vAlign w:val="center"/>
            <w:hideMark/>
          </w:tcPr>
          <w:p w14:paraId="320E264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CE94992"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47FBCB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637692D0"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kurang stabil dari nasabah (tidak memenuhi kriteria </w:t>
            </w:r>
            <w:r w:rsidRPr="00E971A9">
              <w:rPr>
                <w:rFonts w:eastAsia="Times New Roman"/>
                <w:b/>
                <w:sz w:val="24"/>
                <w:szCs w:val="24"/>
                <w:lang w:val="en-ID" w:eastAsia="en-ID"/>
              </w:rPr>
              <w:t>Lampiran I poin IV Huruf A angka 2 huruf b angka 1)</w:t>
            </w:r>
            <w:r w:rsidRPr="00E971A9">
              <w:rPr>
                <w:rFonts w:eastAsia="Times New Roman"/>
                <w:sz w:val="24"/>
                <w:szCs w:val="24"/>
                <w:lang w:val="en-ID" w:eastAsia="en-ID"/>
              </w:rPr>
              <w:t>)</w:t>
            </w:r>
          </w:p>
        </w:tc>
        <w:tc>
          <w:tcPr>
            <w:tcW w:w="2258" w:type="dxa"/>
            <w:tcBorders>
              <w:top w:val="nil"/>
              <w:left w:val="nil"/>
              <w:bottom w:val="single" w:sz="4" w:space="0" w:color="auto"/>
              <w:right w:val="single" w:sz="4" w:space="0" w:color="auto"/>
            </w:tcBorders>
            <w:shd w:val="clear" w:color="auto" w:fill="auto"/>
            <w:noWrap/>
            <w:vAlign w:val="center"/>
            <w:hideMark/>
          </w:tcPr>
          <w:p w14:paraId="56EB1E8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w:t>
            </w:r>
          </w:p>
        </w:tc>
        <w:tc>
          <w:tcPr>
            <w:tcW w:w="1984" w:type="dxa"/>
            <w:tcBorders>
              <w:top w:val="nil"/>
              <w:left w:val="nil"/>
              <w:bottom w:val="single" w:sz="4" w:space="0" w:color="auto"/>
              <w:right w:val="single" w:sz="4" w:space="0" w:color="auto"/>
            </w:tcBorders>
            <w:shd w:val="clear" w:color="auto" w:fill="auto"/>
            <w:noWrap/>
            <w:vAlign w:val="center"/>
            <w:hideMark/>
          </w:tcPr>
          <w:p w14:paraId="14FF59F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32B3DA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1265A14" w14:textId="77777777" w:rsidTr="00623B56">
        <w:trPr>
          <w:gridAfter w:val="1"/>
          <w:wAfter w:w="48" w:type="dxa"/>
          <w:trHeight w:val="74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B8435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33FBA676"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kurang stabil (tidak memenuhi kriteria </w:t>
            </w:r>
            <w:r w:rsidRPr="00E971A9">
              <w:rPr>
                <w:rFonts w:eastAsia="Times New Roman"/>
                <w:b/>
                <w:sz w:val="24"/>
                <w:szCs w:val="24"/>
                <w:lang w:val="en-ID" w:eastAsia="en-ID"/>
              </w:rPr>
              <w:t>Lampiran I poin IV Huruf A angka 2 huruf b angka 1)</w:t>
            </w:r>
            <w:r w:rsidRPr="00E971A9">
              <w:rPr>
                <w:rFonts w:eastAsia="Times New Roman"/>
                <w:sz w:val="24"/>
                <w:szCs w:val="24"/>
                <w:lang w:val="en-ID" w:eastAsia="en-ID"/>
              </w:rPr>
              <w:t xml:space="preserve">) dari nasabah </w:t>
            </w:r>
            <w:r w:rsidRPr="00E971A9">
              <w:rPr>
                <w:rFonts w:eastAsia="Times New Roman"/>
                <w:i/>
                <w:iCs/>
                <w:sz w:val="24"/>
                <w:szCs w:val="24"/>
                <w:lang w:val="en-ID" w:eastAsia="en-ID"/>
              </w:rPr>
              <w:t xml:space="preserve">cross border </w:t>
            </w:r>
            <w:r w:rsidRPr="00E971A9">
              <w:rPr>
                <w:rFonts w:eastAsia="Times New Roman"/>
                <w:sz w:val="24"/>
                <w:szCs w:val="24"/>
                <w:lang w:val="en-ID" w:eastAsia="en-ID"/>
              </w:rPr>
              <w:t xml:space="preserve">yang memenuhi kriteria </w:t>
            </w:r>
            <w:r w:rsidRPr="00E971A9">
              <w:rPr>
                <w:rFonts w:eastAsia="Times New Roman"/>
                <w:b/>
                <w:bCs/>
                <w:sz w:val="24"/>
                <w:szCs w:val="24"/>
                <w:lang w:val="en-ID" w:eastAsia="en-ID"/>
              </w:rPr>
              <w:t>(</w:t>
            </w:r>
            <w:r w:rsidRPr="00E971A9">
              <w:rPr>
                <w:rFonts w:eastAsia="Times New Roman"/>
                <w:b/>
                <w:sz w:val="24"/>
                <w:szCs w:val="24"/>
                <w:lang w:val="en-ID" w:eastAsia="en-ID"/>
              </w:rPr>
              <w:t>Lampiran I poin V Huruf B</w:t>
            </w:r>
            <w:r w:rsidRPr="00E971A9">
              <w:rPr>
                <w:rFonts w:eastAsia="Times New Roman"/>
                <w:b/>
                <w:bCs/>
                <w:sz w:val="24"/>
                <w:szCs w:val="24"/>
                <w:lang w:val="en-ID" w:eastAsia="en-ID"/>
              </w:rPr>
              <w:t>)</w:t>
            </w:r>
          </w:p>
        </w:tc>
        <w:tc>
          <w:tcPr>
            <w:tcW w:w="2258" w:type="dxa"/>
            <w:tcBorders>
              <w:top w:val="nil"/>
              <w:left w:val="nil"/>
              <w:bottom w:val="single" w:sz="4" w:space="0" w:color="auto"/>
              <w:right w:val="nil"/>
            </w:tcBorders>
            <w:shd w:val="clear" w:color="auto" w:fill="auto"/>
            <w:vAlign w:val="center"/>
            <w:hideMark/>
          </w:tcPr>
          <w:p w14:paraId="582DD881"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xml:space="preserve">0% </w:t>
            </w:r>
            <w:r w:rsidRPr="00E971A9">
              <w:rPr>
                <w:rFonts w:eastAsia="Times New Roman"/>
                <w:b/>
                <w:bCs/>
                <w:i/>
                <w:iCs/>
                <w:sz w:val="24"/>
                <w:szCs w:val="24"/>
                <w:lang w:val="en-ID" w:eastAsia="en-ID"/>
              </w:rPr>
              <w:br w:type="page"/>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D7AC5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9FAAF5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298D187" w14:textId="77777777" w:rsidTr="002F3310">
        <w:trPr>
          <w:gridAfter w:val="1"/>
          <w:wAfter w:w="48" w:type="dxa"/>
          <w:trHeight w:val="553"/>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5A7C4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hideMark/>
          </w:tcPr>
          <w:p w14:paraId="455E3616"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 xml:space="preserve">Pendanaan </w:t>
            </w:r>
            <w:r w:rsidRPr="00E971A9">
              <w:rPr>
                <w:rFonts w:eastAsia="Times New Roman"/>
                <w:b/>
                <w:bCs/>
                <w:sz w:val="24"/>
                <w:szCs w:val="24"/>
                <w:lang w:val="en-ID" w:eastAsia="en-ID"/>
              </w:rPr>
              <w:t xml:space="preserve">kurang stabil </w:t>
            </w:r>
            <w:r w:rsidRPr="00E971A9">
              <w:rPr>
                <w:rFonts w:eastAsia="Times New Roman"/>
                <w:sz w:val="24"/>
                <w:szCs w:val="24"/>
                <w:lang w:val="en-ID" w:eastAsia="en-ID"/>
              </w:rPr>
              <w:t>untuk nasabah Usaha Mikro dan Usaha Kecil DCR tanpa perataan bagi hasil</w:t>
            </w:r>
          </w:p>
        </w:tc>
        <w:tc>
          <w:tcPr>
            <w:tcW w:w="2258" w:type="dxa"/>
            <w:tcBorders>
              <w:top w:val="nil"/>
              <w:left w:val="nil"/>
              <w:bottom w:val="single" w:sz="4" w:space="0" w:color="auto"/>
              <w:right w:val="single" w:sz="4" w:space="0" w:color="auto"/>
            </w:tcBorders>
            <w:shd w:val="clear" w:color="auto" w:fill="auto"/>
            <w:vAlign w:val="center"/>
            <w:hideMark/>
          </w:tcPr>
          <w:p w14:paraId="4A4DCDB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vAlign w:val="center"/>
            <w:hideMark/>
          </w:tcPr>
          <w:p w14:paraId="25DA02F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vAlign w:val="center"/>
            <w:hideMark/>
          </w:tcPr>
          <w:p w14:paraId="37B129A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699DA6F"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AAEF4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7AB2CD9" w14:textId="77777777" w:rsidR="002F3310" w:rsidRPr="00E971A9" w:rsidRDefault="002F3310" w:rsidP="00B60AB6">
            <w:pPr>
              <w:spacing w:after="0" w:line="240" w:lineRule="auto"/>
              <w:ind w:left="296" w:hanging="1"/>
              <w:jc w:val="both"/>
              <w:rPr>
                <w:rFonts w:eastAsia="Times New Roman"/>
                <w:sz w:val="24"/>
                <w:szCs w:val="24"/>
                <w:lang w:val="en-ID" w:eastAsia="en-ID"/>
              </w:rPr>
            </w:pPr>
            <w:r w:rsidRPr="00E971A9">
              <w:rPr>
                <w:rFonts w:eastAsia="Times New Roman"/>
                <w:sz w:val="24"/>
                <w:szCs w:val="24"/>
                <w:lang w:val="en-ID" w:eastAsia="en-ID"/>
              </w:rPr>
              <w:t>Tambahan kategori Pendanaan dengan tingkat penarikan yang lebih tinggi yang ditetapkan oleh pengawas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CE44C7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2D5522B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2222B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4B6F856"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5DB10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05C8E05" w14:textId="77777777" w:rsidR="002F3310" w:rsidRPr="00E971A9" w:rsidRDefault="002F3310" w:rsidP="00B60AB6">
            <w:pPr>
              <w:spacing w:after="0" w:line="240" w:lineRule="auto"/>
              <w:ind w:firstLineChars="359" w:firstLine="862"/>
              <w:rPr>
                <w:rFonts w:eastAsia="Times New Roman"/>
                <w:sz w:val="24"/>
                <w:szCs w:val="24"/>
                <w:lang w:val="en-ID" w:eastAsia="en-ID"/>
              </w:rPr>
            </w:pPr>
            <w:r w:rsidRPr="00E971A9">
              <w:rPr>
                <w:rFonts w:eastAsia="Times New Roman"/>
                <w:sz w:val="24"/>
                <w:szCs w:val="24"/>
                <w:lang w:val="en-ID" w:eastAsia="en-ID"/>
              </w:rPr>
              <w:t>Kategori 1</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9C105B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0D045A2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025D0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7270F7B"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61B03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vAlign w:val="center"/>
            <w:hideMark/>
          </w:tcPr>
          <w:p w14:paraId="30B217EE" w14:textId="77777777" w:rsidR="002F3310" w:rsidRPr="00E971A9" w:rsidRDefault="002F3310" w:rsidP="00B60AB6">
            <w:pPr>
              <w:spacing w:after="0" w:line="240" w:lineRule="auto"/>
              <w:ind w:firstLineChars="359" w:firstLine="862"/>
              <w:rPr>
                <w:rFonts w:eastAsia="Times New Roman"/>
                <w:sz w:val="24"/>
                <w:szCs w:val="24"/>
                <w:lang w:val="en-ID" w:eastAsia="en-ID"/>
              </w:rPr>
            </w:pPr>
            <w:r w:rsidRPr="00E971A9">
              <w:rPr>
                <w:rFonts w:eastAsia="Times New Roman"/>
                <w:sz w:val="24"/>
                <w:szCs w:val="24"/>
                <w:lang w:val="en-ID" w:eastAsia="en-ID"/>
              </w:rPr>
              <w:t>Kategori 2</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B4CD92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0E33A94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F0CE4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2B11C1B"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899B7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A1D8CB4" w14:textId="77777777" w:rsidR="002F3310" w:rsidRPr="00E971A9" w:rsidRDefault="002F3310" w:rsidP="00B60AB6">
            <w:pPr>
              <w:spacing w:after="0" w:line="240" w:lineRule="auto"/>
              <w:ind w:firstLineChars="359" w:firstLine="862"/>
              <w:rPr>
                <w:rFonts w:eastAsia="Times New Roman"/>
                <w:sz w:val="24"/>
                <w:szCs w:val="24"/>
                <w:lang w:val="en-ID" w:eastAsia="en-ID"/>
              </w:rPr>
            </w:pPr>
            <w:r w:rsidRPr="00E971A9">
              <w:rPr>
                <w:rFonts w:eastAsia="Times New Roman"/>
                <w:sz w:val="24"/>
                <w:szCs w:val="24"/>
                <w:lang w:val="en-ID" w:eastAsia="en-ID"/>
              </w:rPr>
              <w:t>Kategori 3</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AABADE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673A7E6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113F2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5528C00" w14:textId="77777777" w:rsidTr="00623B56">
        <w:trPr>
          <w:gridAfter w:val="1"/>
          <w:wAfter w:w="48" w:type="dxa"/>
          <w:trHeight w:val="37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8FF63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0E5CE4F"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Pendanaan kurang stabil Usaha Mikro dan Usaha Kecil</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4B28923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6E7E99A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D8982C"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1081C96"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D1C8C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Penarikan Pendanaan Usaha Mikro dan Usaha Kecil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D110A0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51BBB40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8F6041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40E37A6"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3D506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1.3</w:t>
            </w:r>
          </w:p>
        </w:tc>
        <w:tc>
          <w:tcPr>
            <w:tcW w:w="10038" w:type="dxa"/>
            <w:tcBorders>
              <w:top w:val="nil"/>
              <w:left w:val="nil"/>
              <w:bottom w:val="single" w:sz="4" w:space="0" w:color="auto"/>
              <w:right w:val="nil"/>
            </w:tcBorders>
            <w:shd w:val="clear" w:color="auto" w:fill="F2F2F2" w:themeFill="background1" w:themeFillShade="F2"/>
            <w:vAlign w:val="center"/>
            <w:hideMark/>
          </w:tcPr>
          <w:p w14:paraId="5E416152" w14:textId="77777777" w:rsidR="002F3310" w:rsidRPr="00E971A9" w:rsidRDefault="002F3310" w:rsidP="00B60AB6">
            <w:pPr>
              <w:spacing w:after="0" w:line="240" w:lineRule="auto"/>
              <w:jc w:val="both"/>
              <w:rPr>
                <w:rFonts w:eastAsia="Times New Roman"/>
                <w:b/>
                <w:bCs/>
                <w:sz w:val="24"/>
                <w:szCs w:val="24"/>
                <w:lang w:val="en-ID" w:eastAsia="en-ID"/>
              </w:rPr>
            </w:pPr>
            <w:r w:rsidRPr="00E971A9">
              <w:rPr>
                <w:rFonts w:eastAsia="Times New Roman"/>
                <w:b/>
                <w:bCs/>
                <w:sz w:val="24"/>
                <w:szCs w:val="24"/>
                <w:lang w:val="en-ID" w:eastAsia="en-ID"/>
              </w:rPr>
              <w:t>Penarikan Pendanaan dari Nasabah Korporasi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D3F621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53A2DFA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A6BC91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78D6133"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7988F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1872A6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Jumlah Pendanaan dari nasabah korporasi: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9730C6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4DB0D5B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402B95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DAF2B1F"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D6C18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6ACA8C37" w14:textId="77777777" w:rsidR="002F3310" w:rsidRPr="00E971A9" w:rsidRDefault="002F3310" w:rsidP="00B60AB6">
            <w:pPr>
              <w:spacing w:after="0" w:line="240" w:lineRule="auto"/>
              <w:ind w:firstLineChars="100" w:firstLine="240"/>
              <w:rPr>
                <w:rFonts w:eastAsia="Times New Roman"/>
                <w:sz w:val="24"/>
                <w:szCs w:val="24"/>
                <w:lang w:val="en-ID" w:eastAsia="en-ID"/>
              </w:rPr>
            </w:pPr>
            <w:r w:rsidRPr="00E971A9">
              <w:rPr>
                <w:rFonts w:eastAsia="Times New Roman"/>
                <w:sz w:val="24"/>
                <w:szCs w:val="24"/>
                <w:lang w:val="en-ID" w:eastAsia="en-ID"/>
              </w:rPr>
              <w:t>Rekening operasional: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771FAB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6AAC052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4DF4A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97CE06B"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15FB2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3A521962"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dijamin oleh LPS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AA4A03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18A4239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F74E1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CFB3ED1"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6BA24B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E204584"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tidak dijamin oleh LPS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717D78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25%</w:t>
            </w:r>
          </w:p>
        </w:tc>
        <w:tc>
          <w:tcPr>
            <w:tcW w:w="1984" w:type="dxa"/>
            <w:tcBorders>
              <w:top w:val="nil"/>
              <w:left w:val="nil"/>
              <w:bottom w:val="single" w:sz="4" w:space="0" w:color="auto"/>
              <w:right w:val="single" w:sz="4" w:space="0" w:color="auto"/>
            </w:tcBorders>
            <w:shd w:val="clear" w:color="auto" w:fill="auto"/>
            <w:noWrap/>
            <w:vAlign w:val="center"/>
            <w:hideMark/>
          </w:tcPr>
          <w:p w14:paraId="28B3682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5AE5B8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BE4708B" w14:textId="77777777" w:rsidTr="00623B56">
        <w:trPr>
          <w:gridAfter w:val="1"/>
          <w:wAfter w:w="48" w:type="dxa"/>
          <w:trHeight w:val="35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A57E7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70F07676" w14:textId="77777777" w:rsidR="002F3310" w:rsidRPr="00E971A9" w:rsidRDefault="002F3310" w:rsidP="00B60AB6">
            <w:pPr>
              <w:spacing w:after="0" w:line="240" w:lineRule="auto"/>
              <w:ind w:firstLineChars="100" w:firstLine="240"/>
              <w:rPr>
                <w:rFonts w:eastAsia="Times New Roman"/>
                <w:sz w:val="24"/>
                <w:szCs w:val="24"/>
                <w:lang w:val="en-ID" w:eastAsia="en-ID"/>
              </w:rPr>
            </w:pPr>
            <w:r w:rsidRPr="00E971A9">
              <w:rPr>
                <w:rFonts w:eastAsia="Times New Roman"/>
                <w:sz w:val="24"/>
                <w:szCs w:val="24"/>
                <w:lang w:val="en-ID" w:eastAsia="en-ID"/>
              </w:rPr>
              <w:t xml:space="preserve">Rekening operasional yang memenuhi kriteria </w:t>
            </w:r>
            <w:r w:rsidRPr="00E971A9">
              <w:rPr>
                <w:rFonts w:eastAsia="Times New Roman"/>
                <w:b/>
                <w:bCs/>
                <w:sz w:val="24"/>
                <w:szCs w:val="24"/>
                <w:lang w:val="en-ID" w:eastAsia="en-ID"/>
              </w:rPr>
              <w:t>(</w:t>
            </w:r>
            <w:r w:rsidRPr="00E971A9">
              <w:rPr>
                <w:rFonts w:eastAsia="Times New Roman"/>
                <w:b/>
                <w:sz w:val="24"/>
                <w:szCs w:val="24"/>
                <w:lang w:val="en-ID" w:eastAsia="en-ID"/>
              </w:rPr>
              <w:t>Lampiran I poin V Huruf A dan B</w:t>
            </w:r>
            <w:r w:rsidRPr="00E971A9">
              <w:rPr>
                <w:rFonts w:eastAsia="Times New Roman"/>
                <w:b/>
                <w:bCs/>
                <w:sz w:val="24"/>
                <w:szCs w:val="24"/>
                <w:lang w:val="en-ID" w:eastAsia="en-ID"/>
              </w:rPr>
              <w:t>)</w:t>
            </w:r>
            <w:r w:rsidRPr="00E971A9">
              <w:rPr>
                <w:rFonts w:eastAsia="Times New Roman"/>
                <w:sz w:val="24"/>
                <w:szCs w:val="24"/>
                <w:lang w:val="en-ID" w:eastAsia="en-ID"/>
              </w:rPr>
              <w:t>:</w:t>
            </w:r>
          </w:p>
        </w:tc>
        <w:tc>
          <w:tcPr>
            <w:tcW w:w="2258" w:type="dxa"/>
            <w:tcBorders>
              <w:top w:val="nil"/>
              <w:left w:val="nil"/>
              <w:bottom w:val="single" w:sz="4" w:space="0" w:color="auto"/>
              <w:right w:val="nil"/>
            </w:tcBorders>
            <w:shd w:val="clear" w:color="auto" w:fill="auto"/>
            <w:vAlign w:val="center"/>
            <w:hideMark/>
          </w:tcPr>
          <w:p w14:paraId="53FD7CA9"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EA4398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4003F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EECFA59" w14:textId="77777777" w:rsidTr="00B60AB6">
        <w:trPr>
          <w:gridAfter w:val="1"/>
          <w:wAfter w:w="48" w:type="dxa"/>
          <w:trHeight w:val="43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BE7A9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7718A28"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dijamin oleh lembaga penjaminan</w:t>
            </w:r>
          </w:p>
        </w:tc>
        <w:tc>
          <w:tcPr>
            <w:tcW w:w="2258" w:type="dxa"/>
            <w:tcBorders>
              <w:top w:val="nil"/>
              <w:left w:val="single" w:sz="4" w:space="0" w:color="auto"/>
              <w:bottom w:val="single" w:sz="4" w:space="0" w:color="auto"/>
              <w:right w:val="nil"/>
            </w:tcBorders>
            <w:shd w:val="clear" w:color="auto" w:fill="auto"/>
            <w:vAlign w:val="center"/>
            <w:hideMark/>
          </w:tcPr>
          <w:p w14:paraId="39CE0D2E"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xml:space="preserve">0% </w:t>
            </w:r>
            <w:r w:rsidRPr="00E971A9">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0DC5FB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151170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6FEFAE8" w14:textId="77777777" w:rsidTr="00623B56">
        <w:trPr>
          <w:gridAfter w:val="1"/>
          <w:wAfter w:w="48" w:type="dxa"/>
          <w:trHeight w:val="503"/>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4D18E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6CC01C9E"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tidak dijamin oleh lembaga penjaminan</w:t>
            </w:r>
          </w:p>
        </w:tc>
        <w:tc>
          <w:tcPr>
            <w:tcW w:w="2258" w:type="dxa"/>
            <w:tcBorders>
              <w:top w:val="nil"/>
              <w:left w:val="single" w:sz="4" w:space="0" w:color="auto"/>
              <w:bottom w:val="single" w:sz="4" w:space="0" w:color="auto"/>
              <w:right w:val="nil"/>
            </w:tcBorders>
            <w:shd w:val="clear" w:color="auto" w:fill="auto"/>
            <w:vAlign w:val="center"/>
            <w:hideMark/>
          </w:tcPr>
          <w:p w14:paraId="2116D209"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xml:space="preserve">0% </w:t>
            </w:r>
            <w:r w:rsidRPr="00E971A9">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38467D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90119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99A2473"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EEC939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4E5C9C3" w14:textId="77777777" w:rsidR="002F3310" w:rsidRPr="00E971A9" w:rsidRDefault="002F3310" w:rsidP="00B60AB6">
            <w:pPr>
              <w:spacing w:after="0" w:line="240" w:lineRule="auto"/>
              <w:jc w:val="both"/>
              <w:rPr>
                <w:rFonts w:eastAsia="Times New Roman"/>
                <w:b/>
                <w:bCs/>
                <w:sz w:val="24"/>
                <w:szCs w:val="24"/>
                <w:lang w:val="en-ID" w:eastAsia="en-ID"/>
              </w:rPr>
            </w:pPr>
            <w:r w:rsidRPr="00E971A9">
              <w:rPr>
                <w:rFonts w:eastAsia="Times New Roman"/>
                <w:b/>
                <w:bCs/>
                <w:sz w:val="24"/>
                <w:szCs w:val="24"/>
                <w:lang w:val="en-ID" w:eastAsia="en-ID"/>
              </w:rPr>
              <w:t>Jumlah Simpanan operasional nasabah korporasi</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3E7A1E7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6DF0D41D"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B063E8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1E6E3E5" w14:textId="77777777" w:rsidTr="00623B56">
        <w:trPr>
          <w:gridAfter w:val="1"/>
          <w:wAfter w:w="48" w:type="dxa"/>
          <w:trHeight w:val="86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75345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60657193" w14:textId="77777777" w:rsidR="002F3310" w:rsidRPr="00E971A9" w:rsidRDefault="002F3310" w:rsidP="00B60AB6">
            <w:pPr>
              <w:spacing w:after="0" w:line="240" w:lineRule="auto"/>
              <w:ind w:firstLineChars="100" w:firstLine="240"/>
              <w:jc w:val="both"/>
              <w:rPr>
                <w:rFonts w:eastAsia="Times New Roman"/>
                <w:sz w:val="24"/>
                <w:szCs w:val="24"/>
                <w:lang w:val="en-ID" w:eastAsia="en-ID"/>
              </w:rPr>
            </w:pPr>
            <w:r w:rsidRPr="00E971A9">
              <w:rPr>
                <w:rFonts w:eastAsia="Times New Roman"/>
                <w:sz w:val="24"/>
                <w:szCs w:val="24"/>
                <w:lang w:val="en-ID" w:eastAsia="en-ID"/>
              </w:rPr>
              <w:t>Rekening non-operasional dan/atau kewajiban yang bersifat non-operasional yang berasal dari perusahaan non-keuangan, Pemerintah Pusat, Bank Indonesia, pemerintah negara lain, bank sentral negara lain, bank pembangunan multilateral, dan/atau entitas sektor publik</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EC3064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0AD548A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2287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086DD8E"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C1CEC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325F15F"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dijamin oleh LPS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1A99DE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31AAED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1B10E8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0F995D5"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EE8E3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AD3AB86"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tidak dijamin oleh LPS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5682D1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40%</w:t>
            </w:r>
          </w:p>
        </w:tc>
        <w:tc>
          <w:tcPr>
            <w:tcW w:w="1984" w:type="dxa"/>
            <w:tcBorders>
              <w:top w:val="nil"/>
              <w:left w:val="nil"/>
              <w:bottom w:val="single" w:sz="4" w:space="0" w:color="auto"/>
              <w:right w:val="single" w:sz="4" w:space="0" w:color="auto"/>
            </w:tcBorders>
            <w:shd w:val="clear" w:color="auto" w:fill="auto"/>
            <w:noWrap/>
            <w:vAlign w:val="center"/>
            <w:hideMark/>
          </w:tcPr>
          <w:p w14:paraId="0895AE0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414B7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ED4DF05" w14:textId="77777777" w:rsidTr="002F3310">
        <w:trPr>
          <w:gridAfter w:val="1"/>
          <w:wAfter w:w="48" w:type="dxa"/>
          <w:trHeight w:val="673"/>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F5F8C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4456A405" w14:textId="77777777" w:rsidR="002F3310" w:rsidRPr="00E971A9" w:rsidRDefault="002F3310" w:rsidP="00B60AB6">
            <w:pPr>
              <w:spacing w:after="0" w:line="240" w:lineRule="auto"/>
              <w:ind w:firstLineChars="100" w:firstLine="240"/>
              <w:jc w:val="both"/>
              <w:rPr>
                <w:rFonts w:eastAsia="Times New Roman"/>
                <w:sz w:val="24"/>
                <w:szCs w:val="24"/>
                <w:lang w:val="en-ID" w:eastAsia="en-ID"/>
              </w:rPr>
            </w:pPr>
            <w:r w:rsidRPr="00E971A9">
              <w:rPr>
                <w:rFonts w:eastAsia="Times New Roman"/>
                <w:sz w:val="24"/>
                <w:szCs w:val="24"/>
                <w:lang w:val="en-ID" w:eastAsia="en-ID"/>
              </w:rPr>
              <w:t xml:space="preserve">Rekening non-operasional dan/atau kewajiban yang bersifat non-operasional yang memenuhi kriteria </w:t>
            </w:r>
            <w:r w:rsidRPr="00E971A9">
              <w:rPr>
                <w:rFonts w:eastAsia="Times New Roman"/>
                <w:b/>
                <w:bCs/>
                <w:sz w:val="24"/>
                <w:szCs w:val="24"/>
                <w:lang w:val="en-ID" w:eastAsia="en-ID"/>
              </w:rPr>
              <w:t>(</w:t>
            </w:r>
            <w:r w:rsidRPr="00E971A9">
              <w:rPr>
                <w:rFonts w:eastAsia="Times New Roman"/>
                <w:b/>
                <w:sz w:val="24"/>
                <w:szCs w:val="24"/>
                <w:lang w:val="en-ID" w:eastAsia="en-ID"/>
              </w:rPr>
              <w:t>Lampiran I poin V Huruf A dan B</w:t>
            </w:r>
            <w:r w:rsidRPr="00E971A9">
              <w:rPr>
                <w:rFonts w:eastAsia="Times New Roman"/>
                <w:b/>
                <w:bCs/>
                <w:sz w:val="24"/>
                <w:szCs w:val="24"/>
                <w:lang w:val="en-ID" w:eastAsia="en-ID"/>
              </w:rPr>
              <w:t>)</w:t>
            </w:r>
          </w:p>
        </w:tc>
        <w:tc>
          <w:tcPr>
            <w:tcW w:w="2258" w:type="dxa"/>
            <w:tcBorders>
              <w:top w:val="nil"/>
              <w:left w:val="nil"/>
              <w:bottom w:val="single" w:sz="4" w:space="0" w:color="auto"/>
              <w:right w:val="nil"/>
            </w:tcBorders>
            <w:shd w:val="clear" w:color="auto" w:fill="auto"/>
            <w:vAlign w:val="center"/>
            <w:hideMark/>
          </w:tcPr>
          <w:p w14:paraId="4ADF1B99" w14:textId="77777777" w:rsidR="002F3310" w:rsidRPr="00E971A9" w:rsidRDefault="002F3310" w:rsidP="00B60AB6">
            <w:pPr>
              <w:spacing w:after="0" w:line="240" w:lineRule="auto"/>
              <w:jc w:val="center"/>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C3296D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D2BE2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2E6241D" w14:textId="77777777" w:rsidTr="002F3310">
        <w:trPr>
          <w:gridAfter w:val="1"/>
          <w:wAfter w:w="48" w:type="dxa"/>
          <w:trHeight w:val="57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77C6D0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B6E7CF5"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dijamin oleh lembaga penjaminan</w:t>
            </w:r>
          </w:p>
        </w:tc>
        <w:tc>
          <w:tcPr>
            <w:tcW w:w="2258" w:type="dxa"/>
            <w:tcBorders>
              <w:top w:val="nil"/>
              <w:left w:val="single" w:sz="4" w:space="0" w:color="auto"/>
              <w:bottom w:val="single" w:sz="4" w:space="0" w:color="auto"/>
              <w:right w:val="nil"/>
            </w:tcBorders>
            <w:shd w:val="clear" w:color="auto" w:fill="auto"/>
            <w:vAlign w:val="center"/>
            <w:hideMark/>
          </w:tcPr>
          <w:p w14:paraId="78BC8251"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xml:space="preserve">0% </w:t>
            </w:r>
            <w:r w:rsidRPr="00E971A9">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2E049E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80BD2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BC32A00" w14:textId="77777777" w:rsidTr="00623B56">
        <w:trPr>
          <w:gridAfter w:val="1"/>
          <w:wAfter w:w="48" w:type="dxa"/>
          <w:trHeight w:val="4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04524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vAlign w:val="center"/>
            <w:hideMark/>
          </w:tcPr>
          <w:p w14:paraId="6AD5ADFB"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z w:val="24"/>
                <w:szCs w:val="24"/>
                <w:lang w:val="en-ID" w:eastAsia="en-ID"/>
              </w:rPr>
              <w:t>tidak dijamin oleh lembaga penjaminan</w:t>
            </w:r>
          </w:p>
        </w:tc>
        <w:tc>
          <w:tcPr>
            <w:tcW w:w="2258" w:type="dxa"/>
            <w:tcBorders>
              <w:top w:val="nil"/>
              <w:left w:val="single" w:sz="4" w:space="0" w:color="auto"/>
              <w:bottom w:val="single" w:sz="4" w:space="0" w:color="auto"/>
              <w:right w:val="nil"/>
            </w:tcBorders>
            <w:shd w:val="clear" w:color="auto" w:fill="auto"/>
            <w:vAlign w:val="center"/>
            <w:hideMark/>
          </w:tcPr>
          <w:p w14:paraId="228072DE" w14:textId="77777777" w:rsidR="002F3310" w:rsidRPr="00E971A9" w:rsidRDefault="002F3310" w:rsidP="00B60AB6">
            <w:pPr>
              <w:spacing w:after="0" w:line="240" w:lineRule="auto"/>
              <w:jc w:val="center"/>
              <w:rPr>
                <w:rFonts w:eastAsia="Times New Roman"/>
                <w:b/>
                <w:bCs/>
                <w:i/>
                <w:iCs/>
                <w:sz w:val="24"/>
                <w:szCs w:val="24"/>
                <w:lang w:val="en-ID" w:eastAsia="en-ID"/>
              </w:rPr>
            </w:pPr>
            <w:r w:rsidRPr="00E971A9">
              <w:rPr>
                <w:rFonts w:eastAsia="Times New Roman"/>
                <w:b/>
                <w:bCs/>
                <w:i/>
                <w:iCs/>
                <w:sz w:val="24"/>
                <w:szCs w:val="24"/>
                <w:lang w:val="en-ID" w:eastAsia="en-ID"/>
              </w:rPr>
              <w:t xml:space="preserve">0% </w:t>
            </w:r>
            <w:r w:rsidRPr="00E971A9">
              <w:rPr>
                <w:rFonts w:eastAsia="Times New Roman"/>
                <w:b/>
                <w:bCs/>
                <w:i/>
                <w:iCs/>
                <w:sz w:val="24"/>
                <w:szCs w:val="24"/>
                <w:lang w:val="en-ID" w:eastAsia="en-ID"/>
              </w:rPr>
              <w:br/>
              <w:t>*) host country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C36BB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0826B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FD63473" w14:textId="77777777" w:rsidTr="00B60AB6">
        <w:trPr>
          <w:gridAfter w:val="1"/>
          <w:wAfter w:w="48" w:type="dxa"/>
          <w:trHeight w:val="752"/>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2F402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single" w:sz="4" w:space="0" w:color="auto"/>
            </w:tcBorders>
            <w:shd w:val="clear" w:color="auto" w:fill="auto"/>
            <w:vAlign w:val="center"/>
            <w:hideMark/>
          </w:tcPr>
          <w:p w14:paraId="74BDFA0D" w14:textId="77777777" w:rsidR="002F3310" w:rsidRPr="00E971A9" w:rsidRDefault="002F3310" w:rsidP="00B60AB6">
            <w:pPr>
              <w:spacing w:after="0" w:line="240" w:lineRule="auto"/>
              <w:ind w:firstLineChars="100" w:firstLine="240"/>
              <w:jc w:val="both"/>
              <w:rPr>
                <w:rFonts w:eastAsia="Times New Roman"/>
                <w:sz w:val="24"/>
                <w:szCs w:val="24"/>
                <w:lang w:val="en-ID" w:eastAsia="en-ID"/>
              </w:rPr>
            </w:pPr>
            <w:r w:rsidRPr="00E971A9">
              <w:rPr>
                <w:rFonts w:eastAsia="Times New Roman"/>
                <w:sz w:val="24"/>
                <w:szCs w:val="24"/>
                <w:lang w:val="en-ID" w:eastAsia="en-ID"/>
              </w:rPr>
              <w:t xml:space="preserve">Rekening non-operasional dan/atau kewajiban yang bersifat non-operasional yang berasal dari entitas lainnya yang memenuhi kriteria </w:t>
            </w:r>
            <w:r w:rsidRPr="00E971A9">
              <w:rPr>
                <w:rFonts w:eastAsia="Times New Roman"/>
                <w:b/>
                <w:bCs/>
                <w:sz w:val="24"/>
                <w:szCs w:val="24"/>
                <w:lang w:val="en-ID" w:eastAsia="en-ID"/>
              </w:rPr>
              <w:t>(Lampiran I poin IV Huruf A  angka 3 huruf b angka 2) huruf b))</w:t>
            </w:r>
          </w:p>
        </w:tc>
        <w:tc>
          <w:tcPr>
            <w:tcW w:w="2258" w:type="dxa"/>
            <w:tcBorders>
              <w:top w:val="nil"/>
              <w:left w:val="nil"/>
              <w:bottom w:val="single" w:sz="4" w:space="0" w:color="auto"/>
              <w:right w:val="single" w:sz="4" w:space="0" w:color="auto"/>
            </w:tcBorders>
            <w:shd w:val="clear" w:color="auto" w:fill="auto"/>
            <w:noWrap/>
            <w:vAlign w:val="center"/>
            <w:hideMark/>
          </w:tcPr>
          <w:p w14:paraId="372EC0A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17A1B14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11B4FE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69978E6"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A71B8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0D9197C" w14:textId="77777777" w:rsidR="002F3310" w:rsidRPr="00E971A9" w:rsidRDefault="002F3310" w:rsidP="00B60AB6">
            <w:pPr>
              <w:spacing w:after="0" w:line="240" w:lineRule="auto"/>
              <w:ind w:firstLineChars="300" w:firstLine="720"/>
              <w:rPr>
                <w:rFonts w:eastAsia="Times New Roman"/>
                <w:sz w:val="24"/>
                <w:szCs w:val="24"/>
                <w:lang w:val="en-ID" w:eastAsia="en-ID"/>
              </w:rPr>
            </w:pPr>
            <w:r w:rsidRPr="00E971A9">
              <w:rPr>
                <w:rFonts w:eastAsia="Times New Roman"/>
                <w:strike/>
                <w:sz w:val="24"/>
                <w:szCs w:val="24"/>
                <w:lang w:val="en-ID" w:eastAsia="en-ID"/>
              </w:rPr>
              <w:t> </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3B3906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7AB7778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71C4D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195F507"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BFCEB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016A4768" w14:textId="77777777" w:rsidR="002F3310" w:rsidRPr="00E971A9" w:rsidRDefault="002F3310" w:rsidP="00B60AB6">
            <w:pPr>
              <w:spacing w:after="0" w:line="240" w:lineRule="auto"/>
              <w:ind w:firstLineChars="100" w:firstLine="240"/>
              <w:jc w:val="both"/>
              <w:rPr>
                <w:rFonts w:eastAsia="Times New Roman"/>
                <w:sz w:val="24"/>
                <w:szCs w:val="24"/>
                <w:lang w:val="en-ID" w:eastAsia="en-ID"/>
              </w:rPr>
            </w:pPr>
            <w:r w:rsidRPr="002F3310">
              <w:rPr>
                <w:rFonts w:eastAsia="Times New Roman"/>
                <w:i/>
                <w:sz w:val="24"/>
                <w:szCs w:val="24"/>
                <w:lang w:val="en-ID" w:eastAsia="en-ID"/>
              </w:rPr>
              <w:t>Restricted</w:t>
            </w:r>
            <w:r w:rsidRPr="00E971A9">
              <w:rPr>
                <w:rFonts w:eastAsia="Times New Roman"/>
                <w:sz w:val="24"/>
                <w:szCs w:val="24"/>
                <w:lang w:val="en-ID" w:eastAsia="en-ID"/>
              </w:rPr>
              <w:t xml:space="preserve"> PSIA Nasabah Korporasi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5421D1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34632A6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5E094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3273E63"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E5F56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0103F418" w14:textId="77777777" w:rsidR="002F3310" w:rsidRPr="00E971A9" w:rsidRDefault="002F3310" w:rsidP="00B60AB6">
            <w:pPr>
              <w:spacing w:after="0" w:line="240" w:lineRule="auto"/>
              <w:ind w:firstLineChars="300" w:firstLine="720"/>
              <w:jc w:val="both"/>
              <w:rPr>
                <w:rFonts w:eastAsia="Times New Roman"/>
                <w:sz w:val="24"/>
                <w:szCs w:val="24"/>
                <w:lang w:val="en-ID" w:eastAsia="en-ID"/>
              </w:rPr>
            </w:pPr>
            <w:r w:rsidRPr="00E971A9">
              <w:rPr>
                <w:rFonts w:eastAsia="Times New Roman"/>
                <w:sz w:val="24"/>
                <w:szCs w:val="24"/>
                <w:lang w:val="en-ID" w:eastAsia="en-ID"/>
              </w:rPr>
              <w:t>tidak ada hak pencairan sebelum jatuh tempo</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FB7EC6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1DF3E66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0DC013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3F623CF" w14:textId="77777777" w:rsidTr="00623B56">
        <w:trPr>
          <w:gridAfter w:val="1"/>
          <w:wAfter w:w="48" w:type="dxa"/>
          <w:trHeight w:val="46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911BE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0E8CE31" w14:textId="77777777" w:rsidR="002F3310" w:rsidRPr="00E971A9" w:rsidRDefault="002F3310" w:rsidP="00B60AB6">
            <w:pPr>
              <w:spacing w:after="0" w:line="240" w:lineRule="auto"/>
              <w:ind w:firstLineChars="300" w:firstLine="720"/>
              <w:jc w:val="both"/>
              <w:rPr>
                <w:rFonts w:eastAsia="Times New Roman"/>
                <w:sz w:val="24"/>
                <w:szCs w:val="24"/>
                <w:lang w:val="en-ID" w:eastAsia="en-ID"/>
              </w:rPr>
            </w:pPr>
            <w:r w:rsidRPr="00E971A9">
              <w:rPr>
                <w:rFonts w:eastAsia="Times New Roman"/>
                <w:sz w:val="24"/>
                <w:szCs w:val="24"/>
                <w:lang w:val="en-ID" w:eastAsia="en-ID"/>
              </w:rPr>
              <w:t>ada hak pencairan sebelum jatuh tempo dengan pemberitahuan minimal 30 hari sebelumnya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E3B0F6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7ACA72E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A6E04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4687CC1"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C8A24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60055A5F" w14:textId="77777777" w:rsidR="002F3310" w:rsidRPr="00E971A9" w:rsidRDefault="002F3310" w:rsidP="00B60AB6">
            <w:pPr>
              <w:spacing w:after="0" w:line="240" w:lineRule="auto"/>
              <w:ind w:firstLineChars="300" w:firstLine="720"/>
              <w:jc w:val="both"/>
              <w:rPr>
                <w:rFonts w:eastAsia="Times New Roman"/>
                <w:sz w:val="24"/>
                <w:szCs w:val="24"/>
                <w:lang w:val="en-ID" w:eastAsia="en-ID"/>
              </w:rPr>
            </w:pPr>
            <w:r w:rsidRPr="00E971A9">
              <w:rPr>
                <w:rFonts w:eastAsia="Times New Roman"/>
                <w:sz w:val="24"/>
                <w:szCs w:val="24"/>
                <w:lang w:val="en-ID" w:eastAsia="en-ID"/>
              </w:rPr>
              <w:t>ada hak pencairan sebelum jatuh tempo dengan pemberitahuan kurang dari 30 hari sebelumnya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868E8A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40%</w:t>
            </w:r>
          </w:p>
        </w:tc>
        <w:tc>
          <w:tcPr>
            <w:tcW w:w="1984" w:type="dxa"/>
            <w:tcBorders>
              <w:top w:val="nil"/>
              <w:left w:val="nil"/>
              <w:bottom w:val="single" w:sz="4" w:space="0" w:color="auto"/>
              <w:right w:val="single" w:sz="4" w:space="0" w:color="auto"/>
            </w:tcBorders>
            <w:shd w:val="clear" w:color="auto" w:fill="auto"/>
            <w:noWrap/>
            <w:vAlign w:val="center"/>
            <w:hideMark/>
          </w:tcPr>
          <w:p w14:paraId="7BB1DEA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B6946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10F1C6E"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86AE4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4D90CD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Surat berharga berupa sukuk yang diterbitkan Bank</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5CFA57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1A0CD4D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94E6F4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12DC44E" w14:textId="77777777" w:rsidTr="00B60AB6">
        <w:trPr>
          <w:gridAfter w:val="1"/>
          <w:wAfter w:w="48" w:type="dxa"/>
          <w:trHeight w:val="36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C27FB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FA9EAC3"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Rekening non-operasional dan/atau kewajiban yang bersifat non-operasional</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34A03AE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0200270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AE5139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1AC55F4"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73D0A825"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Penarikan Pendanaan yang Berasal dari Nasabah Korporasi</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26CF7C0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00D67B5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46FEDE"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7A3C73F" w14:textId="77777777" w:rsidTr="002F3310">
        <w:trPr>
          <w:gridAfter w:val="1"/>
          <w:wAfter w:w="48" w:type="dxa"/>
          <w:trHeight w:val="29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6A45A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1.4</w:t>
            </w:r>
          </w:p>
        </w:tc>
        <w:tc>
          <w:tcPr>
            <w:tcW w:w="10038" w:type="dxa"/>
            <w:tcBorders>
              <w:top w:val="nil"/>
              <w:left w:val="nil"/>
              <w:bottom w:val="single" w:sz="4" w:space="0" w:color="auto"/>
              <w:right w:val="nil"/>
            </w:tcBorders>
            <w:shd w:val="clear" w:color="auto" w:fill="F2F2F2" w:themeFill="background1" w:themeFillShade="F2"/>
            <w:vAlign w:val="center"/>
            <w:hideMark/>
          </w:tcPr>
          <w:p w14:paraId="66FE497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Penarikan Pendanaan dengan Agunan</w:t>
            </w:r>
            <w:r w:rsidRPr="00E971A9">
              <w:rPr>
                <w:rFonts w:eastAsia="Times New Roman"/>
                <w:b/>
                <w:bCs/>
                <w:i/>
                <w:iCs/>
                <w:sz w:val="24"/>
                <w:szCs w:val="24"/>
                <w:lang w:val="en-ID" w:eastAsia="en-ID"/>
              </w:rPr>
              <w:t xml:space="preserve"> (Secured Funding)</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4545BF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73595D2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58CC5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E5F7A51"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1FAB1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6F30D6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dilakukan dengan Bank Indonesia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55550C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1507C22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5B0E57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2853841"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FE453D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35710D7D"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dilakukan dengan agunan HQLA Level 1</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D1F389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1CB044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70B2B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E7BB4AF"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CBCF5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4DCDE4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dilakukan dengan agunan HQLA Level 2A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848BFD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79F521E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218F1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54AA630" w14:textId="77777777" w:rsidTr="002F3310">
        <w:trPr>
          <w:gridAfter w:val="1"/>
          <w:wAfter w:w="48" w:type="dxa"/>
          <w:trHeight w:val="103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CF680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1D7A9B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dilakukan dengan Pemerintah Pusat atau entitas sektor publik yang memiliki bobot risiko paling tinggi 20% atau bank pembangunan multilateral, dengan agunan selain HQLA Level 1 atau HQLA Level 2A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995C58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25%</w:t>
            </w:r>
          </w:p>
        </w:tc>
        <w:tc>
          <w:tcPr>
            <w:tcW w:w="1984" w:type="dxa"/>
            <w:tcBorders>
              <w:top w:val="nil"/>
              <w:left w:val="nil"/>
              <w:bottom w:val="single" w:sz="4" w:space="0" w:color="auto"/>
              <w:right w:val="single" w:sz="4" w:space="0" w:color="auto"/>
            </w:tcBorders>
            <w:shd w:val="clear" w:color="auto" w:fill="auto"/>
            <w:noWrap/>
            <w:vAlign w:val="center"/>
            <w:hideMark/>
          </w:tcPr>
          <w:p w14:paraId="01C7271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033FBA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E62B29C"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BD672D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CFFFE5C"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dengan agunan HQLA Level 2B berupa EBAS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3CE1D5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25%</w:t>
            </w:r>
          </w:p>
        </w:tc>
        <w:tc>
          <w:tcPr>
            <w:tcW w:w="1984" w:type="dxa"/>
            <w:tcBorders>
              <w:top w:val="nil"/>
              <w:left w:val="nil"/>
              <w:bottom w:val="single" w:sz="4" w:space="0" w:color="auto"/>
              <w:right w:val="single" w:sz="4" w:space="0" w:color="auto"/>
            </w:tcBorders>
            <w:shd w:val="clear" w:color="auto" w:fill="auto"/>
            <w:noWrap/>
            <w:vAlign w:val="center"/>
            <w:hideMark/>
          </w:tcPr>
          <w:p w14:paraId="1548474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0E3633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9BBEC66"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6B054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3B56EB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dengan agunan HQLA Level 2B selain EBAS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26670F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4F07F2C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EF936E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0E95651"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68CC9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47E686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Transaksi dilakukan dengan agunan selain HQLA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078B28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7164CC5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2FFF86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B614EC4"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42A14588"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lastRenderedPageBreak/>
              <w:t>Jumlah Penarikan Pendanaan dengan Agunan (</w:t>
            </w:r>
            <w:r w:rsidRPr="00E971A9">
              <w:rPr>
                <w:rFonts w:eastAsia="Times New Roman"/>
                <w:b/>
                <w:bCs/>
                <w:i/>
                <w:iCs/>
                <w:sz w:val="24"/>
                <w:szCs w:val="24"/>
                <w:lang w:val="en-ID" w:eastAsia="en-ID"/>
              </w:rPr>
              <w:t>Secured Funding</w:t>
            </w:r>
            <w:r w:rsidRPr="00E971A9">
              <w:rPr>
                <w:rFonts w:eastAsia="Times New Roman"/>
                <w:b/>
                <w:bCs/>
                <w:sz w:val="24"/>
                <w:szCs w:val="24"/>
                <w:lang w:val="en-ID" w:eastAsia="en-ID"/>
              </w:rPr>
              <w:t>)</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3FF53FA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3E97F44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000000" w:fill="000000"/>
            <w:noWrap/>
            <w:vAlign w:val="center"/>
            <w:hideMark/>
          </w:tcPr>
          <w:p w14:paraId="66836FB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2E0C793" w14:textId="77777777" w:rsidTr="002F3310">
        <w:trPr>
          <w:gridAfter w:val="1"/>
          <w:wAfter w:w="48" w:type="dxa"/>
          <w:trHeight w:val="29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17912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0038" w:type="dxa"/>
            <w:tcBorders>
              <w:top w:val="nil"/>
              <w:left w:val="nil"/>
              <w:bottom w:val="single" w:sz="4" w:space="0" w:color="auto"/>
              <w:right w:val="nil"/>
            </w:tcBorders>
            <w:shd w:val="clear" w:color="auto" w:fill="F2F2F2" w:themeFill="background1" w:themeFillShade="F2"/>
            <w:vAlign w:val="center"/>
            <w:hideMark/>
          </w:tcPr>
          <w:p w14:paraId="0627E70D"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Arus Kas Keluar Lainnya </w:t>
            </w:r>
            <w:r w:rsidRPr="00E971A9">
              <w:rPr>
                <w:rFonts w:eastAsia="Times New Roman"/>
                <w:b/>
                <w:bCs/>
                <w:i/>
                <w:iCs/>
                <w:sz w:val="24"/>
                <w:szCs w:val="24"/>
                <w:lang w:val="en-ID" w:eastAsia="en-ID"/>
              </w:rPr>
              <w:t>(Additional Requirement)</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3D7907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3FCD647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595120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F31C256" w14:textId="77777777" w:rsidTr="00623B56">
        <w:trPr>
          <w:gridAfter w:val="1"/>
          <w:wAfter w:w="48" w:type="dxa"/>
          <w:trHeight w:val="682"/>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54F4A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nil"/>
              <w:right w:val="nil"/>
            </w:tcBorders>
            <w:shd w:val="clear" w:color="auto" w:fill="auto"/>
            <w:vAlign w:val="center"/>
            <w:hideMark/>
          </w:tcPr>
          <w:p w14:paraId="4A3A3828"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Arus kas keluar lainnya terkait transaksi derivatif yang memenuhi prinsip syariah/</w:t>
            </w:r>
            <w:r w:rsidRPr="00E971A9">
              <w:rPr>
                <w:rFonts w:eastAsia="Times New Roman"/>
                <w:b/>
                <w:bCs/>
                <w:i/>
                <w:iCs/>
                <w:sz w:val="24"/>
                <w:szCs w:val="24"/>
                <w:lang w:val="en-ID" w:eastAsia="en-ID"/>
              </w:rPr>
              <w:t xml:space="preserve">Sharia compliance hedging </w:t>
            </w:r>
            <w:r w:rsidRPr="00E971A9">
              <w:rPr>
                <w:rFonts w:eastAsia="Times New Roman"/>
                <w:b/>
                <w:bCs/>
                <w:sz w:val="24"/>
                <w:szCs w:val="24"/>
                <w:lang w:val="en-ID" w:eastAsia="en-ID"/>
              </w:rPr>
              <w:t>sesuai fatwa DSN-MUI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36893BA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49C32EA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E13EC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2A21F7E" w14:textId="77777777" w:rsidTr="00623B56">
        <w:trPr>
          <w:gridAfter w:val="1"/>
          <w:wAfter w:w="48" w:type="dxa"/>
          <w:trHeight w:val="409"/>
        </w:trPr>
        <w:tc>
          <w:tcPr>
            <w:tcW w:w="872" w:type="dxa"/>
            <w:tcBorders>
              <w:top w:val="nil"/>
              <w:left w:val="single" w:sz="4" w:space="0" w:color="auto"/>
              <w:bottom w:val="single" w:sz="4" w:space="0" w:color="auto"/>
              <w:right w:val="nil"/>
            </w:tcBorders>
            <w:shd w:val="clear" w:color="auto" w:fill="auto"/>
            <w:noWrap/>
            <w:vAlign w:val="center"/>
            <w:hideMark/>
          </w:tcPr>
          <w:p w14:paraId="12F954F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single" w:sz="4" w:space="0" w:color="auto"/>
              <w:left w:val="single" w:sz="4" w:space="0" w:color="auto"/>
              <w:bottom w:val="single" w:sz="4" w:space="0" w:color="auto"/>
              <w:right w:val="nil"/>
            </w:tcBorders>
            <w:shd w:val="clear" w:color="auto" w:fill="auto"/>
            <w:vAlign w:val="center"/>
            <w:hideMark/>
          </w:tcPr>
          <w:p w14:paraId="023DDEB4"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Arus kas keluar lainnya terkait peningkatan kebutuhan likuiditas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A9557B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6E53B7E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CC37D1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341F5BB" w14:textId="77777777" w:rsidTr="00623B56">
        <w:trPr>
          <w:gridAfter w:val="1"/>
          <w:wAfter w:w="48" w:type="dxa"/>
          <w:trHeight w:val="69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9ED33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81A4997"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 xml:space="preserve">terkait dengan penurunan peringkat (rating) Bank dalam transaksi Pendanaan, </w:t>
            </w:r>
            <w:r w:rsidRPr="00E971A9">
              <w:rPr>
                <w:rFonts w:eastAsia="Times New Roman"/>
                <w:i/>
                <w:iCs/>
                <w:sz w:val="24"/>
                <w:szCs w:val="24"/>
                <w:lang w:val="en-ID" w:eastAsia="en-ID"/>
              </w:rPr>
              <w:t>derivatif syariah/Sharia compliance hedging</w:t>
            </w:r>
            <w:r w:rsidRPr="00E971A9">
              <w:rPr>
                <w:rFonts w:eastAsia="Times New Roman"/>
                <w:sz w:val="24"/>
                <w:szCs w:val="24"/>
                <w:lang w:val="en-ID" w:eastAsia="en-ID"/>
              </w:rPr>
              <w:t xml:space="preserve"> sesuai fatwa MUI, dan perjanjian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385E08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0203572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532A71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7F9D519" w14:textId="77777777" w:rsidTr="002F3310">
        <w:trPr>
          <w:gridAfter w:val="1"/>
          <w:wAfter w:w="48" w:type="dxa"/>
          <w:trHeight w:val="7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7CCA8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2722403" w14:textId="77777777" w:rsidR="002F3310" w:rsidRPr="00E971A9" w:rsidRDefault="002F3310" w:rsidP="00B60AB6">
            <w:pPr>
              <w:spacing w:after="0" w:line="240" w:lineRule="auto"/>
              <w:ind w:firstLineChars="200" w:firstLine="480"/>
              <w:jc w:val="both"/>
              <w:rPr>
                <w:rFonts w:eastAsia="Times New Roman"/>
                <w:sz w:val="24"/>
                <w:szCs w:val="24"/>
                <w:lang w:val="en-ID" w:eastAsia="en-ID"/>
              </w:rPr>
            </w:pPr>
            <w:r w:rsidRPr="00E971A9">
              <w:rPr>
                <w:rFonts w:eastAsia="Times New Roman"/>
                <w:sz w:val="24"/>
                <w:szCs w:val="24"/>
                <w:lang w:val="en-ID" w:eastAsia="en-ID"/>
              </w:rPr>
              <w:t>terkait dengan kelebihan agunan yang tidak terpisah (</w:t>
            </w:r>
            <w:r w:rsidRPr="00E971A9">
              <w:rPr>
                <w:rFonts w:eastAsia="Times New Roman"/>
                <w:i/>
                <w:iCs/>
                <w:sz w:val="24"/>
                <w:szCs w:val="24"/>
                <w:lang w:val="en-ID" w:eastAsia="en-ID"/>
              </w:rPr>
              <w:t>non-segregated collateral</w:t>
            </w:r>
            <w:r w:rsidRPr="00E971A9">
              <w:rPr>
                <w:rFonts w:eastAsia="Times New Roman"/>
                <w:sz w:val="24"/>
                <w:szCs w:val="24"/>
                <w:lang w:val="en-ID" w:eastAsia="en-ID"/>
              </w:rPr>
              <w:t>) yang dikuasai oleh Bank yang secara kontraktual dapat diambil setiap saat oleh pihak lawan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FDC5CD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13E1434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DD9DC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CC80ABD" w14:textId="77777777" w:rsidTr="00623B56">
        <w:trPr>
          <w:gridAfter w:val="1"/>
          <w:wAfter w:w="48" w:type="dxa"/>
          <w:trHeight w:val="64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70EDB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55C197D" w14:textId="77777777" w:rsidR="002F3310" w:rsidRPr="00E971A9" w:rsidRDefault="002F3310" w:rsidP="00B60AB6">
            <w:pPr>
              <w:spacing w:after="0" w:line="240" w:lineRule="auto"/>
              <w:ind w:firstLineChars="200" w:firstLine="480"/>
              <w:jc w:val="both"/>
              <w:rPr>
                <w:rFonts w:eastAsia="Times New Roman"/>
                <w:sz w:val="24"/>
                <w:szCs w:val="24"/>
                <w:lang w:val="en-ID" w:eastAsia="en-ID"/>
              </w:rPr>
            </w:pPr>
            <w:r w:rsidRPr="00E971A9">
              <w:rPr>
                <w:rFonts w:eastAsia="Times New Roman"/>
                <w:sz w:val="24"/>
                <w:szCs w:val="24"/>
                <w:lang w:val="en-ID" w:eastAsia="en-ID"/>
              </w:rPr>
              <w:t>terkait dengan kewajiban penyediaan agunan kepada pihak lawan (</w:t>
            </w:r>
            <w:r w:rsidRPr="00E971A9">
              <w:rPr>
                <w:rFonts w:eastAsia="Times New Roman"/>
                <w:i/>
                <w:iCs/>
                <w:sz w:val="24"/>
                <w:szCs w:val="24"/>
                <w:lang w:val="en-ID" w:eastAsia="en-ID"/>
              </w:rPr>
              <w:t>counterparty</w:t>
            </w:r>
            <w:r w:rsidRPr="00E971A9">
              <w:rPr>
                <w:rFonts w:eastAsia="Times New Roman"/>
                <w:sz w:val="24"/>
                <w:szCs w:val="24"/>
                <w:lang w:val="en-ID" w:eastAsia="en-ID"/>
              </w:rPr>
              <w:t>) atas suatu transaksi tertentu namun pihak lawan (</w:t>
            </w:r>
            <w:r w:rsidRPr="00E971A9">
              <w:rPr>
                <w:rFonts w:eastAsia="Times New Roman"/>
                <w:i/>
                <w:iCs/>
                <w:sz w:val="24"/>
                <w:szCs w:val="24"/>
                <w:lang w:val="en-ID" w:eastAsia="en-ID"/>
              </w:rPr>
              <w:t>counterparty</w:t>
            </w:r>
            <w:r w:rsidRPr="00E971A9">
              <w:rPr>
                <w:rFonts w:eastAsia="Times New Roman"/>
                <w:sz w:val="24"/>
                <w:szCs w:val="24"/>
                <w:lang w:val="en-ID" w:eastAsia="en-ID"/>
              </w:rPr>
              <w:t>) belum meminta agunan tersebut</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94A96F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1D8F6C2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352B3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B05BE5A" w14:textId="77777777" w:rsidTr="00623B56">
        <w:trPr>
          <w:gridAfter w:val="1"/>
          <w:wAfter w:w="48" w:type="dxa"/>
          <w:trHeight w:val="47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50D71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nil"/>
              <w:right w:val="nil"/>
            </w:tcBorders>
            <w:shd w:val="clear" w:color="auto" w:fill="auto"/>
            <w:vAlign w:val="center"/>
            <w:hideMark/>
          </w:tcPr>
          <w:p w14:paraId="25596774" w14:textId="77777777" w:rsidR="002F3310" w:rsidRPr="00E971A9" w:rsidRDefault="002F3310" w:rsidP="00B60AB6">
            <w:pPr>
              <w:spacing w:after="0" w:line="240" w:lineRule="auto"/>
              <w:ind w:firstLineChars="200" w:firstLine="480"/>
              <w:jc w:val="both"/>
              <w:rPr>
                <w:rFonts w:eastAsia="Times New Roman"/>
                <w:sz w:val="24"/>
                <w:szCs w:val="24"/>
                <w:lang w:val="en-ID" w:eastAsia="en-ID"/>
              </w:rPr>
            </w:pPr>
            <w:r w:rsidRPr="00E971A9">
              <w:rPr>
                <w:rFonts w:eastAsia="Times New Roman"/>
                <w:sz w:val="24"/>
                <w:szCs w:val="24"/>
                <w:lang w:val="en-ID" w:eastAsia="en-ID"/>
              </w:rPr>
              <w:t>terkait dengan potensi penukaran agunan yang berupa HQLA menjadi bukan HQLA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1E2808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196A1F3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73BC51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F33A9A5" w14:textId="77777777" w:rsidTr="002F3310">
        <w:trPr>
          <w:gridAfter w:val="1"/>
          <w:wAfter w:w="48" w:type="dxa"/>
          <w:trHeight w:val="280"/>
        </w:trPr>
        <w:tc>
          <w:tcPr>
            <w:tcW w:w="872" w:type="dxa"/>
            <w:tcBorders>
              <w:top w:val="nil"/>
              <w:left w:val="single" w:sz="4" w:space="0" w:color="auto"/>
              <w:bottom w:val="single" w:sz="4" w:space="0" w:color="auto"/>
              <w:right w:val="nil"/>
            </w:tcBorders>
            <w:shd w:val="clear" w:color="auto" w:fill="auto"/>
            <w:noWrap/>
            <w:vAlign w:val="center"/>
            <w:hideMark/>
          </w:tcPr>
          <w:p w14:paraId="5664743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single" w:sz="4" w:space="0" w:color="auto"/>
              <w:left w:val="single" w:sz="4" w:space="0" w:color="auto"/>
              <w:bottom w:val="single" w:sz="4" w:space="0" w:color="auto"/>
              <w:right w:val="nil"/>
            </w:tcBorders>
            <w:shd w:val="clear" w:color="auto" w:fill="auto"/>
            <w:vAlign w:val="center"/>
            <w:hideMark/>
          </w:tcPr>
          <w:p w14:paraId="66CB1CA6" w14:textId="77777777" w:rsidR="002F3310" w:rsidRPr="00E971A9" w:rsidRDefault="002F3310" w:rsidP="00B60AB6">
            <w:pPr>
              <w:spacing w:after="0" w:line="240" w:lineRule="auto"/>
              <w:jc w:val="both"/>
              <w:rPr>
                <w:rFonts w:eastAsia="Times New Roman"/>
                <w:b/>
                <w:bCs/>
                <w:sz w:val="24"/>
                <w:szCs w:val="24"/>
                <w:lang w:val="en-ID" w:eastAsia="en-ID"/>
              </w:rPr>
            </w:pPr>
            <w:r w:rsidRPr="00E971A9">
              <w:rPr>
                <w:rFonts w:eastAsia="Times New Roman"/>
                <w:b/>
                <w:bCs/>
                <w:sz w:val="24"/>
                <w:szCs w:val="24"/>
                <w:lang w:val="en-ID" w:eastAsia="en-ID"/>
              </w:rPr>
              <w:t xml:space="preserve">Arus kas keluar lainnya terkait kehilangan pendanaan </w:t>
            </w:r>
          </w:p>
        </w:tc>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1916EEC3"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D27C3E"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F5225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F06876A" w14:textId="77777777" w:rsidTr="002F3310">
        <w:trPr>
          <w:gridAfter w:val="1"/>
          <w:wAfter w:w="48" w:type="dxa"/>
          <w:trHeight w:val="53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BFFD55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0A83F80" w14:textId="77777777" w:rsidR="002F3310" w:rsidRPr="00E971A9" w:rsidRDefault="002F3310" w:rsidP="00B60AB6">
            <w:pPr>
              <w:spacing w:after="0" w:line="240" w:lineRule="auto"/>
              <w:ind w:firstLineChars="200" w:firstLine="480"/>
              <w:jc w:val="both"/>
              <w:rPr>
                <w:rFonts w:eastAsia="Times New Roman"/>
                <w:sz w:val="24"/>
                <w:szCs w:val="24"/>
                <w:lang w:val="en-ID" w:eastAsia="en-ID"/>
              </w:rPr>
            </w:pPr>
            <w:r w:rsidRPr="00E971A9">
              <w:rPr>
                <w:rFonts w:eastAsia="Times New Roman"/>
                <w:sz w:val="24"/>
                <w:szCs w:val="24"/>
                <w:lang w:val="en-ID" w:eastAsia="en-ID"/>
              </w:rPr>
              <w:t xml:space="preserve">berasal dari EBAS, </w:t>
            </w:r>
            <w:r w:rsidRPr="00E971A9">
              <w:rPr>
                <w:rFonts w:eastAsia="Times New Roman"/>
                <w:i/>
                <w:iCs/>
                <w:sz w:val="24"/>
                <w:szCs w:val="24"/>
                <w:lang w:val="en-ID" w:eastAsia="en-ID"/>
              </w:rPr>
              <w:t>covered</w:t>
            </w:r>
            <w:r w:rsidRPr="00E971A9">
              <w:rPr>
                <w:rFonts w:eastAsia="Times New Roman"/>
                <w:sz w:val="24"/>
                <w:szCs w:val="24"/>
                <w:lang w:val="en-ID" w:eastAsia="en-ID"/>
              </w:rPr>
              <w:t xml:space="preserve"> sukuk, dan instrumen pembiayaan terstruktur lainnya yang diterbitkan oleh Bank</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198E3A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3161279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738F47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978E418" w14:textId="77777777" w:rsidTr="00623B56">
        <w:trPr>
          <w:gridAfter w:val="1"/>
          <w:wAfter w:w="48" w:type="dxa"/>
          <w:trHeight w:val="1002"/>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85CAC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nil"/>
              <w:right w:val="nil"/>
            </w:tcBorders>
            <w:shd w:val="clear" w:color="auto" w:fill="auto"/>
            <w:vAlign w:val="center"/>
            <w:hideMark/>
          </w:tcPr>
          <w:p w14:paraId="5FC1AD0E" w14:textId="77777777" w:rsidR="002F3310" w:rsidRPr="00E971A9" w:rsidRDefault="002F3310" w:rsidP="00B60AB6">
            <w:pPr>
              <w:spacing w:after="0" w:line="240" w:lineRule="auto"/>
              <w:ind w:firstLineChars="200" w:firstLine="480"/>
              <w:jc w:val="both"/>
              <w:rPr>
                <w:rFonts w:eastAsia="Times New Roman"/>
                <w:sz w:val="24"/>
                <w:szCs w:val="24"/>
                <w:lang w:val="en-ID" w:eastAsia="en-ID"/>
              </w:rPr>
            </w:pPr>
            <w:r w:rsidRPr="00E971A9">
              <w:rPr>
                <w:rFonts w:eastAsia="Times New Roman"/>
                <w:sz w:val="24"/>
                <w:szCs w:val="24"/>
                <w:lang w:val="en-ID" w:eastAsia="en-ID"/>
              </w:rPr>
              <w:t xml:space="preserve">berasal dari </w:t>
            </w:r>
            <w:r w:rsidRPr="00E971A9">
              <w:rPr>
                <w:rFonts w:eastAsia="Times New Roman"/>
                <w:i/>
                <w:iCs/>
                <w:sz w:val="24"/>
                <w:szCs w:val="24"/>
                <w:lang w:val="en-ID" w:eastAsia="en-ID"/>
              </w:rPr>
              <w:t>asset-backed commercial paper, conduits, securities investment vehicles</w:t>
            </w:r>
            <w:r w:rsidRPr="00E971A9">
              <w:rPr>
                <w:rFonts w:eastAsia="Times New Roman"/>
                <w:sz w:val="24"/>
                <w:szCs w:val="24"/>
                <w:lang w:val="en-ID" w:eastAsia="en-ID"/>
              </w:rPr>
              <w:t xml:space="preserve"> dan fasilitas pembiayaan lain yang serupa dengan pendanaan yang jatuh tempo dalam 30 hari kedepan dan aset yang berpotensi untuk dilunasi dalam 30 hari kedepan</w:t>
            </w:r>
          </w:p>
        </w:tc>
        <w:tc>
          <w:tcPr>
            <w:tcW w:w="2258" w:type="dxa"/>
            <w:tcBorders>
              <w:top w:val="nil"/>
              <w:left w:val="single" w:sz="4" w:space="0" w:color="auto"/>
              <w:bottom w:val="single" w:sz="4" w:space="0" w:color="auto"/>
              <w:right w:val="single" w:sz="4" w:space="0" w:color="auto"/>
            </w:tcBorders>
            <w:shd w:val="clear" w:color="auto" w:fill="auto"/>
            <w:vAlign w:val="center"/>
            <w:hideMark/>
          </w:tcPr>
          <w:p w14:paraId="2418CDB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vAlign w:val="center"/>
            <w:hideMark/>
          </w:tcPr>
          <w:p w14:paraId="669911A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vAlign w:val="center"/>
            <w:hideMark/>
          </w:tcPr>
          <w:p w14:paraId="19479056"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DD8CAE2" w14:textId="77777777" w:rsidTr="002F3310">
        <w:trPr>
          <w:gridAfter w:val="1"/>
          <w:wAfter w:w="48" w:type="dxa"/>
          <w:trHeight w:val="560"/>
        </w:trPr>
        <w:tc>
          <w:tcPr>
            <w:tcW w:w="872" w:type="dxa"/>
            <w:tcBorders>
              <w:top w:val="nil"/>
              <w:left w:val="single" w:sz="4" w:space="0" w:color="auto"/>
              <w:bottom w:val="single" w:sz="4" w:space="0" w:color="auto"/>
              <w:right w:val="nil"/>
            </w:tcBorders>
            <w:shd w:val="clear" w:color="auto" w:fill="auto"/>
            <w:noWrap/>
            <w:vAlign w:val="center"/>
            <w:hideMark/>
          </w:tcPr>
          <w:p w14:paraId="5DD3570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single" w:sz="4" w:space="0" w:color="auto"/>
              <w:left w:val="single" w:sz="4" w:space="0" w:color="auto"/>
              <w:bottom w:val="single" w:sz="4" w:space="0" w:color="auto"/>
              <w:right w:val="nil"/>
            </w:tcBorders>
            <w:shd w:val="clear" w:color="auto" w:fill="auto"/>
            <w:vAlign w:val="center"/>
            <w:hideMark/>
          </w:tcPr>
          <w:p w14:paraId="0FBF112C"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Arus kas keluar lainnya terkait dengan kewajiban komitmen dalam bentuk fasilitas pembiayaan</w:t>
            </w:r>
          </w:p>
        </w:tc>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3002861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bottom"/>
            <w:hideMark/>
          </w:tcPr>
          <w:p w14:paraId="6BDF410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CD879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42997E1" w14:textId="77777777" w:rsidTr="002F3310">
        <w:trPr>
          <w:gridAfter w:val="1"/>
          <w:wAfter w:w="48" w:type="dxa"/>
          <w:trHeight w:val="407"/>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EC1E2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D4CFCFB"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perorangan atau Usaha Mikro dan Usaha Kecil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D9201F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156290A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54901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DBD2AFD" w14:textId="77777777" w:rsidTr="002F3310">
        <w:trPr>
          <w:gridAfter w:val="1"/>
          <w:wAfter w:w="48" w:type="dxa"/>
          <w:trHeight w:val="98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B4696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vAlign w:val="center"/>
            <w:hideMark/>
          </w:tcPr>
          <w:p w14:paraId="263D8C5F"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korporasi non-keuangan, Pemerintah Pusat, Bank Indonesia, pemerintah negara lain, bank sentral negara lain, entitas sektor publik, dan/atau bank pembangunan multilateral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23EEDC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w:t>
            </w:r>
          </w:p>
        </w:tc>
        <w:tc>
          <w:tcPr>
            <w:tcW w:w="1984" w:type="dxa"/>
            <w:tcBorders>
              <w:top w:val="nil"/>
              <w:left w:val="nil"/>
              <w:bottom w:val="single" w:sz="4" w:space="0" w:color="auto"/>
              <w:right w:val="single" w:sz="4" w:space="0" w:color="auto"/>
            </w:tcBorders>
            <w:shd w:val="clear" w:color="auto" w:fill="auto"/>
            <w:noWrap/>
            <w:vAlign w:val="center"/>
            <w:hideMark/>
          </w:tcPr>
          <w:p w14:paraId="6334E04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E8C0C3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B24A487" w14:textId="77777777" w:rsidTr="002F3310">
        <w:trPr>
          <w:gridAfter w:val="1"/>
          <w:wAfter w:w="48" w:type="dxa"/>
          <w:trHeight w:val="427"/>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270EB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E6D58E8"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Bank dan/atau lembaga jasa keuangan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3F8738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40%</w:t>
            </w:r>
          </w:p>
        </w:tc>
        <w:tc>
          <w:tcPr>
            <w:tcW w:w="1984" w:type="dxa"/>
            <w:tcBorders>
              <w:top w:val="nil"/>
              <w:left w:val="nil"/>
              <w:bottom w:val="single" w:sz="4" w:space="0" w:color="auto"/>
              <w:right w:val="single" w:sz="4" w:space="0" w:color="auto"/>
            </w:tcBorders>
            <w:shd w:val="clear" w:color="auto" w:fill="auto"/>
            <w:noWrap/>
            <w:vAlign w:val="center"/>
            <w:hideMark/>
          </w:tcPr>
          <w:p w14:paraId="4D73F0A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3E534B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3588BFC"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C8AAA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nil"/>
              <w:right w:val="nil"/>
            </w:tcBorders>
            <w:shd w:val="clear" w:color="auto" w:fill="auto"/>
            <w:vAlign w:val="center"/>
            <w:hideMark/>
          </w:tcPr>
          <w:p w14:paraId="3848B4AC"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entitas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847EDB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A769CE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36D4E1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765415F" w14:textId="77777777" w:rsidTr="002F3310">
        <w:trPr>
          <w:gridAfter w:val="1"/>
          <w:wAfter w:w="48" w:type="dxa"/>
          <w:trHeight w:val="381"/>
        </w:trPr>
        <w:tc>
          <w:tcPr>
            <w:tcW w:w="872" w:type="dxa"/>
            <w:tcBorders>
              <w:top w:val="nil"/>
              <w:left w:val="single" w:sz="4" w:space="0" w:color="auto"/>
              <w:bottom w:val="single" w:sz="4" w:space="0" w:color="auto"/>
              <w:right w:val="nil"/>
            </w:tcBorders>
            <w:shd w:val="clear" w:color="auto" w:fill="auto"/>
            <w:noWrap/>
            <w:vAlign w:val="center"/>
            <w:hideMark/>
          </w:tcPr>
          <w:p w14:paraId="56FF2A0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single" w:sz="4" w:space="0" w:color="auto"/>
              <w:left w:val="single" w:sz="4" w:space="0" w:color="auto"/>
              <w:bottom w:val="single" w:sz="4" w:space="0" w:color="auto"/>
              <w:right w:val="nil"/>
            </w:tcBorders>
            <w:shd w:val="clear" w:color="auto" w:fill="auto"/>
            <w:vAlign w:val="center"/>
            <w:hideMark/>
          </w:tcPr>
          <w:p w14:paraId="15FBFC1A"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Arus kas keluar lainnya terkait dengan kewajiban komitmen dalam bentuk fasilitas likuiditas </w:t>
            </w:r>
          </w:p>
        </w:tc>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7F0335B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30267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3F6DD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A29C03F" w14:textId="77777777" w:rsidTr="00B60AB6">
        <w:trPr>
          <w:gridAfter w:val="1"/>
          <w:wAfter w:w="48" w:type="dxa"/>
          <w:trHeight w:val="363"/>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89ADC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6DD9EF0"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perorangan atau Usaha Mikro dan Usaha Kecil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F2734A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3E1ADD5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7AAAFD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303CBE1" w14:textId="77777777" w:rsidTr="00623B56">
        <w:trPr>
          <w:gridAfter w:val="1"/>
          <w:wAfter w:w="48" w:type="dxa"/>
          <w:trHeight w:val="92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C1209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20CAD7B"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korporasi non-keuangan, Pemerintah Pusat, Bank Indonesia, pemerintah negara lain, bank sentral negara lain, entitas sektor publik, dan/atau bank pembangunan multilateral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B6812F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30%</w:t>
            </w:r>
          </w:p>
        </w:tc>
        <w:tc>
          <w:tcPr>
            <w:tcW w:w="1984" w:type="dxa"/>
            <w:tcBorders>
              <w:top w:val="nil"/>
              <w:left w:val="nil"/>
              <w:bottom w:val="single" w:sz="4" w:space="0" w:color="auto"/>
              <w:right w:val="single" w:sz="4" w:space="0" w:color="auto"/>
            </w:tcBorders>
            <w:shd w:val="clear" w:color="auto" w:fill="auto"/>
            <w:noWrap/>
            <w:vAlign w:val="center"/>
            <w:hideMark/>
          </w:tcPr>
          <w:p w14:paraId="42AD3C7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AF48E4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28F4EE0"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B1618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66F6B235"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Bank</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11F905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40%</w:t>
            </w:r>
          </w:p>
        </w:tc>
        <w:tc>
          <w:tcPr>
            <w:tcW w:w="1984" w:type="dxa"/>
            <w:tcBorders>
              <w:top w:val="nil"/>
              <w:left w:val="nil"/>
              <w:bottom w:val="single" w:sz="4" w:space="0" w:color="auto"/>
              <w:right w:val="single" w:sz="4" w:space="0" w:color="auto"/>
            </w:tcBorders>
            <w:shd w:val="clear" w:color="auto" w:fill="auto"/>
            <w:noWrap/>
            <w:vAlign w:val="center"/>
            <w:hideMark/>
          </w:tcPr>
          <w:p w14:paraId="52F23C5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200C4E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68F7E72" w14:textId="77777777" w:rsidTr="00B60AB6">
        <w:trPr>
          <w:gridAfter w:val="1"/>
          <w:wAfter w:w="48" w:type="dxa"/>
          <w:trHeight w:val="3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ED1C99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1301E2B"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fasilitas diberikan kepada lembaga jasa keuangan dan/atau entitas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E022FC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64F1106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0E66E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C3CF8D6" w14:textId="77777777" w:rsidTr="00B60AB6">
        <w:trPr>
          <w:gridAfter w:val="1"/>
          <w:wAfter w:w="48" w:type="dxa"/>
          <w:trHeight w:val="33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F2A7E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D20A74E"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Kewajiban kontraktual lainnya untuk menyediakan dana kepada</w:t>
            </w:r>
          </w:p>
        </w:tc>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58BF395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bottom"/>
            <w:hideMark/>
          </w:tcPr>
          <w:p w14:paraId="3B08C9C7"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31B01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2D1BE46"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22F01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961DE6D"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lembaga jasa keuangan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A9ED24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9F640C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720726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A278065" w14:textId="77777777" w:rsidTr="002F3310">
        <w:trPr>
          <w:gridAfter w:val="1"/>
          <w:wAfter w:w="48" w:type="dxa"/>
          <w:trHeight w:val="67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7D49A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87ED39F"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nasabah perorangan (nilai selisih lebih antara kewajiban kontraktual untuk menyalurkan dana dengan 50% total arus kas masuk)</w:t>
            </w:r>
          </w:p>
        </w:tc>
        <w:tc>
          <w:tcPr>
            <w:tcW w:w="2258" w:type="dxa"/>
            <w:tcBorders>
              <w:top w:val="nil"/>
              <w:left w:val="single" w:sz="4" w:space="0" w:color="auto"/>
              <w:bottom w:val="single" w:sz="4" w:space="0" w:color="auto"/>
              <w:right w:val="single" w:sz="4" w:space="0" w:color="auto"/>
            </w:tcBorders>
            <w:shd w:val="clear" w:color="auto" w:fill="auto"/>
            <w:vAlign w:val="center"/>
            <w:hideMark/>
          </w:tcPr>
          <w:p w14:paraId="448959B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vAlign w:val="center"/>
            <w:hideMark/>
          </w:tcPr>
          <w:p w14:paraId="6442E0D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vAlign w:val="center"/>
            <w:hideMark/>
          </w:tcPr>
          <w:p w14:paraId="74B7CC5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7A0306A" w14:textId="77777777" w:rsidTr="002F3310">
        <w:trPr>
          <w:gridAfter w:val="1"/>
          <w:wAfter w:w="48" w:type="dxa"/>
          <w:trHeight w:val="69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758B8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nil"/>
              <w:right w:val="nil"/>
            </w:tcBorders>
            <w:shd w:val="clear" w:color="auto" w:fill="auto"/>
            <w:vAlign w:val="center"/>
            <w:hideMark/>
          </w:tcPr>
          <w:p w14:paraId="00762538"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korporasi non-keuangan (nilai selisih lebih antara kewajiban kontraktual untuk menyalurkan dana dengan 50% total arus kas masuk)</w:t>
            </w:r>
          </w:p>
        </w:tc>
        <w:tc>
          <w:tcPr>
            <w:tcW w:w="2258" w:type="dxa"/>
            <w:tcBorders>
              <w:top w:val="nil"/>
              <w:left w:val="single" w:sz="4" w:space="0" w:color="auto"/>
              <w:bottom w:val="single" w:sz="4" w:space="0" w:color="auto"/>
              <w:right w:val="single" w:sz="4" w:space="0" w:color="auto"/>
            </w:tcBorders>
            <w:shd w:val="clear" w:color="auto" w:fill="auto"/>
            <w:vAlign w:val="center"/>
            <w:hideMark/>
          </w:tcPr>
          <w:p w14:paraId="4F7E75C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vAlign w:val="center"/>
            <w:hideMark/>
          </w:tcPr>
          <w:p w14:paraId="417992D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vAlign w:val="center"/>
            <w:hideMark/>
          </w:tcPr>
          <w:p w14:paraId="7001FEFD"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7F7EEBF" w14:textId="77777777" w:rsidTr="002F3310">
        <w:trPr>
          <w:gridAfter w:val="1"/>
          <w:wAfter w:w="48" w:type="dxa"/>
          <w:trHeight w:val="280"/>
        </w:trPr>
        <w:tc>
          <w:tcPr>
            <w:tcW w:w="872" w:type="dxa"/>
            <w:tcBorders>
              <w:top w:val="nil"/>
              <w:left w:val="single" w:sz="4" w:space="0" w:color="auto"/>
              <w:bottom w:val="single" w:sz="4" w:space="0" w:color="auto"/>
              <w:right w:val="nil"/>
            </w:tcBorders>
            <w:shd w:val="clear" w:color="auto" w:fill="auto"/>
            <w:noWrap/>
            <w:vAlign w:val="center"/>
            <w:hideMark/>
          </w:tcPr>
          <w:p w14:paraId="776E19C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single" w:sz="4" w:space="0" w:color="auto"/>
              <w:left w:val="single" w:sz="4" w:space="0" w:color="auto"/>
              <w:bottom w:val="single" w:sz="4" w:space="0" w:color="auto"/>
              <w:right w:val="nil"/>
            </w:tcBorders>
            <w:shd w:val="clear" w:color="auto" w:fill="auto"/>
            <w:vAlign w:val="center"/>
            <w:hideMark/>
          </w:tcPr>
          <w:p w14:paraId="55DF4413"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Kewajiban kontijensi Pendanaan lainnya</w:t>
            </w:r>
          </w:p>
        </w:tc>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71437F0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bottom"/>
            <w:hideMark/>
          </w:tcPr>
          <w:p w14:paraId="456CAEC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7A82C6"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9036A79"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D8F094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364A8CF"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berasal dari instrumen</w:t>
            </w:r>
            <w:r w:rsidRPr="00E971A9">
              <w:rPr>
                <w:rFonts w:eastAsia="Times New Roman"/>
                <w:i/>
                <w:iCs/>
                <w:sz w:val="24"/>
                <w:szCs w:val="24"/>
                <w:lang w:val="en-ID" w:eastAsia="en-ID"/>
              </w:rPr>
              <w:t xml:space="preserve"> trade finance</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7AD054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3%</w:t>
            </w:r>
          </w:p>
        </w:tc>
        <w:tc>
          <w:tcPr>
            <w:tcW w:w="1984" w:type="dxa"/>
            <w:tcBorders>
              <w:top w:val="nil"/>
              <w:left w:val="nil"/>
              <w:bottom w:val="single" w:sz="4" w:space="0" w:color="auto"/>
              <w:right w:val="single" w:sz="4" w:space="0" w:color="auto"/>
            </w:tcBorders>
            <w:shd w:val="clear" w:color="auto" w:fill="auto"/>
            <w:noWrap/>
            <w:vAlign w:val="center"/>
            <w:hideMark/>
          </w:tcPr>
          <w:p w14:paraId="43B1882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C0518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21A3E84" w14:textId="77777777" w:rsidTr="002F3310">
        <w:trPr>
          <w:gridAfter w:val="1"/>
          <w:wAfter w:w="48" w:type="dxa"/>
          <w:trHeight w:val="5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188F0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0033EF0A"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 xml:space="preserve">berasal dari fasilitas pembiayaan dan fasilitas likuiditas yang bersifat </w:t>
            </w:r>
            <w:r w:rsidRPr="00E971A9">
              <w:rPr>
                <w:rFonts w:eastAsia="Times New Roman"/>
                <w:i/>
                <w:iCs/>
                <w:sz w:val="24"/>
                <w:szCs w:val="24"/>
                <w:lang w:val="en-ID" w:eastAsia="en-ID"/>
              </w:rPr>
              <w:t>unconditionally revocable uncommitted</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36610E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5DA31F3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5F1A38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628A60B" w14:textId="77777777" w:rsidTr="002F3310">
        <w:trPr>
          <w:gridAfter w:val="1"/>
          <w:wAfter w:w="48" w:type="dxa"/>
          <w:trHeight w:val="35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DD1FB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4515F663"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 xml:space="preserve">berasal dari letter of credit (L/C) dan garansi yang tidak terkait dengan kewajiban </w:t>
            </w:r>
            <w:r w:rsidRPr="00E971A9">
              <w:rPr>
                <w:rFonts w:eastAsia="Times New Roman"/>
                <w:i/>
                <w:iCs/>
                <w:sz w:val="24"/>
                <w:szCs w:val="24"/>
                <w:lang w:val="en-ID" w:eastAsia="en-ID"/>
              </w:rPr>
              <w:t>trade finance</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699FE1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0CB4C4A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DE99C9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595A67F" w14:textId="77777777" w:rsidTr="002F3310">
        <w:trPr>
          <w:gridAfter w:val="1"/>
          <w:wAfter w:w="48" w:type="dxa"/>
          <w:trHeight w:val="68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76CA6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vAlign w:val="center"/>
            <w:hideMark/>
          </w:tcPr>
          <w:p w14:paraId="183F225E"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 xml:space="preserve">berasal dari permintaan potensial untuk membeli kembali utang bank atau yang terkait dengan </w:t>
            </w:r>
            <w:r w:rsidRPr="00E971A9">
              <w:rPr>
                <w:rFonts w:eastAsia="Times New Roman"/>
                <w:i/>
                <w:iCs/>
                <w:sz w:val="24"/>
                <w:szCs w:val="24"/>
                <w:lang w:val="en-ID" w:eastAsia="en-ID"/>
              </w:rPr>
              <w:t>securities investment vehicles</w:t>
            </w:r>
            <w:r w:rsidRPr="00E971A9">
              <w:rPr>
                <w:rFonts w:eastAsia="Times New Roman"/>
                <w:sz w:val="24"/>
                <w:szCs w:val="24"/>
                <w:lang w:val="en-ID" w:eastAsia="en-ID"/>
              </w:rPr>
              <w:t xml:space="preserve"> dan fasilitas pembiayaan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91620E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70FA077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2FCC16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320CFD8" w14:textId="77777777" w:rsidTr="002F3310">
        <w:trPr>
          <w:gridAfter w:val="1"/>
          <w:wAfter w:w="48" w:type="dxa"/>
          <w:trHeight w:val="4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215AE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FA97163"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 xml:space="preserve">berasal dari </w:t>
            </w:r>
            <w:r w:rsidRPr="00E971A9">
              <w:rPr>
                <w:rFonts w:eastAsia="Times New Roman"/>
                <w:i/>
                <w:iCs/>
                <w:sz w:val="24"/>
                <w:szCs w:val="24"/>
                <w:lang w:val="en-ID" w:eastAsia="en-ID"/>
              </w:rPr>
              <w:t>structured product</w:t>
            </w:r>
            <w:r w:rsidRPr="00E971A9">
              <w:rPr>
                <w:rFonts w:eastAsia="Times New Roman"/>
                <w:sz w:val="24"/>
                <w:szCs w:val="24"/>
                <w:lang w:val="en-ID" w:eastAsia="en-ID"/>
              </w:rPr>
              <w:t xml:space="preserve"> yang diantisipasi oleh nasabah melalui </w:t>
            </w:r>
            <w:r w:rsidRPr="00E971A9">
              <w:rPr>
                <w:rFonts w:eastAsia="Times New Roman"/>
                <w:i/>
                <w:iCs/>
                <w:sz w:val="24"/>
                <w:szCs w:val="24"/>
                <w:lang w:val="en-ID" w:eastAsia="en-ID"/>
              </w:rPr>
              <w:t>ready marketability</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26FCD8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162BFFA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0FC1E3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27B62B3" w14:textId="77777777" w:rsidTr="00B60AB6">
        <w:trPr>
          <w:gridAfter w:val="1"/>
          <w:wAfter w:w="48" w:type="dxa"/>
          <w:trHeight w:val="377"/>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D2687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EFE4C4A"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berasal dari dana kelolaan (</w:t>
            </w:r>
            <w:r w:rsidRPr="00E971A9">
              <w:rPr>
                <w:rFonts w:eastAsia="Times New Roman"/>
                <w:i/>
                <w:iCs/>
                <w:sz w:val="24"/>
                <w:szCs w:val="24"/>
                <w:lang w:val="en-ID" w:eastAsia="en-ID"/>
              </w:rPr>
              <w:t>managed funds</w:t>
            </w:r>
            <w:r w:rsidRPr="00E971A9">
              <w:rPr>
                <w:rFonts w:eastAsia="Times New Roman"/>
                <w:sz w:val="24"/>
                <w:szCs w:val="24"/>
                <w:lang w:val="en-ID" w:eastAsia="en-ID"/>
              </w:rPr>
              <w:t>) yang dijual dengan tujuan menjaga kestabilan nilai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CC1690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42E8247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ECABB2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5C9511E" w14:textId="77777777" w:rsidTr="00B60AB6">
        <w:trPr>
          <w:gridAfter w:val="1"/>
          <w:wAfter w:w="48" w:type="dxa"/>
          <w:trHeight w:val="83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2862D1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07CB0D0"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 xml:space="preserve">kewajiban untuk menutup potensi pembelian kembali surat berharga syariah, dengan atau tanpa agunan, yang memiliki jangka waktu lebih dari 30 (tiga puluh) hari bagi emiten yang memiliki afiliasi dengan </w:t>
            </w:r>
            <w:r w:rsidRPr="00E971A9">
              <w:rPr>
                <w:rFonts w:eastAsia="Times New Roman"/>
                <w:i/>
                <w:iCs/>
                <w:sz w:val="24"/>
                <w:szCs w:val="24"/>
                <w:lang w:val="en-ID" w:eastAsia="en-ID"/>
              </w:rPr>
              <w:t>dealer atau market maker</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A97CCF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w:t>
            </w:r>
          </w:p>
        </w:tc>
        <w:tc>
          <w:tcPr>
            <w:tcW w:w="1984" w:type="dxa"/>
            <w:tcBorders>
              <w:top w:val="nil"/>
              <w:left w:val="nil"/>
              <w:bottom w:val="single" w:sz="4" w:space="0" w:color="auto"/>
              <w:right w:val="single" w:sz="4" w:space="0" w:color="auto"/>
            </w:tcBorders>
            <w:shd w:val="clear" w:color="auto" w:fill="auto"/>
            <w:noWrap/>
            <w:vAlign w:val="center"/>
            <w:hideMark/>
          </w:tcPr>
          <w:p w14:paraId="5C9E07E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5A2E8C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80FFF3F" w14:textId="77777777" w:rsidTr="002F3310">
        <w:trPr>
          <w:gridAfter w:val="1"/>
          <w:wAfter w:w="48" w:type="dxa"/>
          <w:trHeight w:val="40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39CD8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F8EA7E1"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kewajiban non-kontraktual posisi short nasabah yang dilindungi dengan agunan nasabah lain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ECB5BE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5A91556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485476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BD9118E"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BFF7C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790F8E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Arus kas keluar kontraktual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FA9F34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05E62B7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1ED4D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E695D9C"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11834450"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Penarikan terkait Arus Kas Keluar Lainnya (Additional Requirement)</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3E06EB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0404C23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59BA08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B570DCE" w14:textId="77777777" w:rsidTr="002F3310">
        <w:trPr>
          <w:gridAfter w:val="1"/>
          <w:wAfter w:w="48" w:type="dxa"/>
          <w:trHeight w:val="523"/>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39275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1.6</w:t>
            </w:r>
          </w:p>
        </w:tc>
        <w:tc>
          <w:tcPr>
            <w:tcW w:w="10038" w:type="dxa"/>
            <w:tcBorders>
              <w:top w:val="nil"/>
              <w:left w:val="nil"/>
              <w:bottom w:val="single" w:sz="4" w:space="0" w:color="auto"/>
              <w:right w:val="nil"/>
            </w:tcBorders>
            <w:shd w:val="clear" w:color="auto" w:fill="F2F2F2" w:themeFill="background1" w:themeFillShade="F2"/>
            <w:vAlign w:val="center"/>
            <w:hideMark/>
          </w:tcPr>
          <w:p w14:paraId="4AA68C85" w14:textId="77777777" w:rsidR="002F3310" w:rsidRPr="00E971A9" w:rsidRDefault="002F3310" w:rsidP="00B60AB6">
            <w:pPr>
              <w:spacing w:after="0" w:line="240" w:lineRule="auto"/>
              <w:ind w:firstLineChars="200" w:firstLine="480"/>
              <w:rPr>
                <w:rFonts w:eastAsia="Times New Roman"/>
                <w:sz w:val="24"/>
                <w:szCs w:val="24"/>
                <w:lang w:val="en-ID" w:eastAsia="en-ID"/>
              </w:rPr>
            </w:pPr>
            <w:r w:rsidRPr="00E971A9">
              <w:rPr>
                <w:rFonts w:eastAsia="Times New Roman"/>
                <w:sz w:val="24"/>
                <w:szCs w:val="24"/>
                <w:lang w:val="en-ID" w:eastAsia="en-ID"/>
              </w:rPr>
              <w:t>Pendanaan UUS yang berasal dari BUK dengan risiko penarikan yang rendah</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2699D5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58C5CFF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7C8544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0F3D222"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75B946AA"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FD8D5C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1C8D197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16C79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E24ECA3" w14:textId="77777777" w:rsidTr="002F3310">
        <w:trPr>
          <w:gridAfter w:val="1"/>
          <w:wAfter w:w="48" w:type="dxa"/>
          <w:trHeight w:val="280"/>
        </w:trPr>
        <w:tc>
          <w:tcPr>
            <w:tcW w:w="10910"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D139F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Arus Kas Keluar</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9A8B95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68DB93A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BB4A7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41EDA58"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96D32D"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2. Arus Kas Masuk </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A30346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5656F8B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91094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3374B10" w14:textId="77777777" w:rsidTr="002F3310">
        <w:trPr>
          <w:gridAfter w:val="1"/>
          <w:wAfter w:w="48" w:type="dxa"/>
          <w:trHeight w:val="29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AB0FB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2.1</w:t>
            </w:r>
          </w:p>
        </w:tc>
        <w:tc>
          <w:tcPr>
            <w:tcW w:w="10038" w:type="dxa"/>
            <w:tcBorders>
              <w:top w:val="nil"/>
              <w:left w:val="nil"/>
              <w:bottom w:val="single" w:sz="4" w:space="0" w:color="auto"/>
              <w:right w:val="nil"/>
            </w:tcBorders>
            <w:shd w:val="clear" w:color="auto" w:fill="F2F2F2" w:themeFill="background1" w:themeFillShade="F2"/>
            <w:vAlign w:val="center"/>
            <w:hideMark/>
          </w:tcPr>
          <w:p w14:paraId="038811E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Pembiayaan dengan Agunan (</w:t>
            </w:r>
            <w:r w:rsidRPr="00E971A9">
              <w:rPr>
                <w:rFonts w:eastAsia="Times New Roman"/>
                <w:b/>
                <w:bCs/>
                <w:i/>
                <w:iCs/>
                <w:sz w:val="24"/>
                <w:szCs w:val="24"/>
                <w:lang w:val="en-ID" w:eastAsia="en-ID"/>
              </w:rPr>
              <w:t>Secured Financing</w:t>
            </w:r>
            <w:r w:rsidRPr="00E971A9">
              <w:rPr>
                <w:rFonts w:eastAsia="Times New Roman"/>
                <w:b/>
                <w:bCs/>
                <w:sz w:val="24"/>
                <w:szCs w:val="24"/>
                <w:lang w:val="en-ID" w:eastAsia="en-ID"/>
              </w:rPr>
              <w:t>)</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6241DD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0299A72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AE928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D4BF3F2" w14:textId="77777777" w:rsidTr="00623B56">
        <w:trPr>
          <w:gridAfter w:val="1"/>
          <w:wAfter w:w="48" w:type="dxa"/>
          <w:trHeight w:val="40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477A6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02EC5B6"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Agunan tidak digunakan kembali untuk menutupi posisi short nasabah</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D63B53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652C514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037F20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C7AFE50"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DA4DD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32E8795C"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Agunan berupa HQLA Level 1</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B8492D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48031D5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88C85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A93F329"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7AFFD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AB54DC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Agunan berupa HQLA Level 2A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8754BA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15%</w:t>
            </w:r>
          </w:p>
        </w:tc>
        <w:tc>
          <w:tcPr>
            <w:tcW w:w="1984" w:type="dxa"/>
            <w:tcBorders>
              <w:top w:val="nil"/>
              <w:left w:val="nil"/>
              <w:bottom w:val="single" w:sz="4" w:space="0" w:color="auto"/>
              <w:right w:val="single" w:sz="4" w:space="0" w:color="auto"/>
            </w:tcBorders>
            <w:shd w:val="clear" w:color="auto" w:fill="auto"/>
            <w:noWrap/>
            <w:vAlign w:val="center"/>
            <w:hideMark/>
          </w:tcPr>
          <w:p w14:paraId="46E4B57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116D1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CB0E0AE" w14:textId="77777777" w:rsidTr="002F3310">
        <w:trPr>
          <w:gridAfter w:val="1"/>
          <w:wAfter w:w="48" w:type="dxa"/>
          <w:trHeight w:val="437"/>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E44EE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9B2BF3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Agunan berupa EBAS yang memenuhi persyaratan HQLA Level 2B</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95D902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25%</w:t>
            </w:r>
          </w:p>
        </w:tc>
        <w:tc>
          <w:tcPr>
            <w:tcW w:w="1984" w:type="dxa"/>
            <w:tcBorders>
              <w:top w:val="nil"/>
              <w:left w:val="nil"/>
              <w:bottom w:val="single" w:sz="4" w:space="0" w:color="auto"/>
              <w:right w:val="single" w:sz="4" w:space="0" w:color="auto"/>
            </w:tcBorders>
            <w:shd w:val="clear" w:color="auto" w:fill="auto"/>
            <w:noWrap/>
            <w:vAlign w:val="center"/>
            <w:hideMark/>
          </w:tcPr>
          <w:p w14:paraId="756FB11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8E9641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D6C1289"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A83A6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68D4FD9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Agunan berupa HQLA Level 2B selain EBAS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E11A66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1628C23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B0605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0BC48F3" w14:textId="77777777" w:rsidTr="002F3310">
        <w:trPr>
          <w:gridAfter w:val="1"/>
          <w:wAfter w:w="48" w:type="dxa"/>
          <w:trHeight w:val="39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6100F6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12C939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xml:space="preserve">Transaksi berupa </w:t>
            </w:r>
            <w:r w:rsidRPr="00E971A9">
              <w:rPr>
                <w:rFonts w:eastAsia="Times New Roman"/>
                <w:i/>
                <w:iCs/>
                <w:sz w:val="24"/>
                <w:szCs w:val="24"/>
                <w:lang w:val="en-ID" w:eastAsia="en-ID"/>
              </w:rPr>
              <w:t>margin financing</w:t>
            </w:r>
            <w:r w:rsidRPr="00E971A9">
              <w:rPr>
                <w:rFonts w:eastAsia="Times New Roman"/>
                <w:sz w:val="24"/>
                <w:szCs w:val="24"/>
                <w:lang w:val="en-ID" w:eastAsia="en-ID"/>
              </w:rPr>
              <w:t xml:space="preserve"> namun agunan berupa selain HQLA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6274DF6"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5CE6E07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03DDFB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A96FF81" w14:textId="77777777" w:rsidTr="002F3310">
        <w:trPr>
          <w:gridAfter w:val="1"/>
          <w:wAfter w:w="48" w:type="dxa"/>
          <w:trHeight w:val="41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47411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29996C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Agunan tidak memenuhi persyaratan sebagaimana tersebut diatas</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93B34A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F5FC00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75608A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72BDB1C" w14:textId="77777777" w:rsidTr="002F3310">
        <w:trPr>
          <w:gridAfter w:val="1"/>
          <w:wAfter w:w="48" w:type="dxa"/>
          <w:trHeight w:val="417"/>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D4D60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vAlign w:val="center"/>
            <w:hideMark/>
          </w:tcPr>
          <w:p w14:paraId="7924708F"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xml:space="preserve">Agunan digunakan kembali untuk menutupi posisi </w:t>
            </w:r>
            <w:r w:rsidRPr="00E971A9">
              <w:rPr>
                <w:rFonts w:eastAsia="Times New Roman"/>
                <w:i/>
                <w:iCs/>
                <w:sz w:val="24"/>
                <w:szCs w:val="24"/>
                <w:lang w:val="en-ID" w:eastAsia="en-ID"/>
              </w:rPr>
              <w:t>short</w:t>
            </w:r>
            <w:r w:rsidRPr="00E971A9">
              <w:rPr>
                <w:rFonts w:eastAsia="Times New Roman"/>
                <w:sz w:val="24"/>
                <w:szCs w:val="24"/>
                <w:lang w:val="en-ID" w:eastAsia="en-ID"/>
              </w:rPr>
              <w:t xml:space="preserve"> nasabah</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5FF14D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vAlign w:val="center"/>
            <w:hideMark/>
          </w:tcPr>
          <w:p w14:paraId="25D01FF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6699ED"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5D36AFD" w14:textId="77777777" w:rsidTr="002F3310">
        <w:trPr>
          <w:gridAfter w:val="1"/>
          <w:wAfter w:w="48" w:type="dxa"/>
          <w:trHeight w:val="590"/>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78819BF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Jumlah Arus Kas Masuk yang Berasal dari Pembiayaaan dengan Agunan </w:t>
            </w:r>
            <w:r w:rsidRPr="00E971A9">
              <w:rPr>
                <w:rFonts w:eastAsia="Times New Roman"/>
                <w:b/>
                <w:bCs/>
                <w:i/>
                <w:iCs/>
                <w:sz w:val="24"/>
                <w:szCs w:val="24"/>
                <w:lang w:val="en-ID" w:eastAsia="en-ID"/>
              </w:rPr>
              <w:t>(Secured Financing)</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1F49F21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72D8D9E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42B8D2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AD9A342"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BC208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2.2</w:t>
            </w:r>
          </w:p>
        </w:tc>
        <w:tc>
          <w:tcPr>
            <w:tcW w:w="10038" w:type="dxa"/>
            <w:tcBorders>
              <w:top w:val="nil"/>
              <w:left w:val="nil"/>
              <w:bottom w:val="single" w:sz="4" w:space="0" w:color="auto"/>
              <w:right w:val="nil"/>
            </w:tcBorders>
            <w:shd w:val="clear" w:color="auto" w:fill="F2F2F2" w:themeFill="background1" w:themeFillShade="F2"/>
            <w:vAlign w:val="center"/>
            <w:hideMark/>
          </w:tcPr>
          <w:p w14:paraId="4E3808B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Tagihan berdasarkan Pihak Lawan</w:t>
            </w:r>
            <w:r w:rsidRPr="00E971A9">
              <w:rPr>
                <w:rFonts w:eastAsia="Times New Roman"/>
                <w:i/>
                <w:iCs/>
                <w:sz w:val="24"/>
                <w:szCs w:val="24"/>
                <w:lang w:val="en-ID" w:eastAsia="en-ID"/>
              </w:rPr>
              <w:t xml:space="preserve"> (Counterparty)</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56B27CF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1870E39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D7620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6DB096B"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58CB3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B796F6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nasabah perorangan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CB280A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06FE6B2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69615A8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42C9D79"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052AE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5D4CDD3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nasabah Usaha Mikro dan Usaha Kecil</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8CFE21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0A20AAE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482127"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8C06B81"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EA20FA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A3FA50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lembaga jasa keuangan</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6AAE74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457700D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68B3A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493E4F8E"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8E8EDE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AFCC667"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Bank Indonesia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E540DB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29A0384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29C8245"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C2F00E6" w14:textId="77777777" w:rsidTr="002F3310">
        <w:trPr>
          <w:gridAfter w:val="1"/>
          <w:wAfter w:w="48" w:type="dxa"/>
          <w:trHeight w:val="34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7EE72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hideMark/>
          </w:tcPr>
          <w:p w14:paraId="7D76E1F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penempatan dana pada bank lain untuk keperluan aktivitas operasional</w:t>
            </w:r>
          </w:p>
        </w:tc>
        <w:tc>
          <w:tcPr>
            <w:tcW w:w="2258" w:type="dxa"/>
            <w:tcBorders>
              <w:top w:val="nil"/>
              <w:left w:val="single" w:sz="4" w:space="0" w:color="auto"/>
              <w:bottom w:val="single" w:sz="4" w:space="0" w:color="auto"/>
              <w:right w:val="single" w:sz="4" w:space="0" w:color="auto"/>
            </w:tcBorders>
            <w:shd w:val="clear" w:color="auto" w:fill="auto"/>
            <w:noWrap/>
            <w:hideMark/>
          </w:tcPr>
          <w:p w14:paraId="54C6B07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0%</w:t>
            </w:r>
          </w:p>
        </w:tc>
        <w:tc>
          <w:tcPr>
            <w:tcW w:w="1984" w:type="dxa"/>
            <w:tcBorders>
              <w:top w:val="nil"/>
              <w:left w:val="nil"/>
              <w:bottom w:val="single" w:sz="4" w:space="0" w:color="auto"/>
              <w:right w:val="single" w:sz="4" w:space="0" w:color="auto"/>
            </w:tcBorders>
            <w:shd w:val="clear" w:color="auto" w:fill="auto"/>
            <w:noWrap/>
            <w:hideMark/>
          </w:tcPr>
          <w:p w14:paraId="656DB8C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hideMark/>
          </w:tcPr>
          <w:p w14:paraId="3D5760F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D432695" w14:textId="77777777" w:rsidTr="00623B56">
        <w:trPr>
          <w:gridAfter w:val="1"/>
          <w:wAfter w:w="48" w:type="dxa"/>
          <w:trHeight w:val="6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42615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79DA5D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lainnya (nasabah korporasi non-keuangan, Pemerintah Pusat, pemerintah negara lain, entitas sektor publik dan bank pembangunan multilateral)</w:t>
            </w:r>
          </w:p>
        </w:tc>
        <w:tc>
          <w:tcPr>
            <w:tcW w:w="2258" w:type="dxa"/>
            <w:tcBorders>
              <w:top w:val="nil"/>
              <w:left w:val="single" w:sz="4" w:space="0" w:color="auto"/>
              <w:bottom w:val="single" w:sz="4" w:space="0" w:color="auto"/>
              <w:right w:val="single" w:sz="4" w:space="0" w:color="auto"/>
            </w:tcBorders>
            <w:shd w:val="clear" w:color="auto" w:fill="auto"/>
            <w:vAlign w:val="center"/>
            <w:hideMark/>
          </w:tcPr>
          <w:p w14:paraId="15EF20E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vAlign w:val="center"/>
            <w:hideMark/>
          </w:tcPr>
          <w:p w14:paraId="11CD75C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vAlign w:val="center"/>
            <w:hideMark/>
          </w:tcPr>
          <w:p w14:paraId="122B96C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498AE88" w14:textId="77777777" w:rsidTr="002F3310">
        <w:trPr>
          <w:gridAfter w:val="1"/>
          <w:wAfter w:w="48" w:type="dxa"/>
          <w:trHeight w:val="84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2BEC03"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2409E65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lainnya (nasabah korporasi non-keuangan, Pemerintah Pusat, pemerintah negara lain, entitas sektor publik dan bank pembangunan multilateral) dalam hal tingkat penerimaan berasal dari surat berharga bukan HQLA dengan sisa jangka waktu kurang dari 30 hari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2AD55FE2"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6CC2C4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CA9A91"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F01D4C5" w14:textId="77777777" w:rsidTr="002F3310">
        <w:trPr>
          <w:gridAfter w:val="1"/>
          <w:wAfter w:w="48" w:type="dxa"/>
          <w:trHeight w:val="290"/>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42A3"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Jumlah arus kas masuk berdasarkan pihak lawan </w:t>
            </w:r>
            <w:r w:rsidRPr="00E971A9">
              <w:rPr>
                <w:rFonts w:eastAsia="Times New Roman"/>
                <w:b/>
                <w:bCs/>
                <w:i/>
                <w:iCs/>
                <w:sz w:val="24"/>
                <w:szCs w:val="24"/>
                <w:lang w:val="en-ID" w:eastAsia="en-ID"/>
              </w:rPr>
              <w:t>(counterparty)</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0445600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7480B258"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46CBB7"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66BC950"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4C404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2.3</w:t>
            </w:r>
          </w:p>
        </w:tc>
        <w:tc>
          <w:tcPr>
            <w:tcW w:w="10038" w:type="dxa"/>
            <w:tcBorders>
              <w:top w:val="nil"/>
              <w:left w:val="nil"/>
              <w:bottom w:val="single" w:sz="4" w:space="0" w:color="auto"/>
              <w:right w:val="nil"/>
            </w:tcBorders>
            <w:shd w:val="clear" w:color="auto" w:fill="F2F2F2" w:themeFill="background1" w:themeFillShade="F2"/>
            <w:vAlign w:val="center"/>
            <w:hideMark/>
          </w:tcPr>
          <w:p w14:paraId="1C4A3B1C"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Arus Kas Masuk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6CA62C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7D3D7D8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B05BE8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063DAFE5" w14:textId="77777777" w:rsidTr="002F3310">
        <w:trPr>
          <w:gridAfter w:val="1"/>
          <w:wAfter w:w="48" w:type="dxa"/>
          <w:trHeight w:val="33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16F4B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1BB673C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berasal dari transaksi bersih derivatif syariah/</w:t>
            </w:r>
            <w:r w:rsidRPr="00E971A9">
              <w:rPr>
                <w:rFonts w:eastAsia="Times New Roman"/>
                <w:i/>
                <w:iCs/>
                <w:sz w:val="24"/>
                <w:szCs w:val="24"/>
                <w:lang w:val="en-ID" w:eastAsia="en-ID"/>
              </w:rPr>
              <w:t>Sharia compliance hedging</w:t>
            </w:r>
            <w:r w:rsidRPr="00E971A9">
              <w:rPr>
                <w:rFonts w:eastAsia="Times New Roman"/>
                <w:sz w:val="24"/>
                <w:szCs w:val="24"/>
                <w:lang w:val="en-ID" w:eastAsia="en-ID"/>
              </w:rPr>
              <w:t xml:space="preserve"> sesuai fatwa MUI</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184AA0E"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197CB23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CE3E6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37021F87" w14:textId="77777777" w:rsidTr="002F3310">
        <w:trPr>
          <w:gridAfter w:val="1"/>
          <w:wAfter w:w="48" w:type="dxa"/>
          <w:trHeight w:val="2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91A4EF"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0038" w:type="dxa"/>
            <w:tcBorders>
              <w:top w:val="nil"/>
              <w:left w:val="nil"/>
              <w:bottom w:val="single" w:sz="4" w:space="0" w:color="auto"/>
              <w:right w:val="nil"/>
            </w:tcBorders>
            <w:shd w:val="clear" w:color="auto" w:fill="auto"/>
            <w:vAlign w:val="center"/>
            <w:hideMark/>
          </w:tcPr>
          <w:p w14:paraId="797115E6"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berasal dari tagihan kontraktual lainnya</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26217C9"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50%</w:t>
            </w:r>
          </w:p>
        </w:tc>
        <w:tc>
          <w:tcPr>
            <w:tcW w:w="1984" w:type="dxa"/>
            <w:tcBorders>
              <w:top w:val="nil"/>
              <w:left w:val="nil"/>
              <w:bottom w:val="single" w:sz="4" w:space="0" w:color="auto"/>
              <w:right w:val="single" w:sz="4" w:space="0" w:color="auto"/>
            </w:tcBorders>
            <w:shd w:val="clear" w:color="auto" w:fill="auto"/>
            <w:noWrap/>
            <w:vAlign w:val="center"/>
            <w:hideMark/>
          </w:tcPr>
          <w:p w14:paraId="08373DF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51965C"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C92D80F" w14:textId="77777777" w:rsidTr="002F3310">
        <w:trPr>
          <w:gridAfter w:val="1"/>
          <w:wAfter w:w="48" w:type="dxa"/>
          <w:trHeight w:val="280"/>
        </w:trPr>
        <w:tc>
          <w:tcPr>
            <w:tcW w:w="10910"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805FF9"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Arus Kas Masuk Lainnya</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42EEBCCE"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5BCE138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BCF58E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98C6932" w14:textId="77777777" w:rsidTr="002F3310">
        <w:trPr>
          <w:gridAfter w:val="1"/>
          <w:wAfter w:w="48" w:type="dxa"/>
          <w:trHeight w:val="280"/>
        </w:trPr>
        <w:tc>
          <w:tcPr>
            <w:tcW w:w="872" w:type="dxa"/>
            <w:tcBorders>
              <w:top w:val="single" w:sz="4" w:space="0" w:color="auto"/>
              <w:left w:val="single" w:sz="4" w:space="0" w:color="auto"/>
              <w:bottom w:val="single" w:sz="4" w:space="0" w:color="auto"/>
              <w:right w:val="nil"/>
            </w:tcBorders>
            <w:shd w:val="clear" w:color="auto" w:fill="auto"/>
            <w:noWrap/>
            <w:vAlign w:val="center"/>
            <w:hideMark/>
          </w:tcPr>
          <w:p w14:paraId="18778321"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0038" w:type="dxa"/>
            <w:tcBorders>
              <w:top w:val="single" w:sz="4" w:space="0" w:color="auto"/>
              <w:left w:val="nil"/>
              <w:bottom w:val="single" w:sz="4" w:space="0" w:color="auto"/>
              <w:right w:val="nil"/>
            </w:tcBorders>
            <w:shd w:val="clear" w:color="auto" w:fill="auto"/>
            <w:noWrap/>
            <w:vAlign w:val="center"/>
            <w:hideMark/>
          </w:tcPr>
          <w:p w14:paraId="3BEE4DFF"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403314A4"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02ABABBA"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EE7B16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1080B050" w14:textId="77777777" w:rsidTr="002F3310">
        <w:trPr>
          <w:gridAfter w:val="1"/>
          <w:wAfter w:w="48" w:type="dxa"/>
          <w:trHeight w:val="280"/>
        </w:trPr>
        <w:tc>
          <w:tcPr>
            <w:tcW w:w="10910" w:type="dxa"/>
            <w:gridSpan w:val="2"/>
            <w:tcBorders>
              <w:top w:val="nil"/>
              <w:left w:val="single" w:sz="4" w:space="0" w:color="auto"/>
              <w:bottom w:val="single" w:sz="4" w:space="0" w:color="auto"/>
              <w:right w:val="nil"/>
            </w:tcBorders>
            <w:shd w:val="clear" w:color="auto" w:fill="auto"/>
            <w:noWrap/>
            <w:vAlign w:val="center"/>
            <w:hideMark/>
          </w:tcPr>
          <w:p w14:paraId="4AAC9248"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Arus Kas Masuk</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5974BC4E"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6E68E89B"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9B06E3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2F31CD2F" w14:textId="77777777" w:rsidTr="002F3310">
        <w:trPr>
          <w:gridAfter w:val="1"/>
          <w:wAfter w:w="48" w:type="dxa"/>
          <w:trHeight w:val="580"/>
        </w:trPr>
        <w:tc>
          <w:tcPr>
            <w:tcW w:w="10910" w:type="dxa"/>
            <w:gridSpan w:val="2"/>
            <w:tcBorders>
              <w:top w:val="single" w:sz="4" w:space="0" w:color="auto"/>
              <w:left w:val="single" w:sz="4" w:space="0" w:color="auto"/>
              <w:bottom w:val="single" w:sz="4" w:space="0" w:color="auto"/>
              <w:right w:val="nil"/>
            </w:tcBorders>
            <w:shd w:val="clear" w:color="auto" w:fill="auto"/>
            <w:vAlign w:val="center"/>
            <w:hideMark/>
          </w:tcPr>
          <w:p w14:paraId="33F8A45C"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Arus Kas Masuk yang dapat Diperhitungkan dalam Perhitungan LCR (maksimal 75% dari Total Arus Kas Keluar)</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64C63935"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238D93A7"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6628A4"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A0E644E" w14:textId="77777777" w:rsidTr="002F3310">
        <w:trPr>
          <w:gridAfter w:val="1"/>
          <w:wAfter w:w="48" w:type="dxa"/>
          <w:trHeight w:val="29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9940FE"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xml:space="preserve">Jumlah </w:t>
            </w:r>
            <w:r w:rsidRPr="00E971A9">
              <w:rPr>
                <w:rFonts w:eastAsia="Times New Roman"/>
                <w:b/>
                <w:bCs/>
                <w:i/>
                <w:iCs/>
                <w:sz w:val="24"/>
                <w:szCs w:val="24"/>
                <w:lang w:val="en-ID" w:eastAsia="en-ID"/>
              </w:rPr>
              <w:t>Net Cash Out Flow</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265F1D9A"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29FF61CE"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557F2E7"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6485C962" w14:textId="77777777" w:rsidTr="002F3310">
        <w:trPr>
          <w:gridAfter w:val="1"/>
          <w:wAfter w:w="48" w:type="dxa"/>
          <w:trHeight w:val="280"/>
        </w:trPr>
        <w:tc>
          <w:tcPr>
            <w:tcW w:w="872" w:type="dxa"/>
            <w:tcBorders>
              <w:top w:val="nil"/>
              <w:left w:val="single" w:sz="4" w:space="0" w:color="auto"/>
              <w:bottom w:val="single" w:sz="4" w:space="0" w:color="auto"/>
              <w:right w:val="nil"/>
            </w:tcBorders>
            <w:shd w:val="clear" w:color="auto" w:fill="auto"/>
            <w:noWrap/>
            <w:vAlign w:val="center"/>
            <w:hideMark/>
          </w:tcPr>
          <w:p w14:paraId="752ADCC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lastRenderedPageBreak/>
              <w:t> </w:t>
            </w:r>
          </w:p>
        </w:tc>
        <w:tc>
          <w:tcPr>
            <w:tcW w:w="10038" w:type="dxa"/>
            <w:tcBorders>
              <w:top w:val="nil"/>
              <w:left w:val="nil"/>
              <w:bottom w:val="single" w:sz="4" w:space="0" w:color="auto"/>
              <w:right w:val="nil"/>
            </w:tcBorders>
            <w:shd w:val="clear" w:color="auto" w:fill="auto"/>
            <w:noWrap/>
            <w:vAlign w:val="center"/>
            <w:hideMark/>
          </w:tcPr>
          <w:p w14:paraId="0863987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FDD5B5B"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auto" w:fill="auto"/>
            <w:noWrap/>
            <w:vAlign w:val="center"/>
            <w:hideMark/>
          </w:tcPr>
          <w:p w14:paraId="1A06A680"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2E3A78" w14:textId="77777777" w:rsidR="002F3310" w:rsidRPr="00E971A9" w:rsidRDefault="002F3310" w:rsidP="00B60AB6">
            <w:pPr>
              <w:spacing w:after="0" w:line="240" w:lineRule="auto"/>
              <w:jc w:val="center"/>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578BED48"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000000" w:fill="BFBFBF"/>
            <w:noWrap/>
            <w:vAlign w:val="center"/>
            <w:hideMark/>
          </w:tcPr>
          <w:p w14:paraId="7B8BB2DA"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C. LCR</w:t>
            </w:r>
          </w:p>
        </w:tc>
        <w:tc>
          <w:tcPr>
            <w:tcW w:w="2258" w:type="dxa"/>
            <w:tcBorders>
              <w:top w:val="nil"/>
              <w:left w:val="single" w:sz="4" w:space="0" w:color="auto"/>
              <w:bottom w:val="single" w:sz="4" w:space="0" w:color="auto"/>
              <w:right w:val="single" w:sz="4" w:space="0" w:color="auto"/>
            </w:tcBorders>
            <w:shd w:val="clear" w:color="000000" w:fill="BFBFBF"/>
            <w:noWrap/>
            <w:vAlign w:val="center"/>
            <w:hideMark/>
          </w:tcPr>
          <w:p w14:paraId="395957DF"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984" w:type="dxa"/>
            <w:tcBorders>
              <w:top w:val="nil"/>
              <w:left w:val="nil"/>
              <w:bottom w:val="single" w:sz="4" w:space="0" w:color="auto"/>
              <w:right w:val="single" w:sz="4" w:space="0" w:color="auto"/>
            </w:tcBorders>
            <w:shd w:val="clear" w:color="000000" w:fill="BFBFBF"/>
            <w:noWrap/>
            <w:vAlign w:val="center"/>
            <w:hideMark/>
          </w:tcPr>
          <w:p w14:paraId="338CD776"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328E5A"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 </w:t>
            </w:r>
          </w:p>
        </w:tc>
      </w:tr>
      <w:tr w:rsidR="002F3310" w:rsidRPr="00E971A9" w14:paraId="0DB728E8"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1AD426"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HQLA</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56498C59"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5E9A044D"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5A3F33C"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EE6D416" w14:textId="77777777" w:rsidTr="002F3310">
        <w:trPr>
          <w:gridAfter w:val="1"/>
          <w:wAfter w:w="48" w:type="dxa"/>
          <w:trHeight w:val="28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6A8F32B"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Jumlah Net Cash Out Flow</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5A859CE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52E01890"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A1B2852"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r w:rsidR="002F3310" w:rsidRPr="00E971A9" w14:paraId="7749C825" w14:textId="77777777" w:rsidTr="002F3310">
        <w:trPr>
          <w:gridAfter w:val="1"/>
          <w:wAfter w:w="48" w:type="dxa"/>
          <w:trHeight w:val="290"/>
        </w:trPr>
        <w:tc>
          <w:tcPr>
            <w:tcW w:w="10910"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634B65" w14:textId="77777777" w:rsidR="002F3310" w:rsidRPr="00E971A9" w:rsidRDefault="002F3310" w:rsidP="00B60AB6">
            <w:pPr>
              <w:spacing w:after="0" w:line="240" w:lineRule="auto"/>
              <w:rPr>
                <w:rFonts w:eastAsia="Times New Roman"/>
                <w:b/>
                <w:bCs/>
                <w:sz w:val="24"/>
                <w:szCs w:val="24"/>
                <w:lang w:val="en-ID" w:eastAsia="en-ID"/>
              </w:rPr>
            </w:pPr>
            <w:r w:rsidRPr="00E971A9">
              <w:rPr>
                <w:rFonts w:eastAsia="Times New Roman"/>
                <w:b/>
                <w:bCs/>
                <w:sz w:val="24"/>
                <w:szCs w:val="24"/>
                <w:lang w:val="en-ID" w:eastAsia="en-ID"/>
              </w:rPr>
              <w:t>Nilai LCR</w:t>
            </w:r>
          </w:p>
        </w:tc>
        <w:tc>
          <w:tcPr>
            <w:tcW w:w="2258" w:type="dxa"/>
            <w:tcBorders>
              <w:top w:val="nil"/>
              <w:left w:val="single" w:sz="4" w:space="0" w:color="auto"/>
              <w:bottom w:val="single" w:sz="4" w:space="0" w:color="auto"/>
              <w:right w:val="single" w:sz="4" w:space="0" w:color="auto"/>
            </w:tcBorders>
            <w:shd w:val="clear" w:color="000000" w:fill="000000"/>
            <w:noWrap/>
            <w:vAlign w:val="center"/>
            <w:hideMark/>
          </w:tcPr>
          <w:p w14:paraId="14506831"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984" w:type="dxa"/>
            <w:tcBorders>
              <w:top w:val="nil"/>
              <w:left w:val="nil"/>
              <w:bottom w:val="single" w:sz="4" w:space="0" w:color="auto"/>
              <w:right w:val="single" w:sz="4" w:space="0" w:color="auto"/>
            </w:tcBorders>
            <w:shd w:val="clear" w:color="000000" w:fill="000000"/>
            <w:noWrap/>
            <w:vAlign w:val="center"/>
            <w:hideMark/>
          </w:tcPr>
          <w:p w14:paraId="6BB9D513"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330195C" w14:textId="77777777" w:rsidR="002F3310" w:rsidRPr="00E971A9" w:rsidRDefault="002F3310" w:rsidP="00B60AB6">
            <w:pPr>
              <w:spacing w:after="0" w:line="240" w:lineRule="auto"/>
              <w:rPr>
                <w:rFonts w:eastAsia="Times New Roman"/>
                <w:sz w:val="24"/>
                <w:szCs w:val="24"/>
                <w:lang w:val="en-ID" w:eastAsia="en-ID"/>
              </w:rPr>
            </w:pPr>
            <w:r w:rsidRPr="00E971A9">
              <w:rPr>
                <w:rFonts w:eastAsia="Times New Roman"/>
                <w:sz w:val="24"/>
                <w:szCs w:val="24"/>
                <w:lang w:val="en-ID" w:eastAsia="en-ID"/>
              </w:rPr>
              <w:t> </w:t>
            </w:r>
          </w:p>
        </w:tc>
      </w:tr>
    </w:tbl>
    <w:p w14:paraId="183C7DB9" w14:textId="40B7A53B" w:rsidR="002F3310" w:rsidRDefault="002F3310" w:rsidP="00B03AEA">
      <w:pPr>
        <w:tabs>
          <w:tab w:val="left" w:pos="1256"/>
        </w:tabs>
        <w:rPr>
          <w:rFonts w:ascii="Bookman Old Style" w:eastAsia="Bookman Old Style" w:hAnsi="Bookman Old Style" w:cs="Bookman Old Style"/>
          <w:sz w:val="20"/>
          <w:szCs w:val="20"/>
        </w:rPr>
      </w:pPr>
    </w:p>
    <w:p w14:paraId="2837E083" w14:textId="77777777" w:rsidR="00B60AB6" w:rsidRPr="00B60AB6" w:rsidRDefault="00B60AB6" w:rsidP="00B60AB6">
      <w:pPr>
        <w:pStyle w:val="BodyText"/>
        <w:ind w:right="620"/>
        <w:jc w:val="center"/>
        <w:outlineLvl w:val="0"/>
        <w:rPr>
          <w:rFonts w:ascii="Bookman Old Style" w:hAnsi="Bookman Old Style"/>
          <w:sz w:val="20"/>
          <w:szCs w:val="20"/>
        </w:rPr>
      </w:pPr>
      <w:r w:rsidRPr="00B60AB6">
        <w:rPr>
          <w:rFonts w:ascii="Bookman Old Style" w:hAnsi="Bookman Old Style"/>
          <w:sz w:val="20"/>
          <w:szCs w:val="20"/>
        </w:rPr>
        <w:t>PENILAIAN KUALITATIF KONDISI LIKUIDITAS</w:t>
      </w:r>
    </w:p>
    <w:p w14:paraId="39266244" w14:textId="77777777" w:rsidR="00B60AB6" w:rsidRPr="00B60AB6" w:rsidRDefault="00B60AB6" w:rsidP="00B60AB6">
      <w:pPr>
        <w:pStyle w:val="BodyText"/>
        <w:ind w:right="620"/>
        <w:outlineLvl w:val="0"/>
        <w:rPr>
          <w:rFonts w:ascii="Bookman Old Style" w:hAnsi="Bookman Old Style"/>
          <w:sz w:val="20"/>
          <w:szCs w:val="20"/>
        </w:rPr>
      </w:pPr>
    </w:p>
    <w:p w14:paraId="1094AE10" w14:textId="77777777" w:rsidR="00B60AB6" w:rsidRPr="00B60AB6" w:rsidRDefault="00B60AB6" w:rsidP="00B60AB6">
      <w:pPr>
        <w:pStyle w:val="BodyText"/>
        <w:ind w:right="-1"/>
        <w:rPr>
          <w:rFonts w:ascii="Bookman Old Style" w:hAnsi="Bookman Old Style"/>
          <w:sz w:val="20"/>
          <w:szCs w:val="20"/>
          <w:lang w:val="sv-SE"/>
        </w:rPr>
      </w:pPr>
      <w:r w:rsidRPr="00B60AB6">
        <w:rPr>
          <w:rFonts w:ascii="Bookman Old Style" w:hAnsi="Bookman Old Style"/>
          <w:sz w:val="20"/>
          <w:szCs w:val="20"/>
          <w:lang w:val="sv-SE"/>
        </w:rPr>
        <w:t>Nama Bank</w:t>
      </w:r>
      <w:r w:rsidRPr="00B60AB6">
        <w:rPr>
          <w:rFonts w:ascii="Bookman Old Style" w:hAnsi="Bookman Old Style"/>
          <w:sz w:val="20"/>
          <w:szCs w:val="20"/>
          <w:lang w:val="sv-SE"/>
        </w:rPr>
        <w:tab/>
      </w:r>
      <w:r w:rsidRPr="00B60AB6">
        <w:rPr>
          <w:rFonts w:ascii="Bookman Old Style" w:hAnsi="Bookman Old Style"/>
          <w:sz w:val="20"/>
          <w:szCs w:val="20"/>
          <w:lang w:val="sv-SE"/>
        </w:rPr>
        <w:tab/>
        <w:t>:</w:t>
      </w:r>
    </w:p>
    <w:p w14:paraId="32E660BF" w14:textId="77777777" w:rsidR="00B60AB6" w:rsidRPr="00B60AB6" w:rsidRDefault="00B60AB6" w:rsidP="00B60AB6">
      <w:pPr>
        <w:pStyle w:val="BodyText"/>
        <w:ind w:right="620"/>
        <w:outlineLvl w:val="0"/>
        <w:rPr>
          <w:rFonts w:ascii="Bookman Old Style" w:hAnsi="Bookman Old Style"/>
          <w:sz w:val="20"/>
          <w:szCs w:val="20"/>
          <w:lang w:val="sv-SE"/>
        </w:rPr>
      </w:pPr>
      <w:r w:rsidRPr="00B60AB6">
        <w:rPr>
          <w:rFonts w:ascii="Bookman Old Style" w:hAnsi="Bookman Old Style"/>
          <w:sz w:val="20"/>
          <w:szCs w:val="20"/>
          <w:lang w:val="sv-SE"/>
        </w:rPr>
        <w:t>Bulan Laporan</w:t>
      </w:r>
      <w:r w:rsidRPr="00B60AB6">
        <w:rPr>
          <w:rFonts w:ascii="Bookman Old Style" w:hAnsi="Bookman Old Style"/>
          <w:sz w:val="20"/>
          <w:szCs w:val="20"/>
          <w:lang w:val="sv-SE"/>
        </w:rPr>
        <w:tab/>
        <w:t>:</w:t>
      </w:r>
    </w:p>
    <w:tbl>
      <w:tblPr>
        <w:tblStyle w:val="TableGrid"/>
        <w:tblW w:w="0" w:type="auto"/>
        <w:tblLook w:val="04A0" w:firstRow="1" w:lastRow="0" w:firstColumn="1" w:lastColumn="0" w:noHBand="0" w:noVBand="1"/>
      </w:tblPr>
      <w:tblGrid>
        <w:gridCol w:w="17005"/>
      </w:tblGrid>
      <w:tr w:rsidR="00B60AB6" w:rsidRPr="00B60AB6" w14:paraId="4D7ED080" w14:textId="77777777" w:rsidTr="00B60AB6">
        <w:tc>
          <w:tcPr>
            <w:tcW w:w="17005" w:type="dxa"/>
            <w:shd w:val="clear" w:color="auto" w:fill="D9D9D9" w:themeFill="background1" w:themeFillShade="D9"/>
          </w:tcPr>
          <w:p w14:paraId="4B1A5D6C" w14:textId="77777777" w:rsidR="00B60AB6" w:rsidRPr="00B60AB6" w:rsidRDefault="00B60AB6" w:rsidP="007A2AAB">
            <w:pPr>
              <w:pStyle w:val="BodyText"/>
              <w:ind w:right="620"/>
              <w:jc w:val="center"/>
              <w:outlineLvl w:val="0"/>
              <w:rPr>
                <w:rFonts w:ascii="Bookman Old Style" w:hAnsi="Bookman Old Style"/>
                <w:sz w:val="20"/>
                <w:szCs w:val="20"/>
              </w:rPr>
            </w:pPr>
            <w:r w:rsidRPr="00B60AB6">
              <w:rPr>
                <w:rFonts w:ascii="Bookman Old Style" w:hAnsi="Bookman Old Style"/>
                <w:sz w:val="20"/>
                <w:szCs w:val="20"/>
              </w:rPr>
              <w:t>Analisis</w:t>
            </w:r>
          </w:p>
        </w:tc>
      </w:tr>
      <w:tr w:rsidR="00B60AB6" w:rsidRPr="00B60AB6" w14:paraId="6E8EB226" w14:textId="77777777" w:rsidTr="00B60AB6">
        <w:tc>
          <w:tcPr>
            <w:tcW w:w="17005" w:type="dxa"/>
          </w:tcPr>
          <w:p w14:paraId="1511974B" w14:textId="77777777" w:rsidR="00B60AB6" w:rsidRPr="00B60AB6" w:rsidRDefault="00B60AB6" w:rsidP="007A2AAB">
            <w:pPr>
              <w:pStyle w:val="BodyText"/>
              <w:ind w:right="620"/>
              <w:outlineLvl w:val="0"/>
              <w:rPr>
                <w:rFonts w:ascii="Bookman Old Style" w:hAnsi="Bookman Old Style"/>
                <w:sz w:val="20"/>
                <w:szCs w:val="20"/>
              </w:rPr>
            </w:pPr>
            <w:r w:rsidRPr="00B60AB6">
              <w:rPr>
                <w:rFonts w:ascii="Bookman Old Style" w:hAnsi="Bookman Old Style"/>
                <w:sz w:val="20"/>
                <w:szCs w:val="20"/>
              </w:rPr>
              <w:t>Diisi dengan hasil analisis kondisi likuiditas Bank.</w:t>
            </w:r>
          </w:p>
          <w:p w14:paraId="5EE5D516" w14:textId="77777777" w:rsidR="00B60AB6" w:rsidRPr="00B60AB6" w:rsidRDefault="00B60AB6" w:rsidP="007A2AAB">
            <w:pPr>
              <w:pStyle w:val="BodyText"/>
              <w:ind w:right="620"/>
              <w:outlineLvl w:val="0"/>
              <w:rPr>
                <w:rFonts w:ascii="Bookman Old Style" w:hAnsi="Bookman Old Style"/>
                <w:sz w:val="20"/>
                <w:szCs w:val="20"/>
              </w:rPr>
            </w:pPr>
          </w:p>
          <w:p w14:paraId="322C99B7" w14:textId="77777777" w:rsidR="00B60AB6" w:rsidRPr="00B60AB6" w:rsidRDefault="00B60AB6" w:rsidP="007A2AAB">
            <w:pPr>
              <w:pStyle w:val="BodyText"/>
              <w:ind w:right="620"/>
              <w:outlineLvl w:val="0"/>
              <w:rPr>
                <w:rFonts w:ascii="Bookman Old Style" w:hAnsi="Bookman Old Style"/>
                <w:sz w:val="20"/>
                <w:szCs w:val="20"/>
              </w:rPr>
            </w:pPr>
          </w:p>
          <w:p w14:paraId="7411CA75" w14:textId="77777777" w:rsidR="00B60AB6" w:rsidRPr="00B60AB6" w:rsidRDefault="00B60AB6" w:rsidP="007A2AAB">
            <w:pPr>
              <w:pStyle w:val="BodyText"/>
              <w:ind w:right="620"/>
              <w:outlineLvl w:val="0"/>
              <w:rPr>
                <w:rFonts w:ascii="Bookman Old Style" w:hAnsi="Bookman Old Style"/>
                <w:sz w:val="20"/>
                <w:szCs w:val="20"/>
              </w:rPr>
            </w:pPr>
          </w:p>
          <w:p w14:paraId="7CBA8014" w14:textId="77777777" w:rsidR="00B60AB6" w:rsidRPr="00B60AB6" w:rsidRDefault="00B60AB6" w:rsidP="007A2AAB">
            <w:pPr>
              <w:pStyle w:val="BodyText"/>
              <w:ind w:right="620"/>
              <w:outlineLvl w:val="0"/>
              <w:rPr>
                <w:rFonts w:ascii="Bookman Old Style" w:hAnsi="Bookman Old Style"/>
                <w:sz w:val="20"/>
                <w:szCs w:val="20"/>
              </w:rPr>
            </w:pPr>
          </w:p>
          <w:p w14:paraId="19D07E6C" w14:textId="77777777" w:rsidR="00B60AB6" w:rsidRPr="00B60AB6" w:rsidRDefault="00B60AB6" w:rsidP="007A2AAB">
            <w:pPr>
              <w:pStyle w:val="BodyText"/>
              <w:ind w:right="620"/>
              <w:outlineLvl w:val="0"/>
              <w:rPr>
                <w:rFonts w:ascii="Bookman Old Style" w:hAnsi="Bookman Old Style"/>
                <w:sz w:val="20"/>
                <w:szCs w:val="20"/>
              </w:rPr>
            </w:pPr>
          </w:p>
        </w:tc>
      </w:tr>
    </w:tbl>
    <w:p w14:paraId="0D9A25A7" w14:textId="77777777" w:rsidR="00B60AB6" w:rsidRPr="00E971A9" w:rsidRDefault="00B60AB6" w:rsidP="00B60AB6">
      <w:pPr>
        <w:pStyle w:val="BodyText"/>
        <w:ind w:right="620"/>
        <w:outlineLvl w:val="0"/>
        <w:rPr>
          <w:b/>
        </w:rPr>
      </w:pPr>
    </w:p>
    <w:p w14:paraId="6DA32599" w14:textId="77777777" w:rsidR="00B60AB6" w:rsidRPr="00B60AB6" w:rsidRDefault="00B60AB6" w:rsidP="00B60AB6">
      <w:pPr>
        <w:spacing w:after="0" w:line="240" w:lineRule="auto"/>
        <w:ind w:left="13325"/>
        <w:rPr>
          <w:rFonts w:ascii="Bookman Old Style" w:eastAsia="Times New Roman" w:hAnsi="Bookman Old Style" w:cs="Arial"/>
          <w:sz w:val="20"/>
          <w:szCs w:val="20"/>
        </w:rPr>
      </w:pPr>
      <w:r w:rsidRPr="00B60AB6">
        <w:rPr>
          <w:rFonts w:ascii="Bookman Old Style" w:eastAsia="Times New Roman" w:hAnsi="Bookman Old Style" w:cs="Arial"/>
          <w:sz w:val="20"/>
          <w:szCs w:val="20"/>
        </w:rPr>
        <w:t>Ditetapkan di Jakarta</w:t>
      </w:r>
    </w:p>
    <w:p w14:paraId="26E645AF" w14:textId="77777777" w:rsidR="00B60AB6" w:rsidRPr="00B60AB6" w:rsidRDefault="00B60AB6" w:rsidP="00B60AB6">
      <w:pPr>
        <w:spacing w:after="0" w:line="240" w:lineRule="auto"/>
        <w:ind w:left="13325"/>
        <w:rPr>
          <w:rFonts w:ascii="Bookman Old Style" w:eastAsia="Times New Roman" w:hAnsi="Bookman Old Style" w:cs="Arial"/>
          <w:sz w:val="20"/>
          <w:szCs w:val="20"/>
        </w:rPr>
      </w:pPr>
      <w:r w:rsidRPr="00B60AB6">
        <w:rPr>
          <w:rFonts w:ascii="Bookman Old Style" w:eastAsia="Times New Roman" w:hAnsi="Bookman Old Style" w:cs="Arial"/>
          <w:sz w:val="20"/>
          <w:szCs w:val="20"/>
        </w:rPr>
        <w:t xml:space="preserve">pada tanggal </w:t>
      </w:r>
    </w:p>
    <w:p w14:paraId="6B0C2203" w14:textId="77777777" w:rsidR="00B60AB6" w:rsidRPr="00B60AB6" w:rsidRDefault="00B60AB6" w:rsidP="00B60AB6">
      <w:pPr>
        <w:spacing w:after="0" w:line="240" w:lineRule="auto"/>
        <w:ind w:left="13325"/>
        <w:rPr>
          <w:rFonts w:ascii="Bookman Old Style" w:eastAsia="Times New Roman" w:hAnsi="Bookman Old Style" w:cs="Arial"/>
          <w:sz w:val="20"/>
          <w:szCs w:val="20"/>
        </w:rPr>
      </w:pPr>
    </w:p>
    <w:p w14:paraId="4B81CC51" w14:textId="77777777" w:rsidR="00B60AB6" w:rsidRPr="00B60AB6" w:rsidRDefault="00B60AB6" w:rsidP="00B60AB6">
      <w:pPr>
        <w:spacing w:after="0" w:line="240" w:lineRule="auto"/>
        <w:ind w:left="13325"/>
        <w:rPr>
          <w:rFonts w:ascii="Bookman Old Style" w:eastAsia="Times New Roman" w:hAnsi="Bookman Old Style" w:cs="Arial"/>
          <w:sz w:val="20"/>
          <w:szCs w:val="20"/>
          <w:lang w:val="en-US"/>
        </w:rPr>
      </w:pPr>
      <w:r w:rsidRPr="00B60AB6">
        <w:rPr>
          <w:rFonts w:ascii="Bookman Old Style" w:eastAsia="Times New Roman" w:hAnsi="Bookman Old Style" w:cs="Arial"/>
          <w:sz w:val="20"/>
          <w:szCs w:val="20"/>
          <w:lang w:val="en-US"/>
        </w:rPr>
        <w:t>KETUA DEWAN KOMISIONER</w:t>
      </w:r>
    </w:p>
    <w:p w14:paraId="4D8829C0" w14:textId="77777777" w:rsidR="00B60AB6" w:rsidRPr="00B60AB6" w:rsidRDefault="00B60AB6" w:rsidP="00B60AB6">
      <w:pPr>
        <w:spacing w:after="0" w:line="240" w:lineRule="auto"/>
        <w:ind w:left="13325"/>
        <w:rPr>
          <w:rFonts w:ascii="Bookman Old Style" w:eastAsia="Times New Roman" w:hAnsi="Bookman Old Style" w:cs="Arial"/>
          <w:sz w:val="20"/>
          <w:szCs w:val="20"/>
        </w:rPr>
      </w:pPr>
      <w:r w:rsidRPr="00B60AB6">
        <w:rPr>
          <w:rFonts w:ascii="Bookman Old Style" w:eastAsia="Times New Roman" w:hAnsi="Bookman Old Style" w:cs="Arial"/>
          <w:sz w:val="20"/>
          <w:szCs w:val="20"/>
        </w:rPr>
        <w:t>OTORITAS JASA KEUANGAN</w:t>
      </w:r>
    </w:p>
    <w:p w14:paraId="604A94B5" w14:textId="7BB67AEC" w:rsidR="00B60AB6" w:rsidRPr="00B60AB6" w:rsidRDefault="00B60AB6" w:rsidP="00B60AB6">
      <w:pPr>
        <w:spacing w:after="0" w:line="240" w:lineRule="auto"/>
        <w:ind w:left="13325"/>
        <w:rPr>
          <w:rFonts w:ascii="Bookman Old Style" w:eastAsia="Bookman Old Style" w:hAnsi="Bookman Old Style" w:cs="Bookman Old Style"/>
          <w:sz w:val="20"/>
          <w:szCs w:val="20"/>
        </w:rPr>
      </w:pPr>
      <w:r w:rsidRPr="00B60AB6">
        <w:rPr>
          <w:rFonts w:ascii="Bookman Old Style" w:eastAsia="Times New Roman" w:hAnsi="Bookman Old Style" w:cs="Arial"/>
          <w:sz w:val="20"/>
          <w:szCs w:val="20"/>
        </w:rPr>
        <w:t>REPUBLIK INDONESIA,</w:t>
      </w:r>
    </w:p>
    <w:p w14:paraId="073064BA" w14:textId="6694FA73" w:rsidR="00623B56" w:rsidRPr="00B60AB6" w:rsidRDefault="00623B56" w:rsidP="00B60AB6">
      <w:pPr>
        <w:tabs>
          <w:tab w:val="left" w:pos="1256"/>
        </w:tabs>
        <w:ind w:left="13325"/>
        <w:rPr>
          <w:rFonts w:ascii="Bookman Old Style" w:eastAsia="Bookman Old Style" w:hAnsi="Bookman Old Style" w:cs="Bookman Old Style"/>
          <w:sz w:val="20"/>
          <w:szCs w:val="20"/>
        </w:rPr>
      </w:pPr>
    </w:p>
    <w:p w14:paraId="49E33D6F" w14:textId="77777777" w:rsidR="00B60AB6" w:rsidRPr="00B60AB6" w:rsidRDefault="00B60AB6" w:rsidP="00B60AB6">
      <w:pPr>
        <w:tabs>
          <w:tab w:val="left" w:pos="1256"/>
        </w:tabs>
        <w:ind w:left="13325"/>
        <w:rPr>
          <w:rFonts w:ascii="Bookman Old Style" w:eastAsia="Times New Roman" w:hAnsi="Bookman Old Style" w:cs="Arial"/>
          <w:sz w:val="20"/>
          <w:szCs w:val="20"/>
          <w:lang w:val="en-US"/>
        </w:rPr>
      </w:pPr>
    </w:p>
    <w:p w14:paraId="7C590788" w14:textId="554EC4DD" w:rsidR="00623B56" w:rsidRDefault="00B60AB6" w:rsidP="00B60AB6">
      <w:pPr>
        <w:tabs>
          <w:tab w:val="left" w:pos="1256"/>
        </w:tabs>
        <w:ind w:left="13325"/>
        <w:rPr>
          <w:rFonts w:ascii="Bookman Old Style" w:eastAsia="Bookman Old Style" w:hAnsi="Bookman Old Style" w:cs="Bookman Old Style"/>
          <w:sz w:val="20"/>
          <w:szCs w:val="20"/>
        </w:rPr>
      </w:pPr>
      <w:r w:rsidRPr="00B60AB6">
        <w:rPr>
          <w:rFonts w:ascii="Bookman Old Style" w:eastAsia="Times New Roman" w:hAnsi="Bookman Old Style" w:cs="Arial"/>
          <w:sz w:val="20"/>
          <w:szCs w:val="20"/>
          <w:lang w:val="en-US"/>
        </w:rPr>
        <w:t>MAHENDRA SIREGAR</w:t>
      </w:r>
    </w:p>
    <w:tbl>
      <w:tblPr>
        <w:tblpPr w:leftFromText="180" w:rightFromText="180" w:vertAnchor="text" w:tblpY="1"/>
        <w:tblOverlap w:val="never"/>
        <w:tblW w:w="1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25"/>
        <w:gridCol w:w="5953"/>
        <w:gridCol w:w="3827"/>
      </w:tblGrid>
      <w:tr w:rsidR="00623B56" w:rsidRPr="00B03AEA" w14:paraId="1F5526D6" w14:textId="77777777" w:rsidTr="007A2AAB">
        <w:trPr>
          <w:trHeight w:val="564"/>
          <w:tblHeader/>
        </w:trPr>
        <w:tc>
          <w:tcPr>
            <w:tcW w:w="7225" w:type="dxa"/>
            <w:shd w:val="clear" w:color="auto" w:fill="FFFF00"/>
            <w:vAlign w:val="center"/>
          </w:tcPr>
          <w:p w14:paraId="0514A825"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lastRenderedPageBreak/>
              <w:t>DRAF PERATURAN</w:t>
            </w:r>
          </w:p>
        </w:tc>
        <w:tc>
          <w:tcPr>
            <w:tcW w:w="5953" w:type="dxa"/>
            <w:vMerge w:val="restart"/>
            <w:shd w:val="clear" w:color="auto" w:fill="FFFF00"/>
            <w:vAlign w:val="center"/>
          </w:tcPr>
          <w:p w14:paraId="04833BC2"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TANGGAPAN</w:t>
            </w:r>
          </w:p>
        </w:tc>
        <w:tc>
          <w:tcPr>
            <w:tcW w:w="3827" w:type="dxa"/>
            <w:vMerge w:val="restart"/>
            <w:shd w:val="clear" w:color="auto" w:fill="FFFF00"/>
            <w:vAlign w:val="center"/>
          </w:tcPr>
          <w:p w14:paraId="399835CF"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USULAN PERUBAHAN</w:t>
            </w:r>
          </w:p>
        </w:tc>
      </w:tr>
      <w:tr w:rsidR="00623B56" w:rsidRPr="00B03AEA" w14:paraId="481F0A10" w14:textId="77777777" w:rsidTr="007A2AAB">
        <w:trPr>
          <w:trHeight w:val="564"/>
          <w:tblHeader/>
        </w:trPr>
        <w:tc>
          <w:tcPr>
            <w:tcW w:w="7225" w:type="dxa"/>
            <w:shd w:val="clear" w:color="auto" w:fill="FFFF00"/>
            <w:vAlign w:val="center"/>
          </w:tcPr>
          <w:p w14:paraId="20BF9F95" w14:textId="4D23FB55"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t>LAMPIRAN I</w:t>
            </w:r>
            <w:r>
              <w:rPr>
                <w:rFonts w:ascii="Bookman Old Style" w:eastAsia="Bookman Old Style" w:hAnsi="Bookman Old Style" w:cs="Bookman Old Style"/>
                <w:b/>
                <w:bCs/>
                <w:color w:val="000000" w:themeColor="text1"/>
                <w:sz w:val="20"/>
                <w:szCs w:val="20"/>
                <w:lang w:val="en-US"/>
              </w:rPr>
              <w:t>II</w:t>
            </w:r>
          </w:p>
          <w:p w14:paraId="7259E7AD"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RANCANGAN</w:t>
            </w:r>
          </w:p>
          <w:p w14:paraId="7E19BBCC"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PERATURAN OTORITAS JASA KEUANGAN</w:t>
            </w:r>
          </w:p>
          <w:p w14:paraId="3C468D4D" w14:textId="77777777" w:rsidR="00623B56" w:rsidRPr="00B03AEA" w:rsidRDefault="00623B56" w:rsidP="007A2AAB">
            <w:pPr>
              <w:spacing w:after="0" w:line="240" w:lineRule="auto"/>
              <w:jc w:val="center"/>
              <w:rPr>
                <w:rFonts w:ascii="Bookman Old Style" w:hAnsi="Bookman Old Style"/>
                <w:color w:val="000000" w:themeColor="text1"/>
                <w:sz w:val="20"/>
                <w:szCs w:val="20"/>
              </w:rPr>
            </w:pPr>
            <w:r w:rsidRPr="00B03AEA">
              <w:rPr>
                <w:rFonts w:ascii="Bookman Old Style" w:hAnsi="Bookman Old Style"/>
                <w:color w:val="000000" w:themeColor="text1"/>
                <w:sz w:val="20"/>
                <w:szCs w:val="20"/>
              </w:rPr>
              <w:t xml:space="preserve">REPUBLIK </w:t>
            </w:r>
            <w:r w:rsidRPr="00B03AEA">
              <w:rPr>
                <w:rFonts w:ascii="Bookman Old Style" w:eastAsia="Bookman Old Style" w:hAnsi="Bookman Old Style" w:cs="Bookman Old Style"/>
                <w:color w:val="000000" w:themeColor="text1"/>
                <w:sz w:val="20"/>
                <w:szCs w:val="20"/>
              </w:rPr>
              <w:t>INDONESIA</w:t>
            </w:r>
          </w:p>
          <w:p w14:paraId="79A7971D"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p>
          <w:p w14:paraId="2D5D3311" w14:textId="77777777" w:rsidR="00623B56" w:rsidRPr="00B03AEA" w:rsidRDefault="00623B56"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NOMOR ... TAHUN 2024</w:t>
            </w:r>
          </w:p>
          <w:p w14:paraId="6B7CCCA5" w14:textId="77777777" w:rsidR="00623B56" w:rsidRPr="00B03AEA" w:rsidRDefault="00623B56" w:rsidP="007A2AAB">
            <w:pPr>
              <w:spacing w:after="0" w:line="240" w:lineRule="auto"/>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TENTANG</w:t>
            </w:r>
          </w:p>
          <w:p w14:paraId="2DC3BBFF" w14:textId="77777777" w:rsidR="00623B56" w:rsidRPr="00B03AEA" w:rsidRDefault="00623B56" w:rsidP="007A2AAB">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 xml:space="preserve">KEWAJIBAN PEMENUHAN </w:t>
            </w:r>
          </w:p>
          <w:p w14:paraId="490FE866" w14:textId="77777777" w:rsidR="00623B56" w:rsidRPr="00B03AEA" w:rsidRDefault="00623B56" w:rsidP="007A2AAB">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KECUKUPAN LIKUIDITAS (</w:t>
            </w:r>
            <w:r w:rsidRPr="00B03AEA">
              <w:rPr>
                <w:rFonts w:ascii="Bookman Old Style" w:hAnsi="Bookman Old Style"/>
                <w:i/>
                <w:color w:val="000000" w:themeColor="text1"/>
                <w:sz w:val="20"/>
                <w:szCs w:val="20"/>
                <w:lang w:val="sv-SE"/>
              </w:rPr>
              <w:t>LIQUIDITY COVERAGE RATIO</w:t>
            </w:r>
            <w:r w:rsidRPr="00B03AEA">
              <w:rPr>
                <w:rFonts w:ascii="Bookman Old Style" w:hAnsi="Bookman Old Style"/>
                <w:color w:val="000000" w:themeColor="text1"/>
                <w:sz w:val="20"/>
                <w:szCs w:val="20"/>
                <w:lang w:val="sv-SE"/>
              </w:rPr>
              <w:t xml:space="preserve">) DAN </w:t>
            </w:r>
          </w:p>
          <w:p w14:paraId="025364D4" w14:textId="77777777" w:rsidR="00623B56" w:rsidRPr="00B03AEA" w:rsidRDefault="00623B56" w:rsidP="007A2AAB">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PENDANAAN STABIL BERSIH (</w:t>
            </w:r>
            <w:r w:rsidRPr="00B03AEA">
              <w:rPr>
                <w:rFonts w:ascii="Bookman Old Style" w:hAnsi="Bookman Old Style"/>
                <w:i/>
                <w:color w:val="000000" w:themeColor="text1"/>
                <w:sz w:val="20"/>
                <w:szCs w:val="20"/>
                <w:lang w:val="sv-SE"/>
              </w:rPr>
              <w:t>NET STABLE FUNDING RATIO)</w:t>
            </w:r>
            <w:r w:rsidRPr="00B03AEA">
              <w:rPr>
                <w:rFonts w:ascii="Bookman Old Style" w:hAnsi="Bookman Old Style"/>
                <w:color w:val="000000" w:themeColor="text1"/>
                <w:sz w:val="20"/>
                <w:szCs w:val="20"/>
                <w:lang w:val="sv-SE"/>
              </w:rPr>
              <w:t xml:space="preserve"> </w:t>
            </w:r>
          </w:p>
          <w:p w14:paraId="544FCF56"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hAnsi="Bookman Old Style"/>
                <w:color w:val="000000" w:themeColor="text1"/>
                <w:sz w:val="20"/>
                <w:szCs w:val="20"/>
                <w:lang w:val="sv-SE"/>
              </w:rPr>
              <w:t>BAGI BANK UMUM SYARIAH DAN UNIT USAHA SYARIAH</w:t>
            </w:r>
          </w:p>
        </w:tc>
        <w:tc>
          <w:tcPr>
            <w:tcW w:w="5953" w:type="dxa"/>
            <w:vMerge/>
            <w:shd w:val="clear" w:color="auto" w:fill="FFFF00"/>
            <w:vAlign w:val="center"/>
          </w:tcPr>
          <w:p w14:paraId="14D20A89"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FFFF00"/>
            <w:vAlign w:val="center"/>
          </w:tcPr>
          <w:p w14:paraId="58EAF0A7"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23B56" w:rsidRPr="00B03AEA" w14:paraId="46D6B7A8" w14:textId="77777777" w:rsidTr="007A2AAB">
        <w:trPr>
          <w:trHeight w:val="564"/>
          <w:tblHeader/>
        </w:trPr>
        <w:tc>
          <w:tcPr>
            <w:tcW w:w="7225" w:type="dxa"/>
            <w:shd w:val="clear" w:color="auto" w:fill="auto"/>
            <w:vAlign w:val="center"/>
          </w:tcPr>
          <w:p w14:paraId="057B3B5F" w14:textId="77777777" w:rsidR="00B60AB6" w:rsidRPr="00B60AB6" w:rsidRDefault="00B60AB6" w:rsidP="00B60AB6">
            <w:pPr>
              <w:pStyle w:val="BodyText"/>
              <w:ind w:right="620"/>
              <w:jc w:val="center"/>
              <w:rPr>
                <w:rFonts w:ascii="Bookman Old Style" w:hAnsi="Bookman Old Style"/>
                <w:sz w:val="20"/>
                <w:szCs w:val="20"/>
              </w:rPr>
            </w:pPr>
            <w:r w:rsidRPr="00B60AB6">
              <w:rPr>
                <w:rFonts w:ascii="Bookman Old Style" w:hAnsi="Bookman Old Style"/>
                <w:sz w:val="20"/>
                <w:szCs w:val="20"/>
              </w:rPr>
              <w:t>LAPORAN PERHITUNGAN</w:t>
            </w:r>
          </w:p>
          <w:p w14:paraId="34BEEA59" w14:textId="63A151D6" w:rsidR="00623B56" w:rsidRPr="00623B56" w:rsidRDefault="00B60AB6" w:rsidP="00B60AB6">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60AB6">
              <w:rPr>
                <w:rFonts w:ascii="Bookman Old Style" w:hAnsi="Bookman Old Style"/>
                <w:sz w:val="20"/>
                <w:szCs w:val="20"/>
                <w:lang w:val="en-US"/>
              </w:rPr>
              <w:t>KEWAJIBAN PEMENUHAN RASIO KECUKUPAN LIKUIDITAS (</w:t>
            </w:r>
            <w:r w:rsidRPr="00B60AB6">
              <w:rPr>
                <w:rFonts w:ascii="Bookman Old Style" w:hAnsi="Bookman Old Style"/>
                <w:i/>
                <w:sz w:val="20"/>
                <w:szCs w:val="20"/>
                <w:lang w:val="en-US"/>
              </w:rPr>
              <w:t>LIQUIDITY COVERAGE RATIO</w:t>
            </w:r>
            <w:r w:rsidRPr="00B60AB6">
              <w:rPr>
                <w:rFonts w:ascii="Bookman Old Style" w:hAnsi="Bookman Old Style"/>
                <w:sz w:val="20"/>
                <w:szCs w:val="20"/>
                <w:lang w:val="en-US"/>
              </w:rPr>
              <w:t>) TRIWULANAN</w:t>
            </w:r>
          </w:p>
        </w:tc>
        <w:tc>
          <w:tcPr>
            <w:tcW w:w="5953" w:type="dxa"/>
            <w:vMerge w:val="restart"/>
            <w:shd w:val="clear" w:color="auto" w:fill="auto"/>
            <w:vAlign w:val="center"/>
          </w:tcPr>
          <w:p w14:paraId="1B312CB4" w14:textId="77777777" w:rsidR="00623B56"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sidRPr="00623B56">
              <w:rPr>
                <w:rFonts w:ascii="Bookman Old Style" w:eastAsia="Bookman Old Style" w:hAnsi="Bookman Old Style" w:cs="Bookman Old Style"/>
                <w:b/>
                <w:bCs/>
                <w:i/>
                <w:color w:val="000000" w:themeColor="text1"/>
                <w:sz w:val="20"/>
                <w:szCs w:val="20"/>
                <w:lang w:val="en-US"/>
              </w:rPr>
              <w:t xml:space="preserve">(Isi </w:t>
            </w:r>
            <w:r>
              <w:rPr>
                <w:rFonts w:ascii="Bookman Old Style" w:eastAsia="Bookman Old Style" w:hAnsi="Bookman Old Style" w:cs="Bookman Old Style"/>
                <w:b/>
                <w:bCs/>
                <w:i/>
                <w:color w:val="000000" w:themeColor="text1"/>
                <w:sz w:val="20"/>
                <w:szCs w:val="20"/>
                <w:lang w:val="en-US"/>
              </w:rPr>
              <w:t>t</w:t>
            </w:r>
            <w:r w:rsidRPr="00623B56">
              <w:rPr>
                <w:rFonts w:ascii="Bookman Old Style" w:eastAsia="Bookman Old Style" w:hAnsi="Bookman Old Style" w:cs="Bookman Old Style"/>
                <w:b/>
                <w:bCs/>
                <w:i/>
                <w:color w:val="000000" w:themeColor="text1"/>
                <w:sz w:val="20"/>
                <w:szCs w:val="20"/>
                <w:lang w:val="en-US"/>
              </w:rPr>
              <w:t>anggapan</w:t>
            </w:r>
            <w:r>
              <w:rPr>
                <w:rFonts w:ascii="Bookman Old Style" w:eastAsia="Bookman Old Style" w:hAnsi="Bookman Old Style" w:cs="Bookman Old Style"/>
                <w:b/>
                <w:bCs/>
                <w:i/>
                <w:color w:val="000000" w:themeColor="text1"/>
                <w:sz w:val="20"/>
                <w:szCs w:val="20"/>
                <w:lang w:val="en-US"/>
              </w:rPr>
              <w:t xml:space="preserve"> atas </w:t>
            </w:r>
          </w:p>
          <w:p w14:paraId="488CBD19" w14:textId="49E24174" w:rsidR="00623B56" w:rsidRPr="00623B56"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Pr>
                <w:rFonts w:ascii="Bookman Old Style" w:eastAsia="Bookman Old Style" w:hAnsi="Bookman Old Style" w:cs="Bookman Old Style"/>
                <w:b/>
                <w:bCs/>
                <w:i/>
                <w:color w:val="000000" w:themeColor="text1"/>
                <w:sz w:val="20"/>
                <w:szCs w:val="20"/>
                <w:lang w:val="en-US"/>
              </w:rPr>
              <w:t>Lampiran II</w:t>
            </w:r>
            <w:r w:rsidR="00B60AB6">
              <w:rPr>
                <w:rFonts w:ascii="Bookman Old Style" w:eastAsia="Bookman Old Style" w:hAnsi="Bookman Old Style" w:cs="Bookman Old Style"/>
                <w:b/>
                <w:bCs/>
                <w:i/>
                <w:color w:val="000000" w:themeColor="text1"/>
                <w:sz w:val="20"/>
                <w:szCs w:val="20"/>
                <w:lang w:val="en-US"/>
              </w:rPr>
              <w:t>I</w:t>
            </w:r>
            <w:r w:rsidRPr="00623B56">
              <w:rPr>
                <w:rFonts w:ascii="Bookman Old Style" w:eastAsia="Bookman Old Style" w:hAnsi="Bookman Old Style" w:cs="Bookman Old Style"/>
                <w:b/>
                <w:bCs/>
                <w:i/>
                <w:color w:val="000000" w:themeColor="text1"/>
                <w:sz w:val="20"/>
                <w:szCs w:val="20"/>
                <w:lang w:val="en-US"/>
              </w:rPr>
              <w:t xml:space="preserve"> Disini)</w:t>
            </w:r>
          </w:p>
        </w:tc>
        <w:tc>
          <w:tcPr>
            <w:tcW w:w="3827" w:type="dxa"/>
            <w:vMerge w:val="restart"/>
            <w:shd w:val="clear" w:color="auto" w:fill="auto"/>
            <w:vAlign w:val="center"/>
          </w:tcPr>
          <w:p w14:paraId="5A3F3B67" w14:textId="07F5E6EC"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623B56">
              <w:rPr>
                <w:rFonts w:ascii="Bookman Old Style" w:eastAsia="Bookman Old Style" w:hAnsi="Bookman Old Style" w:cs="Bookman Old Style"/>
                <w:b/>
                <w:bCs/>
                <w:i/>
                <w:color w:val="000000" w:themeColor="text1"/>
                <w:sz w:val="20"/>
                <w:szCs w:val="20"/>
                <w:lang w:val="en-US"/>
              </w:rPr>
              <w:t xml:space="preserve">(Isi </w:t>
            </w:r>
            <w:r>
              <w:rPr>
                <w:rFonts w:ascii="Bookman Old Style" w:eastAsia="Bookman Old Style" w:hAnsi="Bookman Old Style" w:cs="Bookman Old Style"/>
                <w:b/>
                <w:bCs/>
                <w:i/>
                <w:color w:val="000000" w:themeColor="text1"/>
                <w:sz w:val="20"/>
                <w:szCs w:val="20"/>
                <w:lang w:val="en-US"/>
              </w:rPr>
              <w:t>usulan perubahan atas Lampiran I</w:t>
            </w:r>
            <w:r w:rsidR="00B60AB6">
              <w:rPr>
                <w:rFonts w:ascii="Bookman Old Style" w:eastAsia="Bookman Old Style" w:hAnsi="Bookman Old Style" w:cs="Bookman Old Style"/>
                <w:b/>
                <w:bCs/>
                <w:i/>
                <w:color w:val="000000" w:themeColor="text1"/>
                <w:sz w:val="20"/>
                <w:szCs w:val="20"/>
                <w:lang w:val="en-US"/>
              </w:rPr>
              <w:t>I</w:t>
            </w:r>
            <w:r>
              <w:rPr>
                <w:rFonts w:ascii="Bookman Old Style" w:eastAsia="Bookman Old Style" w:hAnsi="Bookman Old Style" w:cs="Bookman Old Style"/>
                <w:b/>
                <w:bCs/>
                <w:i/>
                <w:color w:val="000000" w:themeColor="text1"/>
                <w:sz w:val="20"/>
                <w:szCs w:val="20"/>
                <w:lang w:val="en-US"/>
              </w:rPr>
              <w:t>I disini</w:t>
            </w:r>
            <w:r w:rsidRPr="00623B56">
              <w:rPr>
                <w:rFonts w:ascii="Bookman Old Style" w:eastAsia="Bookman Old Style" w:hAnsi="Bookman Old Style" w:cs="Bookman Old Style"/>
                <w:b/>
                <w:bCs/>
                <w:i/>
                <w:color w:val="000000" w:themeColor="text1"/>
                <w:sz w:val="20"/>
                <w:szCs w:val="20"/>
                <w:lang w:val="en-US"/>
              </w:rPr>
              <w:t>)</w:t>
            </w:r>
          </w:p>
        </w:tc>
      </w:tr>
      <w:tr w:rsidR="00623B56" w:rsidRPr="00B03AEA" w14:paraId="46F2012D" w14:textId="77777777" w:rsidTr="007A2AAB">
        <w:trPr>
          <w:trHeight w:val="564"/>
          <w:tblHeader/>
        </w:trPr>
        <w:tc>
          <w:tcPr>
            <w:tcW w:w="7225" w:type="dxa"/>
            <w:shd w:val="clear" w:color="auto" w:fill="auto"/>
            <w:vAlign w:val="center"/>
          </w:tcPr>
          <w:p w14:paraId="36508EAF" w14:textId="77777777" w:rsidR="00623B56" w:rsidRPr="00623B56" w:rsidRDefault="00623B56" w:rsidP="007A2AAB">
            <w:pPr>
              <w:pStyle w:val="BodyText"/>
              <w:ind w:right="-1"/>
              <w:rPr>
                <w:rFonts w:ascii="Bookman Old Style" w:hAnsi="Bookman Old Style"/>
                <w:sz w:val="20"/>
                <w:szCs w:val="20"/>
                <w:lang w:val="sv-SE"/>
              </w:rPr>
            </w:pPr>
            <w:r w:rsidRPr="00623B56">
              <w:rPr>
                <w:rFonts w:ascii="Bookman Old Style" w:hAnsi="Bookman Old Style"/>
                <w:sz w:val="20"/>
                <w:szCs w:val="20"/>
                <w:lang w:val="sv-SE"/>
              </w:rPr>
              <w:t>Nama Bank</w:t>
            </w:r>
            <w:r w:rsidRPr="00623B56">
              <w:rPr>
                <w:rFonts w:ascii="Bookman Old Style" w:hAnsi="Bookman Old Style"/>
                <w:sz w:val="20"/>
                <w:szCs w:val="20"/>
                <w:lang w:val="sv-SE"/>
              </w:rPr>
              <w:tab/>
            </w:r>
            <w:r w:rsidRPr="00623B56">
              <w:rPr>
                <w:rFonts w:ascii="Bookman Old Style" w:hAnsi="Bookman Old Style"/>
                <w:sz w:val="20"/>
                <w:szCs w:val="20"/>
                <w:lang w:val="sv-SE"/>
              </w:rPr>
              <w:tab/>
              <w:t>:</w:t>
            </w:r>
          </w:p>
          <w:p w14:paraId="4B7EA392" w14:textId="77777777" w:rsidR="00623B56" w:rsidRDefault="00623B56" w:rsidP="007A2AAB">
            <w:pPr>
              <w:pStyle w:val="BodyText"/>
              <w:ind w:right="-1"/>
              <w:rPr>
                <w:rFonts w:ascii="Bookman Old Style" w:hAnsi="Bookman Old Style"/>
                <w:sz w:val="20"/>
                <w:szCs w:val="20"/>
                <w:lang w:val="sv-SE"/>
              </w:rPr>
            </w:pPr>
            <w:r w:rsidRPr="00623B56">
              <w:rPr>
                <w:rFonts w:ascii="Bookman Old Style" w:hAnsi="Bookman Old Style"/>
                <w:sz w:val="20"/>
                <w:szCs w:val="20"/>
                <w:lang w:val="sv-SE"/>
              </w:rPr>
              <w:t>Bulan Laporan</w:t>
            </w:r>
            <w:r w:rsidRPr="00623B56">
              <w:rPr>
                <w:rFonts w:ascii="Bookman Old Style" w:hAnsi="Bookman Old Style"/>
                <w:sz w:val="20"/>
                <w:szCs w:val="20"/>
                <w:lang w:val="sv-SE"/>
              </w:rPr>
              <w:tab/>
              <w:t>:</w:t>
            </w:r>
          </w:p>
          <w:p w14:paraId="5455E344" w14:textId="77777777" w:rsidR="00623B56" w:rsidRDefault="00623B56" w:rsidP="007A2AAB">
            <w:pPr>
              <w:pStyle w:val="BodyText"/>
              <w:ind w:right="-1"/>
              <w:rPr>
                <w:rFonts w:ascii="Bookman Old Style" w:hAnsi="Bookman Old Style"/>
                <w:sz w:val="20"/>
                <w:szCs w:val="20"/>
                <w:lang w:val="sv-SE"/>
              </w:rPr>
            </w:pPr>
          </w:p>
          <w:p w14:paraId="7DFC8FA0" w14:textId="77777777" w:rsidR="00623B56" w:rsidRPr="00623B56" w:rsidRDefault="00623B56" w:rsidP="007A2AAB">
            <w:pPr>
              <w:pStyle w:val="BodyText"/>
              <w:ind w:right="-1"/>
              <w:rPr>
                <w:rFonts w:ascii="Bookman Old Style" w:hAnsi="Bookman Old Style"/>
                <w:sz w:val="20"/>
                <w:szCs w:val="20"/>
                <w:lang w:val="sv-SE"/>
              </w:rPr>
            </w:pPr>
          </w:p>
        </w:tc>
        <w:tc>
          <w:tcPr>
            <w:tcW w:w="5953" w:type="dxa"/>
            <w:vMerge/>
            <w:shd w:val="clear" w:color="auto" w:fill="auto"/>
            <w:vAlign w:val="center"/>
          </w:tcPr>
          <w:p w14:paraId="5D1EEADA"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auto"/>
            <w:vAlign w:val="center"/>
          </w:tcPr>
          <w:p w14:paraId="0624A59C" w14:textId="77777777" w:rsidR="00623B56" w:rsidRPr="00B03AEA" w:rsidRDefault="00623B56"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bl>
    <w:p w14:paraId="59323199" w14:textId="77C09212" w:rsidR="00B60AB6" w:rsidRDefault="00B60AB6" w:rsidP="00B03AEA">
      <w:pPr>
        <w:tabs>
          <w:tab w:val="left" w:pos="1256"/>
        </w:tabs>
        <w:rPr>
          <w:rFonts w:ascii="Bookman Old Style" w:eastAsia="Bookman Old Style" w:hAnsi="Bookman Old Style" w:cs="Bookman Old Style"/>
          <w:sz w:val="20"/>
          <w:szCs w:val="20"/>
        </w:rPr>
      </w:pPr>
    </w:p>
    <w:p w14:paraId="31B0AA63" w14:textId="61855687" w:rsidR="00B60AB6" w:rsidRDefault="00B60AB6" w:rsidP="00EB4FBC">
      <w:pPr>
        <w:tabs>
          <w:tab w:val="left" w:pos="1256"/>
        </w:tabs>
        <w:spacing w:after="0" w:line="240" w:lineRule="auto"/>
        <w:ind w:left="15451"/>
        <w:rPr>
          <w:rFonts w:ascii="Bookman Old Style" w:eastAsia="Bookman Old Style" w:hAnsi="Bookman Old Style" w:cs="Bookman Old Style"/>
          <w:sz w:val="20"/>
          <w:szCs w:val="20"/>
        </w:rPr>
      </w:pPr>
      <w:r w:rsidRPr="00E971A9">
        <w:rPr>
          <w:lang w:val="en-US"/>
        </w:rPr>
        <w:t>(dalam juta Rp)</w:t>
      </w:r>
    </w:p>
    <w:tbl>
      <w:tblPr>
        <w:tblStyle w:val="TableGrid"/>
        <w:tblW w:w="17007" w:type="dxa"/>
        <w:tblLook w:val="04A0" w:firstRow="1" w:lastRow="0" w:firstColumn="1" w:lastColumn="0" w:noHBand="0" w:noVBand="1"/>
      </w:tblPr>
      <w:tblGrid>
        <w:gridCol w:w="985"/>
        <w:gridCol w:w="9358"/>
        <w:gridCol w:w="3262"/>
        <w:gridCol w:w="3402"/>
      </w:tblGrid>
      <w:tr w:rsidR="00B60AB6" w:rsidRPr="00EB4FBC" w14:paraId="53AAB3F2" w14:textId="77777777" w:rsidTr="00B60AB6">
        <w:tc>
          <w:tcPr>
            <w:tcW w:w="985" w:type="dxa"/>
          </w:tcPr>
          <w:p w14:paraId="74E77004" w14:textId="77777777" w:rsidR="00B60AB6" w:rsidRPr="00EB4FBC" w:rsidRDefault="00B60AB6" w:rsidP="00B60AB6">
            <w:pPr>
              <w:pStyle w:val="BodyText"/>
              <w:ind w:right="620"/>
              <w:rPr>
                <w:rFonts w:ascii="Bookman Old Style" w:hAnsi="Bookman Old Style"/>
                <w:sz w:val="20"/>
                <w:szCs w:val="20"/>
              </w:rPr>
            </w:pPr>
          </w:p>
        </w:tc>
        <w:tc>
          <w:tcPr>
            <w:tcW w:w="9358" w:type="dxa"/>
          </w:tcPr>
          <w:p w14:paraId="6DC13160" w14:textId="77777777" w:rsidR="00B60AB6" w:rsidRPr="00EB4FBC" w:rsidRDefault="00B60AB6" w:rsidP="00B60AB6">
            <w:pPr>
              <w:pStyle w:val="BodyText"/>
              <w:ind w:right="620"/>
              <w:rPr>
                <w:rFonts w:ascii="Bookman Old Style" w:hAnsi="Bookman Old Style"/>
                <w:sz w:val="20"/>
                <w:szCs w:val="20"/>
              </w:rPr>
            </w:pPr>
          </w:p>
        </w:tc>
        <w:tc>
          <w:tcPr>
            <w:tcW w:w="3262" w:type="dxa"/>
          </w:tcPr>
          <w:p w14:paraId="27902DAE" w14:textId="77777777" w:rsidR="00B60AB6" w:rsidRPr="00EB4FBC" w:rsidRDefault="00B60AB6" w:rsidP="00B60AB6">
            <w:pPr>
              <w:pStyle w:val="BodyText"/>
              <w:rPr>
                <w:rFonts w:ascii="Bookman Old Style" w:hAnsi="Bookman Old Style"/>
                <w:sz w:val="20"/>
                <w:szCs w:val="20"/>
              </w:rPr>
            </w:pPr>
            <w:r w:rsidRPr="00EB4FBC">
              <w:rPr>
                <w:rFonts w:ascii="Bookman Old Style" w:hAnsi="Bookman Old Style"/>
                <w:sz w:val="20"/>
                <w:szCs w:val="20"/>
              </w:rPr>
              <w:t>Nilai outstanding kewajiban dan komitmen/nilai tagihan kontraktual</w:t>
            </w:r>
          </w:p>
        </w:tc>
        <w:tc>
          <w:tcPr>
            <w:tcW w:w="3402" w:type="dxa"/>
          </w:tcPr>
          <w:p w14:paraId="61354526" w14:textId="77777777" w:rsidR="00B60AB6" w:rsidRPr="00EB4FBC" w:rsidRDefault="00B60AB6" w:rsidP="00B60AB6">
            <w:pPr>
              <w:pStyle w:val="BodyText"/>
              <w:ind w:right="3"/>
              <w:rPr>
                <w:rFonts w:ascii="Bookman Old Style" w:hAnsi="Bookman Old Style"/>
                <w:sz w:val="20"/>
                <w:szCs w:val="20"/>
              </w:rPr>
            </w:pPr>
            <w:r w:rsidRPr="00EB4FBC">
              <w:rPr>
                <w:rFonts w:ascii="Bookman Old Style" w:hAnsi="Bookman Old Style"/>
                <w:sz w:val="20"/>
                <w:szCs w:val="20"/>
              </w:rPr>
              <w:t>Nilai HQLA setelah pengurangan nilai (haircut), outstanding kewajiban dan komitmen dikalikan tingkat penarikan (run-off rate) atau nilai tagihan kontraktual dikalikan tingkat penerimaan (inflow rate).</w:t>
            </w:r>
          </w:p>
        </w:tc>
      </w:tr>
      <w:tr w:rsidR="00B60AB6" w:rsidRPr="00EB4FBC" w14:paraId="0C14FF6D" w14:textId="77777777" w:rsidTr="00B60AB6">
        <w:tc>
          <w:tcPr>
            <w:tcW w:w="17007" w:type="dxa"/>
            <w:gridSpan w:val="4"/>
            <w:shd w:val="clear" w:color="auto" w:fill="ACB9CA" w:themeFill="text2" w:themeFillTint="66"/>
          </w:tcPr>
          <w:p w14:paraId="56C62F64" w14:textId="77777777" w:rsidR="00B60AB6" w:rsidRPr="00EB4FBC" w:rsidRDefault="00B60AB6" w:rsidP="007A2AAB">
            <w:pPr>
              <w:pStyle w:val="BodyText"/>
              <w:ind w:right="620"/>
              <w:rPr>
                <w:rFonts w:ascii="Bookman Old Style" w:hAnsi="Bookman Old Style"/>
                <w:sz w:val="20"/>
                <w:szCs w:val="20"/>
              </w:rPr>
            </w:pPr>
            <w:r w:rsidRPr="00EB4FBC">
              <w:rPr>
                <w:rFonts w:ascii="Bookman Old Style" w:hAnsi="Bookman Old Style"/>
                <w:b/>
                <w:i/>
                <w:sz w:val="20"/>
                <w:szCs w:val="20"/>
              </w:rPr>
              <w:t>HIGH QUALITY LIQUID ASSET</w:t>
            </w:r>
            <w:r w:rsidRPr="00EB4FBC">
              <w:rPr>
                <w:rFonts w:ascii="Bookman Old Style" w:hAnsi="Bookman Old Style"/>
                <w:sz w:val="20"/>
                <w:szCs w:val="20"/>
              </w:rPr>
              <w:t xml:space="preserve"> (</w:t>
            </w:r>
            <w:r w:rsidRPr="00EB4FBC">
              <w:rPr>
                <w:rFonts w:ascii="Bookman Old Style" w:hAnsi="Bookman Old Style"/>
                <w:b/>
                <w:bCs/>
                <w:sz w:val="20"/>
                <w:szCs w:val="20"/>
                <w:lang w:val="en-ID" w:eastAsia="en-ID"/>
              </w:rPr>
              <w:t>HQLA)</w:t>
            </w:r>
          </w:p>
        </w:tc>
      </w:tr>
      <w:tr w:rsidR="00B60AB6" w:rsidRPr="00EB4FBC" w14:paraId="4CD11369" w14:textId="77777777" w:rsidTr="00B60AB6">
        <w:tc>
          <w:tcPr>
            <w:tcW w:w="985" w:type="dxa"/>
            <w:shd w:val="clear" w:color="auto" w:fill="D9E2F3" w:themeFill="accent1" w:themeFillTint="33"/>
          </w:tcPr>
          <w:p w14:paraId="1C97A1E3"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1</w:t>
            </w:r>
          </w:p>
        </w:tc>
        <w:tc>
          <w:tcPr>
            <w:tcW w:w="9358" w:type="dxa"/>
            <w:shd w:val="clear" w:color="auto" w:fill="D9E2F3" w:themeFill="accent1" w:themeFillTint="33"/>
          </w:tcPr>
          <w:p w14:paraId="002A382B" w14:textId="77777777" w:rsidR="00B60AB6" w:rsidRPr="00EB4FBC" w:rsidRDefault="00B60AB6" w:rsidP="007A2AAB">
            <w:pPr>
              <w:pStyle w:val="BodyText"/>
              <w:ind w:right="26"/>
              <w:rPr>
                <w:rFonts w:ascii="Bookman Old Style" w:hAnsi="Bookman Old Style"/>
                <w:sz w:val="20"/>
                <w:szCs w:val="20"/>
              </w:rPr>
            </w:pPr>
            <w:r w:rsidRPr="00EB4FBC">
              <w:rPr>
                <w:rFonts w:ascii="Bookman Old Style" w:hAnsi="Bookman Old Style"/>
                <w:i/>
                <w:sz w:val="20"/>
                <w:szCs w:val="20"/>
              </w:rPr>
              <w:t>Total High Quality Liquid Asset</w:t>
            </w:r>
            <w:r w:rsidRPr="00EB4FBC">
              <w:rPr>
                <w:rFonts w:ascii="Bookman Old Style" w:hAnsi="Bookman Old Style"/>
                <w:sz w:val="20"/>
                <w:szCs w:val="20"/>
              </w:rPr>
              <w:t xml:space="preserve"> (HQLA)</w:t>
            </w:r>
          </w:p>
        </w:tc>
        <w:tc>
          <w:tcPr>
            <w:tcW w:w="3262" w:type="dxa"/>
            <w:shd w:val="clear" w:color="auto" w:fill="D9E2F3" w:themeFill="accent1" w:themeFillTint="33"/>
          </w:tcPr>
          <w:p w14:paraId="6EB96DA9"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5AB0D465"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0E1A9C1B" w14:textId="77777777" w:rsidTr="00B60AB6">
        <w:tc>
          <w:tcPr>
            <w:tcW w:w="17007" w:type="dxa"/>
            <w:gridSpan w:val="4"/>
            <w:shd w:val="clear" w:color="auto" w:fill="ACB9CA" w:themeFill="text2" w:themeFillTint="66"/>
          </w:tcPr>
          <w:p w14:paraId="0BE2927E" w14:textId="77777777" w:rsidR="00B60AB6" w:rsidRPr="00EB4FBC" w:rsidRDefault="00B60AB6" w:rsidP="007A2AAB">
            <w:pPr>
              <w:pStyle w:val="BodyText"/>
              <w:ind w:right="620"/>
              <w:rPr>
                <w:rFonts w:ascii="Bookman Old Style" w:hAnsi="Bookman Old Style"/>
                <w:b/>
                <w:sz w:val="20"/>
                <w:szCs w:val="20"/>
              </w:rPr>
            </w:pPr>
            <w:r w:rsidRPr="00EB4FBC">
              <w:rPr>
                <w:rFonts w:ascii="Bookman Old Style" w:hAnsi="Bookman Old Style"/>
                <w:b/>
                <w:sz w:val="20"/>
                <w:szCs w:val="20"/>
              </w:rPr>
              <w:t>ARUS KAS KELUAR (</w:t>
            </w:r>
            <w:r w:rsidRPr="00EB4FBC">
              <w:rPr>
                <w:rFonts w:ascii="Bookman Old Style" w:hAnsi="Bookman Old Style"/>
                <w:b/>
                <w:i/>
                <w:sz w:val="20"/>
                <w:szCs w:val="20"/>
              </w:rPr>
              <w:t>CASH OUTFLOW</w:t>
            </w:r>
            <w:r w:rsidRPr="00EB4FBC">
              <w:rPr>
                <w:rFonts w:ascii="Bookman Old Style" w:hAnsi="Bookman Old Style"/>
                <w:b/>
                <w:sz w:val="20"/>
                <w:szCs w:val="20"/>
              </w:rPr>
              <w:t>)</w:t>
            </w:r>
          </w:p>
        </w:tc>
      </w:tr>
      <w:tr w:rsidR="00B60AB6" w:rsidRPr="00EB4FBC" w14:paraId="15AD6930" w14:textId="77777777" w:rsidTr="00B60AB6">
        <w:tc>
          <w:tcPr>
            <w:tcW w:w="985" w:type="dxa"/>
            <w:shd w:val="clear" w:color="auto" w:fill="D9E2F3" w:themeFill="accent1" w:themeFillTint="33"/>
          </w:tcPr>
          <w:p w14:paraId="2DE3715B"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2</w:t>
            </w:r>
          </w:p>
        </w:tc>
        <w:tc>
          <w:tcPr>
            <w:tcW w:w="9358" w:type="dxa"/>
            <w:shd w:val="clear" w:color="auto" w:fill="D9E2F3" w:themeFill="accent1" w:themeFillTint="33"/>
          </w:tcPr>
          <w:p w14:paraId="098076B8" w14:textId="77777777" w:rsidR="00B60AB6" w:rsidRPr="00EB4FBC" w:rsidRDefault="00B60AB6" w:rsidP="007A2AAB">
            <w:pPr>
              <w:pStyle w:val="BodyText"/>
              <w:ind w:right="24"/>
              <w:rPr>
                <w:rFonts w:ascii="Bookman Old Style" w:hAnsi="Bookman Old Style"/>
                <w:sz w:val="20"/>
                <w:szCs w:val="20"/>
              </w:rPr>
            </w:pPr>
            <w:r w:rsidRPr="00EB4FBC">
              <w:rPr>
                <w:rFonts w:ascii="Bookman Old Style" w:hAnsi="Bookman Old Style"/>
                <w:bCs/>
                <w:sz w:val="20"/>
                <w:szCs w:val="20"/>
                <w:lang w:val="en-ID" w:eastAsia="en-ID"/>
              </w:rPr>
              <w:t>Pendanaan dari Nasabah Perorangan dan yang berasal dari nasabah Usaha Mikro dan Usaha Kecil</w:t>
            </w:r>
          </w:p>
        </w:tc>
        <w:tc>
          <w:tcPr>
            <w:tcW w:w="3262" w:type="dxa"/>
            <w:shd w:val="clear" w:color="auto" w:fill="D9E2F3" w:themeFill="accent1" w:themeFillTint="33"/>
          </w:tcPr>
          <w:p w14:paraId="20572F56"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4BBFBC73"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4A4BC1D4" w14:textId="77777777" w:rsidTr="00B60AB6">
        <w:tc>
          <w:tcPr>
            <w:tcW w:w="985" w:type="dxa"/>
          </w:tcPr>
          <w:p w14:paraId="38A90F02" w14:textId="77777777" w:rsidR="00B60AB6" w:rsidRPr="00EB4FBC" w:rsidRDefault="00B60AB6" w:rsidP="007A2AAB">
            <w:pPr>
              <w:pStyle w:val="BodyText"/>
              <w:ind w:right="620"/>
              <w:rPr>
                <w:rFonts w:ascii="Bookman Old Style" w:hAnsi="Bookman Old Style"/>
                <w:sz w:val="20"/>
                <w:szCs w:val="20"/>
              </w:rPr>
            </w:pPr>
          </w:p>
        </w:tc>
        <w:tc>
          <w:tcPr>
            <w:tcW w:w="9358" w:type="dxa"/>
          </w:tcPr>
          <w:p w14:paraId="48B19EE3" w14:textId="77777777" w:rsidR="00B60AB6" w:rsidRPr="00EB4FBC" w:rsidRDefault="00B60AB6" w:rsidP="00A32F86">
            <w:pPr>
              <w:pStyle w:val="ListParagraph"/>
              <w:numPr>
                <w:ilvl w:val="0"/>
                <w:numId w:val="212"/>
              </w:numPr>
              <w:spacing w:after="0" w:line="240" w:lineRule="auto"/>
              <w:ind w:left="458" w:hanging="426"/>
              <w:contextualSpacing w:val="0"/>
              <w:jc w:val="both"/>
              <w:rPr>
                <w:rFonts w:ascii="Bookman Old Style" w:eastAsia="Times New Roman" w:hAnsi="Bookman Old Style" w:cs="Times New Roman"/>
                <w:sz w:val="20"/>
                <w:szCs w:val="20"/>
                <w:lang w:val="en-ID"/>
              </w:rPr>
            </w:pPr>
            <w:r w:rsidRPr="00EB4FBC">
              <w:rPr>
                <w:rStyle w:val="fontstyle01"/>
                <w:sz w:val="20"/>
                <w:szCs w:val="20"/>
              </w:rPr>
              <w:t>Pendanaan stabil</w:t>
            </w:r>
          </w:p>
        </w:tc>
        <w:tc>
          <w:tcPr>
            <w:tcW w:w="3262" w:type="dxa"/>
          </w:tcPr>
          <w:p w14:paraId="6129382A" w14:textId="77777777" w:rsidR="00B60AB6" w:rsidRPr="00EB4FBC" w:rsidRDefault="00B60AB6" w:rsidP="007A2AAB">
            <w:pPr>
              <w:pStyle w:val="BodyText"/>
              <w:ind w:right="620"/>
              <w:rPr>
                <w:rFonts w:ascii="Bookman Old Style" w:hAnsi="Bookman Old Style"/>
                <w:sz w:val="20"/>
                <w:szCs w:val="20"/>
              </w:rPr>
            </w:pPr>
          </w:p>
        </w:tc>
        <w:tc>
          <w:tcPr>
            <w:tcW w:w="3402" w:type="dxa"/>
          </w:tcPr>
          <w:p w14:paraId="055C8AF6"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337B6C43" w14:textId="77777777" w:rsidTr="00B60AB6">
        <w:tc>
          <w:tcPr>
            <w:tcW w:w="985" w:type="dxa"/>
          </w:tcPr>
          <w:p w14:paraId="5757C046" w14:textId="77777777" w:rsidR="00B60AB6" w:rsidRPr="00EB4FBC" w:rsidRDefault="00B60AB6" w:rsidP="007A2AAB">
            <w:pPr>
              <w:pStyle w:val="BodyText"/>
              <w:ind w:right="620"/>
              <w:rPr>
                <w:rFonts w:ascii="Bookman Old Style" w:hAnsi="Bookman Old Style"/>
                <w:sz w:val="20"/>
                <w:szCs w:val="20"/>
              </w:rPr>
            </w:pPr>
          </w:p>
        </w:tc>
        <w:tc>
          <w:tcPr>
            <w:tcW w:w="9358" w:type="dxa"/>
          </w:tcPr>
          <w:p w14:paraId="5C782A99" w14:textId="77777777" w:rsidR="00B60AB6" w:rsidRPr="00EB4FBC" w:rsidRDefault="00B60AB6" w:rsidP="00A32F86">
            <w:pPr>
              <w:pStyle w:val="ListParagraph"/>
              <w:numPr>
                <w:ilvl w:val="0"/>
                <w:numId w:val="212"/>
              </w:numPr>
              <w:spacing w:after="0" w:line="240" w:lineRule="auto"/>
              <w:ind w:left="458" w:hanging="426"/>
              <w:contextualSpacing w:val="0"/>
              <w:jc w:val="both"/>
              <w:rPr>
                <w:rFonts w:ascii="Bookman Old Style" w:eastAsia="Times New Roman" w:hAnsi="Bookman Old Style" w:cs="Times New Roman"/>
                <w:sz w:val="20"/>
                <w:szCs w:val="20"/>
                <w:lang w:val="en-ID"/>
              </w:rPr>
            </w:pPr>
            <w:r w:rsidRPr="00EB4FBC">
              <w:rPr>
                <w:rStyle w:val="fontstyle01"/>
                <w:sz w:val="20"/>
                <w:szCs w:val="20"/>
              </w:rPr>
              <w:t>Pendanaan kurang stabil</w:t>
            </w:r>
          </w:p>
        </w:tc>
        <w:tc>
          <w:tcPr>
            <w:tcW w:w="3262" w:type="dxa"/>
          </w:tcPr>
          <w:p w14:paraId="09072260" w14:textId="77777777" w:rsidR="00B60AB6" w:rsidRPr="00EB4FBC" w:rsidRDefault="00B60AB6" w:rsidP="007A2AAB">
            <w:pPr>
              <w:pStyle w:val="BodyText"/>
              <w:ind w:right="620"/>
              <w:rPr>
                <w:rFonts w:ascii="Bookman Old Style" w:hAnsi="Bookman Old Style"/>
                <w:sz w:val="20"/>
                <w:szCs w:val="20"/>
              </w:rPr>
            </w:pPr>
          </w:p>
        </w:tc>
        <w:tc>
          <w:tcPr>
            <w:tcW w:w="3402" w:type="dxa"/>
          </w:tcPr>
          <w:p w14:paraId="71BE7AD7"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7614C544" w14:textId="77777777" w:rsidTr="00B60AB6">
        <w:tc>
          <w:tcPr>
            <w:tcW w:w="985" w:type="dxa"/>
          </w:tcPr>
          <w:p w14:paraId="20F51E62" w14:textId="77777777" w:rsidR="00B60AB6" w:rsidRPr="00EB4FBC" w:rsidRDefault="00B60AB6" w:rsidP="007A2AAB">
            <w:pPr>
              <w:pStyle w:val="BodyText"/>
              <w:ind w:right="620"/>
              <w:rPr>
                <w:rFonts w:ascii="Bookman Old Style" w:hAnsi="Bookman Old Style"/>
                <w:sz w:val="20"/>
                <w:szCs w:val="20"/>
              </w:rPr>
            </w:pPr>
          </w:p>
        </w:tc>
        <w:tc>
          <w:tcPr>
            <w:tcW w:w="9358" w:type="dxa"/>
          </w:tcPr>
          <w:p w14:paraId="769B597C" w14:textId="77777777" w:rsidR="00B60AB6" w:rsidRPr="00EB4FBC" w:rsidRDefault="00B60AB6" w:rsidP="00A32F86">
            <w:pPr>
              <w:pStyle w:val="ListParagraph"/>
              <w:numPr>
                <w:ilvl w:val="0"/>
                <w:numId w:val="212"/>
              </w:numPr>
              <w:spacing w:after="0" w:line="240" w:lineRule="auto"/>
              <w:ind w:left="458" w:hanging="426"/>
              <w:contextualSpacing w:val="0"/>
              <w:jc w:val="both"/>
              <w:rPr>
                <w:rFonts w:ascii="Bookman Old Style" w:hAnsi="Bookman Old Style"/>
                <w:sz w:val="20"/>
                <w:szCs w:val="20"/>
                <w:lang w:val="en-US"/>
              </w:rPr>
            </w:pPr>
            <w:r w:rsidRPr="00EB4FBC">
              <w:rPr>
                <w:rStyle w:val="fontstyle01"/>
                <w:sz w:val="20"/>
                <w:szCs w:val="20"/>
              </w:rPr>
              <w:t>Pendanaan</w:t>
            </w:r>
            <w:r w:rsidRPr="00EB4FBC">
              <w:rPr>
                <w:rFonts w:ascii="Bookman Old Style" w:eastAsia="Times New Roman" w:hAnsi="Bookman Old Style"/>
                <w:sz w:val="20"/>
                <w:szCs w:val="20"/>
                <w:lang w:val="en-ID" w:eastAsia="en-ID"/>
              </w:rPr>
              <w:t xml:space="preserve"> kurang stabil dari nasabah DCR tanpa perataan bagi hasil</w:t>
            </w:r>
          </w:p>
        </w:tc>
        <w:tc>
          <w:tcPr>
            <w:tcW w:w="3262" w:type="dxa"/>
          </w:tcPr>
          <w:p w14:paraId="40C4D99E" w14:textId="77777777" w:rsidR="00B60AB6" w:rsidRPr="00EB4FBC" w:rsidRDefault="00B60AB6" w:rsidP="007A2AAB">
            <w:pPr>
              <w:pStyle w:val="BodyText"/>
              <w:ind w:right="620"/>
              <w:rPr>
                <w:rFonts w:ascii="Bookman Old Style" w:hAnsi="Bookman Old Style"/>
                <w:sz w:val="20"/>
                <w:szCs w:val="20"/>
              </w:rPr>
            </w:pPr>
          </w:p>
        </w:tc>
        <w:tc>
          <w:tcPr>
            <w:tcW w:w="3402" w:type="dxa"/>
          </w:tcPr>
          <w:p w14:paraId="5ADD47B5"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352A4016" w14:textId="77777777" w:rsidTr="00B60AB6">
        <w:tc>
          <w:tcPr>
            <w:tcW w:w="985" w:type="dxa"/>
            <w:shd w:val="clear" w:color="auto" w:fill="D9E2F3" w:themeFill="accent1" w:themeFillTint="33"/>
          </w:tcPr>
          <w:p w14:paraId="15E0ABBB"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lastRenderedPageBreak/>
              <w:t>3</w:t>
            </w:r>
          </w:p>
        </w:tc>
        <w:tc>
          <w:tcPr>
            <w:tcW w:w="9358" w:type="dxa"/>
            <w:shd w:val="clear" w:color="auto" w:fill="D9E2F3" w:themeFill="accent1" w:themeFillTint="33"/>
          </w:tcPr>
          <w:p w14:paraId="6728D94E" w14:textId="77777777" w:rsidR="00B60AB6" w:rsidRPr="00EB4FBC" w:rsidRDefault="00B60AB6" w:rsidP="007A2AAB">
            <w:pPr>
              <w:rPr>
                <w:rStyle w:val="fontstyle01"/>
                <w:sz w:val="20"/>
                <w:szCs w:val="20"/>
              </w:rPr>
            </w:pPr>
            <w:r w:rsidRPr="00EB4FBC">
              <w:rPr>
                <w:rFonts w:ascii="Bookman Old Style" w:eastAsia="Times New Roman" w:hAnsi="Bookman Old Style"/>
                <w:bCs/>
                <w:sz w:val="20"/>
                <w:szCs w:val="20"/>
                <w:lang w:val="en-ID" w:eastAsia="en-ID"/>
              </w:rPr>
              <w:t>Pendanaan dari Nasabah Korporasi, terdiri dari:</w:t>
            </w:r>
          </w:p>
        </w:tc>
        <w:tc>
          <w:tcPr>
            <w:tcW w:w="3262" w:type="dxa"/>
            <w:shd w:val="clear" w:color="auto" w:fill="D9E2F3" w:themeFill="accent1" w:themeFillTint="33"/>
          </w:tcPr>
          <w:p w14:paraId="25258444"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2B4FF301"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5D2F5309" w14:textId="77777777" w:rsidTr="00B60AB6">
        <w:tc>
          <w:tcPr>
            <w:tcW w:w="985" w:type="dxa"/>
          </w:tcPr>
          <w:p w14:paraId="30E953DA" w14:textId="77777777" w:rsidR="00B60AB6" w:rsidRPr="00EB4FBC" w:rsidRDefault="00B60AB6" w:rsidP="007A2AAB">
            <w:pPr>
              <w:pStyle w:val="BodyText"/>
              <w:ind w:right="620"/>
              <w:rPr>
                <w:rFonts w:ascii="Bookman Old Style" w:hAnsi="Bookman Old Style"/>
                <w:sz w:val="20"/>
                <w:szCs w:val="20"/>
              </w:rPr>
            </w:pPr>
          </w:p>
        </w:tc>
        <w:tc>
          <w:tcPr>
            <w:tcW w:w="9358" w:type="dxa"/>
          </w:tcPr>
          <w:p w14:paraId="02428D18" w14:textId="77777777" w:rsidR="00B60AB6" w:rsidRPr="00EB4FBC" w:rsidRDefault="00B60AB6" w:rsidP="00A32F86">
            <w:pPr>
              <w:pStyle w:val="ListParagraph"/>
              <w:numPr>
                <w:ilvl w:val="0"/>
                <w:numId w:val="213"/>
              </w:numPr>
              <w:spacing w:after="0" w:line="240" w:lineRule="auto"/>
              <w:ind w:left="456" w:hanging="426"/>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Rekening operasional</w:t>
            </w:r>
          </w:p>
        </w:tc>
        <w:tc>
          <w:tcPr>
            <w:tcW w:w="3262" w:type="dxa"/>
          </w:tcPr>
          <w:p w14:paraId="4E2B7C5A" w14:textId="77777777" w:rsidR="00B60AB6" w:rsidRPr="00EB4FBC" w:rsidRDefault="00B60AB6" w:rsidP="007A2AAB">
            <w:pPr>
              <w:pStyle w:val="BodyText"/>
              <w:ind w:right="620"/>
              <w:rPr>
                <w:rFonts w:ascii="Bookman Old Style" w:hAnsi="Bookman Old Style"/>
                <w:sz w:val="20"/>
                <w:szCs w:val="20"/>
              </w:rPr>
            </w:pPr>
          </w:p>
        </w:tc>
        <w:tc>
          <w:tcPr>
            <w:tcW w:w="3402" w:type="dxa"/>
          </w:tcPr>
          <w:p w14:paraId="754E7019"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6FD39260" w14:textId="77777777" w:rsidTr="00B60AB6">
        <w:tc>
          <w:tcPr>
            <w:tcW w:w="985" w:type="dxa"/>
          </w:tcPr>
          <w:p w14:paraId="7B916618" w14:textId="77777777" w:rsidR="00B60AB6" w:rsidRPr="00EB4FBC" w:rsidRDefault="00B60AB6" w:rsidP="007A2AAB">
            <w:pPr>
              <w:pStyle w:val="BodyText"/>
              <w:ind w:right="620"/>
              <w:rPr>
                <w:rFonts w:ascii="Bookman Old Style" w:hAnsi="Bookman Old Style"/>
                <w:sz w:val="20"/>
                <w:szCs w:val="20"/>
              </w:rPr>
            </w:pPr>
          </w:p>
        </w:tc>
        <w:tc>
          <w:tcPr>
            <w:tcW w:w="9358" w:type="dxa"/>
          </w:tcPr>
          <w:p w14:paraId="1406A128" w14:textId="77777777" w:rsidR="00B60AB6" w:rsidRPr="00EB4FBC" w:rsidRDefault="00B60AB6" w:rsidP="00A32F86">
            <w:pPr>
              <w:pStyle w:val="ListParagraph"/>
              <w:numPr>
                <w:ilvl w:val="0"/>
                <w:numId w:val="213"/>
              </w:numPr>
              <w:spacing w:after="0" w:line="240" w:lineRule="auto"/>
              <w:ind w:left="456" w:hanging="426"/>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Rekening non-operasional</w:t>
            </w:r>
            <w:r w:rsidRPr="00EB4FBC">
              <w:rPr>
                <w:rFonts w:ascii="Bookman Old Style" w:eastAsia="Times New Roman" w:hAnsi="Bookman Old Style"/>
                <w:sz w:val="20"/>
                <w:szCs w:val="20"/>
                <w:lang w:val="en-ID" w:eastAsia="en-ID"/>
              </w:rPr>
              <w:t xml:space="preserve"> dan/atau kewajiban yang bersifat non-operasional</w:t>
            </w:r>
          </w:p>
        </w:tc>
        <w:tc>
          <w:tcPr>
            <w:tcW w:w="3262" w:type="dxa"/>
          </w:tcPr>
          <w:p w14:paraId="5D612783" w14:textId="77777777" w:rsidR="00B60AB6" w:rsidRPr="00EB4FBC" w:rsidRDefault="00B60AB6" w:rsidP="007A2AAB">
            <w:pPr>
              <w:pStyle w:val="BodyText"/>
              <w:ind w:right="620"/>
              <w:rPr>
                <w:rFonts w:ascii="Bookman Old Style" w:hAnsi="Bookman Old Style"/>
                <w:sz w:val="20"/>
                <w:szCs w:val="20"/>
              </w:rPr>
            </w:pPr>
          </w:p>
        </w:tc>
        <w:tc>
          <w:tcPr>
            <w:tcW w:w="3402" w:type="dxa"/>
          </w:tcPr>
          <w:p w14:paraId="7335BE54"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0B3841D6" w14:textId="77777777" w:rsidTr="00B60AB6">
        <w:tc>
          <w:tcPr>
            <w:tcW w:w="985" w:type="dxa"/>
            <w:shd w:val="clear" w:color="auto" w:fill="D9E2F3" w:themeFill="accent1" w:themeFillTint="33"/>
          </w:tcPr>
          <w:p w14:paraId="22A36271"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4</w:t>
            </w:r>
          </w:p>
        </w:tc>
        <w:tc>
          <w:tcPr>
            <w:tcW w:w="9358" w:type="dxa"/>
            <w:shd w:val="clear" w:color="auto" w:fill="D9E2F3" w:themeFill="accent1" w:themeFillTint="33"/>
          </w:tcPr>
          <w:p w14:paraId="71043C60" w14:textId="77777777" w:rsidR="00B60AB6" w:rsidRPr="00EB4FBC" w:rsidRDefault="00B60AB6" w:rsidP="007A2AAB">
            <w:pPr>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Pendanaan dengan Agunan</w:t>
            </w:r>
            <w:r w:rsidRPr="00EB4FBC">
              <w:rPr>
                <w:rFonts w:ascii="Bookman Old Style" w:eastAsia="Times New Roman" w:hAnsi="Bookman Old Style"/>
                <w:bCs/>
                <w:i/>
                <w:iCs/>
                <w:sz w:val="20"/>
                <w:szCs w:val="20"/>
                <w:lang w:val="en-ID" w:eastAsia="en-ID"/>
              </w:rPr>
              <w:t xml:space="preserve"> (Secured Funding)</w:t>
            </w:r>
          </w:p>
        </w:tc>
        <w:tc>
          <w:tcPr>
            <w:tcW w:w="3262" w:type="dxa"/>
            <w:shd w:val="clear" w:color="auto" w:fill="D9E2F3" w:themeFill="accent1" w:themeFillTint="33"/>
          </w:tcPr>
          <w:p w14:paraId="4A8D18F9"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2203EA17"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47FED19A" w14:textId="77777777" w:rsidTr="00B60AB6">
        <w:tc>
          <w:tcPr>
            <w:tcW w:w="985" w:type="dxa"/>
            <w:shd w:val="clear" w:color="auto" w:fill="D9E2F3" w:themeFill="accent1" w:themeFillTint="33"/>
          </w:tcPr>
          <w:p w14:paraId="08425B2E"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5</w:t>
            </w:r>
          </w:p>
        </w:tc>
        <w:tc>
          <w:tcPr>
            <w:tcW w:w="9358" w:type="dxa"/>
            <w:shd w:val="clear" w:color="auto" w:fill="D9E2F3" w:themeFill="accent1" w:themeFillTint="33"/>
          </w:tcPr>
          <w:p w14:paraId="74B09C2B" w14:textId="77777777" w:rsidR="00B60AB6" w:rsidRPr="00EB4FBC" w:rsidRDefault="00B60AB6" w:rsidP="007A2AAB">
            <w:pPr>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 xml:space="preserve">Arus Kas Keluar Lainnya </w:t>
            </w:r>
            <w:r w:rsidRPr="00EB4FBC">
              <w:rPr>
                <w:rFonts w:ascii="Bookman Old Style" w:eastAsia="Times New Roman" w:hAnsi="Bookman Old Style"/>
                <w:bCs/>
                <w:i/>
                <w:iCs/>
                <w:sz w:val="20"/>
                <w:szCs w:val="20"/>
                <w:lang w:val="en-ID" w:eastAsia="en-ID"/>
              </w:rPr>
              <w:t>(Additional Requirement)</w:t>
            </w:r>
          </w:p>
        </w:tc>
        <w:tc>
          <w:tcPr>
            <w:tcW w:w="3262" w:type="dxa"/>
            <w:shd w:val="clear" w:color="auto" w:fill="D9E2F3" w:themeFill="accent1" w:themeFillTint="33"/>
          </w:tcPr>
          <w:p w14:paraId="3664211F"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3A5773B6"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4BA1357C" w14:textId="77777777" w:rsidTr="00B60AB6">
        <w:tc>
          <w:tcPr>
            <w:tcW w:w="985" w:type="dxa"/>
            <w:shd w:val="clear" w:color="auto" w:fill="auto"/>
          </w:tcPr>
          <w:p w14:paraId="15BBDB89"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62E1E165"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terkait transaksi derivatif yang memenuhi prinsip syariah /</w:t>
            </w:r>
            <w:r w:rsidRPr="00EB4FBC">
              <w:rPr>
                <w:rFonts w:ascii="Bookman Old Style" w:eastAsia="Times New Roman" w:hAnsi="Bookman Old Style"/>
                <w:bCs/>
                <w:i/>
                <w:iCs/>
                <w:sz w:val="20"/>
                <w:szCs w:val="20"/>
                <w:lang w:val="en-ID" w:eastAsia="en-ID"/>
              </w:rPr>
              <w:t xml:space="preserve">Sharia compliance hedging </w:t>
            </w:r>
            <w:r w:rsidRPr="00EB4FBC">
              <w:rPr>
                <w:rFonts w:ascii="Bookman Old Style" w:eastAsia="Times New Roman" w:hAnsi="Bookman Old Style"/>
                <w:bCs/>
                <w:sz w:val="20"/>
                <w:szCs w:val="20"/>
                <w:lang w:val="en-ID" w:eastAsia="en-ID"/>
              </w:rPr>
              <w:t>sesuai fatwa DSN-MUI</w:t>
            </w:r>
          </w:p>
        </w:tc>
        <w:tc>
          <w:tcPr>
            <w:tcW w:w="3262" w:type="dxa"/>
            <w:shd w:val="clear" w:color="auto" w:fill="auto"/>
          </w:tcPr>
          <w:p w14:paraId="0E90DC9A"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666BAB8D"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7D2AF5DE" w14:textId="77777777" w:rsidTr="00B60AB6">
        <w:tc>
          <w:tcPr>
            <w:tcW w:w="985" w:type="dxa"/>
            <w:shd w:val="clear" w:color="auto" w:fill="auto"/>
          </w:tcPr>
          <w:p w14:paraId="028DBA28"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122B376C"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terkait peningkatan kebutuhan likuiditas</w:t>
            </w:r>
          </w:p>
        </w:tc>
        <w:tc>
          <w:tcPr>
            <w:tcW w:w="3262" w:type="dxa"/>
            <w:shd w:val="clear" w:color="auto" w:fill="auto"/>
          </w:tcPr>
          <w:p w14:paraId="1EF9E821"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744B05D0"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54736C87" w14:textId="77777777" w:rsidTr="00B60AB6">
        <w:tc>
          <w:tcPr>
            <w:tcW w:w="985" w:type="dxa"/>
            <w:shd w:val="clear" w:color="auto" w:fill="auto"/>
          </w:tcPr>
          <w:p w14:paraId="742748D8"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222288C5"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lainnya terkait kehilangan pendanaan</w:t>
            </w:r>
          </w:p>
        </w:tc>
        <w:tc>
          <w:tcPr>
            <w:tcW w:w="3262" w:type="dxa"/>
            <w:shd w:val="clear" w:color="auto" w:fill="auto"/>
          </w:tcPr>
          <w:p w14:paraId="21E5C29D"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0667BABC"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10B0AF9F" w14:textId="77777777" w:rsidTr="00B60AB6">
        <w:tc>
          <w:tcPr>
            <w:tcW w:w="985" w:type="dxa"/>
            <w:shd w:val="clear" w:color="auto" w:fill="auto"/>
          </w:tcPr>
          <w:p w14:paraId="6B1753A7"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78F11AFC"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terkait dengan kewajiban komitmen dalam bentuk fasilitas pembiayaan</w:t>
            </w:r>
          </w:p>
        </w:tc>
        <w:tc>
          <w:tcPr>
            <w:tcW w:w="3262" w:type="dxa"/>
            <w:shd w:val="clear" w:color="auto" w:fill="auto"/>
          </w:tcPr>
          <w:p w14:paraId="54A53659"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6122D776"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3AA5FDB2" w14:textId="77777777" w:rsidTr="00B60AB6">
        <w:tc>
          <w:tcPr>
            <w:tcW w:w="985" w:type="dxa"/>
            <w:shd w:val="clear" w:color="auto" w:fill="auto"/>
          </w:tcPr>
          <w:p w14:paraId="654E33DC"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04287B9B"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atas Kewajiban kontraktual lainnya terkait penyediakan dana</w:t>
            </w:r>
          </w:p>
        </w:tc>
        <w:tc>
          <w:tcPr>
            <w:tcW w:w="3262" w:type="dxa"/>
            <w:shd w:val="clear" w:color="auto" w:fill="auto"/>
          </w:tcPr>
          <w:p w14:paraId="201AA661"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396D8C23"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4FD78720" w14:textId="77777777" w:rsidTr="00B60AB6">
        <w:tc>
          <w:tcPr>
            <w:tcW w:w="985" w:type="dxa"/>
            <w:shd w:val="clear" w:color="auto" w:fill="auto"/>
          </w:tcPr>
          <w:p w14:paraId="0D026D7C"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312EDD07"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atas kewajiban kontijensi Pendanaan lainnya</w:t>
            </w:r>
          </w:p>
        </w:tc>
        <w:tc>
          <w:tcPr>
            <w:tcW w:w="3262" w:type="dxa"/>
            <w:shd w:val="clear" w:color="auto" w:fill="auto"/>
          </w:tcPr>
          <w:p w14:paraId="6DE22B1C"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189CBBA6"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1F0610BD" w14:textId="77777777" w:rsidTr="00B60AB6">
        <w:tc>
          <w:tcPr>
            <w:tcW w:w="985" w:type="dxa"/>
            <w:shd w:val="clear" w:color="auto" w:fill="auto"/>
          </w:tcPr>
          <w:p w14:paraId="1A67BCD4"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18C3E191" w14:textId="77777777" w:rsidR="00B60AB6" w:rsidRPr="00EB4FBC" w:rsidRDefault="00B60AB6" w:rsidP="00A32F86">
            <w:pPr>
              <w:pStyle w:val="ListParagraph"/>
              <w:numPr>
                <w:ilvl w:val="0"/>
                <w:numId w:val="214"/>
              </w:numPr>
              <w:spacing w:after="0" w:line="240" w:lineRule="auto"/>
              <w:contextualSpacing w:val="0"/>
              <w:jc w:val="both"/>
              <w:rPr>
                <w:rFonts w:ascii="Bookman Old Style" w:eastAsia="Times New Roman" w:hAnsi="Bookman Old Style"/>
                <w:bCs/>
                <w:sz w:val="20"/>
                <w:szCs w:val="20"/>
                <w:lang w:val="en-ID" w:eastAsia="en-ID"/>
              </w:rPr>
            </w:pPr>
            <w:r w:rsidRPr="00EB4FBC">
              <w:rPr>
                <w:rFonts w:ascii="Bookman Old Style" w:eastAsia="Times New Roman" w:hAnsi="Bookman Old Style"/>
                <w:bCs/>
                <w:sz w:val="20"/>
                <w:szCs w:val="20"/>
                <w:lang w:val="en-ID" w:eastAsia="en-ID"/>
              </w:rPr>
              <w:t>Arus kas keluar kontraktual lainnya</w:t>
            </w:r>
          </w:p>
        </w:tc>
        <w:tc>
          <w:tcPr>
            <w:tcW w:w="3262" w:type="dxa"/>
            <w:shd w:val="clear" w:color="auto" w:fill="auto"/>
          </w:tcPr>
          <w:p w14:paraId="2DB13545"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02555763"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22121F7A" w14:textId="77777777" w:rsidTr="00B60AB6">
        <w:tc>
          <w:tcPr>
            <w:tcW w:w="985" w:type="dxa"/>
            <w:shd w:val="clear" w:color="auto" w:fill="D9E2F3" w:themeFill="accent1" w:themeFillTint="33"/>
          </w:tcPr>
          <w:p w14:paraId="46BCD6BD"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6.</w:t>
            </w:r>
          </w:p>
        </w:tc>
        <w:tc>
          <w:tcPr>
            <w:tcW w:w="9358" w:type="dxa"/>
            <w:shd w:val="clear" w:color="auto" w:fill="D9E2F3" w:themeFill="accent1" w:themeFillTint="33"/>
          </w:tcPr>
          <w:p w14:paraId="5586E45B" w14:textId="77777777" w:rsidR="00B60AB6" w:rsidRPr="00EB4FBC" w:rsidRDefault="00B60AB6" w:rsidP="007A2AAB">
            <w:pPr>
              <w:jc w:val="both"/>
              <w:rPr>
                <w:rFonts w:ascii="Bookman Old Style" w:eastAsia="Times New Roman" w:hAnsi="Bookman Old Style"/>
                <w:bCs/>
                <w:sz w:val="20"/>
                <w:szCs w:val="20"/>
                <w:lang w:val="en-ID" w:eastAsia="en-ID"/>
              </w:rPr>
            </w:pPr>
            <w:r w:rsidRPr="00EB4FBC">
              <w:rPr>
                <w:rFonts w:ascii="Bookman Old Style" w:eastAsia="Times New Roman" w:hAnsi="Bookman Old Style"/>
                <w:sz w:val="20"/>
                <w:szCs w:val="20"/>
                <w:lang w:val="en-ID" w:eastAsia="en-ID"/>
              </w:rPr>
              <w:t>Pendanaan UUS yang berasal dari BUK dengan risiko penarikan yang rendah</w:t>
            </w:r>
          </w:p>
        </w:tc>
        <w:tc>
          <w:tcPr>
            <w:tcW w:w="3262" w:type="dxa"/>
            <w:shd w:val="clear" w:color="auto" w:fill="D9E2F3" w:themeFill="accent1" w:themeFillTint="33"/>
          </w:tcPr>
          <w:p w14:paraId="32F34CC7"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3AD54057"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467EA381" w14:textId="77777777" w:rsidTr="00B60AB6">
        <w:tc>
          <w:tcPr>
            <w:tcW w:w="985" w:type="dxa"/>
            <w:shd w:val="clear" w:color="auto" w:fill="D9E2F3" w:themeFill="accent1" w:themeFillTint="33"/>
          </w:tcPr>
          <w:p w14:paraId="2C4E44F1"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D9E2F3" w:themeFill="accent1" w:themeFillTint="33"/>
          </w:tcPr>
          <w:p w14:paraId="51B79F2D" w14:textId="77777777" w:rsidR="00B60AB6" w:rsidRPr="00EB4FBC" w:rsidRDefault="00B60AB6" w:rsidP="007A2AAB">
            <w:pPr>
              <w:rPr>
                <w:rFonts w:ascii="Bookman Old Style" w:eastAsia="Times New Roman" w:hAnsi="Bookman Old Style" w:cs="Times New Roman"/>
                <w:sz w:val="20"/>
                <w:szCs w:val="20"/>
                <w:lang w:val="en-ID"/>
              </w:rPr>
            </w:pPr>
            <w:r w:rsidRPr="00EB4FBC">
              <w:rPr>
                <w:rStyle w:val="fontstyle01"/>
                <w:sz w:val="20"/>
                <w:szCs w:val="20"/>
              </w:rPr>
              <w:t>TOTAL ARUS KAS KELUAR (</w:t>
            </w:r>
            <w:r w:rsidRPr="00EB4FBC">
              <w:rPr>
                <w:rStyle w:val="fontstyle21"/>
                <w:i/>
                <w:sz w:val="20"/>
                <w:szCs w:val="20"/>
              </w:rPr>
              <w:t>CASH</w:t>
            </w:r>
            <w:r w:rsidRPr="00EB4FBC">
              <w:rPr>
                <w:rFonts w:ascii="Bookman Old Style" w:hAnsi="Bookman Old Style"/>
                <w:b/>
                <w:bCs/>
                <w:i/>
                <w:iCs/>
                <w:sz w:val="20"/>
                <w:szCs w:val="20"/>
              </w:rPr>
              <w:br/>
            </w:r>
            <w:r w:rsidRPr="00EB4FBC">
              <w:rPr>
                <w:rStyle w:val="fontstyle21"/>
                <w:i/>
                <w:sz w:val="20"/>
                <w:szCs w:val="20"/>
              </w:rPr>
              <w:t>OUTFLOW</w:t>
            </w:r>
            <w:r w:rsidRPr="00EB4FBC">
              <w:rPr>
                <w:rStyle w:val="fontstyle01"/>
                <w:sz w:val="20"/>
                <w:szCs w:val="20"/>
              </w:rPr>
              <w:t>)</w:t>
            </w:r>
          </w:p>
        </w:tc>
        <w:tc>
          <w:tcPr>
            <w:tcW w:w="3262" w:type="dxa"/>
            <w:shd w:val="clear" w:color="auto" w:fill="D9E2F3" w:themeFill="accent1" w:themeFillTint="33"/>
          </w:tcPr>
          <w:p w14:paraId="0C626215"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35598636"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2F1E76D6" w14:textId="77777777" w:rsidTr="00B60AB6">
        <w:tc>
          <w:tcPr>
            <w:tcW w:w="17007" w:type="dxa"/>
            <w:gridSpan w:val="4"/>
            <w:shd w:val="clear" w:color="auto" w:fill="ACB9CA" w:themeFill="text2" w:themeFillTint="66"/>
          </w:tcPr>
          <w:p w14:paraId="03535632" w14:textId="77777777" w:rsidR="00B60AB6" w:rsidRPr="00EB4FBC" w:rsidRDefault="00B60AB6" w:rsidP="007A2AAB">
            <w:pPr>
              <w:pStyle w:val="BodyText"/>
              <w:ind w:right="620"/>
              <w:rPr>
                <w:rFonts w:ascii="Bookman Old Style" w:hAnsi="Bookman Old Style"/>
                <w:b/>
                <w:sz w:val="20"/>
                <w:szCs w:val="20"/>
              </w:rPr>
            </w:pPr>
            <w:r w:rsidRPr="00EB4FBC">
              <w:rPr>
                <w:rFonts w:ascii="Bookman Old Style" w:hAnsi="Bookman Old Style"/>
                <w:b/>
                <w:sz w:val="20"/>
                <w:szCs w:val="20"/>
              </w:rPr>
              <w:t>ARUS KAS MASUK (</w:t>
            </w:r>
            <w:r w:rsidRPr="00EB4FBC">
              <w:rPr>
                <w:rFonts w:ascii="Bookman Old Style" w:hAnsi="Bookman Old Style"/>
                <w:b/>
                <w:i/>
                <w:sz w:val="20"/>
                <w:szCs w:val="20"/>
              </w:rPr>
              <w:t>CASH INFLOW</w:t>
            </w:r>
            <w:r w:rsidRPr="00EB4FBC">
              <w:rPr>
                <w:rFonts w:ascii="Bookman Old Style" w:hAnsi="Bookman Old Style"/>
                <w:b/>
                <w:sz w:val="20"/>
                <w:szCs w:val="20"/>
              </w:rPr>
              <w:t>)</w:t>
            </w:r>
          </w:p>
        </w:tc>
      </w:tr>
      <w:tr w:rsidR="00B60AB6" w:rsidRPr="00EB4FBC" w14:paraId="76DB053F" w14:textId="77777777" w:rsidTr="00B60AB6">
        <w:tc>
          <w:tcPr>
            <w:tcW w:w="985" w:type="dxa"/>
            <w:shd w:val="clear" w:color="auto" w:fill="D9E2F3" w:themeFill="accent1" w:themeFillTint="33"/>
          </w:tcPr>
          <w:p w14:paraId="3EC1ABD6"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7</w:t>
            </w:r>
          </w:p>
        </w:tc>
        <w:tc>
          <w:tcPr>
            <w:tcW w:w="9358" w:type="dxa"/>
            <w:shd w:val="clear" w:color="auto" w:fill="D9E2F3" w:themeFill="accent1" w:themeFillTint="33"/>
          </w:tcPr>
          <w:p w14:paraId="26EA1526" w14:textId="77777777" w:rsidR="00B60AB6" w:rsidRPr="00EB4FBC" w:rsidRDefault="00B60AB6" w:rsidP="007A2AAB">
            <w:pPr>
              <w:jc w:val="both"/>
              <w:rPr>
                <w:rFonts w:ascii="Bookman Old Style" w:eastAsia="Times New Roman" w:hAnsi="Bookman Old Style"/>
                <w:b/>
                <w:bCs/>
                <w:sz w:val="20"/>
                <w:szCs w:val="20"/>
                <w:lang w:val="en-ID" w:eastAsia="en-ID"/>
              </w:rPr>
            </w:pPr>
            <w:r w:rsidRPr="00EB4FBC">
              <w:rPr>
                <w:rFonts w:ascii="Bookman Old Style" w:eastAsia="Times New Roman" w:hAnsi="Bookman Old Style"/>
                <w:b/>
                <w:bCs/>
                <w:sz w:val="20"/>
                <w:szCs w:val="20"/>
                <w:lang w:val="en-ID" w:eastAsia="en-ID"/>
              </w:rPr>
              <w:t>Pembiayaan dengan Agunan (</w:t>
            </w:r>
            <w:r w:rsidRPr="00EB4FBC">
              <w:rPr>
                <w:rFonts w:ascii="Bookman Old Style" w:eastAsia="Times New Roman" w:hAnsi="Bookman Old Style"/>
                <w:b/>
                <w:bCs/>
                <w:i/>
                <w:iCs/>
                <w:sz w:val="20"/>
                <w:szCs w:val="20"/>
                <w:lang w:val="en-ID" w:eastAsia="en-ID"/>
              </w:rPr>
              <w:t>Secured Financing</w:t>
            </w:r>
            <w:r w:rsidRPr="00EB4FBC">
              <w:rPr>
                <w:rFonts w:ascii="Bookman Old Style" w:eastAsia="Times New Roman" w:hAnsi="Bookman Old Style"/>
                <w:b/>
                <w:bCs/>
                <w:sz w:val="20"/>
                <w:szCs w:val="20"/>
                <w:lang w:val="en-ID" w:eastAsia="en-ID"/>
              </w:rPr>
              <w:t>)</w:t>
            </w:r>
          </w:p>
        </w:tc>
        <w:tc>
          <w:tcPr>
            <w:tcW w:w="3262" w:type="dxa"/>
            <w:shd w:val="clear" w:color="auto" w:fill="D9E2F3" w:themeFill="accent1" w:themeFillTint="33"/>
          </w:tcPr>
          <w:p w14:paraId="7D3A1590"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385A2F72"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1B85DBD9" w14:textId="77777777" w:rsidTr="00B60AB6">
        <w:tc>
          <w:tcPr>
            <w:tcW w:w="985" w:type="dxa"/>
            <w:shd w:val="clear" w:color="auto" w:fill="D9E2F3" w:themeFill="accent1" w:themeFillTint="33"/>
          </w:tcPr>
          <w:p w14:paraId="4B65441D"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8</w:t>
            </w:r>
          </w:p>
        </w:tc>
        <w:tc>
          <w:tcPr>
            <w:tcW w:w="9358" w:type="dxa"/>
            <w:shd w:val="clear" w:color="auto" w:fill="D9E2F3" w:themeFill="accent1" w:themeFillTint="33"/>
          </w:tcPr>
          <w:p w14:paraId="06F2DAB0" w14:textId="77777777" w:rsidR="00B60AB6" w:rsidRPr="00EB4FBC" w:rsidRDefault="00B60AB6" w:rsidP="007A2AAB">
            <w:pPr>
              <w:jc w:val="both"/>
              <w:rPr>
                <w:rFonts w:ascii="Bookman Old Style" w:eastAsia="Times New Roman" w:hAnsi="Bookman Old Style"/>
                <w:b/>
                <w:bCs/>
                <w:sz w:val="20"/>
                <w:szCs w:val="20"/>
                <w:lang w:val="en-ID" w:eastAsia="en-ID"/>
              </w:rPr>
            </w:pPr>
            <w:r w:rsidRPr="00EB4FBC">
              <w:rPr>
                <w:rFonts w:ascii="Bookman Old Style" w:eastAsia="Times New Roman" w:hAnsi="Bookman Old Style"/>
                <w:sz w:val="20"/>
                <w:szCs w:val="20"/>
                <w:lang w:val="en-ID" w:eastAsia="en-ID"/>
              </w:rPr>
              <w:t>Tagihan berdasarkan Pihak Lawan</w:t>
            </w:r>
            <w:r w:rsidRPr="00EB4FBC">
              <w:rPr>
                <w:rFonts w:ascii="Bookman Old Style" w:eastAsia="Times New Roman" w:hAnsi="Bookman Old Style"/>
                <w:i/>
                <w:iCs/>
                <w:sz w:val="20"/>
                <w:szCs w:val="20"/>
                <w:lang w:val="en-ID" w:eastAsia="en-ID"/>
              </w:rPr>
              <w:t xml:space="preserve"> (Counterparty)</w:t>
            </w:r>
          </w:p>
        </w:tc>
        <w:tc>
          <w:tcPr>
            <w:tcW w:w="3262" w:type="dxa"/>
            <w:shd w:val="clear" w:color="auto" w:fill="D9E2F3" w:themeFill="accent1" w:themeFillTint="33"/>
          </w:tcPr>
          <w:p w14:paraId="2DBC56B9"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2D57C74F"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7A7F721E" w14:textId="77777777" w:rsidTr="00B60AB6">
        <w:tc>
          <w:tcPr>
            <w:tcW w:w="985" w:type="dxa"/>
            <w:shd w:val="clear" w:color="auto" w:fill="D9E2F3" w:themeFill="accent1" w:themeFillTint="33"/>
          </w:tcPr>
          <w:p w14:paraId="794FC582" w14:textId="77777777" w:rsidR="00B60AB6" w:rsidRPr="00EB4FBC" w:rsidRDefault="00B60AB6" w:rsidP="007A2AAB">
            <w:pPr>
              <w:pStyle w:val="BodyText"/>
              <w:ind w:right="33"/>
              <w:jc w:val="center"/>
              <w:rPr>
                <w:rFonts w:ascii="Bookman Old Style" w:hAnsi="Bookman Old Style"/>
                <w:sz w:val="20"/>
                <w:szCs w:val="20"/>
              </w:rPr>
            </w:pPr>
            <w:r w:rsidRPr="00EB4FBC">
              <w:rPr>
                <w:rFonts w:ascii="Bookman Old Style" w:hAnsi="Bookman Old Style"/>
                <w:sz w:val="20"/>
                <w:szCs w:val="20"/>
              </w:rPr>
              <w:t>9</w:t>
            </w:r>
          </w:p>
        </w:tc>
        <w:tc>
          <w:tcPr>
            <w:tcW w:w="9358" w:type="dxa"/>
            <w:shd w:val="clear" w:color="auto" w:fill="D9E2F3" w:themeFill="accent1" w:themeFillTint="33"/>
          </w:tcPr>
          <w:p w14:paraId="0458F67B" w14:textId="77777777" w:rsidR="00B60AB6" w:rsidRPr="00EB4FBC" w:rsidRDefault="00B60AB6" w:rsidP="007A2AAB">
            <w:pPr>
              <w:jc w:val="both"/>
              <w:rPr>
                <w:rFonts w:ascii="Bookman Old Style" w:eastAsia="Times New Roman" w:hAnsi="Bookman Old Style"/>
                <w:sz w:val="20"/>
                <w:szCs w:val="20"/>
                <w:lang w:val="en-ID" w:eastAsia="en-ID"/>
              </w:rPr>
            </w:pPr>
            <w:r w:rsidRPr="00EB4FBC">
              <w:rPr>
                <w:rFonts w:ascii="Bookman Old Style" w:eastAsia="Times New Roman" w:hAnsi="Bookman Old Style"/>
                <w:b/>
                <w:bCs/>
                <w:sz w:val="20"/>
                <w:szCs w:val="20"/>
                <w:lang w:val="en-ID" w:eastAsia="en-ID"/>
              </w:rPr>
              <w:t>Arus Kas Masuk Lainnya</w:t>
            </w:r>
          </w:p>
        </w:tc>
        <w:tc>
          <w:tcPr>
            <w:tcW w:w="3262" w:type="dxa"/>
            <w:shd w:val="clear" w:color="auto" w:fill="D9E2F3" w:themeFill="accent1" w:themeFillTint="33"/>
          </w:tcPr>
          <w:p w14:paraId="63F46FAC"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336D1305"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2492BCB0" w14:textId="77777777" w:rsidTr="00B60AB6">
        <w:tc>
          <w:tcPr>
            <w:tcW w:w="985" w:type="dxa"/>
            <w:shd w:val="clear" w:color="auto" w:fill="D9E2F3" w:themeFill="accent1" w:themeFillTint="33"/>
          </w:tcPr>
          <w:p w14:paraId="0649D7CC"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D9E2F3" w:themeFill="accent1" w:themeFillTint="33"/>
          </w:tcPr>
          <w:p w14:paraId="59E859FD" w14:textId="77777777" w:rsidR="00B60AB6" w:rsidRPr="00EB4FBC" w:rsidRDefault="00B60AB6" w:rsidP="007A2AAB">
            <w:pPr>
              <w:jc w:val="both"/>
              <w:rPr>
                <w:rFonts w:ascii="Bookman Old Style" w:eastAsia="Times New Roman" w:hAnsi="Bookman Old Style"/>
                <w:b/>
                <w:bCs/>
                <w:sz w:val="20"/>
                <w:szCs w:val="20"/>
                <w:lang w:val="en-ID" w:eastAsia="en-ID"/>
              </w:rPr>
            </w:pPr>
            <w:r w:rsidRPr="00EB4FBC">
              <w:rPr>
                <w:rFonts w:ascii="Bookman Old Style" w:eastAsia="Times New Roman" w:hAnsi="Bookman Old Style"/>
                <w:b/>
                <w:bCs/>
                <w:sz w:val="20"/>
                <w:szCs w:val="20"/>
                <w:lang w:val="en-ID" w:eastAsia="en-ID"/>
              </w:rPr>
              <w:t>TOTAL ARUS KAS MASUK (</w:t>
            </w:r>
            <w:r w:rsidRPr="00EB4FBC">
              <w:rPr>
                <w:rFonts w:ascii="Bookman Old Style" w:eastAsia="Times New Roman" w:hAnsi="Bookman Old Style"/>
                <w:b/>
                <w:bCs/>
                <w:i/>
                <w:sz w:val="20"/>
                <w:szCs w:val="20"/>
                <w:lang w:val="en-ID" w:eastAsia="en-ID"/>
              </w:rPr>
              <w:t>CASH INFLOW</w:t>
            </w:r>
            <w:r w:rsidRPr="00EB4FBC">
              <w:rPr>
                <w:rFonts w:ascii="Bookman Old Style" w:eastAsia="Times New Roman" w:hAnsi="Bookman Old Style"/>
                <w:b/>
                <w:bCs/>
                <w:sz w:val="20"/>
                <w:szCs w:val="20"/>
                <w:lang w:val="en-ID" w:eastAsia="en-ID"/>
              </w:rPr>
              <w:t>)</w:t>
            </w:r>
          </w:p>
        </w:tc>
        <w:tc>
          <w:tcPr>
            <w:tcW w:w="3262" w:type="dxa"/>
            <w:shd w:val="clear" w:color="auto" w:fill="D9E2F3" w:themeFill="accent1" w:themeFillTint="33"/>
          </w:tcPr>
          <w:p w14:paraId="41D1378B"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124CBA46" w14:textId="77777777" w:rsidR="00B60AB6" w:rsidRPr="00EB4FBC" w:rsidRDefault="00B60AB6" w:rsidP="007A2AAB">
            <w:pPr>
              <w:pStyle w:val="BodyText"/>
              <w:ind w:right="620"/>
              <w:rPr>
                <w:rFonts w:ascii="Bookman Old Style" w:hAnsi="Bookman Old Style"/>
                <w:sz w:val="20"/>
                <w:szCs w:val="20"/>
              </w:rPr>
            </w:pPr>
          </w:p>
        </w:tc>
      </w:tr>
      <w:tr w:rsidR="00B60AB6" w:rsidRPr="00EB4FBC" w14:paraId="68E5148D" w14:textId="77777777" w:rsidTr="00B60AB6">
        <w:tc>
          <w:tcPr>
            <w:tcW w:w="985" w:type="dxa"/>
            <w:shd w:val="clear" w:color="auto" w:fill="auto"/>
          </w:tcPr>
          <w:p w14:paraId="2C5D7AB0"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auto"/>
          </w:tcPr>
          <w:p w14:paraId="1938881C" w14:textId="77777777" w:rsidR="00B60AB6" w:rsidRPr="00EB4FBC" w:rsidRDefault="00B60AB6" w:rsidP="007A2AAB">
            <w:pPr>
              <w:jc w:val="both"/>
              <w:rPr>
                <w:rFonts w:ascii="Bookman Old Style" w:eastAsia="Times New Roman" w:hAnsi="Bookman Old Style"/>
                <w:b/>
                <w:bCs/>
                <w:sz w:val="20"/>
                <w:szCs w:val="20"/>
                <w:lang w:val="en-ID" w:eastAsia="en-ID"/>
              </w:rPr>
            </w:pPr>
          </w:p>
        </w:tc>
        <w:tc>
          <w:tcPr>
            <w:tcW w:w="3262" w:type="dxa"/>
            <w:shd w:val="clear" w:color="auto" w:fill="auto"/>
          </w:tcPr>
          <w:p w14:paraId="28CA494E"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auto"/>
          </w:tcPr>
          <w:p w14:paraId="736AF27A" w14:textId="77777777" w:rsidR="00B60AB6" w:rsidRPr="00EB4FBC" w:rsidRDefault="00B60AB6" w:rsidP="007A2AAB">
            <w:pPr>
              <w:pStyle w:val="BodyText"/>
              <w:rPr>
                <w:rFonts w:ascii="Bookman Old Style" w:hAnsi="Bookman Old Style"/>
                <w:b/>
                <w:i/>
                <w:sz w:val="20"/>
                <w:szCs w:val="20"/>
              </w:rPr>
            </w:pPr>
            <w:r w:rsidRPr="00EB4FBC">
              <w:rPr>
                <w:rFonts w:ascii="Bookman Old Style" w:hAnsi="Bookman Old Style"/>
                <w:b/>
                <w:i/>
                <w:sz w:val="20"/>
                <w:szCs w:val="20"/>
              </w:rPr>
              <w:t>TOTAL ADJUSTED VALUE</w:t>
            </w:r>
            <w:r w:rsidRPr="00EB4FBC">
              <w:rPr>
                <w:rFonts w:ascii="Bookman Old Style" w:hAnsi="Bookman Old Style"/>
                <w:b/>
                <w:i/>
                <w:sz w:val="20"/>
                <w:szCs w:val="20"/>
                <w:vertAlign w:val="superscript"/>
              </w:rPr>
              <w:t>1</w:t>
            </w:r>
          </w:p>
        </w:tc>
      </w:tr>
      <w:tr w:rsidR="00B60AB6" w:rsidRPr="00EB4FBC" w14:paraId="0E926FDB" w14:textId="77777777" w:rsidTr="00B60AB6">
        <w:tc>
          <w:tcPr>
            <w:tcW w:w="985" w:type="dxa"/>
            <w:shd w:val="clear" w:color="auto" w:fill="D9E2F3" w:themeFill="accent1" w:themeFillTint="33"/>
          </w:tcPr>
          <w:p w14:paraId="37524428"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D9E2F3" w:themeFill="accent1" w:themeFillTint="33"/>
          </w:tcPr>
          <w:p w14:paraId="6A0D91B0" w14:textId="77777777" w:rsidR="00B60AB6" w:rsidRPr="00EB4FBC" w:rsidRDefault="00B60AB6" w:rsidP="007A2AAB">
            <w:pPr>
              <w:jc w:val="both"/>
              <w:rPr>
                <w:rFonts w:ascii="Bookman Old Style" w:eastAsia="Times New Roman" w:hAnsi="Bookman Old Style"/>
                <w:b/>
                <w:bCs/>
                <w:sz w:val="20"/>
                <w:szCs w:val="20"/>
                <w:lang w:val="en-ID" w:eastAsia="en-ID"/>
              </w:rPr>
            </w:pPr>
            <w:r w:rsidRPr="00EB4FBC">
              <w:rPr>
                <w:rFonts w:ascii="Bookman Old Style" w:eastAsia="Times New Roman" w:hAnsi="Bookman Old Style"/>
                <w:b/>
                <w:bCs/>
                <w:sz w:val="20"/>
                <w:szCs w:val="20"/>
                <w:lang w:val="en-ID" w:eastAsia="en-ID"/>
              </w:rPr>
              <w:t>TOTAL HQLA</w:t>
            </w:r>
          </w:p>
        </w:tc>
        <w:tc>
          <w:tcPr>
            <w:tcW w:w="3262" w:type="dxa"/>
            <w:shd w:val="clear" w:color="auto" w:fill="D9E2F3" w:themeFill="accent1" w:themeFillTint="33"/>
          </w:tcPr>
          <w:p w14:paraId="259B0101"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468244B3" w14:textId="77777777" w:rsidR="00B60AB6" w:rsidRPr="00EB4FBC" w:rsidRDefault="00B60AB6" w:rsidP="007A2AAB">
            <w:pPr>
              <w:pStyle w:val="BodyText"/>
              <w:rPr>
                <w:rFonts w:ascii="Bookman Old Style" w:hAnsi="Bookman Old Style"/>
                <w:b/>
                <w:i/>
                <w:sz w:val="20"/>
                <w:szCs w:val="20"/>
              </w:rPr>
            </w:pPr>
          </w:p>
        </w:tc>
      </w:tr>
      <w:tr w:rsidR="00B60AB6" w:rsidRPr="00EB4FBC" w14:paraId="1ECAEFD2" w14:textId="77777777" w:rsidTr="00B60AB6">
        <w:tc>
          <w:tcPr>
            <w:tcW w:w="985" w:type="dxa"/>
            <w:shd w:val="clear" w:color="auto" w:fill="D9E2F3" w:themeFill="accent1" w:themeFillTint="33"/>
          </w:tcPr>
          <w:p w14:paraId="22D9DC75"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D9E2F3" w:themeFill="accent1" w:themeFillTint="33"/>
          </w:tcPr>
          <w:p w14:paraId="1AEB3B50" w14:textId="77777777" w:rsidR="00B60AB6" w:rsidRPr="00EB4FBC" w:rsidRDefault="00B60AB6" w:rsidP="007A2AAB">
            <w:pPr>
              <w:jc w:val="both"/>
              <w:rPr>
                <w:rFonts w:ascii="Bookman Old Style" w:eastAsia="Times New Roman" w:hAnsi="Bookman Old Style"/>
                <w:b/>
                <w:bCs/>
                <w:sz w:val="20"/>
                <w:szCs w:val="20"/>
                <w:lang w:val="en-ID" w:eastAsia="en-ID"/>
              </w:rPr>
            </w:pPr>
            <w:r w:rsidRPr="00EB4FBC">
              <w:rPr>
                <w:rFonts w:ascii="Bookman Old Style" w:eastAsia="Times New Roman" w:hAnsi="Bookman Old Style"/>
                <w:b/>
                <w:bCs/>
                <w:sz w:val="20"/>
                <w:szCs w:val="20"/>
                <w:lang w:val="en-ID" w:eastAsia="en-ID"/>
              </w:rPr>
              <w:t xml:space="preserve">TOTAL ARUS KAS KELUAR BERSIH </w:t>
            </w:r>
            <w:r w:rsidRPr="00EB4FBC">
              <w:rPr>
                <w:rFonts w:ascii="Bookman Old Style" w:eastAsia="Times New Roman" w:hAnsi="Bookman Old Style"/>
                <w:b/>
                <w:bCs/>
                <w:i/>
                <w:sz w:val="20"/>
                <w:szCs w:val="20"/>
                <w:lang w:val="en-ID" w:eastAsia="en-ID"/>
              </w:rPr>
              <w:t>(NET CASH OUTFLOW)</w:t>
            </w:r>
          </w:p>
        </w:tc>
        <w:tc>
          <w:tcPr>
            <w:tcW w:w="3262" w:type="dxa"/>
            <w:shd w:val="clear" w:color="auto" w:fill="D9E2F3" w:themeFill="accent1" w:themeFillTint="33"/>
          </w:tcPr>
          <w:p w14:paraId="4D4F387D"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7336F7BD" w14:textId="77777777" w:rsidR="00B60AB6" w:rsidRPr="00EB4FBC" w:rsidRDefault="00B60AB6" w:rsidP="007A2AAB">
            <w:pPr>
              <w:pStyle w:val="BodyText"/>
              <w:rPr>
                <w:rFonts w:ascii="Bookman Old Style" w:hAnsi="Bookman Old Style"/>
                <w:b/>
                <w:i/>
                <w:sz w:val="20"/>
                <w:szCs w:val="20"/>
              </w:rPr>
            </w:pPr>
          </w:p>
        </w:tc>
      </w:tr>
      <w:tr w:rsidR="00B60AB6" w:rsidRPr="00EB4FBC" w14:paraId="2BCEF7DC" w14:textId="77777777" w:rsidTr="00B60AB6">
        <w:tc>
          <w:tcPr>
            <w:tcW w:w="985" w:type="dxa"/>
            <w:shd w:val="clear" w:color="auto" w:fill="D9E2F3" w:themeFill="accent1" w:themeFillTint="33"/>
          </w:tcPr>
          <w:p w14:paraId="6A5EFCF7" w14:textId="77777777" w:rsidR="00B60AB6" w:rsidRPr="00EB4FBC" w:rsidRDefault="00B60AB6" w:rsidP="007A2AAB">
            <w:pPr>
              <w:pStyle w:val="BodyText"/>
              <w:ind w:right="33"/>
              <w:jc w:val="center"/>
              <w:rPr>
                <w:rFonts w:ascii="Bookman Old Style" w:hAnsi="Bookman Old Style"/>
                <w:sz w:val="20"/>
                <w:szCs w:val="20"/>
              </w:rPr>
            </w:pPr>
          </w:p>
        </w:tc>
        <w:tc>
          <w:tcPr>
            <w:tcW w:w="9358" w:type="dxa"/>
            <w:shd w:val="clear" w:color="auto" w:fill="D9E2F3" w:themeFill="accent1" w:themeFillTint="33"/>
          </w:tcPr>
          <w:p w14:paraId="591B79FA" w14:textId="77777777" w:rsidR="00B60AB6" w:rsidRPr="00EB4FBC" w:rsidRDefault="00B60AB6" w:rsidP="007A2AAB">
            <w:pPr>
              <w:jc w:val="both"/>
              <w:rPr>
                <w:rFonts w:ascii="Bookman Old Style" w:eastAsia="Times New Roman" w:hAnsi="Bookman Old Style"/>
                <w:b/>
                <w:bCs/>
                <w:sz w:val="20"/>
                <w:szCs w:val="20"/>
                <w:lang w:val="en-ID" w:eastAsia="en-ID"/>
              </w:rPr>
            </w:pPr>
            <w:r w:rsidRPr="00EB4FBC">
              <w:rPr>
                <w:rFonts w:ascii="Bookman Old Style" w:eastAsia="Times New Roman" w:hAnsi="Bookman Old Style"/>
                <w:b/>
                <w:bCs/>
                <w:sz w:val="20"/>
                <w:szCs w:val="20"/>
                <w:lang w:val="en-ID" w:eastAsia="en-ID"/>
              </w:rPr>
              <w:t>LCR (%)</w:t>
            </w:r>
          </w:p>
        </w:tc>
        <w:tc>
          <w:tcPr>
            <w:tcW w:w="3262" w:type="dxa"/>
            <w:shd w:val="clear" w:color="auto" w:fill="D9E2F3" w:themeFill="accent1" w:themeFillTint="33"/>
          </w:tcPr>
          <w:p w14:paraId="0E235B64" w14:textId="77777777" w:rsidR="00B60AB6" w:rsidRPr="00EB4FBC" w:rsidRDefault="00B60AB6" w:rsidP="007A2AAB">
            <w:pPr>
              <w:pStyle w:val="BodyText"/>
              <w:ind w:right="620"/>
              <w:rPr>
                <w:rFonts w:ascii="Bookman Old Style" w:hAnsi="Bookman Old Style"/>
                <w:sz w:val="20"/>
                <w:szCs w:val="20"/>
              </w:rPr>
            </w:pPr>
          </w:p>
        </w:tc>
        <w:tc>
          <w:tcPr>
            <w:tcW w:w="3402" w:type="dxa"/>
            <w:shd w:val="clear" w:color="auto" w:fill="D9E2F3" w:themeFill="accent1" w:themeFillTint="33"/>
          </w:tcPr>
          <w:p w14:paraId="7D75D08F" w14:textId="77777777" w:rsidR="00B60AB6" w:rsidRPr="00EB4FBC" w:rsidRDefault="00B60AB6" w:rsidP="007A2AAB">
            <w:pPr>
              <w:pStyle w:val="BodyText"/>
              <w:rPr>
                <w:rFonts w:ascii="Bookman Old Style" w:hAnsi="Bookman Old Style"/>
                <w:b/>
                <w:i/>
                <w:sz w:val="20"/>
                <w:szCs w:val="20"/>
              </w:rPr>
            </w:pPr>
          </w:p>
        </w:tc>
      </w:tr>
    </w:tbl>
    <w:p w14:paraId="6EE22662" w14:textId="25708951" w:rsidR="00B60AB6" w:rsidRPr="00EB4FBC" w:rsidRDefault="00B60AB6" w:rsidP="00B03AEA">
      <w:pPr>
        <w:tabs>
          <w:tab w:val="left" w:pos="1256"/>
        </w:tabs>
        <w:rPr>
          <w:rFonts w:ascii="Bookman Old Style" w:eastAsia="Bookman Old Style" w:hAnsi="Bookman Old Style" w:cs="Bookman Old Style"/>
          <w:sz w:val="20"/>
          <w:szCs w:val="20"/>
        </w:rPr>
      </w:pPr>
    </w:p>
    <w:p w14:paraId="569EC5E3" w14:textId="77777777" w:rsidR="00B60AB6" w:rsidRPr="00EB4FBC" w:rsidRDefault="00B60AB6" w:rsidP="00B60AB6">
      <w:pPr>
        <w:pStyle w:val="BodyText"/>
        <w:ind w:right="620"/>
        <w:rPr>
          <w:rFonts w:ascii="Bookman Old Style" w:hAnsi="Bookman Old Style"/>
          <w:sz w:val="20"/>
          <w:szCs w:val="20"/>
        </w:rPr>
      </w:pPr>
      <w:r w:rsidRPr="00EB4FBC">
        <w:rPr>
          <w:rFonts w:ascii="Bookman Old Style" w:hAnsi="Bookman Old Style"/>
          <w:sz w:val="20"/>
          <w:szCs w:val="20"/>
        </w:rPr>
        <w:t>Keterangan</w:t>
      </w:r>
    </w:p>
    <w:p w14:paraId="241A815D" w14:textId="77777777" w:rsidR="00B60AB6" w:rsidRPr="00EB4FBC" w:rsidRDefault="00B60AB6" w:rsidP="00B60AB6">
      <w:pPr>
        <w:pStyle w:val="BodyText"/>
        <w:ind w:right="-143"/>
        <w:rPr>
          <w:rFonts w:ascii="Bookman Old Style" w:hAnsi="Bookman Old Style"/>
          <w:sz w:val="20"/>
          <w:szCs w:val="20"/>
        </w:rPr>
      </w:pPr>
      <w:r w:rsidRPr="00EB4FBC">
        <w:rPr>
          <w:rFonts w:ascii="Bookman Old Style" w:hAnsi="Bookman Old Style"/>
          <w:sz w:val="20"/>
          <w:szCs w:val="20"/>
          <w:vertAlign w:val="superscript"/>
        </w:rPr>
        <w:t>1</w:t>
      </w:r>
      <w:r w:rsidRPr="00EB4FBC">
        <w:rPr>
          <w:rFonts w:ascii="Bookman Old Style" w:hAnsi="Bookman Old Style"/>
          <w:i/>
          <w:iCs/>
          <w:sz w:val="20"/>
          <w:szCs w:val="20"/>
        </w:rPr>
        <w:t xml:space="preserve">Adjusted values </w:t>
      </w:r>
      <w:r w:rsidRPr="00EB4FBC">
        <w:rPr>
          <w:rFonts w:ascii="Bookman Old Style" w:hAnsi="Bookman Old Style"/>
          <w:sz w:val="20"/>
          <w:szCs w:val="20"/>
        </w:rPr>
        <w:t>dihitung setelah pengenaan pengurangan nilai (</w:t>
      </w:r>
      <w:r w:rsidRPr="00EB4FBC">
        <w:rPr>
          <w:rFonts w:ascii="Bookman Old Style" w:hAnsi="Bookman Old Style"/>
          <w:i/>
          <w:iCs/>
          <w:sz w:val="20"/>
          <w:szCs w:val="20"/>
        </w:rPr>
        <w:t>haircut</w:t>
      </w:r>
      <w:r w:rsidRPr="00EB4FBC">
        <w:rPr>
          <w:rFonts w:ascii="Bookman Old Style" w:hAnsi="Bookman Old Style"/>
          <w:sz w:val="20"/>
          <w:szCs w:val="20"/>
        </w:rPr>
        <w:t>), tingkat penarikan (</w:t>
      </w:r>
      <w:r w:rsidRPr="00EB4FBC">
        <w:rPr>
          <w:rFonts w:ascii="Bookman Old Style" w:hAnsi="Bookman Old Style"/>
          <w:i/>
          <w:iCs/>
          <w:sz w:val="20"/>
          <w:szCs w:val="20"/>
        </w:rPr>
        <w:t>run-off rate</w:t>
      </w:r>
      <w:r w:rsidRPr="00EB4FBC">
        <w:rPr>
          <w:rFonts w:ascii="Bookman Old Style" w:hAnsi="Bookman Old Style"/>
          <w:sz w:val="20"/>
          <w:szCs w:val="20"/>
        </w:rPr>
        <w:t>), dan tingkat penerimaan</w:t>
      </w:r>
      <w:r w:rsidRPr="00EB4FBC">
        <w:rPr>
          <w:rFonts w:ascii="Bookman Old Style" w:hAnsi="Bookman Old Style"/>
          <w:sz w:val="20"/>
          <w:szCs w:val="20"/>
        </w:rPr>
        <w:br/>
        <w:t>(</w:t>
      </w:r>
      <w:r w:rsidRPr="00EB4FBC">
        <w:rPr>
          <w:rFonts w:ascii="Bookman Old Style" w:hAnsi="Bookman Old Style"/>
          <w:i/>
          <w:iCs/>
          <w:sz w:val="20"/>
          <w:szCs w:val="20"/>
        </w:rPr>
        <w:t>inflow rate</w:t>
      </w:r>
      <w:r w:rsidRPr="00EB4FBC">
        <w:rPr>
          <w:rFonts w:ascii="Bookman Old Style" w:hAnsi="Bookman Old Style"/>
          <w:sz w:val="20"/>
          <w:szCs w:val="20"/>
        </w:rPr>
        <w:t>) serta batas maksimum komponen HQLA, misalnya batas maksimum HQLA Level 2B dan HQLA Level 2 serta batas</w:t>
      </w:r>
      <w:r w:rsidRPr="00EB4FBC">
        <w:rPr>
          <w:rFonts w:ascii="Bookman Old Style" w:hAnsi="Bookman Old Style"/>
          <w:sz w:val="20"/>
          <w:szCs w:val="20"/>
        </w:rPr>
        <w:br/>
        <w:t>maksimum arus kas masuk yang dapat diperhitungkan dalam LCR.</w:t>
      </w:r>
    </w:p>
    <w:p w14:paraId="27E195D8" w14:textId="77777777" w:rsidR="00B60AB6" w:rsidRPr="00EB4FBC" w:rsidRDefault="00B60AB6" w:rsidP="00B60AB6">
      <w:pPr>
        <w:pStyle w:val="BodyText"/>
        <w:ind w:right="-143"/>
        <w:rPr>
          <w:rFonts w:ascii="Bookman Old Style" w:hAnsi="Bookman Old Style"/>
          <w:sz w:val="20"/>
          <w:szCs w:val="20"/>
        </w:rPr>
      </w:pPr>
    </w:p>
    <w:p w14:paraId="143E36C5" w14:textId="77777777" w:rsidR="00B60AB6" w:rsidRPr="00EB4FBC" w:rsidRDefault="00B60AB6" w:rsidP="00B60AB6">
      <w:pPr>
        <w:pStyle w:val="BodyText"/>
        <w:ind w:right="-143"/>
        <w:rPr>
          <w:rFonts w:ascii="Bookman Old Style" w:hAnsi="Bookman Old Style"/>
          <w:sz w:val="20"/>
          <w:szCs w:val="20"/>
        </w:rPr>
      </w:pPr>
    </w:p>
    <w:p w14:paraId="31C7D8FE" w14:textId="77777777" w:rsidR="00B60AB6" w:rsidRPr="00EB4FBC" w:rsidRDefault="00B60AB6" w:rsidP="00EB4FBC">
      <w:pPr>
        <w:spacing w:after="0" w:line="240" w:lineRule="auto"/>
        <w:ind w:left="13608"/>
        <w:rPr>
          <w:rFonts w:ascii="Bookman Old Style" w:eastAsia="Times New Roman" w:hAnsi="Bookman Old Style" w:cs="Arial"/>
          <w:sz w:val="20"/>
          <w:szCs w:val="20"/>
        </w:rPr>
      </w:pPr>
      <w:r w:rsidRPr="00EB4FBC">
        <w:rPr>
          <w:rFonts w:ascii="Bookman Old Style" w:eastAsia="Times New Roman" w:hAnsi="Bookman Old Style" w:cs="Arial"/>
          <w:sz w:val="20"/>
          <w:szCs w:val="20"/>
        </w:rPr>
        <w:t>Ditetapkan di Jakarta</w:t>
      </w:r>
    </w:p>
    <w:p w14:paraId="5ADC4F4E" w14:textId="77777777" w:rsidR="00B60AB6" w:rsidRPr="00EB4FBC" w:rsidRDefault="00B60AB6" w:rsidP="00EB4FBC">
      <w:pPr>
        <w:spacing w:after="0" w:line="240" w:lineRule="auto"/>
        <w:ind w:left="13608"/>
        <w:rPr>
          <w:rFonts w:ascii="Bookman Old Style" w:eastAsia="Times New Roman" w:hAnsi="Bookman Old Style" w:cs="Arial"/>
          <w:sz w:val="20"/>
          <w:szCs w:val="20"/>
        </w:rPr>
      </w:pPr>
      <w:r w:rsidRPr="00EB4FBC">
        <w:rPr>
          <w:rFonts w:ascii="Bookman Old Style" w:eastAsia="Times New Roman" w:hAnsi="Bookman Old Style" w:cs="Arial"/>
          <w:sz w:val="20"/>
          <w:szCs w:val="20"/>
        </w:rPr>
        <w:t xml:space="preserve">pada tanggal </w:t>
      </w:r>
    </w:p>
    <w:p w14:paraId="50DB44AB" w14:textId="77777777" w:rsidR="00B60AB6" w:rsidRPr="00EB4FBC" w:rsidRDefault="00B60AB6" w:rsidP="00EB4FBC">
      <w:pPr>
        <w:spacing w:after="0" w:line="240" w:lineRule="auto"/>
        <w:ind w:left="13608"/>
        <w:rPr>
          <w:rFonts w:ascii="Bookman Old Style" w:eastAsia="Times New Roman" w:hAnsi="Bookman Old Style" w:cs="Arial"/>
          <w:sz w:val="20"/>
          <w:szCs w:val="20"/>
        </w:rPr>
      </w:pPr>
    </w:p>
    <w:p w14:paraId="06E62C17" w14:textId="77777777" w:rsidR="00B60AB6" w:rsidRPr="00EB4FBC" w:rsidRDefault="00B60AB6" w:rsidP="00EB4FBC">
      <w:pPr>
        <w:spacing w:after="0" w:line="240" w:lineRule="auto"/>
        <w:ind w:left="13608"/>
        <w:rPr>
          <w:rFonts w:ascii="Bookman Old Style" w:eastAsia="Times New Roman" w:hAnsi="Bookman Old Style" w:cs="Arial"/>
          <w:sz w:val="20"/>
          <w:szCs w:val="20"/>
          <w:lang w:val="en-US"/>
        </w:rPr>
      </w:pPr>
      <w:r w:rsidRPr="00EB4FBC">
        <w:rPr>
          <w:rFonts w:ascii="Bookman Old Style" w:eastAsia="Times New Roman" w:hAnsi="Bookman Old Style" w:cs="Arial"/>
          <w:sz w:val="20"/>
          <w:szCs w:val="20"/>
          <w:lang w:val="en-US"/>
        </w:rPr>
        <w:t>KETUA DEWAN KOMISIONER</w:t>
      </w:r>
    </w:p>
    <w:p w14:paraId="47362B46" w14:textId="77777777" w:rsidR="00B60AB6" w:rsidRPr="00EB4FBC" w:rsidRDefault="00B60AB6" w:rsidP="00EB4FBC">
      <w:pPr>
        <w:spacing w:after="0" w:line="240" w:lineRule="auto"/>
        <w:ind w:left="13608"/>
        <w:rPr>
          <w:rFonts w:ascii="Bookman Old Style" w:eastAsia="Times New Roman" w:hAnsi="Bookman Old Style" w:cs="Arial"/>
          <w:sz w:val="20"/>
          <w:szCs w:val="20"/>
        </w:rPr>
      </w:pPr>
      <w:r w:rsidRPr="00EB4FBC">
        <w:rPr>
          <w:rFonts w:ascii="Bookman Old Style" w:eastAsia="Times New Roman" w:hAnsi="Bookman Old Style" w:cs="Arial"/>
          <w:sz w:val="20"/>
          <w:szCs w:val="20"/>
        </w:rPr>
        <w:t>OTORITAS JASA KEUANGAN</w:t>
      </w:r>
    </w:p>
    <w:p w14:paraId="0426E9C2" w14:textId="77777777" w:rsidR="00B60AB6" w:rsidRPr="00EB4FBC" w:rsidRDefault="00B60AB6" w:rsidP="00EB4FBC">
      <w:pPr>
        <w:spacing w:after="0" w:line="240" w:lineRule="auto"/>
        <w:ind w:left="13608"/>
        <w:rPr>
          <w:rFonts w:ascii="Bookman Old Style" w:eastAsia="Times New Roman" w:hAnsi="Bookman Old Style" w:cs="Arial"/>
          <w:sz w:val="20"/>
          <w:szCs w:val="20"/>
        </w:rPr>
      </w:pPr>
      <w:r w:rsidRPr="00EB4FBC">
        <w:rPr>
          <w:rFonts w:ascii="Bookman Old Style" w:eastAsia="Times New Roman" w:hAnsi="Bookman Old Style" w:cs="Arial"/>
          <w:sz w:val="20"/>
          <w:szCs w:val="20"/>
        </w:rPr>
        <w:t>REPUBLIK INDONESIA,</w:t>
      </w:r>
    </w:p>
    <w:p w14:paraId="63E27C55" w14:textId="77777777" w:rsidR="00B60AB6" w:rsidRPr="00EB4FBC" w:rsidRDefault="00B60AB6" w:rsidP="00EB4FBC">
      <w:pPr>
        <w:spacing w:after="0" w:line="240" w:lineRule="auto"/>
        <w:ind w:left="13608"/>
        <w:rPr>
          <w:rFonts w:ascii="Bookman Old Style" w:eastAsia="Times New Roman" w:hAnsi="Bookman Old Style" w:cs="Arial"/>
          <w:sz w:val="20"/>
          <w:szCs w:val="20"/>
        </w:rPr>
      </w:pPr>
    </w:p>
    <w:p w14:paraId="02C8C650" w14:textId="77777777" w:rsidR="00B60AB6" w:rsidRPr="00EB4FBC" w:rsidRDefault="00B60AB6" w:rsidP="00EB4FBC">
      <w:pPr>
        <w:spacing w:after="0" w:line="240" w:lineRule="auto"/>
        <w:ind w:left="13608"/>
        <w:rPr>
          <w:rFonts w:ascii="Bookman Old Style" w:eastAsia="Times New Roman" w:hAnsi="Bookman Old Style" w:cs="Arial"/>
          <w:sz w:val="20"/>
          <w:szCs w:val="20"/>
        </w:rPr>
      </w:pPr>
    </w:p>
    <w:p w14:paraId="6B6CA115" w14:textId="77777777" w:rsidR="00B60AB6" w:rsidRPr="00EB4FBC" w:rsidRDefault="00B60AB6" w:rsidP="00EB4FBC">
      <w:pPr>
        <w:spacing w:after="0" w:line="240" w:lineRule="auto"/>
        <w:ind w:left="13608"/>
        <w:rPr>
          <w:rFonts w:ascii="Bookman Old Style" w:eastAsia="Times New Roman" w:hAnsi="Bookman Old Style" w:cs="Arial"/>
          <w:sz w:val="20"/>
          <w:szCs w:val="20"/>
        </w:rPr>
      </w:pPr>
    </w:p>
    <w:p w14:paraId="416CA169" w14:textId="77777777" w:rsidR="00B60AB6" w:rsidRPr="00EB4FBC" w:rsidRDefault="00B60AB6" w:rsidP="00EB4FBC">
      <w:pPr>
        <w:spacing w:after="0" w:line="240" w:lineRule="auto"/>
        <w:ind w:left="13608"/>
        <w:rPr>
          <w:rFonts w:eastAsia="Times New Roman" w:cs="Arial"/>
          <w:sz w:val="20"/>
          <w:szCs w:val="20"/>
        </w:rPr>
      </w:pPr>
    </w:p>
    <w:p w14:paraId="6950AA36" w14:textId="7F791095" w:rsidR="00B60AB6" w:rsidRPr="00EB4FBC" w:rsidRDefault="00B60AB6" w:rsidP="00EB4FBC">
      <w:pPr>
        <w:tabs>
          <w:tab w:val="left" w:pos="1256"/>
        </w:tabs>
        <w:spacing w:after="0" w:line="240" w:lineRule="auto"/>
        <w:ind w:left="13608"/>
        <w:rPr>
          <w:rFonts w:ascii="Bookman Old Style" w:eastAsia="Bookman Old Style" w:hAnsi="Bookman Old Style" w:cs="Bookman Old Style"/>
          <w:sz w:val="20"/>
          <w:szCs w:val="20"/>
        </w:rPr>
      </w:pPr>
      <w:r w:rsidRPr="00EB4FBC">
        <w:rPr>
          <w:rFonts w:eastAsia="Times New Roman" w:cs="Arial"/>
          <w:sz w:val="20"/>
          <w:szCs w:val="20"/>
          <w:lang w:val="en-US"/>
        </w:rPr>
        <w:t>MAHENDRA SIREGAR</w:t>
      </w:r>
    </w:p>
    <w:tbl>
      <w:tblPr>
        <w:tblpPr w:leftFromText="180" w:rightFromText="180" w:vertAnchor="text" w:tblpY="1"/>
        <w:tblOverlap w:val="never"/>
        <w:tblW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gridCol w:w="3686"/>
        <w:gridCol w:w="3827"/>
      </w:tblGrid>
      <w:tr w:rsidR="00B03AEA" w:rsidRPr="00B03AEA" w14:paraId="4D4F1EA1" w14:textId="77777777" w:rsidTr="00B03AEA">
        <w:trPr>
          <w:trHeight w:val="564"/>
          <w:tblHeader/>
        </w:trPr>
        <w:tc>
          <w:tcPr>
            <w:tcW w:w="9634" w:type="dxa"/>
            <w:shd w:val="clear" w:color="auto" w:fill="FFFF00"/>
            <w:vAlign w:val="center"/>
          </w:tcPr>
          <w:p w14:paraId="15DB9109" w14:textId="6C5B168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Pr>
                <w:rFonts w:ascii="Bookman Old Style" w:eastAsia="Bookman Old Style" w:hAnsi="Bookman Old Style" w:cs="Bookman Old Style"/>
                <w:b/>
                <w:bCs/>
                <w:color w:val="000000" w:themeColor="text1"/>
                <w:sz w:val="20"/>
                <w:szCs w:val="20"/>
                <w:lang w:val="en-US"/>
              </w:rPr>
              <w:lastRenderedPageBreak/>
              <w:t>DRAFT PERATURAN</w:t>
            </w:r>
          </w:p>
        </w:tc>
        <w:tc>
          <w:tcPr>
            <w:tcW w:w="3686" w:type="dxa"/>
            <w:vMerge w:val="restart"/>
            <w:shd w:val="clear" w:color="auto" w:fill="FFFF00"/>
            <w:vAlign w:val="center"/>
          </w:tcPr>
          <w:p w14:paraId="2357CD14"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TANGGAPAN</w:t>
            </w:r>
          </w:p>
        </w:tc>
        <w:tc>
          <w:tcPr>
            <w:tcW w:w="3827" w:type="dxa"/>
            <w:vMerge w:val="restart"/>
            <w:shd w:val="clear" w:color="auto" w:fill="FFFF00"/>
            <w:vAlign w:val="center"/>
          </w:tcPr>
          <w:p w14:paraId="7A6344B0"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USULAN PERUBAHAN</w:t>
            </w:r>
          </w:p>
        </w:tc>
      </w:tr>
      <w:tr w:rsidR="00B03AEA" w:rsidRPr="00B03AEA" w14:paraId="0C8DB38B" w14:textId="77777777" w:rsidTr="00B03AEA">
        <w:trPr>
          <w:trHeight w:val="564"/>
          <w:tblHeader/>
        </w:trPr>
        <w:tc>
          <w:tcPr>
            <w:tcW w:w="9634" w:type="dxa"/>
            <w:shd w:val="clear" w:color="auto" w:fill="FFFF00"/>
            <w:vAlign w:val="center"/>
          </w:tcPr>
          <w:p w14:paraId="6F56E8B7" w14:textId="17EEAED3"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t>LAMPIRAN I</w:t>
            </w:r>
            <w:r w:rsidR="007A648D">
              <w:rPr>
                <w:rFonts w:ascii="Bookman Old Style" w:eastAsia="Bookman Old Style" w:hAnsi="Bookman Old Style" w:cs="Bookman Old Style"/>
                <w:b/>
                <w:bCs/>
                <w:color w:val="000000" w:themeColor="text1"/>
                <w:sz w:val="20"/>
                <w:szCs w:val="20"/>
                <w:lang w:val="en-US"/>
              </w:rPr>
              <w:t>V</w:t>
            </w:r>
          </w:p>
          <w:p w14:paraId="742AB9B3"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RANCANGAN</w:t>
            </w:r>
          </w:p>
          <w:p w14:paraId="262306BC"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PERATURAN OTORITAS JASA KEUANGAN</w:t>
            </w:r>
          </w:p>
          <w:p w14:paraId="28C613C5" w14:textId="77777777" w:rsidR="00B03AEA" w:rsidRPr="00B03AEA" w:rsidRDefault="00B03AEA" w:rsidP="00B03AEA">
            <w:pPr>
              <w:spacing w:after="0" w:line="240" w:lineRule="auto"/>
              <w:jc w:val="center"/>
              <w:rPr>
                <w:rFonts w:ascii="Bookman Old Style" w:hAnsi="Bookman Old Style"/>
                <w:color w:val="000000" w:themeColor="text1"/>
                <w:sz w:val="20"/>
                <w:szCs w:val="20"/>
              </w:rPr>
            </w:pPr>
            <w:r w:rsidRPr="00B03AEA">
              <w:rPr>
                <w:rFonts w:ascii="Bookman Old Style" w:hAnsi="Bookman Old Style"/>
                <w:color w:val="000000" w:themeColor="text1"/>
                <w:sz w:val="20"/>
                <w:szCs w:val="20"/>
              </w:rPr>
              <w:t xml:space="preserve">REPUBLIK </w:t>
            </w:r>
            <w:r w:rsidRPr="00B03AEA">
              <w:rPr>
                <w:rFonts w:ascii="Bookman Old Style" w:eastAsia="Bookman Old Style" w:hAnsi="Bookman Old Style" w:cs="Bookman Old Style"/>
                <w:color w:val="000000" w:themeColor="text1"/>
                <w:sz w:val="20"/>
                <w:szCs w:val="20"/>
              </w:rPr>
              <w:t>INDONESIA</w:t>
            </w:r>
          </w:p>
          <w:p w14:paraId="51F12C41"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p>
          <w:p w14:paraId="2C3BA297" w14:textId="77777777" w:rsidR="00B03AEA" w:rsidRPr="00B03AEA" w:rsidRDefault="00B03AEA" w:rsidP="00B03AEA">
            <w:pPr>
              <w:spacing w:after="0" w:line="240" w:lineRule="auto"/>
              <w:ind w:right="6"/>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NOMOR ... TAHUN 2024</w:t>
            </w:r>
          </w:p>
          <w:p w14:paraId="06D940B1" w14:textId="77777777" w:rsidR="00B03AEA" w:rsidRPr="00B03AEA" w:rsidRDefault="00B03AEA" w:rsidP="00B03AEA">
            <w:pPr>
              <w:spacing w:after="0" w:line="240" w:lineRule="auto"/>
              <w:jc w:val="center"/>
              <w:rPr>
                <w:rFonts w:ascii="Bookman Old Style" w:eastAsia="Bookman Old Style" w:hAnsi="Bookman Old Style" w:cs="Bookman Old Style"/>
                <w:color w:val="000000" w:themeColor="text1"/>
                <w:sz w:val="20"/>
                <w:szCs w:val="20"/>
              </w:rPr>
            </w:pPr>
            <w:r w:rsidRPr="00B03AEA">
              <w:rPr>
                <w:rFonts w:ascii="Bookman Old Style" w:eastAsia="Bookman Old Style" w:hAnsi="Bookman Old Style" w:cs="Bookman Old Style"/>
                <w:color w:val="000000" w:themeColor="text1"/>
                <w:sz w:val="20"/>
                <w:szCs w:val="20"/>
              </w:rPr>
              <w:t>TENTANG</w:t>
            </w:r>
          </w:p>
          <w:p w14:paraId="579384DD" w14:textId="77777777" w:rsidR="00B03AEA" w:rsidRPr="00B03AEA" w:rsidRDefault="00B03AEA" w:rsidP="00B03AEA">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 xml:space="preserve">KEWAJIBAN PEMENUHAN </w:t>
            </w:r>
          </w:p>
          <w:p w14:paraId="515D05D3" w14:textId="77777777" w:rsidR="00B03AEA" w:rsidRPr="00B03AEA" w:rsidRDefault="00B03AEA" w:rsidP="00B03AEA">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KECUKUPAN LIKUIDITAS (</w:t>
            </w:r>
            <w:r w:rsidRPr="00B03AEA">
              <w:rPr>
                <w:rFonts w:ascii="Bookman Old Style" w:hAnsi="Bookman Old Style"/>
                <w:i/>
                <w:color w:val="000000" w:themeColor="text1"/>
                <w:sz w:val="20"/>
                <w:szCs w:val="20"/>
                <w:lang w:val="sv-SE"/>
              </w:rPr>
              <w:t>LIQUIDITY COVERAGE RATIO</w:t>
            </w:r>
            <w:r w:rsidRPr="00B03AEA">
              <w:rPr>
                <w:rFonts w:ascii="Bookman Old Style" w:hAnsi="Bookman Old Style"/>
                <w:color w:val="000000" w:themeColor="text1"/>
                <w:sz w:val="20"/>
                <w:szCs w:val="20"/>
                <w:lang w:val="sv-SE"/>
              </w:rPr>
              <w:t xml:space="preserve">) DAN </w:t>
            </w:r>
          </w:p>
          <w:p w14:paraId="78B54CEF" w14:textId="77777777" w:rsidR="00B03AEA" w:rsidRPr="00B03AEA" w:rsidRDefault="00B03AEA" w:rsidP="00B03AEA">
            <w:pPr>
              <w:spacing w:after="0" w:line="240" w:lineRule="auto"/>
              <w:jc w:val="center"/>
              <w:rPr>
                <w:rFonts w:ascii="Bookman Old Style" w:hAnsi="Bookman Old Style"/>
                <w:color w:val="000000" w:themeColor="text1"/>
                <w:sz w:val="20"/>
                <w:szCs w:val="20"/>
                <w:lang w:val="sv-SE"/>
              </w:rPr>
            </w:pPr>
            <w:r w:rsidRPr="00B03AEA">
              <w:rPr>
                <w:rFonts w:ascii="Bookman Old Style" w:hAnsi="Bookman Old Style"/>
                <w:color w:val="000000" w:themeColor="text1"/>
                <w:sz w:val="20"/>
                <w:szCs w:val="20"/>
                <w:lang w:val="sv-SE"/>
              </w:rPr>
              <w:t>RASIO PENDANAAN STABIL BERSIH (</w:t>
            </w:r>
            <w:r w:rsidRPr="00B03AEA">
              <w:rPr>
                <w:rFonts w:ascii="Bookman Old Style" w:hAnsi="Bookman Old Style"/>
                <w:i/>
                <w:color w:val="000000" w:themeColor="text1"/>
                <w:sz w:val="20"/>
                <w:szCs w:val="20"/>
                <w:lang w:val="sv-SE"/>
              </w:rPr>
              <w:t>NET STABLE FUNDING RATIO)</w:t>
            </w:r>
            <w:r w:rsidRPr="00B03AEA">
              <w:rPr>
                <w:rFonts w:ascii="Bookman Old Style" w:hAnsi="Bookman Old Style"/>
                <w:color w:val="000000" w:themeColor="text1"/>
                <w:sz w:val="20"/>
                <w:szCs w:val="20"/>
                <w:lang w:val="sv-SE"/>
              </w:rPr>
              <w:t xml:space="preserve"> </w:t>
            </w:r>
          </w:p>
          <w:p w14:paraId="5E55727F"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hAnsi="Bookman Old Style"/>
                <w:color w:val="000000" w:themeColor="text1"/>
                <w:sz w:val="20"/>
                <w:szCs w:val="20"/>
                <w:lang w:val="sv-SE"/>
              </w:rPr>
              <w:t>BAGI BANK UMUM SYARIAH DAN UNIT USAHA SYARIAH</w:t>
            </w:r>
          </w:p>
        </w:tc>
        <w:tc>
          <w:tcPr>
            <w:tcW w:w="3686" w:type="dxa"/>
            <w:vMerge/>
            <w:shd w:val="clear" w:color="auto" w:fill="FFFF00"/>
            <w:vAlign w:val="center"/>
          </w:tcPr>
          <w:p w14:paraId="0F164DC7"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FFFF00"/>
            <w:vAlign w:val="center"/>
          </w:tcPr>
          <w:p w14:paraId="65B28463"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03AEA" w:rsidRPr="00B03AEA" w14:paraId="08B484D0" w14:textId="77777777" w:rsidTr="00B03AEA">
        <w:trPr>
          <w:trHeight w:val="564"/>
          <w:tblHeader/>
        </w:trPr>
        <w:tc>
          <w:tcPr>
            <w:tcW w:w="9634" w:type="dxa"/>
            <w:shd w:val="clear" w:color="auto" w:fill="auto"/>
            <w:vAlign w:val="center"/>
          </w:tcPr>
          <w:p w14:paraId="332D8C5A" w14:textId="77777777" w:rsidR="00B03AEA" w:rsidRPr="00B03AEA" w:rsidRDefault="00B03AEA" w:rsidP="00B03AEA">
            <w:pPr>
              <w:pStyle w:val="BodyText"/>
              <w:ind w:right="-1"/>
              <w:jc w:val="center"/>
              <w:rPr>
                <w:rFonts w:ascii="Bookman Old Style" w:hAnsi="Bookman Old Style"/>
                <w:sz w:val="20"/>
                <w:szCs w:val="20"/>
              </w:rPr>
            </w:pPr>
            <w:r w:rsidRPr="00B03AEA">
              <w:rPr>
                <w:rFonts w:ascii="Bookman Old Style" w:hAnsi="Bookman Old Style"/>
                <w:sz w:val="20"/>
                <w:szCs w:val="20"/>
              </w:rPr>
              <w:t>PEDOMAN PERHITUNGAN DAN PENYUSUNAN LAPORAN</w:t>
            </w:r>
          </w:p>
          <w:p w14:paraId="756E1CA7" w14:textId="03571619"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hAnsi="Bookman Old Style"/>
                <w:sz w:val="20"/>
                <w:szCs w:val="20"/>
                <w:lang w:val="en-US"/>
              </w:rPr>
              <w:t xml:space="preserve">RASIO </w:t>
            </w:r>
            <w:r>
              <w:rPr>
                <w:rFonts w:ascii="Bookman Old Style" w:hAnsi="Bookman Old Style"/>
                <w:sz w:val="20"/>
                <w:szCs w:val="20"/>
                <w:lang w:val="sv-SE"/>
              </w:rPr>
              <w:t>PENDANAAN STABIL BERISH (</w:t>
            </w:r>
            <w:r w:rsidRPr="00B03AEA">
              <w:rPr>
                <w:rFonts w:ascii="Bookman Old Style" w:hAnsi="Bookman Old Style"/>
                <w:i/>
                <w:sz w:val="20"/>
                <w:szCs w:val="20"/>
                <w:lang w:val="sv-SE"/>
              </w:rPr>
              <w:t>NET STABLE FUNDING RATIO</w:t>
            </w:r>
            <w:r>
              <w:rPr>
                <w:rFonts w:ascii="Bookman Old Style" w:hAnsi="Bookman Old Style"/>
                <w:sz w:val="20"/>
                <w:szCs w:val="20"/>
                <w:lang w:val="sv-SE"/>
              </w:rPr>
              <w:t>)</w:t>
            </w:r>
          </w:p>
        </w:tc>
        <w:tc>
          <w:tcPr>
            <w:tcW w:w="3686" w:type="dxa"/>
            <w:shd w:val="clear" w:color="auto" w:fill="auto"/>
            <w:vAlign w:val="center"/>
          </w:tcPr>
          <w:p w14:paraId="1C4E2935"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D8F9783" w14:textId="77777777" w:rsidR="00B03AEA" w:rsidRPr="00B03AEA" w:rsidRDefault="00B03AEA" w:rsidP="00B03AEA">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912BD" w:rsidRPr="00B03AEA" w14:paraId="7A392641" w14:textId="77777777" w:rsidTr="00B912BD">
        <w:trPr>
          <w:trHeight w:val="564"/>
          <w:tblHeader/>
        </w:trPr>
        <w:tc>
          <w:tcPr>
            <w:tcW w:w="9634" w:type="dxa"/>
            <w:shd w:val="clear" w:color="auto" w:fill="DBDBDB" w:themeFill="accent3" w:themeFillTint="66"/>
            <w:vAlign w:val="center"/>
          </w:tcPr>
          <w:p w14:paraId="564B21B0" w14:textId="468CA8F1" w:rsidR="00B912BD" w:rsidRPr="00B03AEA" w:rsidRDefault="00B912BD" w:rsidP="00A32F86">
            <w:pPr>
              <w:pStyle w:val="BodyText"/>
              <w:numPr>
                <w:ilvl w:val="3"/>
                <w:numId w:val="28"/>
              </w:numPr>
              <w:ind w:left="595" w:hanging="567"/>
              <w:rPr>
                <w:rFonts w:ascii="Bookman Old Style" w:hAnsi="Bookman Old Style"/>
                <w:sz w:val="20"/>
                <w:szCs w:val="20"/>
              </w:rPr>
            </w:pPr>
            <w:r w:rsidRPr="00B03AEA">
              <w:rPr>
                <w:rFonts w:ascii="Bookman Old Style" w:hAnsi="Bookman Old Style"/>
                <w:sz w:val="20"/>
                <w:szCs w:val="20"/>
              </w:rPr>
              <w:t>LATAR BELAKANG</w:t>
            </w:r>
          </w:p>
        </w:tc>
        <w:tc>
          <w:tcPr>
            <w:tcW w:w="3686" w:type="dxa"/>
            <w:shd w:val="clear" w:color="auto" w:fill="DBDBDB" w:themeFill="accent3" w:themeFillTint="66"/>
            <w:vAlign w:val="center"/>
          </w:tcPr>
          <w:p w14:paraId="1B584F5B"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25E9178C"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912BD" w:rsidRPr="00B03AEA" w14:paraId="7C4FE2ED" w14:textId="77777777" w:rsidTr="00B03AEA">
        <w:trPr>
          <w:trHeight w:val="564"/>
          <w:tblHeader/>
        </w:trPr>
        <w:tc>
          <w:tcPr>
            <w:tcW w:w="9634" w:type="dxa"/>
            <w:shd w:val="clear" w:color="auto" w:fill="auto"/>
            <w:vAlign w:val="center"/>
          </w:tcPr>
          <w:p w14:paraId="48AFAB08" w14:textId="77777777" w:rsidR="00B912BD" w:rsidRPr="00B912BD" w:rsidRDefault="00B912BD" w:rsidP="00B912BD">
            <w:pPr>
              <w:pStyle w:val="ListParagraph"/>
              <w:ind w:left="567" w:firstLine="567"/>
              <w:jc w:val="both"/>
              <w:rPr>
                <w:rFonts w:ascii="Bookman Old Style" w:eastAsia="Times New Roman" w:hAnsi="Bookman Old Style" w:cs="Arial"/>
                <w:sz w:val="20"/>
                <w:szCs w:val="20"/>
              </w:rPr>
            </w:pPr>
            <w:r w:rsidRPr="00B912BD">
              <w:rPr>
                <w:rFonts w:ascii="Bookman Old Style" w:eastAsia="Times New Roman" w:hAnsi="Bookman Old Style" w:cs="Arial"/>
                <w:sz w:val="20"/>
                <w:szCs w:val="20"/>
              </w:rPr>
              <w:t xml:space="preserve">Peran Bank dalam sistem keuangan menyebabkan Bank secara inheren terpapar terhadap risiko likuiditas. Pengalaman krisis keuangan global yang terjadi pada </w:t>
            </w:r>
            <w:r w:rsidRPr="00B912BD">
              <w:rPr>
                <w:rFonts w:ascii="Bookman Old Style" w:eastAsia="Times New Roman" w:hAnsi="Bookman Old Style" w:cs="Arial"/>
                <w:sz w:val="20"/>
                <w:szCs w:val="20"/>
                <w:lang w:val="en-US"/>
              </w:rPr>
              <w:t>beberapa tahun terakhir</w:t>
            </w:r>
            <w:r w:rsidRPr="00B912BD">
              <w:rPr>
                <w:rFonts w:ascii="Bookman Old Style" w:eastAsia="Times New Roman" w:hAnsi="Bookman Old Style" w:cs="Arial"/>
                <w:sz w:val="20"/>
                <w:szCs w:val="20"/>
              </w:rPr>
              <w:t xml:space="preserve"> menunjukkan bahwa meskipun permodalan Bank memadai namun apabila Bank tidak mengelola likuiditasnya secara berhati-hati maka dapat mengganggu kelangsungan usaha Bank. Kesulitan yang dihadapi sebagian besar Bank pada saat itu disebabkan antara lain oleh ketidakmampuan Bank dalam memenuhi standar terkait prinsip dasar pengukuran dan penerapan manajemen risiko likuiditas. Selain itu, aktivitas Bank berupa penerimaan pendanaan dengan jangka waktu tertentu dan penempatan pada aset dengan jangka waktu yang berbeda (</w:t>
            </w:r>
            <w:r w:rsidRPr="00B912BD">
              <w:rPr>
                <w:rFonts w:ascii="Bookman Old Style" w:eastAsia="Times New Roman" w:hAnsi="Bookman Old Style" w:cs="Arial"/>
                <w:i/>
                <w:sz w:val="20"/>
                <w:szCs w:val="20"/>
              </w:rPr>
              <w:t>maturity transformation</w:t>
            </w:r>
            <w:r w:rsidRPr="00B912BD">
              <w:rPr>
                <w:rFonts w:ascii="Bookman Old Style" w:eastAsia="Times New Roman" w:hAnsi="Bookman Old Style" w:cs="Arial"/>
                <w:sz w:val="20"/>
                <w:szCs w:val="20"/>
              </w:rPr>
              <w:t>) juga merupakan bagian penting dari kesinambungan proses intermediasi. Ketika Bank memiliki motivasi yang rendah dalam membatasi ketergantungan pada pendanaan yang tidak stabil, Bank cenderung bergantung pada sumber dana jangka pendek yang berasal dari nasabah korporasi yang murah dan berlimpah untuk meningkatkan pertumbuhan neraca Bank secara cepat.</w:t>
            </w:r>
          </w:p>
          <w:p w14:paraId="16412C6C" w14:textId="77777777" w:rsidR="00B912BD" w:rsidRPr="00B912BD" w:rsidRDefault="00B912BD" w:rsidP="00B912BD">
            <w:pPr>
              <w:pStyle w:val="ListParagraph"/>
              <w:ind w:left="567" w:firstLine="567"/>
              <w:jc w:val="both"/>
              <w:rPr>
                <w:rFonts w:ascii="Bookman Old Style" w:eastAsia="Times New Roman" w:hAnsi="Bookman Old Style" w:cs="Arial"/>
                <w:sz w:val="20"/>
                <w:szCs w:val="20"/>
              </w:rPr>
            </w:pPr>
            <w:r w:rsidRPr="00B912BD">
              <w:rPr>
                <w:rFonts w:ascii="Bookman Old Style" w:eastAsia="Times New Roman" w:hAnsi="Bookman Old Style" w:cs="Arial"/>
                <w:sz w:val="20"/>
                <w:szCs w:val="20"/>
                <w:lang w:val="en-US"/>
              </w:rPr>
              <w:t xml:space="preserve">Aset </w:t>
            </w:r>
            <w:r w:rsidRPr="00B912BD">
              <w:rPr>
                <w:rFonts w:ascii="Bookman Old Style" w:eastAsia="Times New Roman" w:hAnsi="Bookman Old Style" w:cs="Arial"/>
                <w:sz w:val="20"/>
                <w:szCs w:val="20"/>
              </w:rPr>
              <w:t xml:space="preserve">Bank yang tumbuh secara cepat dan ketergantungan Bank pada sumber dana yang tidak stabil dapat mengakibatkan Bank tidak mampu memenuhi kewajiban (insolvensi) dan dapat menurunkan kemampuan Bank dalam menghadapi kesulitan likuiditas. Hal tersebut dapat menyebabkan Bank terkena dampak sistemik ketika Bank </w:t>
            </w:r>
            <w:r w:rsidRPr="00B912BD">
              <w:rPr>
                <w:rFonts w:ascii="Bookman Old Style" w:eastAsia="Times New Roman" w:hAnsi="Bookman Old Style" w:cs="Arial"/>
                <w:sz w:val="20"/>
                <w:szCs w:val="20"/>
              </w:rPr>
              <w:lastRenderedPageBreak/>
              <w:t>gagal memperhitungkan dampak yang timbul akibat terdapat rentang (</w:t>
            </w:r>
            <w:r w:rsidRPr="00B912BD">
              <w:rPr>
                <w:rFonts w:ascii="Bookman Old Style" w:eastAsia="Times New Roman" w:hAnsi="Bookman Old Style" w:cs="Arial"/>
                <w:i/>
                <w:sz w:val="20"/>
                <w:szCs w:val="20"/>
              </w:rPr>
              <w:t>gap</w:t>
            </w:r>
            <w:r w:rsidRPr="00B912BD">
              <w:rPr>
                <w:rFonts w:ascii="Bookman Old Style" w:eastAsia="Times New Roman" w:hAnsi="Bookman Old Style" w:cs="Arial"/>
                <w:sz w:val="20"/>
                <w:szCs w:val="20"/>
              </w:rPr>
              <w:t>) pendanaan yang besar. Keterkaitan yang tinggi antar sistem keuangan cenderung dapat memperburuk dampak sistemik tersebut.</w:t>
            </w:r>
          </w:p>
          <w:p w14:paraId="1A3C12FD" w14:textId="63D8A940" w:rsidR="00B912BD" w:rsidRPr="00B912BD" w:rsidRDefault="00B912BD" w:rsidP="00B912BD">
            <w:pPr>
              <w:pStyle w:val="ListParagraph"/>
              <w:ind w:left="567" w:firstLine="567"/>
              <w:jc w:val="both"/>
              <w:rPr>
                <w:rFonts w:ascii="Bookman Old Style" w:hAnsi="Bookman Old Style"/>
                <w:sz w:val="20"/>
                <w:szCs w:val="20"/>
                <w:lang w:val="en-US"/>
              </w:rPr>
            </w:pPr>
            <w:r w:rsidRPr="00B912BD">
              <w:rPr>
                <w:rFonts w:ascii="Bookman Old Style" w:eastAsia="Times New Roman" w:hAnsi="Bookman Old Style" w:cs="Arial"/>
                <w:sz w:val="20"/>
                <w:szCs w:val="20"/>
              </w:rPr>
              <w:t>Sebagai respon atas kondisi di atas, BCBS pada tahun 2008 menerbitkan Princi</w:t>
            </w:r>
            <w:r w:rsidRPr="00B912BD">
              <w:rPr>
                <w:rFonts w:ascii="Bookman Old Style" w:eastAsia="Times New Roman" w:hAnsi="Bookman Old Style" w:cs="Arial"/>
                <w:i/>
                <w:sz w:val="20"/>
                <w:szCs w:val="20"/>
              </w:rPr>
              <w:t>ples for Sound Liquidity Risk Management and Supervision</w:t>
            </w:r>
            <w:r w:rsidRPr="00B912BD">
              <w:rPr>
                <w:rFonts w:ascii="Bookman Old Style" w:eastAsia="Times New Roman" w:hAnsi="Bookman Old Style" w:cs="Arial"/>
                <w:sz w:val="20"/>
                <w:szCs w:val="20"/>
              </w:rPr>
              <w:t xml:space="preserve"> serta memperkuat kerangka penilaian likuiditas dengan mengembangkan dua standar pengukuran risiko likuiditas dengan tujuan yang berbeda, namun saling melengkapi</w:t>
            </w:r>
            <w:r w:rsidRPr="00B912BD">
              <w:rPr>
                <w:rFonts w:ascii="Bookman Old Style" w:eastAsia="Times New Roman" w:hAnsi="Bookman Old Style" w:cs="Arial"/>
                <w:sz w:val="20"/>
                <w:szCs w:val="20"/>
                <w:lang w:val="en-US"/>
              </w:rPr>
              <w:t xml:space="preserve">, </w:t>
            </w:r>
            <w:r w:rsidRPr="00B912BD">
              <w:rPr>
                <w:rFonts w:ascii="Bookman Old Style" w:eastAsia="Times New Roman" w:hAnsi="Bookman Old Style" w:cs="Arial"/>
                <w:sz w:val="20"/>
                <w:szCs w:val="20"/>
              </w:rPr>
              <w:t xml:space="preserve">yaitu </w:t>
            </w:r>
            <w:r w:rsidRPr="00B912BD">
              <w:rPr>
                <w:rFonts w:ascii="Bookman Old Style" w:eastAsia="Times New Roman" w:hAnsi="Bookman Old Style" w:cs="Arial"/>
                <w:i/>
                <w:sz w:val="20"/>
                <w:szCs w:val="20"/>
              </w:rPr>
              <w:t>Liquidity Coverage Ratio</w:t>
            </w:r>
            <w:r w:rsidRPr="00B912BD">
              <w:rPr>
                <w:rFonts w:ascii="Bookman Old Style" w:eastAsia="Times New Roman" w:hAnsi="Bookman Old Style" w:cs="Arial"/>
                <w:sz w:val="20"/>
                <w:szCs w:val="20"/>
              </w:rPr>
              <w:t xml:space="preserve"> (LCR) </w:t>
            </w:r>
            <w:r w:rsidRPr="00B912BD">
              <w:rPr>
                <w:rFonts w:ascii="Bookman Old Style" w:eastAsia="Times New Roman" w:hAnsi="Bookman Old Style" w:cs="Arial"/>
                <w:sz w:val="20"/>
                <w:szCs w:val="20"/>
                <w:lang w:val="en-US"/>
              </w:rPr>
              <w:t xml:space="preserve">dan </w:t>
            </w:r>
            <w:r w:rsidRPr="00B912BD">
              <w:rPr>
                <w:rFonts w:ascii="Bookman Old Style" w:eastAsia="Times New Roman" w:hAnsi="Bookman Old Style" w:cs="Arial"/>
                <w:i/>
                <w:sz w:val="20"/>
                <w:szCs w:val="20"/>
              </w:rPr>
              <w:t>Net Stable Funding Ratio</w:t>
            </w:r>
            <w:r w:rsidRPr="00B912BD">
              <w:rPr>
                <w:rFonts w:ascii="Bookman Old Style" w:eastAsia="Times New Roman" w:hAnsi="Bookman Old Style" w:cs="Arial"/>
                <w:sz w:val="20"/>
                <w:szCs w:val="20"/>
              </w:rPr>
              <w:t xml:space="preserve"> (NSFR)</w:t>
            </w:r>
            <w:r w:rsidRPr="00B912BD">
              <w:rPr>
                <w:rFonts w:ascii="Bookman Old Style" w:eastAsia="Times New Roman" w:hAnsi="Bookman Old Style" w:cs="Arial"/>
                <w:sz w:val="20"/>
                <w:szCs w:val="20"/>
                <w:lang w:val="en-US"/>
              </w:rPr>
              <w:t xml:space="preserve">. </w:t>
            </w:r>
            <w:r w:rsidRPr="00B912BD">
              <w:rPr>
                <w:rFonts w:ascii="Bookman Old Style" w:hAnsi="Bookman Old Style" w:cs="Times New Roman"/>
                <w:sz w:val="20"/>
                <w:szCs w:val="20"/>
                <w:lang w:val="en-US"/>
              </w:rPr>
              <w:t>Pada tahun 2010, LCR diintegrasikan ke dalam Basel III:</w:t>
            </w:r>
            <w:r>
              <w:rPr>
                <w:rFonts w:ascii="Bookman Old Style" w:hAnsi="Bookman Old Style" w:cs="Times New Roman"/>
                <w:sz w:val="20"/>
                <w:szCs w:val="20"/>
                <w:lang w:val="en-US"/>
              </w:rPr>
              <w:t xml:space="preserve"> </w:t>
            </w:r>
            <w:r w:rsidRPr="00B912BD">
              <w:rPr>
                <w:rFonts w:ascii="Bookman Old Style" w:hAnsi="Bookman Old Style" w:cs="Segoe UI"/>
                <w:i/>
                <w:sz w:val="20"/>
                <w:szCs w:val="20"/>
              </w:rPr>
              <w:t>A Global Regulatory Framework For More Resilient Banks And Banking Systems</w:t>
            </w:r>
            <w:r w:rsidRPr="00B912BD">
              <w:rPr>
                <w:rFonts w:ascii="Bookman Old Style" w:hAnsi="Bookman Old Style" w:cs="Times New Roman"/>
                <w:sz w:val="20"/>
                <w:szCs w:val="20"/>
                <w:lang w:val="en-US"/>
              </w:rPr>
              <w:t xml:space="preserve">. </w:t>
            </w:r>
            <w:r w:rsidRPr="00B912BD">
              <w:rPr>
                <w:rFonts w:ascii="Bookman Old Style" w:hAnsi="Bookman Old Style"/>
                <w:iCs/>
                <w:sz w:val="20"/>
                <w:szCs w:val="20"/>
                <w:lang w:val="en-US"/>
              </w:rPr>
              <w:t xml:space="preserve">Standar ini kemudian </w:t>
            </w:r>
            <w:r w:rsidRPr="00B912BD">
              <w:rPr>
                <w:rFonts w:ascii="Bookman Old Style" w:hAnsi="Bookman Old Style" w:cs="Times New Roman"/>
                <w:sz w:val="20"/>
                <w:szCs w:val="20"/>
                <w:lang w:val="en-US"/>
              </w:rPr>
              <w:t>diperbarui pada tahun 2013 melalui Basel III:</w:t>
            </w:r>
            <w:r>
              <w:rPr>
                <w:rFonts w:ascii="Bookman Old Style" w:hAnsi="Bookman Old Style" w:cs="Times New Roman"/>
                <w:sz w:val="20"/>
                <w:szCs w:val="20"/>
                <w:lang w:val="en-US"/>
              </w:rPr>
              <w:t xml:space="preserve"> </w:t>
            </w:r>
            <w:r w:rsidRPr="00B912BD">
              <w:rPr>
                <w:rFonts w:ascii="Bookman Old Style" w:hAnsi="Bookman Old Style"/>
                <w:i/>
                <w:iCs/>
                <w:sz w:val="20"/>
                <w:szCs w:val="20"/>
              </w:rPr>
              <w:t>The Liquidity Coverage Ratio and Liquidity Risk Monitoring Tools</w:t>
            </w:r>
            <w:r w:rsidRPr="00B912BD">
              <w:rPr>
                <w:rFonts w:ascii="Bookman Old Style" w:hAnsi="Bookman Old Style"/>
                <w:iCs/>
                <w:sz w:val="20"/>
                <w:szCs w:val="20"/>
                <w:lang w:val="en-US"/>
              </w:rPr>
              <w:t>,</w:t>
            </w:r>
            <w:r w:rsidRPr="00B912BD">
              <w:rPr>
                <w:rFonts w:ascii="Bookman Old Style" w:hAnsi="Bookman Old Style"/>
                <w:i/>
                <w:iCs/>
                <w:sz w:val="20"/>
                <w:szCs w:val="20"/>
              </w:rPr>
              <w:t xml:space="preserve"> </w:t>
            </w:r>
            <w:r w:rsidRPr="00B912BD">
              <w:rPr>
                <w:rFonts w:ascii="Bookman Old Style" w:hAnsi="Bookman Old Style"/>
                <w:iCs/>
                <w:sz w:val="20"/>
                <w:szCs w:val="20"/>
                <w:lang w:val="en-US"/>
              </w:rPr>
              <w:t>dan disempurnakan kembali pada</w:t>
            </w:r>
            <w:r w:rsidRPr="00B912BD">
              <w:rPr>
                <w:rFonts w:ascii="Bookman Old Style" w:hAnsi="Bookman Old Style"/>
                <w:sz w:val="20"/>
                <w:szCs w:val="20"/>
              </w:rPr>
              <w:t xml:space="preserve"> </w:t>
            </w:r>
            <w:r w:rsidRPr="00B912BD">
              <w:rPr>
                <w:rFonts w:ascii="Bookman Old Style" w:hAnsi="Bookman Old Style"/>
                <w:sz w:val="20"/>
                <w:szCs w:val="20"/>
                <w:lang w:val="en-US"/>
              </w:rPr>
              <w:t xml:space="preserve">tahun 2019 melalui Basel III: </w:t>
            </w:r>
            <w:r w:rsidRPr="00B912BD">
              <w:rPr>
                <w:rFonts w:ascii="Bookman Old Style" w:hAnsi="Bookman Old Style"/>
                <w:i/>
                <w:iCs/>
                <w:sz w:val="20"/>
                <w:szCs w:val="20"/>
              </w:rPr>
              <w:t>Liquidity Coverage Ratio</w:t>
            </w:r>
            <w:r w:rsidRPr="00B912BD">
              <w:rPr>
                <w:rFonts w:ascii="Bookman Old Style" w:hAnsi="Bookman Old Style"/>
                <w:iCs/>
                <w:sz w:val="20"/>
                <w:szCs w:val="20"/>
                <w:lang w:val="en-US"/>
              </w:rPr>
              <w:t xml:space="preserve"> (LCR)</w:t>
            </w:r>
            <w:r w:rsidRPr="00B912BD">
              <w:rPr>
                <w:rFonts w:ascii="Bookman Old Style" w:hAnsi="Bookman Old Style"/>
                <w:sz w:val="20"/>
                <w:szCs w:val="20"/>
                <w:lang w:val="en-US"/>
              </w:rPr>
              <w:t xml:space="preserve">. Selanjutnya, </w:t>
            </w:r>
            <w:r w:rsidRPr="00B912BD">
              <w:rPr>
                <w:rFonts w:ascii="Bookman Old Style" w:hAnsi="Bookman Old Style"/>
                <w:i/>
                <w:sz w:val="20"/>
                <w:szCs w:val="20"/>
              </w:rPr>
              <w:t xml:space="preserve">Islamic Financial Services Board </w:t>
            </w:r>
            <w:r w:rsidRPr="00B912BD">
              <w:rPr>
                <w:rFonts w:ascii="Bookman Old Style" w:hAnsi="Bookman Old Style"/>
                <w:sz w:val="20"/>
                <w:szCs w:val="20"/>
              </w:rPr>
              <w:t>(IFSB</w:t>
            </w:r>
            <w:r w:rsidRPr="00B912BD">
              <w:rPr>
                <w:rFonts w:ascii="Bookman Old Style" w:hAnsi="Bookman Old Style"/>
                <w:sz w:val="20"/>
                <w:szCs w:val="20"/>
                <w:lang w:val="en-US"/>
              </w:rPr>
              <w:t>) juga menerbitkan</w:t>
            </w:r>
            <w:r w:rsidRPr="00B912BD">
              <w:rPr>
                <w:rFonts w:ascii="Bookman Old Style" w:hAnsi="Bookman Old Style"/>
                <w:sz w:val="20"/>
                <w:szCs w:val="20"/>
              </w:rPr>
              <w:t xml:space="preserve"> </w:t>
            </w:r>
            <w:r w:rsidRPr="00B912BD">
              <w:rPr>
                <w:rFonts w:ascii="Bookman Old Style" w:hAnsi="Bookman Old Style"/>
                <w:i/>
                <w:sz w:val="20"/>
                <w:szCs w:val="20"/>
              </w:rPr>
              <w:t>Guidance Note in Quantitative Measures For Liquidity Risk Management in Institutions Offering Islamic Financial Services (Excluding Islamic Insurance [Takaful] Institutions and Islamic Collective Investment Schemes)</w:t>
            </w:r>
            <w:r w:rsidRPr="00B912BD">
              <w:rPr>
                <w:rFonts w:ascii="Bookman Old Style" w:hAnsi="Bookman Old Style"/>
                <w:sz w:val="20"/>
                <w:szCs w:val="20"/>
              </w:rPr>
              <w:t xml:space="preserve"> (GN-6)</w:t>
            </w:r>
            <w:r w:rsidRPr="00B912BD">
              <w:rPr>
                <w:rFonts w:ascii="Bookman Old Style" w:hAnsi="Bookman Old Style"/>
                <w:sz w:val="20"/>
                <w:szCs w:val="20"/>
                <w:lang w:val="en-US"/>
              </w:rPr>
              <w:t xml:space="preserve">. </w:t>
            </w:r>
          </w:p>
          <w:p w14:paraId="3FEE2436" w14:textId="7F2A70F3" w:rsidR="00B912BD" w:rsidRPr="00B912BD" w:rsidRDefault="00B912BD" w:rsidP="00B912BD">
            <w:pPr>
              <w:pStyle w:val="ListParagraph"/>
              <w:ind w:left="567" w:firstLine="567"/>
              <w:jc w:val="both"/>
              <w:rPr>
                <w:rFonts w:ascii="Bookman Old Style" w:hAnsi="Bookman Old Style"/>
                <w:sz w:val="20"/>
                <w:szCs w:val="20"/>
                <w:lang w:val="en-US"/>
              </w:rPr>
            </w:pPr>
            <w:r w:rsidRPr="00B912BD">
              <w:rPr>
                <w:rFonts w:ascii="Bookman Old Style" w:eastAsia="Times New Roman" w:hAnsi="Bookman Old Style" w:cs="Arial"/>
                <w:sz w:val="20"/>
                <w:szCs w:val="20"/>
                <w:lang w:val="en-US"/>
              </w:rPr>
              <w:t>Pengukuran NSFR</w:t>
            </w:r>
            <w:r w:rsidRPr="00B912BD">
              <w:rPr>
                <w:rFonts w:ascii="Bookman Old Style" w:eastAsia="Times New Roman" w:hAnsi="Bookman Old Style" w:cs="Arial"/>
                <w:sz w:val="20"/>
                <w:szCs w:val="20"/>
              </w:rPr>
              <w:t xml:space="preserve"> bertujuan mengurangi risiko likuiditas terkait sumber pendanaan untuk jangka waktu yang lebih panjang dengan mensyaratkan Bank mendanai aktivitas dengan sumber dana stabil yang memadai dalam rangka memitigasi risiko kesulitan pendanaan pada masa depan. NSFR juga bertujuan untuk membatasi ketergantungan pada pendanaan korporasi jangka pendek, mendorong penilaian risiko likuiditas terkait pendanaan yang lebih baik untuk seluruh posisi </w:t>
            </w:r>
            <w:r w:rsidRPr="00B912BD">
              <w:rPr>
                <w:rFonts w:ascii="Bookman Old Style" w:eastAsia="Times New Roman" w:hAnsi="Bookman Old Style" w:cs="Arial"/>
                <w:sz w:val="20"/>
                <w:szCs w:val="20"/>
                <w:lang w:val="en-US"/>
              </w:rPr>
              <w:t>laporan posisi keuangan</w:t>
            </w:r>
            <w:r w:rsidRPr="00B912BD">
              <w:rPr>
                <w:rFonts w:ascii="Bookman Old Style" w:eastAsia="Times New Roman" w:hAnsi="Bookman Old Style" w:cs="Arial"/>
                <w:sz w:val="20"/>
                <w:szCs w:val="20"/>
              </w:rPr>
              <w:t xml:space="preserve"> dan rekening administratif, dan mendorong pendanaan yang stabil.</w:t>
            </w:r>
            <w:r w:rsidRPr="00B912BD">
              <w:rPr>
                <w:rFonts w:ascii="Bookman Old Style" w:eastAsia="Times New Roman" w:hAnsi="Bookman Old Style" w:cs="Arial"/>
                <w:sz w:val="20"/>
                <w:szCs w:val="20"/>
                <w:lang w:val="en-US"/>
              </w:rPr>
              <w:t xml:space="preserve"> </w:t>
            </w:r>
            <w:r w:rsidRPr="00B912BD">
              <w:rPr>
                <w:rFonts w:ascii="Bookman Old Style" w:eastAsia="Times New Roman" w:hAnsi="Bookman Old Style" w:cs="Arial"/>
                <w:sz w:val="20"/>
                <w:szCs w:val="20"/>
              </w:rPr>
              <w:t>Struktur pendanaan yang stabil bertujuan untuk mengurangi masalah pada sumber pendanaan Bank yang dapat mengganggu posisi likuiditas Bank dan berpotensi menyebabkan terjadinya stres sistemik yang lebih luas. Penerapan kedua standar tersebut secara bersama-sama akan dapat meningkatkan ketahanan Bank terhadap stres likuiditas, mendukung profil pendanaan yang lebih stabil, dan secara keseluruhan meningkatkan penerapan manajemen risiko likuiditas.</w:t>
            </w:r>
          </w:p>
        </w:tc>
        <w:tc>
          <w:tcPr>
            <w:tcW w:w="3686" w:type="dxa"/>
            <w:shd w:val="clear" w:color="auto" w:fill="auto"/>
            <w:vAlign w:val="center"/>
          </w:tcPr>
          <w:p w14:paraId="2DF00D8D"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D449D35"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912BD" w:rsidRPr="00B03AEA" w14:paraId="648ABD35" w14:textId="77777777" w:rsidTr="006A283D">
        <w:trPr>
          <w:trHeight w:val="564"/>
          <w:tblHeader/>
        </w:trPr>
        <w:tc>
          <w:tcPr>
            <w:tcW w:w="9634" w:type="dxa"/>
            <w:shd w:val="clear" w:color="auto" w:fill="DBDBDB" w:themeFill="accent3" w:themeFillTint="66"/>
            <w:vAlign w:val="center"/>
          </w:tcPr>
          <w:p w14:paraId="1CCF6B73" w14:textId="7BB5EB3D" w:rsidR="00B912BD" w:rsidRPr="00B03AEA" w:rsidRDefault="00B912BD" w:rsidP="00A32F86">
            <w:pPr>
              <w:pStyle w:val="BodyText"/>
              <w:numPr>
                <w:ilvl w:val="3"/>
                <w:numId w:val="28"/>
              </w:numPr>
              <w:ind w:left="595" w:hanging="567"/>
              <w:rPr>
                <w:rFonts w:ascii="Bookman Old Style" w:hAnsi="Bookman Old Style"/>
                <w:sz w:val="20"/>
                <w:szCs w:val="20"/>
              </w:rPr>
            </w:pPr>
            <w:r w:rsidRPr="00B912BD">
              <w:rPr>
                <w:rFonts w:ascii="Bookman Old Style" w:hAnsi="Bookman Old Style"/>
                <w:sz w:val="20"/>
                <w:szCs w:val="20"/>
              </w:rPr>
              <w:t>UMUM</w:t>
            </w:r>
          </w:p>
        </w:tc>
        <w:tc>
          <w:tcPr>
            <w:tcW w:w="3686" w:type="dxa"/>
            <w:shd w:val="clear" w:color="auto" w:fill="DBDBDB" w:themeFill="accent3" w:themeFillTint="66"/>
            <w:vAlign w:val="center"/>
          </w:tcPr>
          <w:p w14:paraId="5C59D645"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7D7DF772"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912BD" w:rsidRPr="00B03AEA" w14:paraId="192FED9D" w14:textId="77777777" w:rsidTr="00B03AEA">
        <w:trPr>
          <w:trHeight w:val="564"/>
          <w:tblHeader/>
        </w:trPr>
        <w:tc>
          <w:tcPr>
            <w:tcW w:w="9634" w:type="dxa"/>
            <w:shd w:val="clear" w:color="auto" w:fill="auto"/>
            <w:vAlign w:val="center"/>
          </w:tcPr>
          <w:p w14:paraId="5336C7DA" w14:textId="77777777" w:rsidR="006A283D" w:rsidRPr="00E971A9" w:rsidRDefault="006A283D" w:rsidP="00A32F86">
            <w:pPr>
              <w:pStyle w:val="ListParagraph"/>
              <w:numPr>
                <w:ilvl w:val="0"/>
                <w:numId w:val="134"/>
              </w:numPr>
              <w:spacing w:after="0" w:line="240" w:lineRule="auto"/>
              <w:ind w:left="1134" w:hanging="567"/>
              <w:jc w:val="both"/>
              <w:rPr>
                <w:rFonts w:eastAsia="Times New Roman" w:cs="Arial"/>
                <w:sz w:val="24"/>
                <w:szCs w:val="24"/>
              </w:rPr>
            </w:pPr>
            <w:r w:rsidRPr="00E971A9">
              <w:rPr>
                <w:rFonts w:eastAsia="Times New Roman" w:cs="Arial"/>
                <w:sz w:val="24"/>
                <w:szCs w:val="24"/>
              </w:rPr>
              <w:t>NSFR didefinisikan sebagai perbandingan antara Pendanaan Stabil yang Tersedia (</w:t>
            </w:r>
            <w:r w:rsidRPr="00E971A9">
              <w:rPr>
                <w:rFonts w:eastAsia="Times New Roman" w:cs="Arial"/>
                <w:i/>
                <w:sz w:val="24"/>
                <w:szCs w:val="24"/>
              </w:rPr>
              <w:t>Available Stable Funding</w:t>
            </w:r>
            <w:r w:rsidRPr="00E971A9">
              <w:rPr>
                <w:rFonts w:eastAsia="Times New Roman" w:cs="Arial"/>
                <w:sz w:val="24"/>
                <w:szCs w:val="24"/>
              </w:rPr>
              <w:t>) yang selanjutnya disingkat ASF, dengan Pendanaan Stabil yang Diperlukan (</w:t>
            </w:r>
            <w:r w:rsidRPr="00E971A9">
              <w:rPr>
                <w:rFonts w:eastAsia="Times New Roman" w:cs="Arial"/>
                <w:i/>
                <w:sz w:val="24"/>
                <w:szCs w:val="24"/>
              </w:rPr>
              <w:t>Required Stable Funding</w:t>
            </w:r>
            <w:r w:rsidRPr="00E971A9">
              <w:rPr>
                <w:rFonts w:eastAsia="Times New Roman" w:cs="Arial"/>
                <w:sz w:val="24"/>
                <w:szCs w:val="24"/>
              </w:rPr>
              <w:t>) yang selanjutnya disingkat RSF.</w:t>
            </w:r>
          </w:p>
          <w:p w14:paraId="779DDF77" w14:textId="77777777" w:rsidR="006A283D" w:rsidRPr="00E971A9" w:rsidRDefault="006A283D" w:rsidP="00A32F86">
            <w:pPr>
              <w:pStyle w:val="ListParagraph"/>
              <w:numPr>
                <w:ilvl w:val="0"/>
                <w:numId w:val="134"/>
              </w:numPr>
              <w:spacing w:after="0" w:line="240" w:lineRule="auto"/>
              <w:ind w:left="1134" w:hanging="567"/>
              <w:jc w:val="both"/>
              <w:rPr>
                <w:rFonts w:eastAsia="Times New Roman" w:cs="Arial"/>
                <w:sz w:val="24"/>
                <w:szCs w:val="24"/>
              </w:rPr>
            </w:pPr>
            <w:r w:rsidRPr="00E971A9">
              <w:rPr>
                <w:rFonts w:eastAsia="Times New Roman" w:cs="Arial"/>
                <w:sz w:val="24"/>
                <w:szCs w:val="24"/>
              </w:rPr>
              <w:lastRenderedPageBreak/>
              <w:t>Nilai NSFR yang wajib dipenuhi Bank adalah paling rendah sebesar 100% (seratus persen).</w:t>
            </w:r>
          </w:p>
          <w:p w14:paraId="7E92E04C" w14:textId="77777777" w:rsidR="006A283D" w:rsidRPr="00E971A9" w:rsidRDefault="006A283D" w:rsidP="00A32F86">
            <w:pPr>
              <w:pStyle w:val="ListParagraph"/>
              <w:numPr>
                <w:ilvl w:val="0"/>
                <w:numId w:val="134"/>
              </w:numPr>
              <w:spacing w:after="0" w:line="240" w:lineRule="auto"/>
              <w:ind w:left="1134" w:hanging="567"/>
              <w:jc w:val="both"/>
              <w:rPr>
                <w:rFonts w:eastAsia="Times New Roman" w:cs="Arial"/>
                <w:sz w:val="24"/>
                <w:szCs w:val="24"/>
              </w:rPr>
            </w:pPr>
            <w:r w:rsidRPr="00E971A9">
              <w:rPr>
                <w:noProof/>
                <w:sz w:val="24"/>
                <w:szCs w:val="24"/>
              </w:rPr>
              <w:drawing>
                <wp:anchor distT="0" distB="0" distL="0" distR="0" simplePos="0" relativeHeight="251659264" behindDoc="1" locked="0" layoutInCell="1" allowOverlap="1" wp14:anchorId="79EEF2ED" wp14:editId="5EEA69F4">
                  <wp:simplePos x="0" y="0"/>
                  <wp:positionH relativeFrom="page">
                    <wp:posOffset>2297099</wp:posOffset>
                  </wp:positionH>
                  <wp:positionV relativeFrom="paragraph">
                    <wp:posOffset>210544</wp:posOffset>
                  </wp:positionV>
                  <wp:extent cx="1470991" cy="2946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70991" cy="294630"/>
                          </a:xfrm>
                          <a:prstGeom prst="rect">
                            <a:avLst/>
                          </a:prstGeom>
                        </pic:spPr>
                      </pic:pic>
                    </a:graphicData>
                  </a:graphic>
                  <wp14:sizeRelH relativeFrom="margin">
                    <wp14:pctWidth>0</wp14:pctWidth>
                  </wp14:sizeRelH>
                  <wp14:sizeRelV relativeFrom="margin">
                    <wp14:pctHeight>0</wp14:pctHeight>
                  </wp14:sizeRelV>
                </wp:anchor>
              </w:drawing>
            </w:r>
            <w:r w:rsidRPr="00E971A9">
              <w:rPr>
                <w:rFonts w:eastAsia="Times New Roman" w:cs="Arial"/>
                <w:sz w:val="24"/>
                <w:szCs w:val="24"/>
              </w:rPr>
              <w:t>Nilai NSFR dapat dihitung dengan menggunakan formula sebagai berikut:</w:t>
            </w:r>
          </w:p>
          <w:p w14:paraId="63B3BE6A" w14:textId="77777777" w:rsidR="006A283D" w:rsidRPr="00E971A9" w:rsidRDefault="006A283D" w:rsidP="006A283D">
            <w:pPr>
              <w:pStyle w:val="ListParagraph"/>
              <w:ind w:left="1134"/>
              <w:rPr>
                <w:rFonts w:eastAsia="Times New Roman" w:cs="Arial"/>
                <w:sz w:val="24"/>
                <w:szCs w:val="24"/>
              </w:rPr>
            </w:pPr>
          </w:p>
          <w:p w14:paraId="42C5C545" w14:textId="019CDDA0" w:rsidR="00B912BD" w:rsidRPr="00E971A9" w:rsidRDefault="006A283D" w:rsidP="00A32F86">
            <w:pPr>
              <w:pStyle w:val="ListParagraph"/>
              <w:numPr>
                <w:ilvl w:val="0"/>
                <w:numId w:val="134"/>
              </w:numPr>
              <w:spacing w:after="0" w:line="240" w:lineRule="auto"/>
              <w:ind w:left="1134" w:hanging="567"/>
              <w:jc w:val="both"/>
              <w:rPr>
                <w:rFonts w:cs="Arial"/>
              </w:rPr>
            </w:pPr>
            <w:r w:rsidRPr="00E971A9">
              <w:rPr>
                <w:rFonts w:eastAsia="Times New Roman" w:cs="Arial"/>
                <w:sz w:val="24"/>
                <w:szCs w:val="24"/>
              </w:rPr>
              <w:t>Definisi istilah-istilah yang digunakan dalam ketentuan NSFR, seperti istilah ‘Pendanaan stabil’, ‘Pendanaan kurang stabil’, ‘</w:t>
            </w:r>
            <w:r w:rsidRPr="00E971A9">
              <w:rPr>
                <w:rFonts w:eastAsia="Times New Roman" w:cs="Arial"/>
                <w:sz w:val="24"/>
                <w:szCs w:val="24"/>
                <w:lang w:val="en-US"/>
              </w:rPr>
              <w:t>Rekening</w:t>
            </w:r>
            <w:r w:rsidRPr="00E971A9">
              <w:rPr>
                <w:rFonts w:eastAsia="Times New Roman" w:cs="Arial"/>
                <w:sz w:val="24"/>
                <w:szCs w:val="24"/>
              </w:rPr>
              <w:t xml:space="preserve"> operasional’, ‘</w:t>
            </w:r>
            <w:r w:rsidRPr="00E971A9">
              <w:rPr>
                <w:rFonts w:eastAsia="Times New Roman" w:cs="Arial"/>
                <w:i/>
                <w:sz w:val="24"/>
                <w:szCs w:val="24"/>
              </w:rPr>
              <w:t>high quality liquid asset</w:t>
            </w:r>
            <w:r w:rsidRPr="00E971A9">
              <w:rPr>
                <w:rFonts w:eastAsia="Times New Roman" w:cs="Arial"/>
                <w:sz w:val="24"/>
                <w:szCs w:val="24"/>
              </w:rPr>
              <w:t>’ (HQLA), dan istilah-istilah lain, konsisten dengan yang digunakan dalam</w:t>
            </w:r>
            <w:r w:rsidRPr="00E971A9">
              <w:rPr>
                <w:rFonts w:eastAsia="Times New Roman" w:cs="Arial"/>
                <w:sz w:val="24"/>
                <w:szCs w:val="24"/>
                <w:lang w:val="en-US"/>
              </w:rPr>
              <w:t xml:space="preserve"> batang tubuh dan Lampiran I Peraturan Otoritas Jasa Keuangan i</w:t>
            </w:r>
            <w:r w:rsidRPr="00E971A9">
              <w:rPr>
                <w:rFonts w:eastAsia="Times New Roman" w:cs="Arial"/>
                <w:sz w:val="24"/>
                <w:szCs w:val="24"/>
              </w:rPr>
              <w:t>ni kecuali apabila secara spesifik disebutkan berbeda.</w:t>
            </w:r>
          </w:p>
        </w:tc>
        <w:tc>
          <w:tcPr>
            <w:tcW w:w="3686" w:type="dxa"/>
            <w:shd w:val="clear" w:color="auto" w:fill="auto"/>
            <w:vAlign w:val="center"/>
          </w:tcPr>
          <w:p w14:paraId="382DC7AD"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F5208FF" w14:textId="77777777" w:rsidR="00B912BD" w:rsidRPr="00B03AEA" w:rsidRDefault="00B912BD" w:rsidP="00B912B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B912BD" w:rsidRPr="006A283D" w14:paraId="583BF737" w14:textId="77777777" w:rsidTr="006A283D">
        <w:trPr>
          <w:trHeight w:val="564"/>
          <w:tblHeader/>
        </w:trPr>
        <w:tc>
          <w:tcPr>
            <w:tcW w:w="9634" w:type="dxa"/>
            <w:shd w:val="clear" w:color="auto" w:fill="DBDBDB" w:themeFill="accent3" w:themeFillTint="66"/>
            <w:vAlign w:val="center"/>
          </w:tcPr>
          <w:p w14:paraId="789D43CB" w14:textId="57562408" w:rsidR="00B912BD" w:rsidRPr="006A283D" w:rsidRDefault="00B912BD" w:rsidP="00A32F86">
            <w:pPr>
              <w:pStyle w:val="BodyText"/>
              <w:numPr>
                <w:ilvl w:val="3"/>
                <w:numId w:val="28"/>
              </w:numPr>
              <w:ind w:left="595" w:hanging="567"/>
              <w:rPr>
                <w:rFonts w:ascii="Bookman Old Style" w:hAnsi="Bookman Old Style" w:cs="Arial"/>
                <w:sz w:val="20"/>
                <w:szCs w:val="20"/>
              </w:rPr>
            </w:pPr>
            <w:r w:rsidRPr="006A283D">
              <w:rPr>
                <w:rFonts w:ascii="Bookman Old Style" w:hAnsi="Bookman Old Style"/>
                <w:sz w:val="20"/>
                <w:szCs w:val="20"/>
              </w:rPr>
              <w:t xml:space="preserve">PENDANAAN STABIL YANG TERSEDIA </w:t>
            </w:r>
            <w:r w:rsidR="006A283D" w:rsidRPr="006A283D">
              <w:rPr>
                <w:rFonts w:ascii="Bookman Old Style" w:hAnsi="Bookman Old Style"/>
                <w:i/>
                <w:sz w:val="20"/>
                <w:szCs w:val="20"/>
              </w:rPr>
              <w:t>(AVAILABLE STABLE FUNDING</w:t>
            </w:r>
            <w:r w:rsidRPr="006A283D">
              <w:rPr>
                <w:rFonts w:ascii="Bookman Old Style" w:hAnsi="Bookman Old Style"/>
                <w:sz w:val="20"/>
                <w:szCs w:val="20"/>
              </w:rPr>
              <w:t>)</w:t>
            </w:r>
          </w:p>
        </w:tc>
        <w:tc>
          <w:tcPr>
            <w:tcW w:w="3686" w:type="dxa"/>
            <w:shd w:val="clear" w:color="auto" w:fill="DBDBDB" w:themeFill="accent3" w:themeFillTint="66"/>
            <w:vAlign w:val="center"/>
          </w:tcPr>
          <w:p w14:paraId="443EB0AA" w14:textId="77777777" w:rsidR="00B912BD" w:rsidRPr="006A283D" w:rsidRDefault="00B912B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340C5595" w14:textId="77777777" w:rsidR="00B912BD" w:rsidRPr="006A283D" w:rsidRDefault="00B912B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0815A32F" w14:textId="77777777" w:rsidTr="006A283D">
        <w:trPr>
          <w:trHeight w:val="564"/>
          <w:tblHeader/>
        </w:trPr>
        <w:tc>
          <w:tcPr>
            <w:tcW w:w="9634" w:type="dxa"/>
            <w:shd w:val="clear" w:color="auto" w:fill="FFF2CC" w:themeFill="accent4" w:themeFillTint="33"/>
            <w:vAlign w:val="center"/>
          </w:tcPr>
          <w:p w14:paraId="05C1BDA9" w14:textId="192FDF06" w:rsidR="006A283D" w:rsidRPr="006A283D" w:rsidRDefault="006A283D" w:rsidP="00A32F86">
            <w:pPr>
              <w:pStyle w:val="BodyText"/>
              <w:numPr>
                <w:ilvl w:val="4"/>
                <w:numId w:val="29"/>
              </w:numPr>
              <w:ind w:left="1134" w:hanging="567"/>
              <w:rPr>
                <w:rFonts w:ascii="Bookman Old Style" w:hAnsi="Bookman Old Style"/>
                <w:sz w:val="20"/>
                <w:szCs w:val="20"/>
              </w:rPr>
            </w:pPr>
            <w:r w:rsidRPr="006A283D">
              <w:rPr>
                <w:rFonts w:ascii="Bookman Old Style" w:hAnsi="Bookman Old Style"/>
                <w:sz w:val="20"/>
                <w:szCs w:val="20"/>
              </w:rPr>
              <w:t>Umum</w:t>
            </w:r>
          </w:p>
        </w:tc>
        <w:tc>
          <w:tcPr>
            <w:tcW w:w="3686" w:type="dxa"/>
            <w:shd w:val="clear" w:color="auto" w:fill="FFF2CC" w:themeFill="accent4" w:themeFillTint="33"/>
            <w:vAlign w:val="center"/>
          </w:tcPr>
          <w:p w14:paraId="7495B75C"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2EA842C1"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3071D5F3" w14:textId="77777777" w:rsidTr="006A283D">
        <w:trPr>
          <w:trHeight w:val="564"/>
          <w:tblHeader/>
        </w:trPr>
        <w:tc>
          <w:tcPr>
            <w:tcW w:w="9634" w:type="dxa"/>
            <w:shd w:val="clear" w:color="auto" w:fill="auto"/>
            <w:vAlign w:val="center"/>
          </w:tcPr>
          <w:p w14:paraId="687B3F9C" w14:textId="77777777" w:rsidR="006A283D" w:rsidRPr="006A283D" w:rsidRDefault="006A283D" w:rsidP="00A32F86">
            <w:pPr>
              <w:pStyle w:val="ListParagraph"/>
              <w:numPr>
                <w:ilvl w:val="0"/>
                <w:numId w:val="135"/>
              </w:numPr>
              <w:spacing w:after="0" w:line="240" w:lineRule="auto"/>
              <w:ind w:left="1701" w:hanging="567"/>
              <w:jc w:val="both"/>
              <w:rPr>
                <w:rFonts w:ascii="Bookman Old Style" w:eastAsia="Times New Roman" w:hAnsi="Bookman Old Style" w:cs="Arial"/>
                <w:sz w:val="20"/>
                <w:szCs w:val="20"/>
              </w:rPr>
            </w:pPr>
            <w:r w:rsidRPr="006A283D">
              <w:rPr>
                <w:rFonts w:ascii="Bookman Old Style" w:hAnsi="Bookman Old Style"/>
                <w:sz w:val="20"/>
                <w:szCs w:val="20"/>
              </w:rPr>
              <w:t>ASF adalah jumlah liabilitas dan ekuitas yang stabil selama</w:t>
            </w:r>
            <w:r w:rsidRPr="006A283D">
              <w:rPr>
                <w:rFonts w:ascii="Bookman Old Style" w:hAnsi="Bookman Old Style"/>
                <w:spacing w:val="1"/>
                <w:sz w:val="20"/>
                <w:szCs w:val="20"/>
              </w:rPr>
              <w:t xml:space="preserve"> </w:t>
            </w:r>
            <w:r w:rsidRPr="006A283D">
              <w:rPr>
                <w:rFonts w:ascii="Bookman Old Style" w:hAnsi="Bookman Old Style"/>
                <w:sz w:val="20"/>
                <w:szCs w:val="20"/>
              </w:rPr>
              <w:t>periode</w:t>
            </w:r>
            <w:r w:rsidRPr="006A283D">
              <w:rPr>
                <w:rFonts w:ascii="Bookman Old Style" w:hAnsi="Bookman Old Style"/>
                <w:spacing w:val="-1"/>
                <w:sz w:val="20"/>
                <w:szCs w:val="20"/>
              </w:rPr>
              <w:t xml:space="preserve"> </w:t>
            </w:r>
            <w:r w:rsidRPr="006A283D">
              <w:rPr>
                <w:rFonts w:ascii="Bookman Old Style" w:hAnsi="Bookman Old Style"/>
                <w:sz w:val="20"/>
                <w:szCs w:val="20"/>
              </w:rPr>
              <w:t>1</w:t>
            </w:r>
            <w:r w:rsidRPr="006A283D">
              <w:rPr>
                <w:rFonts w:ascii="Bookman Old Style" w:hAnsi="Bookman Old Style"/>
                <w:spacing w:val="-2"/>
                <w:sz w:val="20"/>
                <w:szCs w:val="20"/>
              </w:rPr>
              <w:t xml:space="preserve"> </w:t>
            </w:r>
            <w:r w:rsidRPr="006A283D">
              <w:rPr>
                <w:rFonts w:ascii="Bookman Old Style" w:hAnsi="Bookman Old Style"/>
                <w:sz w:val="20"/>
                <w:szCs w:val="20"/>
              </w:rPr>
              <w:t>(satu)</w:t>
            </w:r>
            <w:r w:rsidRPr="006A283D">
              <w:rPr>
                <w:rFonts w:ascii="Bookman Old Style" w:hAnsi="Bookman Old Style"/>
                <w:spacing w:val="-1"/>
                <w:sz w:val="20"/>
                <w:szCs w:val="20"/>
              </w:rPr>
              <w:t xml:space="preserve"> </w:t>
            </w:r>
            <w:r w:rsidRPr="006A283D">
              <w:rPr>
                <w:rFonts w:ascii="Bookman Old Style" w:hAnsi="Bookman Old Style"/>
                <w:sz w:val="20"/>
                <w:szCs w:val="20"/>
              </w:rPr>
              <w:t>tahun</w:t>
            </w:r>
            <w:r w:rsidRPr="006A283D">
              <w:rPr>
                <w:rFonts w:ascii="Bookman Old Style" w:hAnsi="Bookman Old Style"/>
                <w:spacing w:val="-2"/>
                <w:sz w:val="20"/>
                <w:szCs w:val="20"/>
              </w:rPr>
              <w:t xml:space="preserve"> </w:t>
            </w:r>
            <w:r w:rsidRPr="006A283D">
              <w:rPr>
                <w:rFonts w:ascii="Bookman Old Style" w:hAnsi="Bookman Old Style"/>
                <w:sz w:val="20"/>
                <w:szCs w:val="20"/>
              </w:rPr>
              <w:t>untuk</w:t>
            </w:r>
            <w:r w:rsidRPr="006A283D">
              <w:rPr>
                <w:rFonts w:ascii="Bookman Old Style" w:hAnsi="Bookman Old Style"/>
                <w:spacing w:val="-2"/>
                <w:sz w:val="20"/>
                <w:szCs w:val="20"/>
              </w:rPr>
              <w:t xml:space="preserve"> </w:t>
            </w:r>
            <w:r w:rsidRPr="006A283D">
              <w:rPr>
                <w:rFonts w:ascii="Bookman Old Style" w:hAnsi="Bookman Old Style"/>
                <w:sz w:val="20"/>
                <w:szCs w:val="20"/>
              </w:rPr>
              <w:t>mendanai aktivitas</w:t>
            </w:r>
            <w:r w:rsidRPr="006A283D">
              <w:rPr>
                <w:rFonts w:ascii="Bookman Old Style" w:hAnsi="Bookman Old Style"/>
                <w:spacing w:val="-1"/>
                <w:sz w:val="20"/>
                <w:szCs w:val="20"/>
              </w:rPr>
              <w:t xml:space="preserve"> </w:t>
            </w:r>
            <w:r w:rsidRPr="006A283D">
              <w:rPr>
                <w:rFonts w:ascii="Bookman Old Style" w:hAnsi="Bookman Old Style"/>
                <w:sz w:val="20"/>
                <w:szCs w:val="20"/>
              </w:rPr>
              <w:t>Bank.</w:t>
            </w:r>
          </w:p>
          <w:p w14:paraId="5B44399C" w14:textId="77777777" w:rsidR="006A283D" w:rsidRPr="006A283D" w:rsidRDefault="006A283D" w:rsidP="00A32F86">
            <w:pPr>
              <w:pStyle w:val="ListParagraph"/>
              <w:numPr>
                <w:ilvl w:val="0"/>
                <w:numId w:val="135"/>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Dalam menentukan tingkat stabilitas nilai ASF, terdapat 2 (dua) faktor yang dijadikan pertimbangan, terdiri atas:</w:t>
            </w:r>
          </w:p>
          <w:p w14:paraId="6362EBC3" w14:textId="77777777" w:rsidR="006A283D" w:rsidRPr="006A283D" w:rsidRDefault="006A283D" w:rsidP="00A32F86">
            <w:pPr>
              <w:pStyle w:val="ListParagraph"/>
              <w:numPr>
                <w:ilvl w:val="0"/>
                <w:numId w:val="136"/>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jangka waktu, yaitu diasumsikan bahwa liabilitas jangka panjang dinilai lebih stabil dibandingkan dengan liabilitas jangka pendek. Pengelompokan jangka waktu yang digunakan dalam perhitungan ASF terdiri atas:</w:t>
            </w:r>
          </w:p>
          <w:p w14:paraId="64FB8CBA" w14:textId="77777777" w:rsidR="006A283D" w:rsidRPr="006A283D" w:rsidRDefault="006A283D" w:rsidP="00A32F86">
            <w:pPr>
              <w:pStyle w:val="ListParagraph"/>
              <w:numPr>
                <w:ilvl w:val="0"/>
                <w:numId w:val="137"/>
              </w:numPr>
              <w:spacing w:after="0" w:line="240" w:lineRule="auto"/>
              <w:ind w:left="2835"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kurang dari 6 (enam) bulan;</w:t>
            </w:r>
          </w:p>
          <w:p w14:paraId="2152A333" w14:textId="77777777" w:rsidR="006A283D" w:rsidRPr="006A283D" w:rsidRDefault="006A283D" w:rsidP="00A32F86">
            <w:pPr>
              <w:pStyle w:val="ListParagraph"/>
              <w:numPr>
                <w:ilvl w:val="0"/>
                <w:numId w:val="137"/>
              </w:numPr>
              <w:spacing w:after="0" w:line="240" w:lineRule="auto"/>
              <w:ind w:left="2835"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6 (enam) bulan sampai dengan 1 (satu) tahun; dan</w:t>
            </w:r>
          </w:p>
          <w:p w14:paraId="7A4B9704" w14:textId="77777777" w:rsidR="006A283D" w:rsidRPr="006A283D" w:rsidRDefault="006A283D" w:rsidP="00A32F86">
            <w:pPr>
              <w:pStyle w:val="ListParagraph"/>
              <w:numPr>
                <w:ilvl w:val="0"/>
                <w:numId w:val="137"/>
              </w:numPr>
              <w:spacing w:after="0" w:line="240" w:lineRule="auto"/>
              <w:ind w:left="2835"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lebih dari 1 (satu) tahun; dan</w:t>
            </w:r>
          </w:p>
          <w:p w14:paraId="618E2334" w14:textId="40ED7D33" w:rsidR="006A283D" w:rsidRPr="006A283D" w:rsidRDefault="006A283D" w:rsidP="00A32F86">
            <w:pPr>
              <w:pStyle w:val="ListParagraph"/>
              <w:numPr>
                <w:ilvl w:val="0"/>
                <w:numId w:val="136"/>
              </w:numPr>
              <w:spacing w:after="0" w:line="240" w:lineRule="auto"/>
              <w:ind w:left="2268" w:hanging="567"/>
              <w:jc w:val="both"/>
              <w:rPr>
                <w:rFonts w:ascii="Bookman Old Style" w:hAnsi="Bookman Old Style"/>
                <w:sz w:val="20"/>
                <w:szCs w:val="20"/>
              </w:rPr>
            </w:pPr>
            <w:r w:rsidRPr="006A283D">
              <w:rPr>
                <w:rFonts w:ascii="Bookman Old Style" w:hAnsi="Bookman Old Style"/>
                <w:sz w:val="20"/>
                <w:szCs w:val="20"/>
              </w:rPr>
              <w:t>jenis</w:t>
            </w:r>
            <w:r w:rsidRPr="006A283D">
              <w:rPr>
                <w:rFonts w:ascii="Bookman Old Style" w:hAnsi="Bookman Old Style"/>
                <w:spacing w:val="1"/>
                <w:sz w:val="20"/>
                <w:szCs w:val="20"/>
              </w:rPr>
              <w:t xml:space="preserve"> </w:t>
            </w:r>
            <w:r w:rsidRPr="006A283D">
              <w:rPr>
                <w:rFonts w:ascii="Bookman Old Style" w:eastAsia="Times New Roman" w:hAnsi="Bookman Old Style" w:cs="Arial"/>
                <w:sz w:val="20"/>
                <w:szCs w:val="20"/>
              </w:rPr>
              <w:t>Pendanaan</w:t>
            </w:r>
            <w:r w:rsidRPr="006A283D">
              <w:rPr>
                <w:rFonts w:ascii="Bookman Old Style" w:hAnsi="Bookman Old Style"/>
                <w:spacing w:val="1"/>
                <w:sz w:val="20"/>
                <w:szCs w:val="20"/>
              </w:rPr>
              <w:t xml:space="preserve"> </w:t>
            </w:r>
            <w:r w:rsidRPr="006A283D">
              <w:rPr>
                <w:rFonts w:ascii="Bookman Old Style" w:hAnsi="Bookman Old Style"/>
                <w:sz w:val="20"/>
                <w:szCs w:val="20"/>
              </w:rPr>
              <w:t>dan</w:t>
            </w:r>
            <w:r w:rsidRPr="006A283D">
              <w:rPr>
                <w:rFonts w:ascii="Bookman Old Style" w:hAnsi="Bookman Old Style"/>
                <w:spacing w:val="1"/>
                <w:sz w:val="20"/>
                <w:szCs w:val="20"/>
              </w:rPr>
              <w:t xml:space="preserve"> </w:t>
            </w:r>
            <w:r w:rsidRPr="006A283D">
              <w:rPr>
                <w:rFonts w:ascii="Bookman Old Style" w:hAnsi="Bookman Old Style"/>
                <w:sz w:val="20"/>
                <w:szCs w:val="20"/>
              </w:rPr>
              <w:t>pihak</w:t>
            </w:r>
            <w:r w:rsidRPr="006A283D">
              <w:rPr>
                <w:rFonts w:ascii="Bookman Old Style" w:hAnsi="Bookman Old Style"/>
                <w:spacing w:val="1"/>
                <w:sz w:val="20"/>
                <w:szCs w:val="20"/>
              </w:rPr>
              <w:t xml:space="preserve"> </w:t>
            </w:r>
            <w:r w:rsidRPr="006A283D">
              <w:rPr>
                <w:rFonts w:ascii="Bookman Old Style" w:hAnsi="Bookman Old Style"/>
                <w:sz w:val="20"/>
                <w:szCs w:val="20"/>
              </w:rPr>
              <w:t>lawan</w:t>
            </w:r>
            <w:r w:rsidRPr="006A283D">
              <w:rPr>
                <w:rFonts w:ascii="Bookman Old Style" w:hAnsi="Bookman Old Style"/>
                <w:spacing w:val="1"/>
                <w:sz w:val="20"/>
                <w:szCs w:val="20"/>
              </w:rPr>
              <w:t xml:space="preserve"> </w:t>
            </w:r>
            <w:r w:rsidRPr="006A283D">
              <w:rPr>
                <w:rFonts w:ascii="Bookman Old Style" w:hAnsi="Bookman Old Style"/>
                <w:sz w:val="20"/>
                <w:szCs w:val="20"/>
              </w:rPr>
              <w:t>transaksi,</w:t>
            </w:r>
            <w:r w:rsidRPr="006A283D">
              <w:rPr>
                <w:rFonts w:ascii="Bookman Old Style" w:hAnsi="Bookman Old Style"/>
                <w:spacing w:val="1"/>
                <w:sz w:val="20"/>
                <w:szCs w:val="20"/>
              </w:rPr>
              <w:t xml:space="preserve"> </w:t>
            </w:r>
            <w:r w:rsidRPr="006A283D">
              <w:rPr>
                <w:rFonts w:ascii="Bookman Old Style" w:hAnsi="Bookman Old Style"/>
                <w:sz w:val="20"/>
                <w:szCs w:val="20"/>
              </w:rPr>
              <w:t>yaitu</w:t>
            </w:r>
            <w:r w:rsidRPr="006A283D">
              <w:rPr>
                <w:rFonts w:ascii="Bookman Old Style" w:hAnsi="Bookman Old Style"/>
                <w:spacing w:val="1"/>
                <w:sz w:val="20"/>
                <w:szCs w:val="20"/>
              </w:rPr>
              <w:t xml:space="preserve"> </w:t>
            </w:r>
            <w:r w:rsidRPr="006A283D">
              <w:rPr>
                <w:rFonts w:ascii="Bookman Old Style" w:hAnsi="Bookman Old Style"/>
                <w:sz w:val="20"/>
                <w:szCs w:val="20"/>
              </w:rPr>
              <w:t>diasumsikan</w:t>
            </w:r>
            <w:r w:rsidRPr="006A283D">
              <w:rPr>
                <w:rFonts w:ascii="Bookman Old Style" w:hAnsi="Bookman Old Style"/>
                <w:spacing w:val="1"/>
                <w:sz w:val="20"/>
                <w:szCs w:val="20"/>
              </w:rPr>
              <w:t xml:space="preserve"> </w:t>
            </w:r>
            <w:r w:rsidRPr="006A283D">
              <w:rPr>
                <w:rFonts w:ascii="Bookman Old Style" w:hAnsi="Bookman Old Style"/>
                <w:sz w:val="20"/>
                <w:szCs w:val="20"/>
              </w:rPr>
              <w:t>bahwa</w:t>
            </w:r>
            <w:r w:rsidRPr="006A283D">
              <w:rPr>
                <w:rFonts w:ascii="Bookman Old Style" w:hAnsi="Bookman Old Style"/>
                <w:spacing w:val="1"/>
                <w:sz w:val="20"/>
                <w:szCs w:val="20"/>
              </w:rPr>
              <w:t xml:space="preserve"> </w:t>
            </w:r>
            <w:r w:rsidRPr="006A283D">
              <w:rPr>
                <w:rFonts w:ascii="Bookman Old Style" w:hAnsi="Bookman Old Style"/>
                <w:sz w:val="20"/>
                <w:szCs w:val="20"/>
              </w:rPr>
              <w:t>Simpanan</w:t>
            </w:r>
            <w:r w:rsidRPr="006A283D">
              <w:rPr>
                <w:rFonts w:ascii="Bookman Old Style" w:hAnsi="Bookman Old Style"/>
                <w:sz w:val="20"/>
                <w:szCs w:val="20"/>
                <w:lang w:val="en-US"/>
              </w:rPr>
              <w:t xml:space="preserve"> dan/atau Investasi</w:t>
            </w:r>
            <w:r w:rsidRPr="006A283D">
              <w:rPr>
                <w:rFonts w:ascii="Bookman Old Style" w:hAnsi="Bookman Old Style"/>
                <w:spacing w:val="1"/>
                <w:sz w:val="20"/>
                <w:szCs w:val="20"/>
              </w:rPr>
              <w:t xml:space="preserve"> </w:t>
            </w:r>
            <w:r w:rsidRPr="006A283D">
              <w:rPr>
                <w:rFonts w:ascii="Bookman Old Style" w:hAnsi="Bookman Old Style"/>
                <w:sz w:val="20"/>
                <w:szCs w:val="20"/>
              </w:rPr>
              <w:t>jangka</w:t>
            </w:r>
            <w:r w:rsidRPr="006A283D">
              <w:rPr>
                <w:rFonts w:ascii="Bookman Old Style" w:hAnsi="Bookman Old Style"/>
                <w:spacing w:val="1"/>
                <w:sz w:val="20"/>
                <w:szCs w:val="20"/>
              </w:rPr>
              <w:t xml:space="preserve"> </w:t>
            </w:r>
            <w:r w:rsidRPr="006A283D">
              <w:rPr>
                <w:rFonts w:ascii="Bookman Old Style" w:hAnsi="Bookman Old Style"/>
                <w:sz w:val="20"/>
                <w:szCs w:val="20"/>
              </w:rPr>
              <w:t>pendek</w:t>
            </w:r>
            <w:r w:rsidRPr="006A283D">
              <w:rPr>
                <w:rFonts w:ascii="Bookman Old Style" w:hAnsi="Bookman Old Style"/>
                <w:spacing w:val="76"/>
                <w:sz w:val="20"/>
                <w:szCs w:val="20"/>
              </w:rPr>
              <w:t xml:space="preserve"> </w:t>
            </w:r>
            <w:r w:rsidRPr="006A283D">
              <w:rPr>
                <w:rFonts w:ascii="Bookman Old Style" w:hAnsi="Bookman Old Style"/>
                <w:sz w:val="20"/>
                <w:szCs w:val="20"/>
              </w:rPr>
              <w:t>dengan</w:t>
            </w:r>
            <w:r w:rsidRPr="006A283D">
              <w:rPr>
                <w:rFonts w:ascii="Bookman Old Style" w:hAnsi="Bookman Old Style"/>
                <w:spacing w:val="1"/>
                <w:sz w:val="20"/>
                <w:szCs w:val="20"/>
              </w:rPr>
              <w:t xml:space="preserve"> </w:t>
            </w:r>
            <w:r w:rsidRPr="006A283D">
              <w:rPr>
                <w:rFonts w:ascii="Bookman Old Style" w:hAnsi="Bookman Old Style"/>
                <w:sz w:val="20"/>
                <w:szCs w:val="20"/>
              </w:rPr>
              <w:t>jatuh tempo kurang dari 1 (satu) tahun yang berasal dari</w:t>
            </w:r>
            <w:r w:rsidRPr="006A283D">
              <w:rPr>
                <w:rFonts w:ascii="Bookman Old Style" w:hAnsi="Bookman Old Style"/>
                <w:spacing w:val="1"/>
                <w:sz w:val="20"/>
                <w:szCs w:val="20"/>
              </w:rPr>
              <w:t xml:space="preserve"> </w:t>
            </w:r>
            <w:r w:rsidRPr="006A283D">
              <w:rPr>
                <w:rFonts w:ascii="Bookman Old Style" w:hAnsi="Bookman Old Style"/>
                <w:sz w:val="20"/>
                <w:szCs w:val="20"/>
              </w:rPr>
              <w:t>nasabah</w:t>
            </w:r>
            <w:r w:rsidRPr="006A283D">
              <w:rPr>
                <w:rFonts w:ascii="Bookman Old Style" w:hAnsi="Bookman Old Style"/>
                <w:spacing w:val="1"/>
                <w:sz w:val="20"/>
                <w:szCs w:val="20"/>
              </w:rPr>
              <w:t xml:space="preserve"> </w:t>
            </w:r>
            <w:r w:rsidRPr="006A283D">
              <w:rPr>
                <w:rFonts w:ascii="Bookman Old Style" w:hAnsi="Bookman Old Style"/>
                <w:sz w:val="20"/>
                <w:szCs w:val="20"/>
              </w:rPr>
              <w:t>perorangan</w:t>
            </w:r>
            <w:r w:rsidRPr="006A283D">
              <w:rPr>
                <w:rFonts w:ascii="Bookman Old Style" w:hAnsi="Bookman Old Style"/>
                <w:spacing w:val="1"/>
                <w:sz w:val="20"/>
                <w:szCs w:val="20"/>
              </w:rPr>
              <w:t xml:space="preserve"> </w:t>
            </w:r>
            <w:r w:rsidRPr="006A283D">
              <w:rPr>
                <w:rFonts w:ascii="Bookman Old Style" w:hAnsi="Bookman Old Style"/>
                <w:sz w:val="20"/>
                <w:szCs w:val="20"/>
              </w:rPr>
              <w:t>serta</w:t>
            </w:r>
            <w:r w:rsidRPr="006A283D">
              <w:rPr>
                <w:rFonts w:ascii="Bookman Old Style" w:hAnsi="Bookman Old Style"/>
                <w:spacing w:val="1"/>
                <w:sz w:val="20"/>
                <w:szCs w:val="20"/>
              </w:rPr>
              <w:t xml:space="preserve"> </w:t>
            </w:r>
            <w:r w:rsidRPr="006A283D">
              <w:rPr>
                <w:rFonts w:ascii="Bookman Old Style" w:hAnsi="Bookman Old Style"/>
                <w:sz w:val="20"/>
                <w:szCs w:val="20"/>
              </w:rPr>
              <w:t>nasabah</w:t>
            </w:r>
            <w:r w:rsidRPr="006A283D">
              <w:rPr>
                <w:rFonts w:ascii="Bookman Old Style" w:hAnsi="Bookman Old Style"/>
                <w:spacing w:val="1"/>
                <w:sz w:val="20"/>
                <w:szCs w:val="20"/>
              </w:rPr>
              <w:t xml:space="preserve"> </w:t>
            </w:r>
            <w:r w:rsidRPr="006A283D">
              <w:rPr>
                <w:rFonts w:ascii="Bookman Old Style" w:hAnsi="Bookman Old Style"/>
                <w:sz w:val="20"/>
                <w:szCs w:val="20"/>
              </w:rPr>
              <w:t>usaha</w:t>
            </w:r>
            <w:r w:rsidRPr="006A283D">
              <w:rPr>
                <w:rFonts w:ascii="Bookman Old Style" w:hAnsi="Bookman Old Style"/>
                <w:spacing w:val="1"/>
                <w:sz w:val="20"/>
                <w:szCs w:val="20"/>
              </w:rPr>
              <w:t xml:space="preserve"> </w:t>
            </w:r>
            <w:r w:rsidRPr="006A283D">
              <w:rPr>
                <w:rFonts w:ascii="Bookman Old Style" w:hAnsi="Bookman Old Style"/>
                <w:sz w:val="20"/>
                <w:szCs w:val="20"/>
              </w:rPr>
              <w:t>mikro</w:t>
            </w:r>
            <w:r w:rsidRPr="006A283D">
              <w:rPr>
                <w:rFonts w:ascii="Bookman Old Style" w:hAnsi="Bookman Old Style"/>
                <w:spacing w:val="76"/>
                <w:sz w:val="20"/>
                <w:szCs w:val="20"/>
              </w:rPr>
              <w:t xml:space="preserve"> </w:t>
            </w:r>
            <w:r w:rsidRPr="006A283D">
              <w:rPr>
                <w:rFonts w:ascii="Bookman Old Style" w:hAnsi="Bookman Old Style"/>
                <w:sz w:val="20"/>
                <w:szCs w:val="20"/>
              </w:rPr>
              <w:t>dan</w:t>
            </w:r>
            <w:r w:rsidRPr="006A283D">
              <w:rPr>
                <w:rFonts w:ascii="Bookman Old Style" w:hAnsi="Bookman Old Style"/>
                <w:spacing w:val="1"/>
                <w:sz w:val="20"/>
                <w:szCs w:val="20"/>
              </w:rPr>
              <w:t xml:space="preserve"> </w:t>
            </w:r>
            <w:r w:rsidRPr="006A283D">
              <w:rPr>
                <w:rFonts w:ascii="Bookman Old Style" w:hAnsi="Bookman Old Style"/>
                <w:sz w:val="20"/>
                <w:szCs w:val="20"/>
              </w:rPr>
              <w:t>usaha kecil dinilai lebih stabil dibandingkan Pendanaan</w:t>
            </w:r>
            <w:r w:rsidRPr="006A283D">
              <w:rPr>
                <w:rFonts w:ascii="Bookman Old Style" w:hAnsi="Bookman Old Style"/>
                <w:spacing w:val="1"/>
                <w:sz w:val="20"/>
                <w:szCs w:val="20"/>
              </w:rPr>
              <w:t xml:space="preserve"> </w:t>
            </w:r>
            <w:r w:rsidRPr="006A283D">
              <w:rPr>
                <w:rFonts w:ascii="Bookman Old Style" w:hAnsi="Bookman Old Style"/>
                <w:sz w:val="20"/>
                <w:szCs w:val="20"/>
              </w:rPr>
              <w:t>dari</w:t>
            </w:r>
            <w:r w:rsidRPr="006A283D">
              <w:rPr>
                <w:rFonts w:ascii="Bookman Old Style" w:hAnsi="Bookman Old Style"/>
                <w:spacing w:val="-2"/>
                <w:sz w:val="20"/>
                <w:szCs w:val="20"/>
              </w:rPr>
              <w:t xml:space="preserve"> </w:t>
            </w:r>
            <w:r w:rsidRPr="006A283D">
              <w:rPr>
                <w:rFonts w:ascii="Bookman Old Style" w:hAnsi="Bookman Old Style"/>
                <w:sz w:val="20"/>
                <w:szCs w:val="20"/>
              </w:rPr>
              <w:t>korporasi</w:t>
            </w:r>
            <w:r w:rsidRPr="006A283D">
              <w:rPr>
                <w:rFonts w:ascii="Bookman Old Style" w:hAnsi="Bookman Old Style"/>
                <w:spacing w:val="-2"/>
                <w:sz w:val="20"/>
                <w:szCs w:val="20"/>
              </w:rPr>
              <w:t xml:space="preserve"> </w:t>
            </w:r>
            <w:r w:rsidRPr="006A283D">
              <w:rPr>
                <w:rFonts w:ascii="Bookman Old Style" w:hAnsi="Bookman Old Style"/>
                <w:sz w:val="20"/>
                <w:szCs w:val="20"/>
              </w:rPr>
              <w:t>dengan</w:t>
            </w:r>
            <w:r w:rsidRPr="006A283D">
              <w:rPr>
                <w:rFonts w:ascii="Bookman Old Style" w:hAnsi="Bookman Old Style"/>
                <w:spacing w:val="-2"/>
                <w:sz w:val="20"/>
                <w:szCs w:val="20"/>
              </w:rPr>
              <w:t xml:space="preserve"> </w:t>
            </w:r>
            <w:r w:rsidRPr="006A283D">
              <w:rPr>
                <w:rFonts w:ascii="Bookman Old Style" w:hAnsi="Bookman Old Style"/>
                <w:sz w:val="20"/>
                <w:szCs w:val="20"/>
              </w:rPr>
              <w:t>jatuh tempo</w:t>
            </w:r>
            <w:r w:rsidRPr="006A283D">
              <w:rPr>
                <w:rFonts w:ascii="Bookman Old Style" w:hAnsi="Bookman Old Style"/>
                <w:spacing w:val="-1"/>
                <w:sz w:val="20"/>
                <w:szCs w:val="20"/>
              </w:rPr>
              <w:t xml:space="preserve"> </w:t>
            </w:r>
            <w:r w:rsidRPr="006A283D">
              <w:rPr>
                <w:rFonts w:ascii="Bookman Old Style" w:hAnsi="Bookman Old Style"/>
                <w:sz w:val="20"/>
                <w:szCs w:val="20"/>
              </w:rPr>
              <w:t>yang</w:t>
            </w:r>
            <w:r w:rsidRPr="006A283D">
              <w:rPr>
                <w:rFonts w:ascii="Bookman Old Style" w:hAnsi="Bookman Old Style"/>
                <w:spacing w:val="-1"/>
                <w:sz w:val="20"/>
                <w:szCs w:val="20"/>
              </w:rPr>
              <w:t xml:space="preserve"> </w:t>
            </w:r>
            <w:r w:rsidRPr="006A283D">
              <w:rPr>
                <w:rFonts w:ascii="Bookman Old Style" w:hAnsi="Bookman Old Style"/>
                <w:sz w:val="20"/>
                <w:szCs w:val="20"/>
              </w:rPr>
              <w:t>sama.</w:t>
            </w:r>
          </w:p>
        </w:tc>
        <w:tc>
          <w:tcPr>
            <w:tcW w:w="3686" w:type="dxa"/>
            <w:shd w:val="clear" w:color="auto" w:fill="auto"/>
            <w:vAlign w:val="center"/>
          </w:tcPr>
          <w:p w14:paraId="24E97DD3"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2C8CCBC4"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5E78934B" w14:textId="77777777" w:rsidTr="006A283D">
        <w:trPr>
          <w:trHeight w:val="564"/>
          <w:tblHeader/>
        </w:trPr>
        <w:tc>
          <w:tcPr>
            <w:tcW w:w="9634" w:type="dxa"/>
            <w:shd w:val="clear" w:color="auto" w:fill="FFF2CC" w:themeFill="accent4" w:themeFillTint="33"/>
            <w:vAlign w:val="center"/>
          </w:tcPr>
          <w:p w14:paraId="4F2D73C9" w14:textId="36FAF3EF" w:rsidR="006A283D" w:rsidRPr="006A283D" w:rsidRDefault="006A283D" w:rsidP="00A32F86">
            <w:pPr>
              <w:pStyle w:val="BodyText"/>
              <w:numPr>
                <w:ilvl w:val="4"/>
                <w:numId w:val="29"/>
              </w:numPr>
              <w:ind w:left="1134" w:hanging="567"/>
              <w:rPr>
                <w:rFonts w:ascii="Bookman Old Style" w:hAnsi="Bookman Old Style" w:cs="Arial"/>
                <w:sz w:val="20"/>
                <w:szCs w:val="20"/>
              </w:rPr>
            </w:pPr>
            <w:r w:rsidRPr="006A283D">
              <w:rPr>
                <w:rFonts w:ascii="Bookman Old Style" w:hAnsi="Bookman Old Style" w:cs="Arial"/>
                <w:sz w:val="20"/>
                <w:szCs w:val="20"/>
              </w:rPr>
              <w:t>Perhitungan Nilai Pendanaan Stabil yang Tersedia (</w:t>
            </w:r>
            <w:r w:rsidRPr="006A283D">
              <w:rPr>
                <w:rFonts w:ascii="Bookman Old Style" w:hAnsi="Bookman Old Style" w:cs="Arial"/>
                <w:i/>
                <w:sz w:val="20"/>
                <w:szCs w:val="20"/>
              </w:rPr>
              <w:t>Available Stable Funding</w:t>
            </w:r>
            <w:r w:rsidRPr="006A283D">
              <w:rPr>
                <w:rFonts w:ascii="Bookman Old Style" w:hAnsi="Bookman Old Style" w:cs="Arial"/>
                <w:sz w:val="20"/>
                <w:szCs w:val="20"/>
              </w:rPr>
              <w:t>)</w:t>
            </w:r>
          </w:p>
        </w:tc>
        <w:tc>
          <w:tcPr>
            <w:tcW w:w="3686" w:type="dxa"/>
            <w:shd w:val="clear" w:color="auto" w:fill="FFF2CC" w:themeFill="accent4" w:themeFillTint="33"/>
            <w:vAlign w:val="center"/>
          </w:tcPr>
          <w:p w14:paraId="1DBFC0C3"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6052AB0A"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1C6AB357" w14:textId="77777777" w:rsidTr="006A283D">
        <w:trPr>
          <w:trHeight w:val="564"/>
          <w:tblHeader/>
        </w:trPr>
        <w:tc>
          <w:tcPr>
            <w:tcW w:w="9634" w:type="dxa"/>
            <w:shd w:val="clear" w:color="auto" w:fill="auto"/>
            <w:vAlign w:val="center"/>
          </w:tcPr>
          <w:p w14:paraId="13C6B331" w14:textId="77777777" w:rsidR="006A283D" w:rsidRPr="006A283D" w:rsidRDefault="006A283D" w:rsidP="00A32F86">
            <w:pPr>
              <w:pStyle w:val="ListParagraph"/>
              <w:numPr>
                <w:ilvl w:val="0"/>
                <w:numId w:val="139"/>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Perhitungan nilai ASF dalam rangka perhitungan NSFR</w:t>
            </w:r>
            <w:r w:rsidRPr="006A283D">
              <w:rPr>
                <w:rFonts w:ascii="Bookman Old Style" w:eastAsia="Times New Roman" w:hAnsi="Bookman Old Style" w:cs="Arial"/>
                <w:sz w:val="20"/>
                <w:szCs w:val="20"/>
                <w:lang w:val="en-US"/>
              </w:rPr>
              <w:t xml:space="preserve"> </w:t>
            </w:r>
            <w:r w:rsidRPr="006A283D">
              <w:rPr>
                <w:rFonts w:ascii="Bookman Old Style" w:eastAsia="Times New Roman" w:hAnsi="Bookman Old Style" w:cs="Arial"/>
                <w:sz w:val="20"/>
                <w:szCs w:val="20"/>
              </w:rPr>
              <w:t>merupakan penjumlahan dari:</w:t>
            </w:r>
          </w:p>
          <w:p w14:paraId="48D527EE" w14:textId="77777777" w:rsidR="006A283D" w:rsidRPr="006A283D" w:rsidRDefault="006A283D" w:rsidP="00A32F86">
            <w:pPr>
              <w:pStyle w:val="ListParagraph"/>
              <w:numPr>
                <w:ilvl w:val="0"/>
                <w:numId w:val="138"/>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seluruh hasil perkalian antara seluruh nilai tercatat (</w:t>
            </w:r>
            <w:r w:rsidRPr="006A283D">
              <w:rPr>
                <w:rFonts w:ascii="Bookman Old Style" w:eastAsia="Times New Roman" w:hAnsi="Bookman Old Style" w:cs="Arial"/>
                <w:i/>
                <w:sz w:val="20"/>
                <w:szCs w:val="20"/>
              </w:rPr>
              <w:t>carrying value</w:t>
            </w:r>
            <w:r w:rsidRPr="006A283D">
              <w:rPr>
                <w:rFonts w:ascii="Bookman Old Style" w:eastAsia="Times New Roman" w:hAnsi="Bookman Old Style" w:cs="Arial"/>
                <w:sz w:val="20"/>
                <w:szCs w:val="20"/>
              </w:rPr>
              <w:t>) liabilitas dan faktor ASF; dan</w:t>
            </w:r>
          </w:p>
          <w:p w14:paraId="3469BA17" w14:textId="77777777" w:rsidR="006A283D" w:rsidRPr="006A283D" w:rsidRDefault="006A283D" w:rsidP="00A32F86">
            <w:pPr>
              <w:pStyle w:val="ListParagraph"/>
              <w:numPr>
                <w:ilvl w:val="0"/>
                <w:numId w:val="138"/>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lastRenderedPageBreak/>
              <w:t>seluruh hasil perkalian antara seluruh nilai tercatat (</w:t>
            </w:r>
            <w:r w:rsidRPr="006A283D">
              <w:rPr>
                <w:rFonts w:ascii="Bookman Old Style" w:eastAsia="Times New Roman" w:hAnsi="Bookman Old Style" w:cs="Arial"/>
                <w:i/>
                <w:sz w:val="20"/>
                <w:szCs w:val="20"/>
              </w:rPr>
              <w:t>carrying value</w:t>
            </w:r>
            <w:r w:rsidRPr="006A283D">
              <w:rPr>
                <w:rFonts w:ascii="Bookman Old Style" w:eastAsia="Times New Roman" w:hAnsi="Bookman Old Style" w:cs="Arial"/>
                <w:sz w:val="20"/>
                <w:szCs w:val="20"/>
              </w:rPr>
              <w:t>) ekuitas dan faktor ASF.</w:t>
            </w:r>
          </w:p>
          <w:p w14:paraId="5714DC05" w14:textId="77777777" w:rsidR="006A283D" w:rsidRPr="006A283D" w:rsidRDefault="006A283D" w:rsidP="00A32F86">
            <w:pPr>
              <w:pStyle w:val="ListParagraph"/>
              <w:numPr>
                <w:ilvl w:val="0"/>
                <w:numId w:val="139"/>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Nilai tercatat (</w:t>
            </w:r>
            <w:r w:rsidRPr="006A283D">
              <w:rPr>
                <w:rFonts w:ascii="Bookman Old Style" w:eastAsia="Times New Roman" w:hAnsi="Bookman Old Style" w:cs="Arial"/>
                <w:i/>
                <w:sz w:val="20"/>
                <w:szCs w:val="20"/>
              </w:rPr>
              <w:t>carrying value</w:t>
            </w:r>
            <w:r w:rsidRPr="006A283D">
              <w:rPr>
                <w:rFonts w:ascii="Bookman Old Style" w:eastAsia="Times New Roman" w:hAnsi="Bookman Old Style" w:cs="Arial"/>
                <w:sz w:val="20"/>
                <w:szCs w:val="20"/>
              </w:rPr>
              <w:t>) liabilitas dan ekuitas sebagaimana dimaksud dalam angka 1 tidak termasuk faktor pengurang berdasarkan pengaturan (</w:t>
            </w:r>
            <w:r w:rsidRPr="006A283D">
              <w:rPr>
                <w:rFonts w:ascii="Bookman Old Style" w:eastAsia="Times New Roman" w:hAnsi="Bookman Old Style" w:cs="Arial"/>
                <w:i/>
                <w:sz w:val="20"/>
                <w:szCs w:val="20"/>
              </w:rPr>
              <w:t>regulatory deductions</w:t>
            </w:r>
            <w:r w:rsidRPr="006A283D">
              <w:rPr>
                <w:rFonts w:ascii="Bookman Old Style" w:eastAsia="Times New Roman" w:hAnsi="Bookman Old Style" w:cs="Arial"/>
                <w:sz w:val="20"/>
                <w:szCs w:val="20"/>
              </w:rPr>
              <w:t>), dan penyesuaian lain.</w:t>
            </w:r>
          </w:p>
          <w:p w14:paraId="56499996" w14:textId="77777777" w:rsidR="006A283D" w:rsidRPr="006A283D" w:rsidRDefault="006A283D" w:rsidP="006A283D">
            <w:pPr>
              <w:pStyle w:val="ListParagraph"/>
              <w:spacing w:after="0" w:line="240" w:lineRule="auto"/>
              <w:ind w:left="1701"/>
              <w:rPr>
                <w:rFonts w:ascii="Bookman Old Style" w:eastAsia="Times New Roman" w:hAnsi="Bookman Old Style" w:cs="Arial"/>
                <w:sz w:val="20"/>
                <w:szCs w:val="20"/>
              </w:rPr>
            </w:pPr>
            <w:r w:rsidRPr="006A283D">
              <w:rPr>
                <w:rFonts w:ascii="Bookman Old Style" w:eastAsia="Times New Roman" w:hAnsi="Bookman Old Style" w:cs="Arial"/>
                <w:sz w:val="20"/>
                <w:szCs w:val="20"/>
              </w:rPr>
              <w:t>Contoh:</w:t>
            </w:r>
          </w:p>
          <w:p w14:paraId="6095ED4D" w14:textId="77777777" w:rsidR="006A283D" w:rsidRPr="006A283D" w:rsidRDefault="006A283D" w:rsidP="006A283D">
            <w:pPr>
              <w:pStyle w:val="ListParagraph"/>
              <w:spacing w:after="0" w:line="240" w:lineRule="auto"/>
              <w:ind w:left="1701"/>
              <w:rPr>
                <w:rFonts w:ascii="Bookman Old Style" w:eastAsia="Times New Roman" w:hAnsi="Bookman Old Style" w:cs="Arial"/>
                <w:sz w:val="20"/>
                <w:szCs w:val="20"/>
              </w:rPr>
            </w:pPr>
            <w:r w:rsidRPr="006A283D">
              <w:rPr>
                <w:rFonts w:ascii="Bookman Old Style" w:eastAsia="Times New Roman" w:hAnsi="Bookman Old Style" w:cs="Arial"/>
                <w:sz w:val="20"/>
                <w:szCs w:val="20"/>
              </w:rPr>
              <w:t>Modal inti (</w:t>
            </w:r>
            <w:r w:rsidRPr="006A283D">
              <w:rPr>
                <w:rFonts w:ascii="Bookman Old Style" w:eastAsia="Times New Roman" w:hAnsi="Bookman Old Style" w:cs="Arial"/>
                <w:i/>
                <w:sz w:val="20"/>
                <w:szCs w:val="20"/>
              </w:rPr>
              <w:t xml:space="preserve">Tier </w:t>
            </w:r>
            <w:r w:rsidRPr="006A283D">
              <w:rPr>
                <w:rFonts w:ascii="Bookman Old Style" w:eastAsia="Times New Roman" w:hAnsi="Bookman Old Style" w:cs="Arial"/>
                <w:sz w:val="20"/>
                <w:szCs w:val="20"/>
              </w:rPr>
              <w:t>1) dan modal pelengkap (</w:t>
            </w:r>
            <w:r w:rsidRPr="006A283D">
              <w:rPr>
                <w:rFonts w:ascii="Bookman Old Style" w:eastAsia="Times New Roman" w:hAnsi="Bookman Old Style" w:cs="Arial"/>
                <w:i/>
                <w:sz w:val="20"/>
                <w:szCs w:val="20"/>
              </w:rPr>
              <w:t xml:space="preserve">Tier </w:t>
            </w:r>
            <w:r w:rsidRPr="006A283D">
              <w:rPr>
                <w:rFonts w:ascii="Bookman Old Style" w:eastAsia="Times New Roman" w:hAnsi="Bookman Old Style" w:cs="Arial"/>
                <w:sz w:val="20"/>
                <w:szCs w:val="20"/>
              </w:rPr>
              <w:t>2) tidak memperhitungkan faktor-faktor yang menjadi pengurang modal sebagaimana dimaksud dalam Peraturan Otoritas Jasa Keuangan Nomor</w:t>
            </w:r>
            <w:r w:rsidRPr="006A283D">
              <w:rPr>
                <w:rFonts w:ascii="Bookman Old Style" w:eastAsia="Times New Roman" w:hAnsi="Bookman Old Style" w:cs="Arial"/>
                <w:sz w:val="20"/>
                <w:szCs w:val="20"/>
                <w:lang w:val="en-US"/>
              </w:rPr>
              <w:t xml:space="preserve"> 21/POJK.03/2014 tentang Kewajiban Penyediaan Modal Minimum Bank Umum Syariah (POJK KPMM)</w:t>
            </w:r>
            <w:r w:rsidRPr="006A283D">
              <w:rPr>
                <w:rFonts w:ascii="Bookman Old Style" w:eastAsia="Times New Roman" w:hAnsi="Bookman Old Style" w:cs="Arial"/>
                <w:sz w:val="20"/>
                <w:szCs w:val="20"/>
              </w:rPr>
              <w:t>.</w:t>
            </w:r>
          </w:p>
          <w:p w14:paraId="488E1335" w14:textId="72BD8CB2" w:rsidR="006A283D" w:rsidRPr="006A283D" w:rsidRDefault="006A283D" w:rsidP="00A32F86">
            <w:pPr>
              <w:pStyle w:val="ListParagraph"/>
              <w:numPr>
                <w:ilvl w:val="0"/>
                <w:numId w:val="139"/>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Bank memastikan bahwa jumlah seluruh nilai tercatat (</w:t>
            </w:r>
            <w:r w:rsidRPr="006A283D">
              <w:rPr>
                <w:rFonts w:ascii="Bookman Old Style" w:eastAsia="Times New Roman" w:hAnsi="Bookman Old Style" w:cs="Arial"/>
                <w:i/>
                <w:sz w:val="20"/>
                <w:szCs w:val="20"/>
              </w:rPr>
              <w:t>carrying value</w:t>
            </w:r>
            <w:r w:rsidRPr="006A283D">
              <w:rPr>
                <w:rFonts w:ascii="Bookman Old Style" w:eastAsia="Times New Roman" w:hAnsi="Bookman Old Style" w:cs="Arial"/>
                <w:sz w:val="20"/>
                <w:szCs w:val="20"/>
              </w:rPr>
              <w:t xml:space="preserve">) liabilitas dan ekuitas sebelum mendapatkan faktor ASF yang dilaporkan pada Laporan NSFR sama dengan jumlah yang dilaporkan pada laporan </w:t>
            </w:r>
            <w:r w:rsidRPr="006A283D">
              <w:rPr>
                <w:rFonts w:ascii="Bookman Old Style" w:eastAsia="Times New Roman" w:hAnsi="Bookman Old Style" w:cs="Arial"/>
                <w:sz w:val="20"/>
                <w:szCs w:val="20"/>
                <w:lang w:val="en-US"/>
              </w:rPr>
              <w:t>posisi keuangan</w:t>
            </w:r>
            <w:r w:rsidRPr="006A283D">
              <w:rPr>
                <w:rFonts w:ascii="Bookman Old Style" w:eastAsia="Times New Roman" w:hAnsi="Bookman Old Style" w:cs="Arial"/>
                <w:sz w:val="20"/>
                <w:szCs w:val="20"/>
              </w:rPr>
              <w:t xml:space="preserve"> per kantor pada </w:t>
            </w:r>
            <w:r w:rsidRPr="006A283D">
              <w:rPr>
                <w:rFonts w:ascii="Bookman Old Style" w:eastAsia="Times New Roman" w:hAnsi="Bookman Old Style" w:cs="Arial"/>
                <w:sz w:val="20"/>
                <w:szCs w:val="20"/>
                <w:lang w:val="en-US"/>
              </w:rPr>
              <w:t>Laporan Bank Umum Terintegrasi (LBUT)</w:t>
            </w:r>
            <w:r w:rsidRPr="006A283D">
              <w:rPr>
                <w:rFonts w:ascii="Bookman Old Style" w:eastAsia="Times New Roman" w:hAnsi="Bookman Old Style" w:cs="Arial"/>
                <w:sz w:val="20"/>
                <w:szCs w:val="20"/>
              </w:rPr>
              <w:t>. Untuk menjaga keakuratan, Bank dapat mengidentifikasi dan menjelaskan selisih yang terjadi.</w:t>
            </w:r>
          </w:p>
        </w:tc>
        <w:tc>
          <w:tcPr>
            <w:tcW w:w="3686" w:type="dxa"/>
            <w:shd w:val="clear" w:color="auto" w:fill="auto"/>
            <w:vAlign w:val="center"/>
          </w:tcPr>
          <w:p w14:paraId="0D83AB81"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F571FC6"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332712E4" w14:textId="77777777" w:rsidTr="006A283D">
        <w:trPr>
          <w:trHeight w:val="564"/>
          <w:tblHeader/>
        </w:trPr>
        <w:tc>
          <w:tcPr>
            <w:tcW w:w="9634" w:type="dxa"/>
            <w:shd w:val="clear" w:color="auto" w:fill="FFF2CC" w:themeFill="accent4" w:themeFillTint="33"/>
            <w:vAlign w:val="center"/>
          </w:tcPr>
          <w:p w14:paraId="46797CF7" w14:textId="61A19622" w:rsidR="006A283D" w:rsidRPr="006A283D" w:rsidRDefault="006A283D" w:rsidP="00A32F86">
            <w:pPr>
              <w:pStyle w:val="BodyText"/>
              <w:numPr>
                <w:ilvl w:val="4"/>
                <w:numId w:val="29"/>
              </w:numPr>
              <w:ind w:left="1134" w:hanging="567"/>
              <w:rPr>
                <w:rFonts w:ascii="Bookman Old Style" w:hAnsi="Bookman Old Style" w:cs="Arial"/>
                <w:sz w:val="20"/>
                <w:szCs w:val="20"/>
              </w:rPr>
            </w:pPr>
            <w:r w:rsidRPr="006A283D">
              <w:rPr>
                <w:rFonts w:ascii="Bookman Old Style" w:hAnsi="Bookman Old Style" w:cs="Arial"/>
                <w:sz w:val="20"/>
                <w:szCs w:val="20"/>
              </w:rPr>
              <w:t>Penentuan Jangka Waktu Liabilitas dan Ekuitas</w:t>
            </w:r>
          </w:p>
        </w:tc>
        <w:tc>
          <w:tcPr>
            <w:tcW w:w="3686" w:type="dxa"/>
            <w:shd w:val="clear" w:color="auto" w:fill="FFF2CC" w:themeFill="accent4" w:themeFillTint="33"/>
            <w:vAlign w:val="center"/>
          </w:tcPr>
          <w:p w14:paraId="3DBBF9C1"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6F693BC6"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5AE037C1" w14:textId="77777777" w:rsidTr="006A283D">
        <w:trPr>
          <w:trHeight w:val="564"/>
          <w:tblHeader/>
        </w:trPr>
        <w:tc>
          <w:tcPr>
            <w:tcW w:w="9634" w:type="dxa"/>
            <w:shd w:val="clear" w:color="auto" w:fill="auto"/>
            <w:vAlign w:val="center"/>
          </w:tcPr>
          <w:p w14:paraId="38CF3B2C" w14:textId="77777777" w:rsidR="006A283D" w:rsidRPr="006A283D" w:rsidRDefault="006A283D" w:rsidP="00A32F86">
            <w:pPr>
              <w:pStyle w:val="ListParagraph"/>
              <w:numPr>
                <w:ilvl w:val="0"/>
                <w:numId w:val="140"/>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Dalam rangka perhitungan nilai ASF, Bank perlu untuk menentukan jangka waktu liabilitas dan ekuitas. Penentuan jangka waktu liabilitas dan ekuitas secara umum adalah berdasarkan sisa jangka waktu kontraktual namun juga mempertimbangkan kondisi-kondisi yang dapat</w:t>
            </w:r>
            <w:r w:rsidRPr="006A283D">
              <w:rPr>
                <w:rFonts w:ascii="Bookman Old Style" w:eastAsia="Times New Roman" w:hAnsi="Bookman Old Style" w:cs="Arial"/>
                <w:sz w:val="20"/>
                <w:szCs w:val="20"/>
                <w:lang w:val="en-US"/>
              </w:rPr>
              <w:t xml:space="preserve"> </w:t>
            </w:r>
            <w:r w:rsidRPr="006A283D">
              <w:rPr>
                <w:rFonts w:ascii="Bookman Old Style" w:eastAsia="Times New Roman" w:hAnsi="Bookman Old Style" w:cs="Arial"/>
                <w:sz w:val="20"/>
                <w:szCs w:val="20"/>
              </w:rPr>
              <w:t>mempengaruhi jatuh tempo aktual, sebagai berikut:</w:t>
            </w:r>
          </w:p>
          <w:p w14:paraId="011DE5D9" w14:textId="77777777" w:rsidR="006A283D" w:rsidRPr="006A283D" w:rsidRDefault="006A283D" w:rsidP="00A32F86">
            <w:pPr>
              <w:pStyle w:val="ListParagraph"/>
              <w:numPr>
                <w:ilvl w:val="0"/>
                <w:numId w:val="141"/>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hak opsi beli (</w:t>
            </w:r>
            <w:r w:rsidRPr="006A283D">
              <w:rPr>
                <w:rFonts w:ascii="Bookman Old Style" w:eastAsia="Times New Roman" w:hAnsi="Bookman Old Style" w:cs="Arial"/>
                <w:i/>
                <w:sz w:val="20"/>
                <w:szCs w:val="20"/>
              </w:rPr>
              <w:t>call option</w:t>
            </w:r>
            <w:r w:rsidRPr="006A283D">
              <w:rPr>
                <w:rFonts w:ascii="Bookman Old Style" w:eastAsia="Times New Roman" w:hAnsi="Bookman Old Style" w:cs="Arial"/>
                <w:sz w:val="20"/>
                <w:szCs w:val="20"/>
              </w:rPr>
              <w:t>) yang dimiliki investor diasumsikan akan dieksekusi pada waktu yang paling awal; atau</w:t>
            </w:r>
          </w:p>
          <w:p w14:paraId="730767A8" w14:textId="77777777" w:rsidR="006A283D" w:rsidRPr="006A283D" w:rsidRDefault="006A283D" w:rsidP="00A32F86">
            <w:pPr>
              <w:pStyle w:val="ListParagraph"/>
              <w:numPr>
                <w:ilvl w:val="0"/>
                <w:numId w:val="141"/>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dalam hal Bank memiliki diskresi untuk mengeksekusi opsi atas Pendanaan yang dimiliki, Bank mempertimbangkan faktor reputasi yang dapat membatasi kemampuan Bank untuk melakukan eksekusi atau tidak melakukan eksekusi atas opsi tersebut.</w:t>
            </w:r>
          </w:p>
          <w:p w14:paraId="7E209037" w14:textId="77777777" w:rsidR="006A283D" w:rsidRPr="006A283D" w:rsidRDefault="006A283D" w:rsidP="00A32F86">
            <w:pPr>
              <w:pStyle w:val="ListParagraph"/>
              <w:numPr>
                <w:ilvl w:val="0"/>
                <w:numId w:val="140"/>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 xml:space="preserve">Pertimbangan faktor reputasi sebagaimana dimaksud dalam butir </w:t>
            </w:r>
            <w:r w:rsidRPr="006A283D">
              <w:rPr>
                <w:rFonts w:ascii="Bookman Old Style" w:eastAsia="Times New Roman" w:hAnsi="Bookman Old Style" w:cs="Arial"/>
                <w:sz w:val="20"/>
                <w:szCs w:val="20"/>
                <w:lang w:val="en-US"/>
              </w:rPr>
              <w:t>a</w:t>
            </w:r>
            <w:r w:rsidRPr="006A283D">
              <w:rPr>
                <w:rFonts w:ascii="Bookman Old Style" w:eastAsia="Times New Roman" w:hAnsi="Bookman Old Style" w:cs="Arial"/>
                <w:sz w:val="20"/>
                <w:szCs w:val="20"/>
              </w:rPr>
              <w:t>.</w:t>
            </w:r>
            <w:r w:rsidRPr="006A283D">
              <w:rPr>
                <w:rFonts w:ascii="Bookman Old Style" w:eastAsia="Times New Roman" w:hAnsi="Bookman Old Style" w:cs="Arial"/>
                <w:sz w:val="20"/>
                <w:szCs w:val="20"/>
                <w:lang w:val="en-US"/>
              </w:rPr>
              <w:t>2)</w:t>
            </w:r>
            <w:r w:rsidRPr="006A283D">
              <w:rPr>
                <w:rFonts w:ascii="Bookman Old Style" w:eastAsia="Times New Roman" w:hAnsi="Bookman Old Style" w:cs="Arial"/>
                <w:sz w:val="20"/>
                <w:szCs w:val="20"/>
              </w:rPr>
              <w:t xml:space="preserve"> antara lain ketika Bank diperkirakan akan menghadapi risiko likuiditas terkait Pendanaan apabila Bank tidak mengeksekusi opsi atas Pendanaan yang dimiliki, antara lain sebagai berikut:</w:t>
            </w:r>
          </w:p>
          <w:p w14:paraId="424980D9" w14:textId="77777777" w:rsidR="006A283D" w:rsidRPr="006A283D" w:rsidRDefault="006A283D" w:rsidP="00A32F86">
            <w:pPr>
              <w:pStyle w:val="ListParagraph"/>
              <w:numPr>
                <w:ilvl w:val="0"/>
                <w:numId w:val="142"/>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Opsi percepatan yang dimiliki oleh Bank untuk memperpendek jangka waktu liabilitas diasumsikan akan dieksekusi ketika terdapat pertimbangan faktor reputasi.</w:t>
            </w:r>
          </w:p>
          <w:p w14:paraId="18E0C9D8" w14:textId="77777777" w:rsidR="006A283D" w:rsidRPr="006A283D" w:rsidRDefault="006A283D" w:rsidP="006A283D">
            <w:pPr>
              <w:pStyle w:val="ListParagraph"/>
              <w:spacing w:after="0" w:line="240" w:lineRule="auto"/>
              <w:ind w:left="2268"/>
              <w:rPr>
                <w:rFonts w:ascii="Bookman Old Style" w:eastAsia="Times New Roman" w:hAnsi="Bookman Old Style" w:cs="Arial"/>
                <w:sz w:val="20"/>
                <w:szCs w:val="20"/>
              </w:rPr>
            </w:pPr>
            <w:r w:rsidRPr="006A283D">
              <w:rPr>
                <w:rFonts w:ascii="Bookman Old Style" w:eastAsia="Times New Roman" w:hAnsi="Bookman Old Style" w:cs="Arial"/>
                <w:sz w:val="20"/>
                <w:szCs w:val="20"/>
              </w:rPr>
              <w:t>Contoh:</w:t>
            </w:r>
          </w:p>
          <w:p w14:paraId="02AC221D" w14:textId="77777777" w:rsidR="006A283D" w:rsidRPr="006A283D" w:rsidRDefault="006A283D" w:rsidP="006A283D">
            <w:pPr>
              <w:pStyle w:val="ListParagraph"/>
              <w:spacing w:after="0" w:line="240" w:lineRule="auto"/>
              <w:ind w:left="2268"/>
              <w:rPr>
                <w:rFonts w:ascii="Bookman Old Style" w:eastAsia="Times New Roman" w:hAnsi="Bookman Old Style" w:cs="Arial"/>
                <w:sz w:val="20"/>
                <w:szCs w:val="20"/>
              </w:rPr>
            </w:pPr>
            <w:r w:rsidRPr="006A283D">
              <w:rPr>
                <w:rFonts w:ascii="Bookman Old Style" w:eastAsia="Times New Roman" w:hAnsi="Bookman Old Style" w:cs="Arial"/>
                <w:sz w:val="20"/>
                <w:szCs w:val="20"/>
                <w:lang w:val="en-US"/>
              </w:rPr>
              <w:t>Surat berharga syariah</w:t>
            </w:r>
            <w:r w:rsidRPr="006A283D">
              <w:rPr>
                <w:rFonts w:ascii="Bookman Old Style" w:eastAsia="Times New Roman" w:hAnsi="Bookman Old Style" w:cs="Arial"/>
                <w:sz w:val="20"/>
                <w:szCs w:val="20"/>
              </w:rPr>
              <w:t xml:space="preserve"> yang diterbitkan oleh Bank dengan fitur opsi </w:t>
            </w:r>
            <w:r w:rsidRPr="006A283D">
              <w:rPr>
                <w:rFonts w:ascii="Bookman Old Style" w:eastAsia="Times New Roman" w:hAnsi="Bookman Old Style" w:cs="Arial"/>
                <w:sz w:val="20"/>
                <w:szCs w:val="20"/>
                <w:lang w:val="en-US"/>
              </w:rPr>
              <w:t>beli (</w:t>
            </w:r>
            <w:r w:rsidRPr="006A283D">
              <w:rPr>
                <w:rFonts w:ascii="Bookman Old Style" w:eastAsia="Times New Roman" w:hAnsi="Bookman Old Style" w:cs="Arial"/>
                <w:i/>
                <w:sz w:val="20"/>
                <w:szCs w:val="20"/>
                <w:lang w:val="en-US"/>
              </w:rPr>
              <w:t>call option</w:t>
            </w:r>
            <w:r w:rsidRPr="006A283D">
              <w:rPr>
                <w:rFonts w:ascii="Bookman Old Style" w:eastAsia="Times New Roman" w:hAnsi="Bookman Old Style" w:cs="Arial"/>
                <w:sz w:val="20"/>
                <w:szCs w:val="20"/>
                <w:lang w:val="en-US"/>
              </w:rPr>
              <w:t>)</w:t>
            </w:r>
            <w:r w:rsidRPr="006A283D">
              <w:rPr>
                <w:rFonts w:ascii="Bookman Old Style" w:eastAsia="Times New Roman" w:hAnsi="Bookman Old Style" w:cs="Arial"/>
                <w:i/>
                <w:sz w:val="20"/>
                <w:szCs w:val="20"/>
              </w:rPr>
              <w:t xml:space="preserve">. </w:t>
            </w:r>
            <w:r w:rsidRPr="006A283D">
              <w:rPr>
                <w:rFonts w:ascii="Bookman Old Style" w:eastAsia="Times New Roman" w:hAnsi="Bookman Old Style" w:cs="Arial"/>
                <w:sz w:val="20"/>
                <w:szCs w:val="20"/>
              </w:rPr>
              <w:t xml:space="preserve">Bank diasumsikan akan mengeksekusi opsi untuk </w:t>
            </w:r>
            <w:r w:rsidRPr="006A283D">
              <w:rPr>
                <w:rFonts w:ascii="Bookman Old Style" w:eastAsia="Times New Roman" w:hAnsi="Bookman Old Style" w:cs="Arial"/>
                <w:sz w:val="20"/>
                <w:szCs w:val="20"/>
              </w:rPr>
              <w:lastRenderedPageBreak/>
              <w:t xml:space="preserve">menarik </w:t>
            </w:r>
            <w:r w:rsidRPr="006A283D">
              <w:rPr>
                <w:rFonts w:ascii="Bookman Old Style" w:eastAsia="Times New Roman" w:hAnsi="Bookman Old Style" w:cs="Arial"/>
                <w:sz w:val="20"/>
                <w:szCs w:val="20"/>
                <w:lang w:val="en-US"/>
              </w:rPr>
              <w:t>Surat berharga syariah</w:t>
            </w:r>
            <w:r w:rsidRPr="006A283D" w:rsidDel="00260E56">
              <w:rPr>
                <w:rFonts w:ascii="Bookman Old Style" w:eastAsia="Times New Roman" w:hAnsi="Bookman Old Style" w:cs="Arial"/>
                <w:sz w:val="20"/>
                <w:szCs w:val="20"/>
              </w:rPr>
              <w:t xml:space="preserve"> </w:t>
            </w:r>
            <w:r w:rsidRPr="006A283D">
              <w:rPr>
                <w:rFonts w:ascii="Bookman Old Style" w:eastAsia="Times New Roman" w:hAnsi="Bookman Old Style" w:cs="Arial"/>
                <w:sz w:val="20"/>
                <w:szCs w:val="20"/>
              </w:rPr>
              <w:t xml:space="preserve"> pada jangka waktu yang tercepat sesuai tanggal kontrak opsi.</w:t>
            </w:r>
          </w:p>
          <w:p w14:paraId="20A56052" w14:textId="77777777" w:rsidR="006A283D" w:rsidRPr="006A283D" w:rsidRDefault="006A283D" w:rsidP="00A32F86">
            <w:pPr>
              <w:pStyle w:val="ListParagraph"/>
              <w:numPr>
                <w:ilvl w:val="0"/>
                <w:numId w:val="142"/>
              </w:numPr>
              <w:spacing w:after="0" w:line="240" w:lineRule="auto"/>
              <w:ind w:left="2268"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Opsi perpanjangan yang dimiliki oleh Bank untuk memperpanjang jangka waktu liabilitas diasumsikan tidak akan dieksekusi ketika terdapat pertimbangan faktor reputasi.</w:t>
            </w:r>
          </w:p>
          <w:p w14:paraId="036CDC99" w14:textId="77777777" w:rsidR="006A283D" w:rsidRPr="006A283D" w:rsidRDefault="006A283D" w:rsidP="006A283D">
            <w:pPr>
              <w:pStyle w:val="ListParagraph"/>
              <w:spacing w:after="0" w:line="240" w:lineRule="auto"/>
              <w:ind w:left="2268"/>
              <w:rPr>
                <w:rFonts w:ascii="Bookman Old Style" w:eastAsia="Times New Roman" w:hAnsi="Bookman Old Style" w:cs="Arial"/>
                <w:sz w:val="20"/>
                <w:szCs w:val="20"/>
              </w:rPr>
            </w:pPr>
            <w:r w:rsidRPr="006A283D">
              <w:rPr>
                <w:rFonts w:ascii="Bookman Old Style" w:eastAsia="Times New Roman" w:hAnsi="Bookman Old Style" w:cs="Arial"/>
                <w:sz w:val="20"/>
                <w:szCs w:val="20"/>
              </w:rPr>
              <w:t>Contoh:</w:t>
            </w:r>
          </w:p>
          <w:p w14:paraId="0257838C" w14:textId="03871F86" w:rsidR="006A283D" w:rsidRPr="006A283D" w:rsidRDefault="006A283D" w:rsidP="006A283D">
            <w:pPr>
              <w:pStyle w:val="ListParagraph"/>
              <w:spacing w:after="0" w:line="240" w:lineRule="auto"/>
              <w:ind w:left="2268"/>
              <w:rPr>
                <w:rFonts w:ascii="Bookman Old Style" w:eastAsia="Times New Roman" w:hAnsi="Bookman Old Style" w:cs="Arial"/>
                <w:sz w:val="20"/>
                <w:szCs w:val="20"/>
              </w:rPr>
            </w:pPr>
            <w:r w:rsidRPr="006A283D">
              <w:rPr>
                <w:rFonts w:ascii="Bookman Old Style" w:eastAsia="Times New Roman" w:hAnsi="Bookman Old Style" w:cs="Arial"/>
                <w:sz w:val="20"/>
                <w:szCs w:val="20"/>
                <w:lang w:val="en-US"/>
              </w:rPr>
              <w:t>Surat berharga syariah</w:t>
            </w:r>
            <w:r w:rsidRPr="006A283D" w:rsidDel="00260E56">
              <w:rPr>
                <w:rFonts w:ascii="Bookman Old Style" w:eastAsia="Times New Roman" w:hAnsi="Bookman Old Style" w:cs="Arial"/>
                <w:sz w:val="20"/>
                <w:szCs w:val="20"/>
              </w:rPr>
              <w:t xml:space="preserve"> </w:t>
            </w:r>
            <w:r w:rsidRPr="006A283D">
              <w:rPr>
                <w:rFonts w:ascii="Bookman Old Style" w:eastAsia="Times New Roman" w:hAnsi="Bookman Old Style" w:cs="Arial"/>
                <w:sz w:val="20"/>
                <w:szCs w:val="20"/>
              </w:rPr>
              <w:t>yang diterbitkan oleh Bank</w:t>
            </w:r>
            <w:r w:rsidRPr="006A283D">
              <w:rPr>
                <w:rFonts w:ascii="Bookman Old Style" w:eastAsia="Times New Roman" w:hAnsi="Bookman Old Style" w:cs="Arial"/>
                <w:sz w:val="20"/>
                <w:szCs w:val="20"/>
                <w:lang w:val="en-US"/>
              </w:rPr>
              <w:t xml:space="preserve"> dengan </w:t>
            </w:r>
            <w:r w:rsidRPr="006A283D">
              <w:rPr>
                <w:rFonts w:ascii="Bookman Old Style" w:eastAsia="Times New Roman" w:hAnsi="Bookman Old Style" w:cs="Arial"/>
                <w:sz w:val="20"/>
                <w:szCs w:val="20"/>
              </w:rPr>
              <w:t xml:space="preserve">fitur opsi untuk memperpanjang jatuh tempo dari </w:t>
            </w:r>
            <w:r w:rsidRPr="006A283D">
              <w:rPr>
                <w:rFonts w:ascii="Bookman Old Style" w:eastAsia="Times New Roman" w:hAnsi="Bookman Old Style" w:cs="Arial"/>
                <w:sz w:val="20"/>
                <w:szCs w:val="20"/>
                <w:lang w:val="en-US"/>
              </w:rPr>
              <w:t>surat berharga syariah</w:t>
            </w:r>
            <w:r w:rsidRPr="006A283D">
              <w:rPr>
                <w:rFonts w:ascii="Bookman Old Style" w:eastAsia="Times New Roman" w:hAnsi="Bookman Old Style" w:cs="Arial"/>
                <w:sz w:val="20"/>
                <w:szCs w:val="20"/>
              </w:rPr>
              <w:t xml:space="preserve"> apabila telah memenuhi kriteria yang terdapat dalam kontrak. Bank diasumsikan tidak mengeksekusi opsi tersebut sehingga Bank tidak dapat menunda pembayaran liabilitas dengan cara memperpanjang jangka waktu </w:t>
            </w:r>
            <w:r w:rsidRPr="006A283D">
              <w:rPr>
                <w:rFonts w:ascii="Bookman Old Style" w:eastAsia="Times New Roman" w:hAnsi="Bookman Old Style" w:cs="Arial"/>
                <w:sz w:val="20"/>
                <w:szCs w:val="20"/>
                <w:lang w:val="en-US"/>
              </w:rPr>
              <w:t>surat berharga syariah</w:t>
            </w:r>
            <w:r w:rsidRPr="006A283D">
              <w:rPr>
                <w:rFonts w:ascii="Bookman Old Style" w:eastAsia="Times New Roman" w:hAnsi="Bookman Old Style" w:cs="Arial"/>
                <w:sz w:val="20"/>
                <w:szCs w:val="20"/>
              </w:rPr>
              <w:t>.</w:t>
            </w:r>
          </w:p>
          <w:p w14:paraId="725E3A8B" w14:textId="77777777" w:rsidR="006A283D" w:rsidRPr="006A283D" w:rsidRDefault="006A283D" w:rsidP="00A32F86">
            <w:pPr>
              <w:pStyle w:val="ListParagraph"/>
              <w:numPr>
                <w:ilvl w:val="0"/>
                <w:numId w:val="140"/>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Ketika pelaku pasar memandang bahwa liabilitas tertentu akan ditarik sebelum masa jatuh tempo (</w:t>
            </w:r>
            <w:r w:rsidRPr="006A283D">
              <w:rPr>
                <w:rFonts w:ascii="Bookman Old Style" w:eastAsia="Times New Roman" w:hAnsi="Bookman Old Style" w:cs="Arial"/>
                <w:i/>
                <w:sz w:val="20"/>
                <w:szCs w:val="20"/>
              </w:rPr>
              <w:t>legal final maturity date</w:t>
            </w:r>
            <w:r w:rsidRPr="006A283D">
              <w:rPr>
                <w:rFonts w:ascii="Bookman Old Style" w:eastAsia="Times New Roman" w:hAnsi="Bookman Old Style" w:cs="Arial"/>
                <w:sz w:val="20"/>
                <w:szCs w:val="20"/>
              </w:rPr>
              <w:t>), Bank mengasumsikan bahwa perilaku dimaksud akan terjadi</w:t>
            </w:r>
            <w:r w:rsidRPr="006A283D">
              <w:rPr>
                <w:rFonts w:ascii="Bookman Old Style" w:eastAsia="Times New Roman" w:hAnsi="Bookman Old Style" w:cs="Arial"/>
                <w:sz w:val="20"/>
                <w:szCs w:val="20"/>
                <w:lang w:val="en-US"/>
              </w:rPr>
              <w:t xml:space="preserve"> </w:t>
            </w:r>
            <w:r w:rsidRPr="006A283D">
              <w:rPr>
                <w:rFonts w:ascii="Bookman Old Style" w:eastAsia="Times New Roman" w:hAnsi="Bookman Old Style" w:cs="Arial"/>
                <w:sz w:val="20"/>
                <w:szCs w:val="20"/>
              </w:rPr>
              <w:t>dan memasukkan liabilitas tersebut ke dalam kategori ASF yang terkait.</w:t>
            </w:r>
          </w:p>
          <w:p w14:paraId="2910C5F5" w14:textId="77777777" w:rsidR="006A283D" w:rsidRPr="006A283D" w:rsidRDefault="006A283D" w:rsidP="00A32F86">
            <w:pPr>
              <w:pStyle w:val="ListParagraph"/>
              <w:numPr>
                <w:ilvl w:val="0"/>
                <w:numId w:val="140"/>
              </w:numPr>
              <w:spacing w:after="0" w:line="240" w:lineRule="auto"/>
              <w:ind w:left="1701" w:hanging="567"/>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Untuk</w:t>
            </w:r>
            <w:r w:rsidRPr="006A283D">
              <w:rPr>
                <w:rFonts w:ascii="Bookman Old Style" w:hAnsi="Bookman Old Style"/>
                <w:sz w:val="20"/>
                <w:szCs w:val="20"/>
              </w:rPr>
              <w:t xml:space="preserve"> </w:t>
            </w:r>
            <w:r w:rsidRPr="006A283D">
              <w:rPr>
                <w:rFonts w:ascii="Bookman Old Style" w:eastAsia="Times New Roman" w:hAnsi="Bookman Old Style" w:cs="Arial"/>
                <w:sz w:val="20"/>
                <w:szCs w:val="20"/>
              </w:rPr>
              <w:t>liabilitas jangka panjang, dalam hal terdapat porsi arus kas yang akan jatuh tempo dengan waktu yang lebih cepat dari jatuh tempo kontrak utamanya maka porsi arus kas diperhitungkan dalam kelompok jangka waktu sesuai dengan jatuh tempo arus kas tersebut.</w:t>
            </w:r>
          </w:p>
          <w:p w14:paraId="6E9BE911" w14:textId="43BC4786" w:rsidR="006A283D" w:rsidRPr="006A283D" w:rsidRDefault="006A283D" w:rsidP="006A283D">
            <w:pPr>
              <w:pStyle w:val="ListParagraph"/>
              <w:spacing w:after="0" w:line="240" w:lineRule="auto"/>
              <w:ind w:left="1701"/>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Contoh: Bank memiliki liabilitas dengan jatuh tempo 5 (lima) tahun namun terdapat porsi arus kas yang akan jatuh tempo dalam waktu kurang dari 6 (enam) bulan maka porsi arus kas tersebut akan dikelompokkan dalam liabilitas yang akan jatuh tempo dalam waktu kurang dari 6 (enam) bulan.</w:t>
            </w:r>
          </w:p>
        </w:tc>
        <w:tc>
          <w:tcPr>
            <w:tcW w:w="3686" w:type="dxa"/>
            <w:shd w:val="clear" w:color="auto" w:fill="auto"/>
            <w:vAlign w:val="center"/>
          </w:tcPr>
          <w:p w14:paraId="6E492324"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6D60090"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2999A6BD" w14:textId="77777777" w:rsidTr="006A283D">
        <w:trPr>
          <w:trHeight w:val="564"/>
          <w:tblHeader/>
        </w:trPr>
        <w:tc>
          <w:tcPr>
            <w:tcW w:w="9634" w:type="dxa"/>
            <w:shd w:val="clear" w:color="auto" w:fill="FFF2CC" w:themeFill="accent4" w:themeFillTint="33"/>
            <w:vAlign w:val="center"/>
          </w:tcPr>
          <w:p w14:paraId="3DA55972" w14:textId="190BEEB0" w:rsidR="006A283D" w:rsidRPr="006A283D" w:rsidRDefault="006A283D" w:rsidP="00A32F86">
            <w:pPr>
              <w:pStyle w:val="BodyText"/>
              <w:numPr>
                <w:ilvl w:val="4"/>
                <w:numId w:val="29"/>
              </w:numPr>
              <w:ind w:left="1134" w:hanging="567"/>
              <w:rPr>
                <w:rFonts w:ascii="Bookman Old Style" w:hAnsi="Bookman Old Style" w:cs="Arial"/>
                <w:sz w:val="20"/>
                <w:szCs w:val="20"/>
              </w:rPr>
            </w:pPr>
            <w:r w:rsidRPr="006A283D">
              <w:rPr>
                <w:rFonts w:ascii="Bookman Old Style" w:hAnsi="Bookman Old Style" w:cs="Arial"/>
                <w:sz w:val="20"/>
                <w:szCs w:val="20"/>
              </w:rPr>
              <w:t>Faktor Pendanaan Stabil yang Tersedia (</w:t>
            </w:r>
            <w:r w:rsidRPr="006A283D">
              <w:rPr>
                <w:rFonts w:ascii="Bookman Old Style" w:hAnsi="Bookman Old Style" w:cs="Arial"/>
                <w:i/>
                <w:sz w:val="20"/>
                <w:szCs w:val="20"/>
              </w:rPr>
              <w:t>Available Stable Funding</w:t>
            </w:r>
            <w:r w:rsidRPr="006A283D">
              <w:rPr>
                <w:rFonts w:ascii="Bookman Old Style" w:hAnsi="Bookman Old Style" w:cs="Arial"/>
                <w:sz w:val="20"/>
                <w:szCs w:val="20"/>
              </w:rPr>
              <w:t>)</w:t>
            </w:r>
          </w:p>
        </w:tc>
        <w:tc>
          <w:tcPr>
            <w:tcW w:w="3686" w:type="dxa"/>
            <w:shd w:val="clear" w:color="auto" w:fill="FFF2CC" w:themeFill="accent4" w:themeFillTint="33"/>
            <w:vAlign w:val="center"/>
          </w:tcPr>
          <w:p w14:paraId="0B6541A2"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4693A7D0"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10982BA6" w14:textId="77777777" w:rsidTr="006A283D">
        <w:trPr>
          <w:trHeight w:val="564"/>
          <w:tblHeader/>
        </w:trPr>
        <w:tc>
          <w:tcPr>
            <w:tcW w:w="9634" w:type="dxa"/>
            <w:shd w:val="clear" w:color="auto" w:fill="auto"/>
            <w:vAlign w:val="center"/>
          </w:tcPr>
          <w:p w14:paraId="7E1A3D2F" w14:textId="73AE35FA" w:rsidR="006A283D" w:rsidRPr="006A283D" w:rsidRDefault="006A283D" w:rsidP="006A283D">
            <w:pPr>
              <w:spacing w:after="0" w:line="240" w:lineRule="auto"/>
              <w:ind w:left="1134"/>
              <w:jc w:val="both"/>
              <w:rPr>
                <w:rFonts w:ascii="Bookman Old Style" w:eastAsia="Times New Roman" w:hAnsi="Bookman Old Style" w:cs="Arial"/>
                <w:sz w:val="20"/>
                <w:szCs w:val="20"/>
              </w:rPr>
            </w:pPr>
            <w:r w:rsidRPr="006A283D">
              <w:rPr>
                <w:rFonts w:ascii="Bookman Old Style" w:eastAsia="Times New Roman" w:hAnsi="Bookman Old Style" w:cs="Arial"/>
                <w:sz w:val="20"/>
                <w:szCs w:val="20"/>
              </w:rPr>
              <w:t xml:space="preserve">Dalam rangka menentukan nilai ASF sebagaimana dimaksud dalam </w:t>
            </w:r>
            <w:r w:rsidRPr="006A283D">
              <w:rPr>
                <w:rFonts w:ascii="Bookman Old Style" w:eastAsia="Times New Roman" w:hAnsi="Bookman Old Style" w:cs="Arial"/>
                <w:sz w:val="20"/>
                <w:szCs w:val="20"/>
                <w:lang w:val="en-US"/>
              </w:rPr>
              <w:t>huruf B</w:t>
            </w:r>
            <w:r w:rsidRPr="006A283D">
              <w:rPr>
                <w:rFonts w:ascii="Bookman Old Style" w:eastAsia="Times New Roman" w:hAnsi="Bookman Old Style" w:cs="Arial"/>
                <w:sz w:val="20"/>
                <w:szCs w:val="20"/>
              </w:rPr>
              <w:t xml:space="preserve"> untuk menghitung pemenuhan NSFR, Bank menggolongkan seluruh liabilitas dan ekuitas dalam kategori yang penetapannya didasarkan pada faktor ASF sebagai berikut:</w:t>
            </w:r>
          </w:p>
        </w:tc>
        <w:tc>
          <w:tcPr>
            <w:tcW w:w="3686" w:type="dxa"/>
            <w:shd w:val="clear" w:color="auto" w:fill="auto"/>
            <w:vAlign w:val="center"/>
          </w:tcPr>
          <w:p w14:paraId="4FAA316E"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F371E74"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6C6361E2" w14:textId="77777777" w:rsidTr="006A283D">
        <w:trPr>
          <w:trHeight w:val="564"/>
          <w:tblHeader/>
        </w:trPr>
        <w:tc>
          <w:tcPr>
            <w:tcW w:w="9634" w:type="dxa"/>
            <w:shd w:val="clear" w:color="auto" w:fill="auto"/>
            <w:vAlign w:val="center"/>
          </w:tcPr>
          <w:p w14:paraId="5D1A1C07" w14:textId="77777777" w:rsidR="006A283D" w:rsidRPr="004C0299" w:rsidRDefault="006A283D" w:rsidP="00A32F86">
            <w:pPr>
              <w:pStyle w:val="ListParagraph"/>
              <w:numPr>
                <w:ilvl w:val="1"/>
                <w:numId w:val="140"/>
              </w:numPr>
              <w:spacing w:after="0" w:line="240" w:lineRule="auto"/>
              <w:ind w:left="1701"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dan ekuitas yang mendapatkan faktor ASF 100% (seratus persen)</w:t>
            </w:r>
          </w:p>
          <w:p w14:paraId="4DB21DB2" w14:textId="77777777" w:rsidR="006A283D" w:rsidRPr="004C0299" w:rsidRDefault="006A283D"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100% (seratus</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persen) terdiri atas:</w:t>
            </w:r>
          </w:p>
          <w:p w14:paraId="452A17BF" w14:textId="77777777" w:rsidR="006A283D" w:rsidRPr="004C0299" w:rsidRDefault="006A283D"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seluruh </w:t>
            </w:r>
            <w:r w:rsidRPr="004C0299">
              <w:rPr>
                <w:rFonts w:ascii="Bookman Old Style" w:eastAsia="Times New Roman" w:hAnsi="Bookman Old Style" w:cs="Arial"/>
                <w:sz w:val="20"/>
                <w:szCs w:val="20"/>
              </w:rPr>
              <w:t xml:space="preserve">pembiayaan </w:t>
            </w:r>
            <w:r w:rsidRPr="004C0299">
              <w:rPr>
                <w:rFonts w:ascii="Bookman Old Style" w:eastAsia="Times New Roman" w:hAnsi="Bookman Old Style" w:cs="Arial"/>
                <w:sz w:val="20"/>
                <w:szCs w:val="20"/>
                <w:lang w:val="en-US"/>
              </w:rPr>
              <w:t>yang diterima (</w:t>
            </w:r>
            <w:r w:rsidRPr="004C0299">
              <w:rPr>
                <w:rFonts w:ascii="Bookman Old Style" w:eastAsia="Times New Roman" w:hAnsi="Bookman Old Style" w:cs="Arial"/>
                <w:i/>
                <w:sz w:val="20"/>
                <w:szCs w:val="20"/>
                <w:lang w:val="en-US"/>
              </w:rPr>
              <w:t>financing</w:t>
            </w:r>
            <w:r w:rsidRPr="004C0299">
              <w:rPr>
                <w:rFonts w:ascii="Bookman Old Style" w:eastAsia="Times New Roman" w:hAnsi="Bookman Old Style" w:cs="Arial"/>
                <w:sz w:val="20"/>
                <w:szCs w:val="20"/>
                <w:lang w:val="en-US"/>
              </w:rPr>
              <w:t>) dan liabilitas dengan agunan (</w:t>
            </w:r>
            <w:r w:rsidRPr="004C0299">
              <w:rPr>
                <w:rFonts w:ascii="Bookman Old Style" w:eastAsia="Times New Roman" w:hAnsi="Bookman Old Style" w:cs="Arial"/>
                <w:i/>
                <w:sz w:val="20"/>
                <w:szCs w:val="20"/>
                <w:lang w:val="en-US"/>
              </w:rPr>
              <w:t>secured</w:t>
            </w:r>
            <w:r w:rsidRPr="004C0299">
              <w:rPr>
                <w:rFonts w:ascii="Bookman Old Style" w:eastAsia="Times New Roman" w:hAnsi="Bookman Old Style" w:cs="Arial"/>
                <w:sz w:val="20"/>
                <w:szCs w:val="20"/>
                <w:lang w:val="en-US"/>
              </w:rPr>
              <w:t>) maupun tanpa agunan (</w:t>
            </w:r>
            <w:r w:rsidRPr="004C0299">
              <w:rPr>
                <w:rFonts w:ascii="Bookman Old Style" w:eastAsia="Times New Roman" w:hAnsi="Bookman Old Style" w:cs="Arial"/>
                <w:i/>
                <w:sz w:val="20"/>
                <w:szCs w:val="20"/>
                <w:lang w:val="en-US"/>
              </w:rPr>
              <w:t>unsecured</w:t>
            </w:r>
            <w:r w:rsidRPr="004C0299">
              <w:rPr>
                <w:rFonts w:ascii="Bookman Old Style" w:eastAsia="Times New Roman" w:hAnsi="Bookman Old Style" w:cs="Arial"/>
                <w:sz w:val="20"/>
                <w:szCs w:val="20"/>
                <w:lang w:val="en-US"/>
              </w:rPr>
              <w:t>) dengan   sisa   jangka   waktu 1 (satu) tahun atau lebih.</w:t>
            </w:r>
          </w:p>
          <w:p w14:paraId="7ADDCB4E" w14:textId="77777777" w:rsidR="006A283D" w:rsidRPr="004C0299" w:rsidRDefault="006A283D" w:rsidP="004C0299">
            <w:pPr>
              <w:pStyle w:val="ListParagraph"/>
              <w:spacing w:after="0" w:line="240" w:lineRule="auto"/>
              <w:ind w:left="2835"/>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Untuk liabilitas dengan jangka waktu lebih dari 1 (satu) tahun namun terdapat porsi arus kas dengan jangka waktu kurang dari 1 </w:t>
            </w:r>
            <w:r w:rsidRPr="004C0299">
              <w:rPr>
                <w:rFonts w:ascii="Bookman Old Style" w:eastAsia="Times New Roman" w:hAnsi="Bookman Old Style" w:cs="Arial"/>
                <w:sz w:val="20"/>
                <w:szCs w:val="20"/>
                <w:lang w:val="en-US"/>
              </w:rPr>
              <w:lastRenderedPageBreak/>
              <w:t>(satu) tahun maka porsi arus kas tersebut tidak memenuhi kualifikasi untuk mendapatkan faktor ASF 100% (seratus persen).</w:t>
            </w:r>
          </w:p>
          <w:p w14:paraId="29CD7622" w14:textId="77777777" w:rsidR="006A283D" w:rsidRPr="004C0299" w:rsidRDefault="006A283D" w:rsidP="004C0299">
            <w:pPr>
              <w:pStyle w:val="ListParagraph"/>
              <w:spacing w:after="0" w:line="240" w:lineRule="auto"/>
              <w:ind w:left="2835"/>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Contoh: deposito, surat berharga </w:t>
            </w:r>
            <w:r w:rsidRPr="004C0299">
              <w:rPr>
                <w:rFonts w:ascii="Bookman Old Style" w:eastAsia="Times New Roman" w:hAnsi="Bookman Old Style" w:cs="Arial"/>
                <w:sz w:val="20"/>
                <w:szCs w:val="20"/>
              </w:rPr>
              <w:t xml:space="preserve">syariah </w:t>
            </w:r>
            <w:r w:rsidRPr="004C0299">
              <w:rPr>
                <w:rFonts w:ascii="Bookman Old Style" w:eastAsia="Times New Roman" w:hAnsi="Bookman Old Style" w:cs="Arial"/>
                <w:sz w:val="20"/>
                <w:szCs w:val="20"/>
                <w:lang w:val="en-US"/>
              </w:rPr>
              <w:t>yang diterbitkan; dan</w:t>
            </w:r>
          </w:p>
          <w:p w14:paraId="4A39C780" w14:textId="77777777" w:rsidR="006A283D" w:rsidRPr="004C0299" w:rsidRDefault="006A283D"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liabilitas pajak tangguhan dengan sisa jangka waktu 1 (satu) tahun atau lebih.</w:t>
            </w:r>
          </w:p>
          <w:p w14:paraId="25A7487A" w14:textId="77777777" w:rsidR="006A283D" w:rsidRPr="004C0299" w:rsidRDefault="006A283D" w:rsidP="004C0299">
            <w:pPr>
              <w:pStyle w:val="ListParagraph"/>
              <w:spacing w:after="0" w:line="240" w:lineRule="auto"/>
              <w:ind w:left="2835"/>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Penentuan jangka waktu liabilitas pajak tangguhan adalah berdasarkan kemungkinan waktu terdekat saat liabilitas pajak tangguhan diharapkan diselesaikan.</w:t>
            </w:r>
          </w:p>
          <w:p w14:paraId="1D943508" w14:textId="77777777" w:rsidR="006A283D" w:rsidRPr="004C0299" w:rsidRDefault="006A283D"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Ekuitas yang mendapatkan faktor ASF 100% (seratus persen), terdiri atas:</w:t>
            </w:r>
          </w:p>
          <w:p w14:paraId="59C33D09" w14:textId="77777777" w:rsidR="006A283D" w:rsidRPr="004C0299" w:rsidRDefault="006A283D" w:rsidP="00A32F86">
            <w:pPr>
              <w:pStyle w:val="ListParagraph"/>
              <w:numPr>
                <w:ilvl w:val="3"/>
                <w:numId w:val="140"/>
              </w:numPr>
              <w:spacing w:after="0" w:line="240" w:lineRule="auto"/>
              <w:ind w:left="2835" w:hanging="567"/>
              <w:jc w:val="both"/>
              <w:rPr>
                <w:rFonts w:ascii="Bookman Old Style" w:hAnsi="Bookman Old Style"/>
                <w:sz w:val="20"/>
                <w:szCs w:val="20"/>
                <w:lang w:val="en-US"/>
              </w:rPr>
            </w:pPr>
            <w:r w:rsidRPr="004C0299">
              <w:rPr>
                <w:rFonts w:ascii="Bookman Old Style" w:eastAsia="Times New Roman" w:hAnsi="Bookman Old Style" w:cs="Arial"/>
                <w:sz w:val="20"/>
                <w:szCs w:val="20"/>
                <w:lang w:val="en-US"/>
              </w:rPr>
              <w:t xml:space="preserve">modal, yaitu </w:t>
            </w:r>
            <w:r w:rsidRPr="004C0299">
              <w:rPr>
                <w:rFonts w:ascii="Bookman Old Style" w:eastAsia="Times New Roman" w:hAnsi="Bookman Old Style" w:cs="Arial"/>
                <w:sz w:val="20"/>
                <w:szCs w:val="20"/>
              </w:rPr>
              <w:t>modal bagi Bank yang berkantor pusat di Indonesia yang terdiri dari modal inti (</w:t>
            </w:r>
            <w:r w:rsidRPr="004C0299">
              <w:rPr>
                <w:rFonts w:ascii="Bookman Old Style" w:eastAsia="Times New Roman" w:hAnsi="Bookman Old Style" w:cs="Arial"/>
                <w:i/>
                <w:sz w:val="20"/>
                <w:szCs w:val="20"/>
              </w:rPr>
              <w:t xml:space="preserve">Tier </w:t>
            </w:r>
            <w:r w:rsidRPr="004C0299">
              <w:rPr>
                <w:rFonts w:ascii="Bookman Old Style" w:eastAsia="Times New Roman" w:hAnsi="Bookman Old Style" w:cs="Arial"/>
                <w:sz w:val="20"/>
                <w:szCs w:val="20"/>
              </w:rPr>
              <w:t>1) dan modal pelengkap (</w:t>
            </w:r>
            <w:r w:rsidRPr="004C0299">
              <w:rPr>
                <w:rFonts w:ascii="Bookman Old Style" w:eastAsia="Times New Roman" w:hAnsi="Bookman Old Style" w:cs="Arial"/>
                <w:i/>
                <w:sz w:val="20"/>
                <w:szCs w:val="20"/>
              </w:rPr>
              <w:t xml:space="preserve">Tier </w:t>
            </w:r>
            <w:r w:rsidRPr="004C0299">
              <w:rPr>
                <w:rFonts w:ascii="Bookman Old Style" w:eastAsia="Times New Roman" w:hAnsi="Bookman Old Style" w:cs="Arial"/>
                <w:sz w:val="20"/>
                <w:szCs w:val="20"/>
              </w:rPr>
              <w:t>2)</w:t>
            </w:r>
            <w:r w:rsidRPr="004C0299">
              <w:rPr>
                <w:rFonts w:ascii="Bookman Old Style" w:eastAsia="Times New Roman" w:hAnsi="Bookman Old Style" w:cs="Arial"/>
                <w:sz w:val="20"/>
                <w:szCs w:val="20"/>
                <w:lang w:val="en-US"/>
              </w:rPr>
              <w:t xml:space="preserve"> </w:t>
            </w:r>
            <w:r w:rsidRPr="004C0299">
              <w:rPr>
                <w:rFonts w:ascii="Bookman Old Style" w:hAnsi="Bookman Old Style"/>
                <w:sz w:val="20"/>
                <w:szCs w:val="20"/>
                <w:lang w:val="en-US"/>
              </w:rPr>
              <w:t>sebagaimana diatur dalam POJK KPMM.</w:t>
            </w:r>
          </w:p>
          <w:p w14:paraId="320966E6" w14:textId="77777777" w:rsidR="006A283D" w:rsidRPr="004C0299" w:rsidRDefault="006A283D" w:rsidP="004C0299">
            <w:pPr>
              <w:spacing w:after="0" w:line="240" w:lineRule="auto"/>
              <w:ind w:left="2835"/>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Dalam rangka pemenuhan NSFR, modal sebagaimana dimaksud dalam huruf a) dan b) harus memenuhi persyaratan:</w:t>
            </w:r>
          </w:p>
          <w:p w14:paraId="2DBD5D39" w14:textId="77777777" w:rsidR="006A283D" w:rsidRPr="004C0299" w:rsidRDefault="006A283D" w:rsidP="00A32F86">
            <w:pPr>
              <w:pStyle w:val="ListParagraph"/>
              <w:numPr>
                <w:ilvl w:val="0"/>
                <w:numId w:val="143"/>
              </w:numPr>
              <w:spacing w:after="0" w:line="240" w:lineRule="auto"/>
              <w:ind w:left="3402"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tidak termasuk instrumen modal pelengkap (</w:t>
            </w:r>
            <w:r w:rsidRPr="004C0299">
              <w:rPr>
                <w:rFonts w:ascii="Bookman Old Style" w:eastAsia="Times New Roman" w:hAnsi="Bookman Old Style" w:cs="Arial"/>
                <w:i/>
                <w:sz w:val="20"/>
                <w:szCs w:val="20"/>
              </w:rPr>
              <w:t>Tier 2</w:t>
            </w:r>
            <w:r w:rsidRPr="004C0299">
              <w:rPr>
                <w:rFonts w:ascii="Bookman Old Style" w:eastAsia="Times New Roman" w:hAnsi="Bookman Old Style" w:cs="Arial"/>
                <w:sz w:val="20"/>
                <w:szCs w:val="20"/>
              </w:rPr>
              <w:t>) dengan sisa jangka waktu kurang dari 1 (satu) tahun;</w:t>
            </w:r>
            <w:r w:rsidRPr="004C0299">
              <w:rPr>
                <w:rFonts w:ascii="Bookman Old Style" w:eastAsia="Times New Roman" w:hAnsi="Bookman Old Style" w:cs="Arial"/>
                <w:sz w:val="20"/>
                <w:szCs w:val="20"/>
                <w:lang w:val="en-US"/>
              </w:rPr>
              <w:t xml:space="preserve"> dan</w:t>
            </w:r>
          </w:p>
          <w:p w14:paraId="54AE1B1D" w14:textId="77777777" w:rsidR="006A283D" w:rsidRPr="004C0299" w:rsidRDefault="006A283D" w:rsidP="00A32F86">
            <w:pPr>
              <w:pStyle w:val="ListParagraph"/>
              <w:numPr>
                <w:ilvl w:val="0"/>
                <w:numId w:val="143"/>
              </w:numPr>
              <w:spacing w:after="0" w:line="240" w:lineRule="auto"/>
              <w:ind w:left="3402" w:hanging="567"/>
              <w:jc w:val="both"/>
              <w:rPr>
                <w:rFonts w:ascii="Bookman Old Style" w:hAnsi="Bookman Old Style"/>
                <w:sz w:val="20"/>
                <w:szCs w:val="20"/>
                <w:lang w:val="en-US"/>
              </w:rPr>
            </w:pPr>
            <w:r w:rsidRPr="004C0299">
              <w:rPr>
                <w:rFonts w:ascii="Bookman Old Style" w:eastAsia="Times New Roman" w:hAnsi="Bookman Old Style" w:cs="Arial"/>
                <w:sz w:val="20"/>
                <w:szCs w:val="20"/>
              </w:rPr>
              <w:t>tidak memperhitungkan faktor-faktor yang menjadi pengurang modal sebagaimana dimaksud dalam POJK KPMM;</w:t>
            </w:r>
          </w:p>
          <w:p w14:paraId="36530559" w14:textId="77777777" w:rsidR="006A283D" w:rsidRPr="004C0299" w:rsidRDefault="006A283D"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instrumen modal yang tidak termasuk dalam angka 1) dapat diperhitungkan dalam perhitungan NSFR apabila memenuhi persyaratan:</w:t>
            </w:r>
          </w:p>
          <w:p w14:paraId="2A00EAB2" w14:textId="77777777" w:rsidR="006A283D" w:rsidRPr="004C0299" w:rsidRDefault="006A283D"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memiliki sisa jangka waktu 1 (satu) tahun atau lebih; dan</w:t>
            </w:r>
          </w:p>
          <w:p w14:paraId="00386D75" w14:textId="77777777" w:rsidR="006A283D" w:rsidRPr="004C0299" w:rsidRDefault="006A283D" w:rsidP="00A32F86">
            <w:pPr>
              <w:pStyle w:val="ListParagraph"/>
              <w:numPr>
                <w:ilvl w:val="4"/>
                <w:numId w:val="140"/>
              </w:numPr>
              <w:spacing w:after="0" w:line="240" w:lineRule="auto"/>
              <w:ind w:left="3402" w:hanging="567"/>
              <w:jc w:val="both"/>
              <w:rPr>
                <w:rFonts w:ascii="Bookman Old Style" w:hAnsi="Bookman Old Style"/>
                <w:sz w:val="20"/>
                <w:szCs w:val="20"/>
              </w:rPr>
            </w:pPr>
            <w:r w:rsidRPr="004C0299">
              <w:rPr>
                <w:rFonts w:ascii="Bookman Old Style" w:eastAsia="Times New Roman" w:hAnsi="Bookman Old Style" w:cs="Arial"/>
                <w:sz w:val="20"/>
                <w:szCs w:val="20"/>
              </w:rPr>
              <w:t>instrumen modal tidak disertai dengan fitur opsi yang eksplisit atau melekat (</w:t>
            </w:r>
            <w:r w:rsidRPr="004C0299">
              <w:rPr>
                <w:rFonts w:ascii="Bookman Old Style" w:eastAsia="Times New Roman" w:hAnsi="Bookman Old Style" w:cs="Arial"/>
                <w:i/>
                <w:sz w:val="20"/>
                <w:szCs w:val="20"/>
              </w:rPr>
              <w:t>embedded options</w:t>
            </w:r>
            <w:r w:rsidRPr="004C0299">
              <w:rPr>
                <w:rFonts w:ascii="Bookman Old Style" w:eastAsia="Times New Roman" w:hAnsi="Bookman Old Style" w:cs="Arial"/>
                <w:sz w:val="20"/>
                <w:szCs w:val="20"/>
              </w:rPr>
              <w:t>) yang jika dieksekusi akan mengurangi jangka waktu menjadi kurang dari 1 (satu) tahun</w:t>
            </w:r>
            <w:r w:rsidRPr="004C0299">
              <w:rPr>
                <w:rFonts w:ascii="Bookman Old Style" w:hAnsi="Bookman Old Style"/>
                <w:sz w:val="20"/>
                <w:szCs w:val="20"/>
              </w:rPr>
              <w:t>; dan</w:t>
            </w:r>
          </w:p>
          <w:p w14:paraId="7B04DB32" w14:textId="0FCBDD3A" w:rsidR="006A283D" w:rsidRPr="004C0299" w:rsidRDefault="006A283D"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bagian dari kepentingan non-pengendali (</w:t>
            </w:r>
            <w:r w:rsidRPr="004C0299">
              <w:rPr>
                <w:rFonts w:ascii="Bookman Old Style" w:eastAsia="Times New Roman" w:hAnsi="Bookman Old Style" w:cs="Arial"/>
                <w:i/>
                <w:sz w:val="20"/>
                <w:szCs w:val="20"/>
              </w:rPr>
              <w:t>non- controlling interest</w:t>
            </w:r>
            <w:r w:rsidRPr="004C0299">
              <w:rPr>
                <w:rFonts w:ascii="Bookman Old Style" w:eastAsia="Times New Roman" w:hAnsi="Bookman Old Style" w:cs="Arial"/>
                <w:sz w:val="20"/>
                <w:szCs w:val="20"/>
              </w:rPr>
              <w:t>) yang tidak sesuai dengan persyaratan modal inti utama sebagaimana diatur dalam POJK KPMM, dengan sisa jangka waktu 1 (satu) tahun atau lebih.</w:t>
            </w:r>
          </w:p>
        </w:tc>
        <w:tc>
          <w:tcPr>
            <w:tcW w:w="3686" w:type="dxa"/>
            <w:shd w:val="clear" w:color="auto" w:fill="auto"/>
            <w:vAlign w:val="center"/>
          </w:tcPr>
          <w:p w14:paraId="0459FF6F"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BA8F8F4"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20A143DB" w14:textId="77777777" w:rsidTr="006A283D">
        <w:trPr>
          <w:trHeight w:val="564"/>
          <w:tblHeader/>
        </w:trPr>
        <w:tc>
          <w:tcPr>
            <w:tcW w:w="9634" w:type="dxa"/>
            <w:shd w:val="clear" w:color="auto" w:fill="auto"/>
            <w:vAlign w:val="center"/>
          </w:tcPr>
          <w:p w14:paraId="1304CF19" w14:textId="77777777" w:rsidR="004C0299" w:rsidRPr="004C0299" w:rsidRDefault="004C0299" w:rsidP="00A32F86">
            <w:pPr>
              <w:pStyle w:val="ListParagraph"/>
              <w:numPr>
                <w:ilvl w:val="1"/>
                <w:numId w:val="140"/>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Liabilitas yang mendapatkan faktor ASF 95% (sembilan puluh lima persen)</w:t>
            </w:r>
          </w:p>
          <w:p w14:paraId="3A89BF69"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95% (sembilan puluh lima persen) terdiri atas:</w:t>
            </w:r>
          </w:p>
          <w:p w14:paraId="5180E401"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Pendanaan </w:t>
            </w:r>
            <w:r w:rsidRPr="004C0299">
              <w:rPr>
                <w:rFonts w:ascii="Bookman Old Style" w:eastAsia="Times New Roman" w:hAnsi="Bookman Old Style" w:cs="Arial"/>
                <w:sz w:val="20"/>
                <w:szCs w:val="20"/>
              </w:rPr>
              <w:t>stabil</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yang</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berasal</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dari</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nasabah</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perorangan; dan</w:t>
            </w:r>
          </w:p>
          <w:p w14:paraId="58B7D16E"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stabil yang berasal dari nasabah usaha mikro dan usaha kecil,</w:t>
            </w:r>
          </w:p>
          <w:p w14:paraId="1EEA455A" w14:textId="77777777" w:rsidR="004C0299" w:rsidRPr="004C0299" w:rsidRDefault="004C0299" w:rsidP="004C0299">
            <w:pPr>
              <w:spacing w:after="0" w:line="240" w:lineRule="auto"/>
              <w:ind w:left="2268"/>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dengan sisa jangka waktu kurang dari 1 (satu) tahun.</w:t>
            </w:r>
          </w:p>
          <w:p w14:paraId="1C733FC0"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lastRenderedPageBreak/>
              <w:t xml:space="preserve">Pendanaan stabil sebagaimana dimaksud dalam huruf a adalah Pendanaan yang memenuhi persyaratan sebagaimana dimaksud dalam </w:t>
            </w:r>
            <w:r w:rsidRPr="004C0299">
              <w:rPr>
                <w:rFonts w:ascii="Bookman Old Style" w:eastAsia="Times New Roman" w:hAnsi="Bookman Old Style" w:cs="Arial"/>
                <w:sz w:val="20"/>
                <w:szCs w:val="20"/>
                <w:lang w:val="en-US"/>
              </w:rPr>
              <w:t>Lampiran I POJK ini</w:t>
            </w:r>
            <w:r w:rsidRPr="004C0299">
              <w:rPr>
                <w:rFonts w:ascii="Bookman Old Style" w:eastAsia="Times New Roman" w:hAnsi="Bookman Old Style" w:cs="Arial"/>
                <w:sz w:val="20"/>
                <w:szCs w:val="20"/>
              </w:rPr>
              <w:t>.</w:t>
            </w:r>
          </w:p>
          <w:p w14:paraId="0C61691E"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yang berasal dari nasabah usaha mikro dan usaha kecil yang diperhitungkan dalam NSFR wajib memenuhi kriteria:</w:t>
            </w:r>
          </w:p>
          <w:p w14:paraId="100A5880"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nasabah tergolong sebagai usaha mikro dan usaha kecil sebagaimana dimaksud dalam Undang-Undang mengenai usaha mikro, kecil, dan menengah;</w:t>
            </w:r>
          </w:p>
          <w:p w14:paraId="77F1ED9B"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total Pendanaan dari setiap nasabah paling tinggi Rp5.000.000.000,00 (lima miliar rupiah); dan</w:t>
            </w:r>
          </w:p>
          <w:p w14:paraId="17353B9D"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dalam hal nasabah tidak tergolong sebagai usaha mikro dan usaha kecil sebagaimana dimaksud dalam Undang-Undang mengenai usaha mikro, kecil, dan menengah namun jumlah total Pendanaan nasabah</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sampai dengan Rp5.000.000.000,00 (lima miliar rupiah) dan diperlakukan seperti nasabah perorangan, dapat dikategorikan sebagai nasabah usaha mikro dan usaha kecil.</w:t>
            </w:r>
          </w:p>
          <w:p w14:paraId="703CA384"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Apabila Bank tidak dapat mengidentifikasi </w:t>
            </w:r>
            <w:r w:rsidRPr="004C0299">
              <w:rPr>
                <w:rFonts w:ascii="Bookman Old Style" w:eastAsia="Times New Roman" w:hAnsi="Bookman Old Style" w:cs="Arial"/>
                <w:sz w:val="20"/>
                <w:szCs w:val="20"/>
                <w:lang w:val="en-US"/>
              </w:rPr>
              <w:t>Pendanaan</w:t>
            </w:r>
            <w:r w:rsidRPr="004C0299">
              <w:rPr>
                <w:rFonts w:ascii="Bookman Old Style" w:eastAsia="Times New Roman" w:hAnsi="Bookman Old Style" w:cs="Arial"/>
                <w:sz w:val="20"/>
                <w:szCs w:val="20"/>
              </w:rPr>
              <w:t xml:space="preserve"> nasabah perorangan atau Pendanaan nasabah usaha mikro dan usaha kecil yang termasuk dalam kriteria stabil</w:t>
            </w:r>
            <w:r w:rsidRPr="004C0299">
              <w:rPr>
                <w:rFonts w:ascii="Bookman Old Style" w:eastAsia="Times New Roman" w:hAnsi="Bookman Old Style" w:cs="Arial"/>
                <w:sz w:val="20"/>
                <w:szCs w:val="20"/>
                <w:lang w:val="en-US"/>
              </w:rPr>
              <w:t>,</w:t>
            </w:r>
            <w:r w:rsidRPr="004C0299">
              <w:rPr>
                <w:rFonts w:ascii="Bookman Old Style" w:eastAsia="Times New Roman" w:hAnsi="Bookman Old Style" w:cs="Arial"/>
                <w:sz w:val="20"/>
                <w:szCs w:val="20"/>
              </w:rPr>
              <w:t xml:space="preserve"> maka </w:t>
            </w:r>
            <w:r w:rsidRPr="004C0299">
              <w:rPr>
                <w:rFonts w:ascii="Bookman Old Style" w:eastAsia="Times New Roman" w:hAnsi="Bookman Old Style" w:cs="Arial"/>
                <w:sz w:val="20"/>
                <w:szCs w:val="20"/>
                <w:lang w:val="en-US"/>
              </w:rPr>
              <w:t>Pendanaan</w:t>
            </w:r>
            <w:r w:rsidRPr="004C0299">
              <w:rPr>
                <w:rFonts w:ascii="Bookman Old Style" w:eastAsia="Times New Roman" w:hAnsi="Bookman Old Style" w:cs="Arial"/>
                <w:sz w:val="20"/>
                <w:szCs w:val="20"/>
              </w:rPr>
              <w:t xml:space="preserve"> nasabah perorangan atau Pendanaan nasabah usaha mikro dan usaha kecil tersebut seluruhnya harus diklasifikasikan sebagai Pendanaan kurang stabil.</w:t>
            </w:r>
          </w:p>
          <w:p w14:paraId="6159E29B"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Contoh liabilitas yang mendapat faktor ASF 95% (sembilan puluh lima persen) antara lain:</w:t>
            </w:r>
          </w:p>
          <w:p w14:paraId="4664AC56"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giro atau tabungan milik nasabah perorangan atau nasabah usaha mikro dan usaha kecil yang memenuhi persyaratan </w:t>
            </w:r>
            <w:r w:rsidRPr="004C0299">
              <w:rPr>
                <w:rFonts w:ascii="Bookman Old Style" w:eastAsia="Times New Roman" w:hAnsi="Bookman Old Style" w:cs="Arial"/>
                <w:sz w:val="20"/>
                <w:szCs w:val="20"/>
                <w:lang w:val="en-US"/>
              </w:rPr>
              <w:t>P</w:t>
            </w:r>
            <w:r w:rsidRPr="004C0299">
              <w:rPr>
                <w:rFonts w:ascii="Bookman Old Style" w:eastAsia="Times New Roman" w:hAnsi="Bookman Old Style" w:cs="Arial"/>
                <w:sz w:val="20"/>
                <w:szCs w:val="20"/>
              </w:rPr>
              <w:t>endanaan stabil; dan</w:t>
            </w:r>
          </w:p>
          <w:p w14:paraId="66E9C67E" w14:textId="126EF975" w:rsidR="006A283D"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deposito milik nasabah perorangan atau nasabah usaha mikro dan usaha kecil yang memenuhi persyaratan Pendanaan stabil, dengan sisa jangka waktu kurang dari 1 (satu) tahun.</w:t>
            </w:r>
          </w:p>
        </w:tc>
        <w:tc>
          <w:tcPr>
            <w:tcW w:w="3686" w:type="dxa"/>
            <w:shd w:val="clear" w:color="auto" w:fill="auto"/>
            <w:vAlign w:val="center"/>
          </w:tcPr>
          <w:p w14:paraId="3170B4C7"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BD40A70"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6A283D" w:rsidRPr="006A283D" w14:paraId="0A43612D" w14:textId="77777777" w:rsidTr="006A283D">
        <w:trPr>
          <w:trHeight w:val="564"/>
          <w:tblHeader/>
        </w:trPr>
        <w:tc>
          <w:tcPr>
            <w:tcW w:w="9634" w:type="dxa"/>
            <w:shd w:val="clear" w:color="auto" w:fill="auto"/>
            <w:vAlign w:val="center"/>
          </w:tcPr>
          <w:p w14:paraId="108EAF42" w14:textId="77777777" w:rsidR="004C0299" w:rsidRPr="004C0299" w:rsidRDefault="004C0299" w:rsidP="00A32F86">
            <w:pPr>
              <w:pStyle w:val="ListParagraph"/>
              <w:numPr>
                <w:ilvl w:val="1"/>
                <w:numId w:val="140"/>
              </w:numPr>
              <w:spacing w:after="0" w:line="240" w:lineRule="auto"/>
              <w:ind w:left="1701"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90% (sembilan puluh persen)</w:t>
            </w:r>
          </w:p>
          <w:p w14:paraId="4CE640A1"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90% (sembilan puluh persen) terdiri atas:</w:t>
            </w:r>
          </w:p>
          <w:p w14:paraId="384A4F88"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Pendanaan</w:t>
            </w:r>
            <w:r w:rsidRPr="004C0299">
              <w:rPr>
                <w:rFonts w:ascii="Bookman Old Style" w:eastAsia="Times New Roman" w:hAnsi="Bookman Old Style" w:cs="Arial"/>
                <w:sz w:val="20"/>
                <w:szCs w:val="20"/>
              </w:rPr>
              <w:t xml:space="preserve"> kurang stabil yang berasal dari nasabah perorangan; </w:t>
            </w:r>
          </w:p>
          <w:p w14:paraId="15D9F597"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Pendanaan kurang stabil yang tidak memenuhi kriteria persyaratan Pendanaan stabil sebagaimana Lampiran I POJK ini dari nasabah </w:t>
            </w:r>
            <w:r w:rsidRPr="004C0299">
              <w:rPr>
                <w:rFonts w:ascii="Bookman Old Style" w:eastAsia="Times New Roman" w:hAnsi="Bookman Old Style" w:cs="Arial"/>
                <w:sz w:val="20"/>
                <w:szCs w:val="20"/>
              </w:rPr>
              <w:t>perorangan</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i/>
                <w:sz w:val="20"/>
                <w:szCs w:val="20"/>
                <w:lang w:val="en-US"/>
              </w:rPr>
              <w:t>Displaced Commercial Risk</w:t>
            </w:r>
            <w:r w:rsidRPr="004C0299">
              <w:rPr>
                <w:rFonts w:ascii="Bookman Old Style" w:eastAsia="Times New Roman" w:hAnsi="Bookman Old Style" w:cs="Arial"/>
                <w:sz w:val="20"/>
                <w:szCs w:val="20"/>
                <w:lang w:val="en-US"/>
              </w:rPr>
              <w:t xml:space="preserve"> (DCR) tanpa perataan bagi hasil; </w:t>
            </w:r>
          </w:p>
          <w:p w14:paraId="65AF6BE2"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kurang stabil yang berasal dari nasabah usaha mikro dan usaha kecil</w:t>
            </w:r>
            <w:r w:rsidRPr="004C0299">
              <w:rPr>
                <w:rFonts w:ascii="Bookman Old Style" w:eastAsia="Times New Roman" w:hAnsi="Bookman Old Style" w:cs="Arial"/>
                <w:sz w:val="20"/>
                <w:szCs w:val="20"/>
                <w:lang w:val="en-US"/>
              </w:rPr>
              <w:t>; dan</w:t>
            </w:r>
          </w:p>
          <w:p w14:paraId="15CAA8A0"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lastRenderedPageBreak/>
              <w:t>Pendanaan kurang stabil yang tidak memenuhi kriteria persyaratan Pendanaan stabil sebagaimana Lampiran I POJK ini dari nasabah</w:t>
            </w:r>
            <w:r w:rsidRPr="004C0299">
              <w:rPr>
                <w:rFonts w:ascii="Bookman Old Style" w:eastAsia="Times New Roman" w:hAnsi="Bookman Old Style" w:cs="Arial"/>
                <w:sz w:val="20"/>
                <w:szCs w:val="20"/>
              </w:rPr>
              <w:t xml:space="preserve"> usaha mikro dan usaha kecil</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i/>
                <w:sz w:val="20"/>
                <w:szCs w:val="20"/>
                <w:lang w:val="en-US"/>
              </w:rPr>
              <w:t>Displaced Commercial Risk</w:t>
            </w:r>
            <w:r w:rsidRPr="004C0299">
              <w:rPr>
                <w:rFonts w:ascii="Bookman Old Style" w:eastAsia="Times New Roman" w:hAnsi="Bookman Old Style" w:cs="Arial"/>
                <w:sz w:val="20"/>
                <w:szCs w:val="20"/>
                <w:lang w:val="en-US"/>
              </w:rPr>
              <w:t xml:space="preserve"> (DCR) tanpa perataan bagi hasil; </w:t>
            </w:r>
          </w:p>
          <w:p w14:paraId="1AB3CEB4" w14:textId="77777777" w:rsidR="004C0299" w:rsidRPr="004C0299" w:rsidRDefault="004C0299" w:rsidP="004C0299">
            <w:pPr>
              <w:spacing w:after="0" w:line="240" w:lineRule="auto"/>
              <w:ind w:left="2268"/>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dengan sisa jangka waktu kurang dari 1 (satu) tahun.</w:t>
            </w:r>
          </w:p>
          <w:p w14:paraId="7F0D9B4A"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kurang stabil sebagaimana dimaksud dalam huruf a adalah Pendanaan yang memenuhi persyaratan kurang stabil sebagaimana dimaksud dalam</w:t>
            </w:r>
            <w:r w:rsidRPr="004C0299">
              <w:rPr>
                <w:rFonts w:ascii="Bookman Old Style" w:eastAsia="Times New Roman" w:hAnsi="Bookman Old Style" w:cs="Arial"/>
                <w:sz w:val="20"/>
                <w:szCs w:val="20"/>
                <w:lang w:val="en-US"/>
              </w:rPr>
              <w:t xml:space="preserve"> Lampiran I POJK ini</w:t>
            </w:r>
            <w:r w:rsidRPr="004C0299">
              <w:rPr>
                <w:rFonts w:ascii="Bookman Old Style" w:eastAsia="Times New Roman" w:hAnsi="Bookman Old Style" w:cs="Arial"/>
                <w:sz w:val="20"/>
                <w:szCs w:val="20"/>
              </w:rPr>
              <w:t>.</w:t>
            </w:r>
          </w:p>
          <w:p w14:paraId="480B6629" w14:textId="77777777" w:rsidR="004C0299" w:rsidRPr="004C0299" w:rsidRDefault="004C0299" w:rsidP="004C0299">
            <w:pPr>
              <w:pStyle w:val="ListParagraph"/>
              <w:spacing w:after="0" w:line="240" w:lineRule="auto"/>
              <w:ind w:left="2268"/>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Contoh:</w:t>
            </w:r>
          </w:p>
          <w:p w14:paraId="785B0B88"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Pendanaan </w:t>
            </w:r>
            <w:r w:rsidRPr="004C0299">
              <w:rPr>
                <w:rFonts w:ascii="Bookman Old Style" w:eastAsia="Times New Roman" w:hAnsi="Bookman Old Style" w:cs="Arial"/>
                <w:sz w:val="20"/>
                <w:szCs w:val="20"/>
              </w:rPr>
              <w:t>yang tidak memenuhi kriteria penjaminan oleh Lembaga Penjamin Simpanan.</w:t>
            </w:r>
          </w:p>
          <w:p w14:paraId="57D65C09" w14:textId="27DF6BB4"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Pendanaan</w:t>
            </w:r>
            <w:r w:rsidRPr="004C0299" w:rsidDel="00B904D8">
              <w:rPr>
                <w:rFonts w:ascii="Bookman Old Style" w:eastAsia="Times New Roman" w:hAnsi="Bookman Old Style" w:cs="Arial"/>
                <w:sz w:val="20"/>
                <w:szCs w:val="20"/>
              </w:rPr>
              <w:t xml:space="preserve"> </w:t>
            </w:r>
            <w:r w:rsidRPr="004C0299">
              <w:rPr>
                <w:rFonts w:ascii="Bookman Old Style" w:eastAsia="Times New Roman" w:hAnsi="Bookman Old Style" w:cs="Arial"/>
                <w:sz w:val="20"/>
                <w:szCs w:val="20"/>
              </w:rPr>
              <w:t>yang memenuhi kriteria penjaminan oleh Lembaga Penjamin Simpanan namun:</w:t>
            </w:r>
          </w:p>
          <w:p w14:paraId="5595BA62" w14:textId="77777777" w:rsidR="004C0299" w:rsidRPr="004C0299" w:rsidRDefault="004C0299"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nasabah tidak memiliki hubungan atau keterkaitan dengan Bank; atau</w:t>
            </w:r>
            <w:r w:rsidRPr="004C0299">
              <w:rPr>
                <w:rFonts w:ascii="Bookman Old Style" w:eastAsia="Times New Roman" w:hAnsi="Bookman Old Style" w:cs="Arial"/>
                <w:sz w:val="20"/>
                <w:szCs w:val="20"/>
                <w:lang w:val="en-US"/>
              </w:rPr>
              <w:t xml:space="preserve"> </w:t>
            </w:r>
          </w:p>
          <w:p w14:paraId="6C1C17C4" w14:textId="77777777" w:rsidR="004C0299" w:rsidRPr="004C0299" w:rsidRDefault="004C0299"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rekening </w:t>
            </w:r>
            <w:r w:rsidRPr="004C0299">
              <w:rPr>
                <w:rFonts w:ascii="Bookman Old Style" w:eastAsia="Times New Roman" w:hAnsi="Bookman Old Style" w:cs="Arial"/>
                <w:sz w:val="20"/>
                <w:szCs w:val="20"/>
                <w:lang w:val="en-US"/>
              </w:rPr>
              <w:t>Pendanaan</w:t>
            </w:r>
            <w:r w:rsidRPr="004C0299" w:rsidDel="00B904D8">
              <w:rPr>
                <w:rFonts w:ascii="Bookman Old Style" w:eastAsia="Times New Roman" w:hAnsi="Bookman Old Style" w:cs="Arial"/>
                <w:sz w:val="20"/>
                <w:szCs w:val="20"/>
              </w:rPr>
              <w:t xml:space="preserve"> </w:t>
            </w:r>
            <w:r w:rsidRPr="004C0299">
              <w:rPr>
                <w:rFonts w:ascii="Bookman Old Style" w:eastAsia="Times New Roman" w:hAnsi="Bookman Old Style" w:cs="Arial"/>
                <w:sz w:val="20"/>
                <w:szCs w:val="20"/>
              </w:rPr>
              <w:t>tidak digunakan untuk keperluan transaksi nasabah secara rutin.</w:t>
            </w:r>
          </w:p>
          <w:p w14:paraId="0CC8B610"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Contoh   liabilitas   yang   mendapatkan    faktor    ASF 90% (sembilan puluh persen):</w:t>
            </w:r>
          </w:p>
          <w:p w14:paraId="0AFD4108"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giro atau tabungan milik nasabah perorangan atau nasabah usaha mikro dan usaha kecil yang memenuhi persyaratan Pendanaan kurang stabil; dan</w:t>
            </w:r>
          </w:p>
          <w:p w14:paraId="2C0C7CC5"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deposito milik nasabah perorangan atau nasabah usaha mikro dan usaha kecil yang memenuhi persyaratan Pendanaan kurang stabil, dengan sisa jangka waktu kurang dari 1 (satu) tahun.</w:t>
            </w:r>
          </w:p>
          <w:p w14:paraId="6747FF97" w14:textId="5A41DEC8" w:rsidR="006A283D"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deposito milik nasabah perorangan atau nasabah usaha mikro dan usaha kecil </w:t>
            </w:r>
            <w:r w:rsidRPr="004C0299">
              <w:rPr>
                <w:rFonts w:ascii="Bookman Old Style" w:eastAsia="Times New Roman" w:hAnsi="Bookman Old Style" w:cs="Arial"/>
                <w:i/>
                <w:sz w:val="20"/>
                <w:szCs w:val="20"/>
                <w:lang w:val="en-US"/>
              </w:rPr>
              <w:t>Displace Commercial Risk</w:t>
            </w:r>
            <w:r w:rsidRPr="004C0299">
              <w:rPr>
                <w:rFonts w:ascii="Bookman Old Style" w:eastAsia="Times New Roman" w:hAnsi="Bookman Old Style" w:cs="Arial"/>
                <w:sz w:val="20"/>
                <w:szCs w:val="20"/>
                <w:lang w:val="en-US"/>
              </w:rPr>
              <w:t xml:space="preserve"> (DCR) tanpa perataan bagi hasil.</w:t>
            </w:r>
          </w:p>
        </w:tc>
        <w:tc>
          <w:tcPr>
            <w:tcW w:w="3686" w:type="dxa"/>
            <w:shd w:val="clear" w:color="auto" w:fill="auto"/>
            <w:vAlign w:val="center"/>
          </w:tcPr>
          <w:p w14:paraId="50252FD4"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DA8A80A" w14:textId="77777777" w:rsidR="006A283D" w:rsidRPr="006A283D" w:rsidRDefault="006A283D"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06F1441D" w14:textId="77777777" w:rsidTr="006A283D">
        <w:trPr>
          <w:trHeight w:val="564"/>
          <w:tblHeader/>
        </w:trPr>
        <w:tc>
          <w:tcPr>
            <w:tcW w:w="9634" w:type="dxa"/>
            <w:shd w:val="clear" w:color="auto" w:fill="auto"/>
            <w:vAlign w:val="center"/>
          </w:tcPr>
          <w:p w14:paraId="2999E434" w14:textId="77777777" w:rsidR="004C0299" w:rsidRPr="004C0299" w:rsidRDefault="004C0299" w:rsidP="00A32F86">
            <w:pPr>
              <w:pStyle w:val="ListParagraph"/>
              <w:numPr>
                <w:ilvl w:val="1"/>
                <w:numId w:val="140"/>
              </w:numPr>
              <w:spacing w:after="0" w:line="240" w:lineRule="auto"/>
              <w:ind w:left="1701"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50% (lima puluh persen)</w:t>
            </w:r>
          </w:p>
          <w:p w14:paraId="0FD474E9"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50% (lima puluh persen) terdiri atas:</w:t>
            </w:r>
          </w:p>
          <w:p w14:paraId="6495D633"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dengan agunan (</w:t>
            </w:r>
            <w:r w:rsidRPr="004C0299">
              <w:rPr>
                <w:rFonts w:ascii="Bookman Old Style" w:eastAsia="Times New Roman" w:hAnsi="Bookman Old Style" w:cs="Arial"/>
                <w:i/>
                <w:sz w:val="20"/>
                <w:szCs w:val="20"/>
              </w:rPr>
              <w:t>secured</w:t>
            </w:r>
            <w:r w:rsidRPr="004C0299">
              <w:rPr>
                <w:rFonts w:ascii="Bookman Old Style" w:eastAsia="Times New Roman" w:hAnsi="Bookman Old Style" w:cs="Arial"/>
                <w:sz w:val="20"/>
                <w:szCs w:val="20"/>
              </w:rPr>
              <w:t>) dan tanpa agunan (</w:t>
            </w:r>
            <w:r w:rsidRPr="004C0299">
              <w:rPr>
                <w:rFonts w:ascii="Bookman Old Style" w:eastAsia="Times New Roman" w:hAnsi="Bookman Old Style" w:cs="Arial"/>
                <w:i/>
                <w:sz w:val="20"/>
                <w:szCs w:val="20"/>
              </w:rPr>
              <w:t>unsecured</w:t>
            </w:r>
            <w:r w:rsidRPr="004C0299">
              <w:rPr>
                <w:rFonts w:ascii="Bookman Old Style" w:eastAsia="Times New Roman" w:hAnsi="Bookman Old Style" w:cs="Arial"/>
                <w:sz w:val="20"/>
                <w:szCs w:val="20"/>
              </w:rPr>
              <w:t>) yang berasal dari nasabah perusahaan non-keuangan dengan sisa jangka waktu kurang dari 1 (satu) tahun;</w:t>
            </w:r>
          </w:p>
          <w:p w14:paraId="63474E46"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yang berasal dari Pemerintah Indonesia, Pemerintah negara lain, Entitas Sektor Publik, dan Bank Pembangunan Multilateral dengan sisa jangka waktu kurang dari 1 (satu) tahun;</w:t>
            </w:r>
          </w:p>
          <w:p w14:paraId="4192B4E9"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Rekening</w:t>
            </w:r>
            <w:r w:rsidRPr="004C0299">
              <w:rPr>
                <w:rFonts w:ascii="Bookman Old Style" w:eastAsia="Times New Roman" w:hAnsi="Bookman Old Style" w:cs="Arial"/>
                <w:sz w:val="20"/>
                <w:szCs w:val="20"/>
              </w:rPr>
              <w:t xml:space="preserve"> operasional yang memenuhi persyaratan sebagaimana dimaksud dalam </w:t>
            </w:r>
            <w:r w:rsidRPr="004C0299">
              <w:rPr>
                <w:rFonts w:ascii="Bookman Old Style" w:eastAsia="Times New Roman" w:hAnsi="Bookman Old Style" w:cs="Arial"/>
                <w:sz w:val="20"/>
                <w:szCs w:val="20"/>
                <w:lang w:val="en-US"/>
              </w:rPr>
              <w:t>Lampiran I POJK ini</w:t>
            </w:r>
            <w:r w:rsidRPr="004C0299">
              <w:rPr>
                <w:rFonts w:ascii="Bookman Old Style" w:eastAsia="Times New Roman" w:hAnsi="Bookman Old Style" w:cs="Arial"/>
                <w:sz w:val="20"/>
                <w:szCs w:val="20"/>
              </w:rPr>
              <w:t>;</w:t>
            </w:r>
          </w:p>
          <w:p w14:paraId="3433348C"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lastRenderedPageBreak/>
              <w:t>Pendanaan dengan agunan (</w:t>
            </w:r>
            <w:r w:rsidRPr="004C0299">
              <w:rPr>
                <w:rFonts w:ascii="Bookman Old Style" w:eastAsia="Times New Roman" w:hAnsi="Bookman Old Style" w:cs="Arial"/>
                <w:i/>
                <w:sz w:val="20"/>
                <w:szCs w:val="20"/>
              </w:rPr>
              <w:t>secured funding</w:t>
            </w:r>
            <w:r w:rsidRPr="004C0299">
              <w:rPr>
                <w:rFonts w:ascii="Bookman Old Style" w:eastAsia="Times New Roman" w:hAnsi="Bookman Old Style" w:cs="Arial"/>
                <w:sz w:val="20"/>
                <w:szCs w:val="20"/>
              </w:rPr>
              <w:t>) dan tanpa agunan (</w:t>
            </w:r>
            <w:r w:rsidRPr="004C0299">
              <w:rPr>
                <w:rFonts w:ascii="Bookman Old Style" w:eastAsia="Times New Roman" w:hAnsi="Bookman Old Style" w:cs="Arial"/>
                <w:i/>
                <w:sz w:val="20"/>
                <w:szCs w:val="20"/>
              </w:rPr>
              <w:t>unsecured funding</w:t>
            </w:r>
            <w:r w:rsidRPr="004C0299">
              <w:rPr>
                <w:rFonts w:ascii="Bookman Old Style" w:eastAsia="Times New Roman" w:hAnsi="Bookman Old Style" w:cs="Arial"/>
                <w:sz w:val="20"/>
                <w:szCs w:val="20"/>
              </w:rPr>
              <w:t>) lainnya yang tidak masuk dalam kategori di atas, antara lain Pendanaan dari Bank Indonesia, bank sentral negara lain, dan lembaga keuangan, dengan sisa jangka waktu</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6 (enam) bulan sampai dengan kurang dari 1 (satu) tahun;</w:t>
            </w:r>
          </w:p>
          <w:p w14:paraId="2B73B9E6"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pajak tangguhan dengan sisa jangka waktu 6 (enam) bulan sampai dengan kurang dari 1 (satu) tahun.</w:t>
            </w:r>
          </w:p>
          <w:p w14:paraId="11AF7AA2" w14:textId="77777777" w:rsidR="004C0299" w:rsidRPr="004C0299" w:rsidRDefault="004C0299" w:rsidP="004C0299">
            <w:pPr>
              <w:pStyle w:val="ListParagraph"/>
              <w:spacing w:after="0" w:line="240" w:lineRule="auto"/>
              <w:ind w:left="2835"/>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Penentuan jangka waktu adalah berdasarkan kemungkinan waktu terdekat saat liabilitas pajak tangguhan diharapkan diselesaikan; dan</w:t>
            </w:r>
          </w:p>
          <w:p w14:paraId="140056AC"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bagian dari kepentingan non-pengendali (</w:t>
            </w:r>
            <w:r w:rsidRPr="004C0299">
              <w:rPr>
                <w:rFonts w:ascii="Bookman Old Style" w:eastAsia="Times New Roman" w:hAnsi="Bookman Old Style" w:cs="Arial"/>
                <w:i/>
                <w:sz w:val="20"/>
                <w:szCs w:val="20"/>
              </w:rPr>
              <w:t>non- controlling interest</w:t>
            </w:r>
            <w:r w:rsidRPr="004C0299">
              <w:rPr>
                <w:rFonts w:ascii="Bookman Old Style" w:eastAsia="Times New Roman" w:hAnsi="Bookman Old Style" w:cs="Arial"/>
                <w:sz w:val="20"/>
                <w:szCs w:val="20"/>
              </w:rPr>
              <w:t>) yang tidak sesuai dengan persyaratan modal inti utama sebagaimana diatur dalam POJK KPMM, dengan sisa jangka waktu 6 (enam) bulan sampai dengan kurang dari 1 (satu) tahun.</w:t>
            </w:r>
          </w:p>
          <w:p w14:paraId="6C09B257"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Rekening operasional sebagaimana dimaksud dalam butir a.3) ditetapkan sebagai berikut:</w:t>
            </w:r>
          </w:p>
          <w:p w14:paraId="4B0B93BD"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Dalam menetapkan faktor ASF, Bank mengklasifikasikan Pendanaan yang berasal dari nasabah korporasi dalam:</w:t>
            </w:r>
          </w:p>
          <w:p w14:paraId="162F954D" w14:textId="77777777" w:rsidR="004C0299" w:rsidRPr="004C0299" w:rsidRDefault="004C0299"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Rekening operasional; atau</w:t>
            </w:r>
          </w:p>
          <w:p w14:paraId="3A7F6412" w14:textId="16088597" w:rsidR="004C0299" w:rsidRPr="004C0299" w:rsidRDefault="004C0299"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Rekening</w:t>
            </w:r>
            <w:r w:rsidRPr="004C0299" w:rsidDel="00B05B1D">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lang w:val="en-US"/>
              </w:rPr>
              <w:t>non-operasional dan/atau liabilitas lainnya yang bersifat non-operasional,</w:t>
            </w:r>
          </w:p>
          <w:p w14:paraId="442EC9C0" w14:textId="77777777" w:rsidR="004C0299" w:rsidRPr="004C0299" w:rsidRDefault="004C0299" w:rsidP="004C0299">
            <w:pPr>
              <w:spacing w:after="0" w:line="240" w:lineRule="auto"/>
              <w:ind w:left="2835"/>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sebagaimana diatur dalam Lampiran I POJK ini.</w:t>
            </w:r>
          </w:p>
          <w:p w14:paraId="51FEA1F7"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Bank memiliki metode untuk menentukan nilai </w:t>
            </w:r>
            <w:r w:rsidRPr="004C0299">
              <w:rPr>
                <w:rFonts w:ascii="Bookman Old Style" w:eastAsia="Times New Roman" w:hAnsi="Bookman Old Style" w:cs="Arial"/>
                <w:sz w:val="20"/>
                <w:szCs w:val="20"/>
                <w:lang w:val="en-US"/>
              </w:rPr>
              <w:t>pendanaan</w:t>
            </w:r>
            <w:r w:rsidRPr="004C0299">
              <w:rPr>
                <w:rFonts w:ascii="Bookman Old Style" w:eastAsia="Times New Roman" w:hAnsi="Bookman Old Style" w:cs="Arial"/>
                <w:sz w:val="20"/>
                <w:szCs w:val="20"/>
              </w:rPr>
              <w:t xml:space="preserve"> yang dapat diklasifikasikan sebagai </w:t>
            </w:r>
            <w:r w:rsidRPr="004C0299">
              <w:rPr>
                <w:rFonts w:ascii="Bookman Old Style" w:eastAsia="Times New Roman" w:hAnsi="Bookman Old Style" w:cs="Arial"/>
                <w:sz w:val="20"/>
                <w:szCs w:val="20"/>
                <w:lang w:val="en-US"/>
              </w:rPr>
              <w:t>Rekening</w:t>
            </w:r>
            <w:r w:rsidRPr="004C0299">
              <w:rPr>
                <w:rFonts w:ascii="Bookman Old Style" w:eastAsia="Times New Roman" w:hAnsi="Bookman Old Style" w:cs="Arial"/>
                <w:sz w:val="20"/>
                <w:szCs w:val="20"/>
              </w:rPr>
              <w:t xml:space="preserve"> operasional.</w:t>
            </w:r>
          </w:p>
          <w:p w14:paraId="30986B0E"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Dalam hal Bank tidak dapat menentukan nilai </w:t>
            </w:r>
            <w:r w:rsidRPr="004C0299">
              <w:rPr>
                <w:rFonts w:ascii="Bookman Old Style" w:eastAsia="Times New Roman" w:hAnsi="Bookman Old Style" w:cs="Arial"/>
                <w:sz w:val="20"/>
                <w:szCs w:val="20"/>
                <w:lang w:val="en-US"/>
              </w:rPr>
              <w:t>Pendanaan</w:t>
            </w:r>
            <w:r w:rsidRPr="004C0299">
              <w:rPr>
                <w:rFonts w:ascii="Bookman Old Style" w:eastAsia="Times New Roman" w:hAnsi="Bookman Old Style" w:cs="Arial"/>
                <w:sz w:val="20"/>
                <w:szCs w:val="20"/>
              </w:rPr>
              <w:t xml:space="preserve"> yang diklasifikasikan sebagai </w:t>
            </w:r>
            <w:r w:rsidRPr="004C0299">
              <w:rPr>
                <w:rFonts w:ascii="Bookman Old Style" w:eastAsia="Times New Roman" w:hAnsi="Bookman Old Style" w:cs="Arial"/>
                <w:sz w:val="20"/>
                <w:szCs w:val="20"/>
                <w:lang w:val="en-US"/>
              </w:rPr>
              <w:t>Rekening</w:t>
            </w:r>
            <w:r w:rsidRPr="004C0299" w:rsidDel="000D2F2B">
              <w:rPr>
                <w:rFonts w:ascii="Bookman Old Style" w:eastAsia="Times New Roman" w:hAnsi="Bookman Old Style" w:cs="Arial"/>
                <w:sz w:val="20"/>
                <w:szCs w:val="20"/>
              </w:rPr>
              <w:t xml:space="preserve"> </w:t>
            </w:r>
            <w:r w:rsidRPr="004C0299">
              <w:rPr>
                <w:rFonts w:ascii="Bookman Old Style" w:eastAsia="Times New Roman" w:hAnsi="Bookman Old Style" w:cs="Arial"/>
                <w:sz w:val="20"/>
                <w:szCs w:val="20"/>
              </w:rPr>
              <w:t xml:space="preserve"> operasional, seluruh </w:t>
            </w:r>
            <w:r w:rsidRPr="004C0299">
              <w:rPr>
                <w:rFonts w:ascii="Bookman Old Style" w:eastAsia="Times New Roman" w:hAnsi="Bookman Old Style" w:cs="Arial"/>
                <w:sz w:val="20"/>
                <w:szCs w:val="20"/>
                <w:lang w:val="en-US"/>
              </w:rPr>
              <w:t>Pendanaan</w:t>
            </w:r>
            <w:r w:rsidRPr="004C0299">
              <w:rPr>
                <w:rFonts w:ascii="Bookman Old Style" w:eastAsia="Times New Roman" w:hAnsi="Bookman Old Style" w:cs="Arial"/>
                <w:sz w:val="20"/>
                <w:szCs w:val="20"/>
              </w:rPr>
              <w:t xml:space="preserve"> diklasifikasikan sebagai </w:t>
            </w:r>
            <w:r w:rsidRPr="004C0299">
              <w:rPr>
                <w:rFonts w:ascii="Bookman Old Style" w:eastAsia="Times New Roman" w:hAnsi="Bookman Old Style" w:cs="Arial"/>
                <w:sz w:val="20"/>
                <w:szCs w:val="20"/>
                <w:lang w:val="en-US"/>
              </w:rPr>
              <w:t>Rekening</w:t>
            </w:r>
            <w:r w:rsidRPr="004C0299" w:rsidDel="000D2F2B">
              <w:rPr>
                <w:rFonts w:ascii="Bookman Old Style" w:eastAsia="Times New Roman" w:hAnsi="Bookman Old Style" w:cs="Arial"/>
                <w:sz w:val="20"/>
                <w:szCs w:val="20"/>
              </w:rPr>
              <w:t xml:space="preserve"> </w:t>
            </w:r>
            <w:r w:rsidRPr="004C0299">
              <w:rPr>
                <w:rFonts w:ascii="Bookman Old Style" w:eastAsia="Times New Roman" w:hAnsi="Bookman Old Style" w:cs="Arial"/>
                <w:sz w:val="20"/>
                <w:szCs w:val="20"/>
              </w:rPr>
              <w:t>non-operasional dan/atau liabilitas lainnya yang bersifat non-operasional.</w:t>
            </w:r>
          </w:p>
          <w:p w14:paraId="624FC842" w14:textId="5FF9A27B"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Rekening</w:t>
            </w:r>
            <w:r w:rsidRPr="004C0299" w:rsidDel="000D2F2B">
              <w:rPr>
                <w:rFonts w:ascii="Bookman Old Style" w:eastAsia="Times New Roman" w:hAnsi="Bookman Old Style" w:cs="Arial"/>
                <w:sz w:val="20"/>
                <w:szCs w:val="20"/>
              </w:rPr>
              <w:t xml:space="preserve"> </w:t>
            </w:r>
            <w:r w:rsidRPr="004C0299">
              <w:rPr>
                <w:rFonts w:ascii="Bookman Old Style" w:eastAsia="Times New Roman" w:hAnsi="Bookman Old Style" w:cs="Arial"/>
                <w:sz w:val="20"/>
                <w:szCs w:val="20"/>
              </w:rPr>
              <w:t xml:space="preserve">yang berasal dari nasabah korporasi yang tidak memenuhi persyaratan sebagai </w:t>
            </w:r>
            <w:r w:rsidRPr="004C0299">
              <w:rPr>
                <w:rFonts w:ascii="Bookman Old Style" w:eastAsia="Times New Roman" w:hAnsi="Bookman Old Style" w:cs="Arial"/>
                <w:sz w:val="20"/>
                <w:szCs w:val="20"/>
                <w:lang w:val="en-US"/>
              </w:rPr>
              <w:t>Rekening</w:t>
            </w:r>
            <w:r w:rsidRPr="004C0299" w:rsidDel="000D2F2B">
              <w:rPr>
                <w:rFonts w:ascii="Bookman Old Style" w:eastAsia="Times New Roman" w:hAnsi="Bookman Old Style" w:cs="Arial"/>
                <w:sz w:val="20"/>
                <w:szCs w:val="20"/>
              </w:rPr>
              <w:t xml:space="preserve"> </w:t>
            </w:r>
            <w:r w:rsidRPr="004C0299">
              <w:rPr>
                <w:rFonts w:ascii="Bookman Old Style" w:eastAsia="Times New Roman" w:hAnsi="Bookman Old Style" w:cs="Arial"/>
                <w:sz w:val="20"/>
                <w:szCs w:val="20"/>
              </w:rPr>
              <w:t xml:space="preserve">operasional diklasifikasikan sebagai </w:t>
            </w:r>
            <w:r w:rsidRPr="004C0299">
              <w:rPr>
                <w:rFonts w:ascii="Bookman Old Style" w:eastAsia="Times New Roman" w:hAnsi="Bookman Old Style" w:cs="Arial"/>
                <w:sz w:val="20"/>
                <w:szCs w:val="20"/>
                <w:lang w:val="en-US"/>
              </w:rPr>
              <w:t xml:space="preserve">Rekening </w:t>
            </w:r>
            <w:r w:rsidRPr="004C0299">
              <w:rPr>
                <w:rFonts w:ascii="Bookman Old Style" w:eastAsia="Times New Roman" w:hAnsi="Bookman Old Style" w:cs="Arial"/>
                <w:sz w:val="20"/>
                <w:szCs w:val="20"/>
              </w:rPr>
              <w:t xml:space="preserve">non-operasional dan/atau liabilitas lainnya yang bersifat non-operasional. Faktor ASF atas </w:t>
            </w:r>
            <w:r w:rsidRPr="004C0299">
              <w:rPr>
                <w:rFonts w:ascii="Bookman Old Style" w:eastAsia="Times New Roman" w:hAnsi="Bookman Old Style" w:cs="Arial"/>
                <w:sz w:val="20"/>
                <w:szCs w:val="20"/>
                <w:lang w:val="en-US"/>
              </w:rPr>
              <w:t xml:space="preserve">Pendanaan </w:t>
            </w:r>
            <w:r w:rsidRPr="004C0299">
              <w:rPr>
                <w:rFonts w:ascii="Bookman Old Style" w:eastAsia="Times New Roman" w:hAnsi="Bookman Old Style" w:cs="Arial"/>
                <w:sz w:val="20"/>
                <w:szCs w:val="20"/>
              </w:rPr>
              <w:t>dimaksud ditentukan berdasarkan pihak lawan dan sisa jangka waktu.</w:t>
            </w:r>
          </w:p>
          <w:p w14:paraId="6CCDFD8C"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Pendanaan dengan agunan (</w:t>
            </w:r>
            <w:r w:rsidRPr="004C0299">
              <w:rPr>
                <w:rFonts w:ascii="Bookman Old Style" w:eastAsia="Times New Roman" w:hAnsi="Bookman Old Style" w:cs="Arial"/>
                <w:i/>
                <w:sz w:val="20"/>
                <w:szCs w:val="20"/>
              </w:rPr>
              <w:t>secured funding</w:t>
            </w:r>
            <w:r w:rsidRPr="004C0299">
              <w:rPr>
                <w:rFonts w:ascii="Bookman Old Style" w:eastAsia="Times New Roman" w:hAnsi="Bookman Old Style" w:cs="Arial"/>
                <w:sz w:val="20"/>
                <w:szCs w:val="20"/>
              </w:rPr>
              <w:t>) sebagaimana dimaksud dalam butir a.4) adalah kewajiban yang dijamin dengan suatu hak secara hukum atas aset tertentu yang dimiliki oleh Bank dalam hal terjadi kebangkrutan, ketidakmampuan memenuhi kewajiban (insolvensi), likuidasi, atau resolusi.</w:t>
            </w:r>
          </w:p>
          <w:p w14:paraId="4C337B28" w14:textId="61B4B699"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lastRenderedPageBreak/>
              <w:t xml:space="preserve">Pendanaan yang berasal dari nasabah korporasi sebagaimana dimaksud dalam butir b.1) adalah liabilitas Bank kepada korporasi yang berbadan hukum, termasuk perusahaan perseorangan dan </w:t>
            </w:r>
            <w:r w:rsidRPr="004C0299">
              <w:rPr>
                <w:rFonts w:ascii="Bookman Old Style" w:eastAsia="Times New Roman" w:hAnsi="Bookman Old Style" w:cs="Arial"/>
                <w:i/>
                <w:sz w:val="20"/>
                <w:szCs w:val="20"/>
              </w:rPr>
              <w:t xml:space="preserve">partnership </w:t>
            </w:r>
            <w:r w:rsidRPr="004C0299">
              <w:rPr>
                <w:rFonts w:ascii="Bookman Old Style" w:eastAsia="Times New Roman" w:hAnsi="Bookman Old Style" w:cs="Arial"/>
                <w:sz w:val="20"/>
                <w:szCs w:val="20"/>
              </w:rPr>
              <w:t>yang tidak dijamin dengan suatu hak secara hukum atas aset tertentu yang dimiliki oleh Bank apabila terjadi kepailitan, ketidakmampuan memenuhi kewajiban (insolvensi), likuidasi, atau resolusi.</w:t>
            </w:r>
          </w:p>
        </w:tc>
        <w:tc>
          <w:tcPr>
            <w:tcW w:w="3686" w:type="dxa"/>
            <w:shd w:val="clear" w:color="auto" w:fill="auto"/>
            <w:vAlign w:val="center"/>
          </w:tcPr>
          <w:p w14:paraId="6E08802D"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572A2599"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240925DA" w14:textId="77777777" w:rsidTr="006A283D">
        <w:trPr>
          <w:trHeight w:val="564"/>
          <w:tblHeader/>
        </w:trPr>
        <w:tc>
          <w:tcPr>
            <w:tcW w:w="9634" w:type="dxa"/>
            <w:shd w:val="clear" w:color="auto" w:fill="auto"/>
            <w:vAlign w:val="center"/>
          </w:tcPr>
          <w:p w14:paraId="742D44DE" w14:textId="77777777" w:rsidR="004C0299" w:rsidRPr="004C0299" w:rsidRDefault="004C0299" w:rsidP="00A32F86">
            <w:pPr>
              <w:pStyle w:val="ListParagraph"/>
              <w:numPr>
                <w:ilvl w:val="1"/>
                <w:numId w:val="140"/>
              </w:numPr>
              <w:spacing w:after="0" w:line="240" w:lineRule="auto"/>
              <w:ind w:left="1701"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lastRenderedPageBreak/>
              <w:t>Liabilitas dan ekuitas yang mendapatkan faktor ASF 0% (nol persen)</w:t>
            </w:r>
          </w:p>
          <w:p w14:paraId="07B7E91F"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Liabilitas yang mendapatkan faktor ASF 0% (nol persen) terdiri atas:</w:t>
            </w:r>
          </w:p>
          <w:p w14:paraId="3576F01A"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seluruh liabilitas yang tidak masuk dalam kategori sebelumnya, antara lain Pendanaan lain dari Bank Indonesia, bank sentral negara lain, dan lembaga keuangan dengan sisa jangka waktu kurang dari 6 (enam) bulan.</w:t>
            </w:r>
          </w:p>
          <w:p w14:paraId="2EE5E4DF" w14:textId="77777777" w:rsidR="004C0299" w:rsidRPr="004C0299" w:rsidRDefault="004C0299" w:rsidP="004C0299">
            <w:pPr>
              <w:pStyle w:val="ListParagraph"/>
              <w:spacing w:after="0" w:line="240" w:lineRule="auto"/>
              <w:ind w:left="2835"/>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lang w:val="en-US"/>
              </w:rPr>
              <w:t xml:space="preserve">Contoh: </w:t>
            </w:r>
            <w:r w:rsidRPr="004C0299">
              <w:rPr>
                <w:rFonts w:ascii="Bookman Old Style" w:eastAsia="Times New Roman" w:hAnsi="Bookman Old Style" w:cs="Arial"/>
                <w:i/>
                <w:sz w:val="20"/>
                <w:szCs w:val="20"/>
                <w:lang w:val="en-US"/>
              </w:rPr>
              <w:t>interbank call money</w:t>
            </w:r>
            <w:r w:rsidRPr="004C0299">
              <w:rPr>
                <w:rFonts w:ascii="Bookman Old Style" w:eastAsia="Times New Roman" w:hAnsi="Bookman Old Style" w:cs="Arial"/>
                <w:sz w:val="20"/>
                <w:szCs w:val="20"/>
                <w:lang w:val="en-US"/>
              </w:rPr>
              <w:t>;</w:t>
            </w:r>
          </w:p>
          <w:p w14:paraId="448A072B"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seluruh liabilitas lain tanpa jangka waktu, termasuk posisi </w:t>
            </w:r>
            <w:r w:rsidRPr="004C0299">
              <w:rPr>
                <w:rFonts w:ascii="Bookman Old Style" w:eastAsia="Times New Roman" w:hAnsi="Bookman Old Style" w:cs="Arial"/>
                <w:i/>
                <w:sz w:val="20"/>
                <w:szCs w:val="20"/>
              </w:rPr>
              <w:t xml:space="preserve">short </w:t>
            </w:r>
            <w:r w:rsidRPr="004C0299">
              <w:rPr>
                <w:rFonts w:ascii="Bookman Old Style" w:eastAsia="Times New Roman" w:hAnsi="Bookman Old Style" w:cs="Arial"/>
                <w:sz w:val="20"/>
                <w:szCs w:val="20"/>
              </w:rPr>
              <w:t>dan posisi yang tidak memiliki jangka waktu (</w:t>
            </w:r>
            <w:r w:rsidRPr="004C0299">
              <w:rPr>
                <w:rFonts w:ascii="Bookman Old Style" w:eastAsia="Times New Roman" w:hAnsi="Bookman Old Style" w:cs="Arial"/>
                <w:i/>
                <w:sz w:val="20"/>
                <w:szCs w:val="20"/>
              </w:rPr>
              <w:t>open maturity position</w:t>
            </w:r>
            <w:r w:rsidRPr="004C0299">
              <w:rPr>
                <w:rFonts w:ascii="Bookman Old Style" w:eastAsia="Times New Roman" w:hAnsi="Bookman Old Style" w:cs="Arial"/>
                <w:sz w:val="20"/>
                <w:szCs w:val="20"/>
              </w:rPr>
              <w:t>).</w:t>
            </w:r>
          </w:p>
          <w:p w14:paraId="7E41D362" w14:textId="77777777" w:rsidR="004C0299" w:rsidRPr="004C0299" w:rsidRDefault="004C0299" w:rsidP="004C0299">
            <w:pPr>
              <w:pStyle w:val="ListParagraph"/>
              <w:spacing w:after="0" w:line="240" w:lineRule="auto"/>
              <w:ind w:left="2835"/>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Contoh: liabilitas yang tercatat pada rekening tunda (</w:t>
            </w:r>
            <w:r w:rsidRPr="004C0299">
              <w:rPr>
                <w:rFonts w:ascii="Bookman Old Style" w:eastAsia="Times New Roman" w:hAnsi="Bookman Old Style" w:cs="Arial"/>
                <w:i/>
                <w:sz w:val="20"/>
                <w:szCs w:val="20"/>
              </w:rPr>
              <w:t>suspense account</w:t>
            </w:r>
            <w:r w:rsidRPr="004C0299">
              <w:rPr>
                <w:rFonts w:ascii="Bookman Old Style" w:eastAsia="Times New Roman" w:hAnsi="Bookman Old Style" w:cs="Arial"/>
                <w:sz w:val="20"/>
                <w:szCs w:val="20"/>
              </w:rPr>
              <w:t>);</w:t>
            </w:r>
          </w:p>
          <w:p w14:paraId="3E5763D8"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lang w:val="en-US"/>
              </w:rPr>
            </w:pPr>
            <w:r w:rsidRPr="004C0299">
              <w:rPr>
                <w:rFonts w:ascii="Bookman Old Style" w:eastAsia="Times New Roman" w:hAnsi="Bookman Old Style" w:cs="Arial"/>
                <w:sz w:val="20"/>
                <w:szCs w:val="20"/>
              </w:rPr>
              <w:t xml:space="preserve">NSFR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yang dikurangkan dengan NSFR aset </w:t>
            </w:r>
            <w:r w:rsidRPr="004C0299">
              <w:rPr>
                <w:rFonts w:ascii="Bookman Old Style" w:eastAsia="Times New Roman" w:hAnsi="Bookman Old Style" w:cs="Arial"/>
                <w:sz w:val="20"/>
                <w:szCs w:val="20"/>
                <w:lang w:val="en-US"/>
              </w:rPr>
              <w:t>lindung nilai/</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dengan formula:</w:t>
            </w:r>
          </w:p>
          <w:p w14:paraId="399E1815" w14:textId="77777777" w:rsidR="004C0299" w:rsidRPr="004C0299" w:rsidRDefault="004C0299" w:rsidP="004C0299">
            <w:pPr>
              <w:pStyle w:val="ListParagraph"/>
              <w:spacing w:after="0" w:line="240" w:lineRule="auto"/>
              <w:ind w:left="3686" w:hanging="851"/>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ASF = 0% x MAX [(NSFR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 NSFR </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 xml:space="preserve">aset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0] ; dan</w:t>
            </w:r>
          </w:p>
          <w:p w14:paraId="010EA377" w14:textId="77777777" w:rsidR="004C0299" w:rsidRPr="004C0299" w:rsidRDefault="004C0299" w:rsidP="00A32F86">
            <w:pPr>
              <w:pStyle w:val="ListParagraph"/>
              <w:numPr>
                <w:ilvl w:val="3"/>
                <w:numId w:val="140"/>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utang tanggal perdagangan (</w:t>
            </w:r>
            <w:r w:rsidRPr="004C0299">
              <w:rPr>
                <w:rFonts w:ascii="Bookman Old Style" w:eastAsia="Times New Roman" w:hAnsi="Bookman Old Style" w:cs="Arial"/>
                <w:i/>
                <w:sz w:val="20"/>
                <w:szCs w:val="20"/>
              </w:rPr>
              <w:t>trade date payable</w:t>
            </w:r>
            <w:r w:rsidRPr="004C0299">
              <w:rPr>
                <w:rFonts w:ascii="Bookman Old Style" w:eastAsia="Times New Roman" w:hAnsi="Bookman Old Style" w:cs="Arial"/>
                <w:sz w:val="20"/>
                <w:szCs w:val="20"/>
              </w:rPr>
              <w:t>) yang timbul dari pembelian instrumen keuangan, mata</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uang asing, atau komoditas, yang memenuhi persyaratan:</w:t>
            </w:r>
          </w:p>
          <w:p w14:paraId="29A1CACC" w14:textId="77777777" w:rsidR="004C0299" w:rsidRPr="004C0299" w:rsidRDefault="004C0299"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penyelesaian transaksi diharapkan terjadi dalam siklus penyelesaian yang normal atau periode yang umum untuk jenis transaksi tersebut; atau</w:t>
            </w:r>
          </w:p>
          <w:p w14:paraId="3EEDC149" w14:textId="77777777" w:rsidR="004C0299" w:rsidRPr="004C0299" w:rsidRDefault="004C0299" w:rsidP="00A32F86">
            <w:pPr>
              <w:pStyle w:val="ListParagraph"/>
              <w:numPr>
                <w:ilvl w:val="4"/>
                <w:numId w:val="140"/>
              </w:numPr>
              <w:spacing w:after="0" w:line="240" w:lineRule="auto"/>
              <w:ind w:left="3402"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penyelesaian transaksi diharapkan tetap dapat diselesaikan walaupun penyelesaian transaksi telah mengalami kegagalan.</w:t>
            </w:r>
          </w:p>
          <w:p w14:paraId="421CF64F" w14:textId="77777777" w:rsidR="004C0299" w:rsidRPr="004C0299" w:rsidRDefault="004C0299" w:rsidP="00A32F86">
            <w:pPr>
              <w:pStyle w:val="ListParagraph"/>
              <w:numPr>
                <w:ilvl w:val="2"/>
                <w:numId w:val="140"/>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Ekuitas yang mendapatkan faktor ASF 0% (nol persen) adalah ekuitas lain yang tidak masuk dalam kategori sebelumnya.</w:t>
            </w:r>
          </w:p>
          <w:p w14:paraId="3150B39D" w14:textId="77777777" w:rsidR="004C0299" w:rsidRPr="004C0299" w:rsidRDefault="004C0299" w:rsidP="004C0299">
            <w:pPr>
              <w:pStyle w:val="ListParagraph"/>
              <w:spacing w:after="0" w:line="240" w:lineRule="auto"/>
              <w:ind w:left="2268"/>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Contoh:</w:t>
            </w:r>
          </w:p>
          <w:p w14:paraId="4AC4ECC1" w14:textId="77777777" w:rsidR="004C0299" w:rsidRDefault="004C0299" w:rsidP="004C0299">
            <w:pPr>
              <w:pStyle w:val="ListParagraph"/>
              <w:spacing w:after="0" w:line="240" w:lineRule="auto"/>
              <w:ind w:left="2268"/>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Surat utang subordinasi (</w:t>
            </w:r>
            <w:r w:rsidRPr="004C0299">
              <w:rPr>
                <w:rFonts w:ascii="Bookman Old Style" w:eastAsia="Times New Roman" w:hAnsi="Bookman Old Style" w:cs="Arial"/>
                <w:i/>
                <w:sz w:val="20"/>
                <w:szCs w:val="20"/>
              </w:rPr>
              <w:t xml:space="preserve">tier </w:t>
            </w:r>
            <w:r w:rsidRPr="004C0299">
              <w:rPr>
                <w:rFonts w:ascii="Bookman Old Style" w:eastAsia="Times New Roman" w:hAnsi="Bookman Old Style" w:cs="Arial"/>
                <w:sz w:val="20"/>
                <w:szCs w:val="20"/>
              </w:rPr>
              <w:t>2) dengan sisa jangka waktu kurang dari 1 (satu) tahun.</w:t>
            </w:r>
          </w:p>
          <w:p w14:paraId="588F0046" w14:textId="77777777" w:rsidR="00A22891" w:rsidRDefault="00A22891" w:rsidP="004C0299">
            <w:pPr>
              <w:pStyle w:val="ListParagraph"/>
              <w:spacing w:after="0" w:line="240" w:lineRule="auto"/>
              <w:ind w:left="2268"/>
              <w:jc w:val="both"/>
              <w:rPr>
                <w:rFonts w:ascii="Bookman Old Style" w:eastAsia="Times New Roman" w:hAnsi="Bookman Old Style" w:cs="Arial"/>
                <w:sz w:val="20"/>
                <w:szCs w:val="20"/>
              </w:rPr>
            </w:pPr>
          </w:p>
          <w:p w14:paraId="467CF04E" w14:textId="7FBB894B" w:rsidR="00A22891" w:rsidRPr="004C0299" w:rsidRDefault="00A22891" w:rsidP="004C0299">
            <w:pPr>
              <w:pStyle w:val="ListParagraph"/>
              <w:spacing w:after="0" w:line="240" w:lineRule="auto"/>
              <w:ind w:left="2268"/>
              <w:jc w:val="both"/>
              <w:rPr>
                <w:rFonts w:ascii="Bookman Old Style" w:eastAsia="Times New Roman" w:hAnsi="Bookman Old Style" w:cs="Arial"/>
                <w:sz w:val="20"/>
                <w:szCs w:val="20"/>
              </w:rPr>
            </w:pPr>
          </w:p>
        </w:tc>
        <w:tc>
          <w:tcPr>
            <w:tcW w:w="3686" w:type="dxa"/>
            <w:shd w:val="clear" w:color="auto" w:fill="auto"/>
            <w:vAlign w:val="center"/>
          </w:tcPr>
          <w:p w14:paraId="421BB049"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B46BE8E"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2511DCF7" w14:textId="77777777" w:rsidTr="004C0299">
        <w:trPr>
          <w:trHeight w:val="564"/>
          <w:tblHeader/>
        </w:trPr>
        <w:tc>
          <w:tcPr>
            <w:tcW w:w="9634" w:type="dxa"/>
            <w:shd w:val="clear" w:color="auto" w:fill="FFF2CC" w:themeFill="accent4" w:themeFillTint="33"/>
            <w:vAlign w:val="center"/>
          </w:tcPr>
          <w:p w14:paraId="0B98AEF1" w14:textId="6A11CB9F" w:rsidR="004C0299" w:rsidRPr="004C0299" w:rsidRDefault="004C0299" w:rsidP="00A32F86">
            <w:pPr>
              <w:pStyle w:val="BodyText"/>
              <w:numPr>
                <w:ilvl w:val="4"/>
                <w:numId w:val="29"/>
              </w:numPr>
              <w:ind w:left="1134" w:hanging="567"/>
              <w:rPr>
                <w:rFonts w:ascii="Bookman Old Style" w:hAnsi="Bookman Old Style" w:cs="Arial"/>
                <w:sz w:val="20"/>
                <w:szCs w:val="20"/>
              </w:rPr>
            </w:pPr>
            <w:r w:rsidRPr="004C0299">
              <w:rPr>
                <w:rFonts w:ascii="Bookman Old Style" w:hAnsi="Bookman Old Style" w:cs="Arial"/>
                <w:sz w:val="20"/>
                <w:szCs w:val="20"/>
              </w:rPr>
              <w:lastRenderedPageBreak/>
              <w:t xml:space="preserve">Perhitungan Liabilitas </w:t>
            </w:r>
            <w:r w:rsidRPr="004C0299">
              <w:rPr>
                <w:rFonts w:ascii="Bookman Old Style" w:hAnsi="Bookman Old Style" w:cs="Arial"/>
                <w:i/>
                <w:sz w:val="20"/>
                <w:szCs w:val="20"/>
              </w:rPr>
              <w:t xml:space="preserve">Hedging </w:t>
            </w:r>
            <w:r w:rsidRPr="004C0299">
              <w:rPr>
                <w:rFonts w:ascii="Bookman Old Style" w:hAnsi="Bookman Old Style" w:cs="Arial"/>
                <w:sz w:val="20"/>
                <w:szCs w:val="20"/>
              </w:rPr>
              <w:t>Syariah</w:t>
            </w:r>
          </w:p>
        </w:tc>
        <w:tc>
          <w:tcPr>
            <w:tcW w:w="3686" w:type="dxa"/>
            <w:shd w:val="clear" w:color="auto" w:fill="FFF2CC" w:themeFill="accent4" w:themeFillTint="33"/>
            <w:vAlign w:val="center"/>
          </w:tcPr>
          <w:p w14:paraId="7B7C03E0"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5FADAEA5"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784AC104" w14:textId="77777777" w:rsidTr="006A283D">
        <w:trPr>
          <w:trHeight w:val="564"/>
          <w:tblHeader/>
        </w:trPr>
        <w:tc>
          <w:tcPr>
            <w:tcW w:w="9634" w:type="dxa"/>
            <w:shd w:val="clear" w:color="auto" w:fill="auto"/>
            <w:vAlign w:val="center"/>
          </w:tcPr>
          <w:p w14:paraId="004D11D1"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Dalam menghitung nilai ASF sebagaimana dimaksud dalam huruf B, Bank memperhitungkan nilai ASF yang bersumber dari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w:t>
            </w:r>
          </w:p>
          <w:p w14:paraId="27B126F0"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diukur berdasarkan </w:t>
            </w:r>
            <w:r w:rsidRPr="004C0299">
              <w:rPr>
                <w:rFonts w:ascii="Bookman Old Style" w:eastAsia="Times New Roman" w:hAnsi="Bookman Old Style" w:cs="Arial"/>
                <w:i/>
                <w:sz w:val="20"/>
                <w:szCs w:val="20"/>
              </w:rPr>
              <w:t xml:space="preserve">replacement cost </w:t>
            </w:r>
            <w:r w:rsidRPr="004C0299">
              <w:rPr>
                <w:rFonts w:ascii="Bookman Old Style" w:eastAsia="Times New Roman" w:hAnsi="Bookman Old Style" w:cs="Arial"/>
                <w:sz w:val="20"/>
                <w:szCs w:val="20"/>
              </w:rPr>
              <w:t xml:space="preserve">kontrak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yang diperoleh melalui proses valuasi atas kontrak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Proses valuasi tersebut mencerminkan selisih negatif atau potensi kerugian antara nilai kontrak dengan nilai wajar (</w:t>
            </w:r>
            <w:r w:rsidRPr="004C0299">
              <w:rPr>
                <w:rFonts w:ascii="Bookman Old Style" w:eastAsia="Times New Roman" w:hAnsi="Bookman Old Style" w:cs="Arial"/>
                <w:i/>
                <w:sz w:val="20"/>
                <w:szCs w:val="20"/>
              </w:rPr>
              <w:t>mark to market</w:t>
            </w:r>
            <w:r w:rsidRPr="004C0299">
              <w:rPr>
                <w:rFonts w:ascii="Bookman Old Style" w:eastAsia="Times New Roman" w:hAnsi="Bookman Old Style" w:cs="Arial"/>
                <w:sz w:val="20"/>
                <w:szCs w:val="20"/>
              </w:rPr>
              <w:t xml:space="preserve">) transaksi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pada tanggal laporan.</w:t>
            </w:r>
          </w:p>
          <w:p w14:paraId="522F9EE1"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Perhitungan nilai ASF untuk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merupakan hasil perkalian antara:</w:t>
            </w:r>
          </w:p>
          <w:p w14:paraId="07EEEFDD" w14:textId="77777777" w:rsidR="004C0299" w:rsidRPr="004C0299" w:rsidRDefault="004C0299" w:rsidP="00A32F86">
            <w:pPr>
              <w:pStyle w:val="ListParagraph"/>
              <w:numPr>
                <w:ilvl w:val="0"/>
                <w:numId w:val="145"/>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NSFR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yang dikurangkan dengan NSFR aset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dan</w:t>
            </w:r>
          </w:p>
          <w:p w14:paraId="7474A7C1" w14:textId="77777777" w:rsidR="004C0299" w:rsidRPr="004C0299" w:rsidRDefault="004C0299" w:rsidP="00A32F86">
            <w:pPr>
              <w:pStyle w:val="ListParagraph"/>
              <w:numPr>
                <w:ilvl w:val="0"/>
                <w:numId w:val="145"/>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Faktor ASF 0% (nol persen).</w:t>
            </w:r>
          </w:p>
          <w:p w14:paraId="3A549957"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NSFR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sebagaimana dimaksud dalam butir 3.a adalah nilai tercatat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dikurangi dengan total agunan yang diserahkan sebagai </w:t>
            </w:r>
            <w:r w:rsidRPr="004C0299">
              <w:rPr>
                <w:rFonts w:ascii="Bookman Old Style" w:eastAsia="Times New Roman" w:hAnsi="Bookman Old Style" w:cs="Arial"/>
                <w:i/>
                <w:sz w:val="20"/>
                <w:szCs w:val="20"/>
              </w:rPr>
              <w:t>variation margin</w:t>
            </w:r>
            <w:r w:rsidRPr="004C0299">
              <w:rPr>
                <w:rFonts w:ascii="Bookman Old Style" w:eastAsia="Times New Roman" w:hAnsi="Bookman Old Style" w:cs="Arial"/>
                <w:sz w:val="20"/>
                <w:szCs w:val="20"/>
              </w:rPr>
              <w:t>, dengan formula:</w:t>
            </w:r>
          </w:p>
          <w:p w14:paraId="5A8B6CC1" w14:textId="77777777" w:rsidR="004C0299" w:rsidRPr="004C0299" w:rsidRDefault="004C0299" w:rsidP="004C0299">
            <w:pPr>
              <w:pStyle w:val="ListParagraph"/>
              <w:spacing w:after="0" w:line="240" w:lineRule="auto"/>
              <w:ind w:left="5812" w:hanging="4111"/>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NSFR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 total agunan yang diserahkan sebagai variation margin.</w:t>
            </w:r>
          </w:p>
          <w:p w14:paraId="31D81343"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Aset yang digunakan sebagai agunan yang diserahkan sebagai </w:t>
            </w:r>
            <w:r w:rsidRPr="004C0299">
              <w:rPr>
                <w:rFonts w:ascii="Bookman Old Style" w:eastAsia="Times New Roman" w:hAnsi="Bookman Old Style" w:cs="Arial"/>
                <w:i/>
                <w:sz w:val="20"/>
                <w:szCs w:val="20"/>
              </w:rPr>
              <w:t xml:space="preserve">variation margin </w:t>
            </w:r>
            <w:r w:rsidRPr="004C0299">
              <w:rPr>
                <w:rFonts w:ascii="Bookman Old Style" w:eastAsia="Times New Roman" w:hAnsi="Bookman Old Style" w:cs="Arial"/>
                <w:sz w:val="20"/>
                <w:szCs w:val="20"/>
              </w:rPr>
              <w:t xml:space="preserve">dan menjadi faktor pengurang liabilitas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sebagaimana dimaksud dalam angka 4 tidak</w:t>
            </w:r>
            <w:r w:rsidRPr="004C0299">
              <w:rPr>
                <w:rFonts w:ascii="Bookman Old Style" w:eastAsia="Times New Roman" w:hAnsi="Bookman Old Style" w:cs="Arial"/>
                <w:sz w:val="20"/>
                <w:szCs w:val="20"/>
                <w:lang w:val="en-US"/>
              </w:rPr>
              <w:t xml:space="preserve"> </w:t>
            </w:r>
            <w:r w:rsidRPr="004C0299">
              <w:rPr>
                <w:rFonts w:ascii="Bookman Old Style" w:eastAsia="Times New Roman" w:hAnsi="Bookman Old Style" w:cs="Arial"/>
                <w:sz w:val="20"/>
                <w:szCs w:val="20"/>
              </w:rPr>
              <w:t>dimasukkan ke dalam perhitungan nilai RSF untuk menghindari perhitungan ganda (</w:t>
            </w:r>
            <w:r w:rsidRPr="004C0299">
              <w:rPr>
                <w:rFonts w:ascii="Bookman Old Style" w:eastAsia="Times New Roman" w:hAnsi="Bookman Old Style" w:cs="Arial"/>
                <w:i/>
                <w:sz w:val="20"/>
                <w:szCs w:val="20"/>
              </w:rPr>
              <w:t>double counting</w:t>
            </w:r>
            <w:r w:rsidRPr="004C0299">
              <w:rPr>
                <w:rFonts w:ascii="Bookman Old Style" w:eastAsia="Times New Roman" w:hAnsi="Bookman Old Style" w:cs="Arial"/>
                <w:sz w:val="20"/>
                <w:szCs w:val="20"/>
              </w:rPr>
              <w:t>)</w:t>
            </w:r>
            <w:r w:rsidRPr="004C0299">
              <w:rPr>
                <w:rFonts w:ascii="Bookman Old Style" w:eastAsia="Times New Roman" w:hAnsi="Bookman Old Style" w:cs="Arial"/>
                <w:i/>
                <w:sz w:val="20"/>
                <w:szCs w:val="20"/>
              </w:rPr>
              <w:t xml:space="preserve">, </w:t>
            </w:r>
            <w:r w:rsidRPr="004C0299">
              <w:rPr>
                <w:rFonts w:ascii="Bookman Old Style" w:eastAsia="Times New Roman" w:hAnsi="Bookman Old Style" w:cs="Arial"/>
                <w:sz w:val="20"/>
                <w:szCs w:val="20"/>
              </w:rPr>
              <w:t>sepanjang aset tersebut tercatat pada laporan posisi keuangan (neraca).</w:t>
            </w:r>
          </w:p>
          <w:p w14:paraId="4967C170"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Dalam hal Bank memiliki dua atau lebih transaksi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dengan pihak lawan yang sama dan dapat dilakukan saling hapus (</w:t>
            </w:r>
            <w:r w:rsidRPr="004C0299">
              <w:rPr>
                <w:rFonts w:ascii="Bookman Old Style" w:eastAsia="Times New Roman" w:hAnsi="Bookman Old Style" w:cs="Arial"/>
                <w:i/>
                <w:sz w:val="20"/>
                <w:szCs w:val="20"/>
              </w:rPr>
              <w:t>netting</w:t>
            </w:r>
            <w:r w:rsidRPr="004C0299">
              <w:rPr>
                <w:rFonts w:ascii="Bookman Old Style" w:eastAsia="Times New Roman" w:hAnsi="Bookman Old Style" w:cs="Arial"/>
                <w:sz w:val="20"/>
                <w:szCs w:val="20"/>
              </w:rPr>
              <w:t>) melalui proses novasi (pembaruan utang) atau perjanjian saling hapus (</w:t>
            </w:r>
            <w:r w:rsidRPr="004C0299">
              <w:rPr>
                <w:rFonts w:ascii="Bookman Old Style" w:eastAsia="Times New Roman" w:hAnsi="Bookman Old Style" w:cs="Arial"/>
                <w:i/>
                <w:sz w:val="20"/>
                <w:szCs w:val="20"/>
              </w:rPr>
              <w:t>netting agreement</w:t>
            </w:r>
            <w:r w:rsidRPr="004C0299">
              <w:rPr>
                <w:rFonts w:ascii="Bookman Old Style" w:eastAsia="Times New Roman" w:hAnsi="Bookman Old Style" w:cs="Arial"/>
                <w:sz w:val="20"/>
                <w:szCs w:val="20"/>
              </w:rPr>
              <w:t xml:space="preserve">) yang memenuhi syarat tertentu, </w:t>
            </w:r>
            <w:r w:rsidRPr="004C0299">
              <w:rPr>
                <w:rFonts w:ascii="Bookman Old Style" w:eastAsia="Times New Roman" w:hAnsi="Bookman Old Style" w:cs="Arial"/>
                <w:i/>
                <w:sz w:val="20"/>
                <w:szCs w:val="20"/>
              </w:rPr>
              <w:t xml:space="preserve">replacement cost </w:t>
            </w:r>
            <w:r w:rsidRPr="004C0299">
              <w:rPr>
                <w:rFonts w:ascii="Bookman Old Style" w:eastAsia="Times New Roman" w:hAnsi="Bookman Old Style" w:cs="Arial"/>
                <w:sz w:val="20"/>
                <w:szCs w:val="20"/>
              </w:rPr>
              <w:t xml:space="preserve">dari transaksi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tersebut akan menjadi </w:t>
            </w:r>
            <w:r w:rsidRPr="004C0299">
              <w:rPr>
                <w:rFonts w:ascii="Bookman Old Style" w:eastAsia="Times New Roman" w:hAnsi="Bookman Old Style" w:cs="Arial"/>
                <w:i/>
                <w:sz w:val="20"/>
                <w:szCs w:val="20"/>
              </w:rPr>
              <w:t>net replacement cost.</w:t>
            </w:r>
          </w:p>
          <w:p w14:paraId="2C74C632" w14:textId="77777777" w:rsidR="004C0299" w:rsidRPr="004C0299" w:rsidRDefault="004C0299" w:rsidP="00A32F86">
            <w:pPr>
              <w:pStyle w:val="ListParagraph"/>
              <w:numPr>
                <w:ilvl w:val="0"/>
                <w:numId w:val="144"/>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Persyaratan proses novasi (pembaruan utang) atau perjanjian saling hapus (</w:t>
            </w:r>
            <w:r w:rsidRPr="004C0299">
              <w:rPr>
                <w:rFonts w:ascii="Bookman Old Style" w:eastAsia="Times New Roman" w:hAnsi="Bookman Old Style" w:cs="Arial"/>
                <w:i/>
                <w:sz w:val="20"/>
                <w:szCs w:val="20"/>
              </w:rPr>
              <w:t>netting agreement</w:t>
            </w:r>
            <w:r w:rsidRPr="004C0299">
              <w:rPr>
                <w:rFonts w:ascii="Bookman Old Style" w:eastAsia="Times New Roman" w:hAnsi="Bookman Old Style" w:cs="Arial"/>
                <w:sz w:val="20"/>
                <w:szCs w:val="20"/>
              </w:rPr>
              <w:t>) sebagaimana dimaksud dalam angka 6 adalah sebagai berikut:</w:t>
            </w:r>
          </w:p>
          <w:p w14:paraId="16E44435" w14:textId="77777777" w:rsidR="004C0299" w:rsidRPr="004C0299" w:rsidRDefault="004C0299" w:rsidP="00A32F86">
            <w:pPr>
              <w:pStyle w:val="ListParagraph"/>
              <w:numPr>
                <w:ilvl w:val="0"/>
                <w:numId w:val="146"/>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perjanjian saling hapus (</w:t>
            </w:r>
            <w:r w:rsidRPr="004C0299">
              <w:rPr>
                <w:rFonts w:ascii="Bookman Old Style" w:eastAsia="Times New Roman" w:hAnsi="Bookman Old Style" w:cs="Arial"/>
                <w:i/>
                <w:sz w:val="20"/>
                <w:szCs w:val="20"/>
              </w:rPr>
              <w:t>netting agreement</w:t>
            </w:r>
            <w:r w:rsidRPr="004C0299">
              <w:rPr>
                <w:rFonts w:ascii="Bookman Old Style" w:eastAsia="Times New Roman" w:hAnsi="Bookman Old Style" w:cs="Arial"/>
                <w:sz w:val="20"/>
                <w:szCs w:val="20"/>
              </w:rPr>
              <w:t>) memuat prosedur untuk melakukan proses saling hapus (</w:t>
            </w:r>
            <w:r w:rsidRPr="004C0299">
              <w:rPr>
                <w:rFonts w:ascii="Bookman Old Style" w:eastAsia="Times New Roman" w:hAnsi="Bookman Old Style" w:cs="Arial"/>
                <w:i/>
                <w:sz w:val="20"/>
                <w:szCs w:val="20"/>
              </w:rPr>
              <w:t>netting</w:t>
            </w:r>
            <w:r w:rsidRPr="004C0299">
              <w:rPr>
                <w:rFonts w:ascii="Bookman Old Style" w:eastAsia="Times New Roman" w:hAnsi="Bookman Old Style" w:cs="Arial"/>
                <w:sz w:val="20"/>
                <w:szCs w:val="20"/>
              </w:rPr>
              <w:t>) sehingga hanya menghasilkan satu kewajiban legal tertentu (</w:t>
            </w:r>
            <w:r w:rsidRPr="004C0299">
              <w:rPr>
                <w:rFonts w:ascii="Bookman Old Style" w:eastAsia="Times New Roman" w:hAnsi="Bookman Old Style" w:cs="Arial"/>
                <w:i/>
                <w:sz w:val="20"/>
                <w:szCs w:val="20"/>
              </w:rPr>
              <w:t>single legal obligation</w:t>
            </w:r>
            <w:r w:rsidRPr="004C0299">
              <w:rPr>
                <w:rFonts w:ascii="Bookman Old Style" w:eastAsia="Times New Roman" w:hAnsi="Bookman Old Style" w:cs="Arial"/>
                <w:sz w:val="20"/>
                <w:szCs w:val="20"/>
              </w:rPr>
              <w:t>) bagi salah satu pihak, yaitu pihak Bank atau pihak lawan (</w:t>
            </w:r>
            <w:r w:rsidRPr="004C0299">
              <w:rPr>
                <w:rFonts w:ascii="Bookman Old Style" w:eastAsia="Times New Roman" w:hAnsi="Bookman Old Style" w:cs="Arial"/>
                <w:i/>
                <w:sz w:val="20"/>
                <w:szCs w:val="20"/>
              </w:rPr>
              <w:t>counterparty</w:t>
            </w:r>
            <w:r w:rsidRPr="004C0299">
              <w:rPr>
                <w:rFonts w:ascii="Bookman Old Style" w:eastAsia="Times New Roman" w:hAnsi="Bookman Old Style" w:cs="Arial"/>
                <w:sz w:val="20"/>
                <w:szCs w:val="20"/>
              </w:rPr>
              <w:t>), dalam hal terjadi gagal bayar (</w:t>
            </w:r>
            <w:r w:rsidRPr="004C0299">
              <w:rPr>
                <w:rFonts w:ascii="Bookman Old Style" w:eastAsia="Times New Roman" w:hAnsi="Bookman Old Style" w:cs="Arial"/>
                <w:i/>
                <w:sz w:val="20"/>
                <w:szCs w:val="20"/>
              </w:rPr>
              <w:t>default</w:t>
            </w:r>
            <w:r w:rsidRPr="004C0299">
              <w:rPr>
                <w:rFonts w:ascii="Bookman Old Style" w:eastAsia="Times New Roman" w:hAnsi="Bookman Old Style" w:cs="Arial"/>
                <w:sz w:val="20"/>
                <w:szCs w:val="20"/>
              </w:rPr>
              <w:t xml:space="preserve">), kepailitan, dan/atau ketidakmampuan memenuhi kewajiban (insolvensi). Besarnya kewajiban legal dimaksud </w:t>
            </w:r>
            <w:r w:rsidRPr="004C0299">
              <w:rPr>
                <w:rFonts w:ascii="Bookman Old Style" w:eastAsia="Times New Roman" w:hAnsi="Bookman Old Style" w:cs="Arial"/>
                <w:sz w:val="20"/>
                <w:szCs w:val="20"/>
              </w:rPr>
              <w:lastRenderedPageBreak/>
              <w:t>didasarkan pada hasil saling hapus (</w:t>
            </w:r>
            <w:r w:rsidRPr="004C0299">
              <w:rPr>
                <w:rFonts w:ascii="Bookman Old Style" w:eastAsia="Times New Roman" w:hAnsi="Bookman Old Style" w:cs="Arial"/>
                <w:i/>
                <w:sz w:val="20"/>
                <w:szCs w:val="20"/>
              </w:rPr>
              <w:t>netting</w:t>
            </w:r>
            <w:r w:rsidRPr="004C0299">
              <w:rPr>
                <w:rFonts w:ascii="Bookman Old Style" w:eastAsia="Times New Roman" w:hAnsi="Bookman Old Style" w:cs="Arial"/>
                <w:sz w:val="20"/>
                <w:szCs w:val="20"/>
              </w:rPr>
              <w:t xml:space="preserve">) atas seluruh nilai positif dan seluruh nilai negatif dari nilai </w:t>
            </w:r>
            <w:r w:rsidRPr="004C0299">
              <w:rPr>
                <w:rFonts w:ascii="Bookman Old Style" w:eastAsia="Times New Roman" w:hAnsi="Bookman Old Style" w:cs="Arial"/>
                <w:i/>
                <w:sz w:val="20"/>
                <w:szCs w:val="20"/>
              </w:rPr>
              <w:t xml:space="preserve">mark to market </w:t>
            </w:r>
            <w:r w:rsidRPr="004C0299">
              <w:rPr>
                <w:rFonts w:ascii="Bookman Old Style" w:eastAsia="Times New Roman" w:hAnsi="Bookman Old Style" w:cs="Arial"/>
                <w:sz w:val="20"/>
                <w:szCs w:val="20"/>
              </w:rPr>
              <w:t>setiap transaksi yang dilengkapi dengan perjanjian saling hapus (</w:t>
            </w:r>
            <w:r w:rsidRPr="004C0299">
              <w:rPr>
                <w:rFonts w:ascii="Bookman Old Style" w:eastAsia="Times New Roman" w:hAnsi="Bookman Old Style" w:cs="Arial"/>
                <w:i/>
                <w:sz w:val="20"/>
                <w:szCs w:val="20"/>
              </w:rPr>
              <w:t>netting contract</w:t>
            </w:r>
            <w:r w:rsidRPr="004C0299">
              <w:rPr>
                <w:rFonts w:ascii="Bookman Old Style" w:eastAsia="Times New Roman" w:hAnsi="Bookman Old Style" w:cs="Arial"/>
                <w:sz w:val="20"/>
                <w:szCs w:val="20"/>
              </w:rPr>
              <w:t>);</w:t>
            </w:r>
          </w:p>
          <w:p w14:paraId="4E196923" w14:textId="77777777" w:rsidR="004C0299" w:rsidRPr="004C0299" w:rsidRDefault="004C0299" w:rsidP="00A32F86">
            <w:pPr>
              <w:pStyle w:val="ListParagraph"/>
              <w:numPr>
                <w:ilvl w:val="0"/>
                <w:numId w:val="146"/>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terdapat opini hukum yang menyatakan bahwa dalam hal terjadi tuntutan hukum maka pengadilan atau lembaga terkait lain akan memutuskan nilai eksposur Bank adalah sebesar nilai hasil proses saling hapus (</w:t>
            </w:r>
            <w:r w:rsidRPr="004C0299">
              <w:rPr>
                <w:rFonts w:ascii="Bookman Old Style" w:eastAsia="Times New Roman" w:hAnsi="Bookman Old Style" w:cs="Arial"/>
                <w:i/>
                <w:sz w:val="20"/>
                <w:szCs w:val="20"/>
              </w:rPr>
              <w:t>netting</w:t>
            </w:r>
            <w:r w:rsidRPr="004C0299">
              <w:rPr>
                <w:rFonts w:ascii="Bookman Old Style" w:eastAsia="Times New Roman" w:hAnsi="Bookman Old Style" w:cs="Arial"/>
                <w:sz w:val="20"/>
                <w:szCs w:val="20"/>
              </w:rPr>
              <w:t>) dan telah sesuai dengan:</w:t>
            </w:r>
          </w:p>
          <w:p w14:paraId="3FE35349" w14:textId="77777777" w:rsidR="004C0299" w:rsidRPr="004C0299" w:rsidRDefault="004C0299" w:rsidP="00A32F86">
            <w:pPr>
              <w:pStyle w:val="ListParagraph"/>
              <w:numPr>
                <w:ilvl w:val="0"/>
                <w:numId w:val="147"/>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hukum dan peraturan yang berlaku di yurisdiksi tempat kedudukan Bank maupun pihak lawan (</w:t>
            </w:r>
            <w:r w:rsidRPr="004C0299">
              <w:rPr>
                <w:rFonts w:ascii="Bookman Old Style" w:eastAsia="Times New Roman" w:hAnsi="Bookman Old Style" w:cs="Arial"/>
                <w:i/>
                <w:sz w:val="20"/>
                <w:szCs w:val="20"/>
              </w:rPr>
              <w:t>counterparty</w:t>
            </w:r>
            <w:r w:rsidRPr="004C0299">
              <w:rPr>
                <w:rFonts w:ascii="Bookman Old Style" w:eastAsia="Times New Roman" w:hAnsi="Bookman Old Style" w:cs="Arial"/>
                <w:sz w:val="20"/>
                <w:szCs w:val="20"/>
              </w:rPr>
              <w:t>);</w:t>
            </w:r>
          </w:p>
          <w:p w14:paraId="0EFEDCC2" w14:textId="77777777" w:rsidR="004C0299" w:rsidRPr="004C0299" w:rsidRDefault="004C0299" w:rsidP="00A32F86">
            <w:pPr>
              <w:pStyle w:val="ListParagraph"/>
              <w:numPr>
                <w:ilvl w:val="0"/>
                <w:numId w:val="147"/>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hukum dan ketentuan peraturan perundang- undangan terkait dengan transaksi; dan</w:t>
            </w:r>
          </w:p>
          <w:p w14:paraId="6267ABA8" w14:textId="77777777" w:rsidR="004C0299" w:rsidRPr="004C0299" w:rsidRDefault="004C0299" w:rsidP="00A32F86">
            <w:pPr>
              <w:pStyle w:val="ListParagraph"/>
              <w:numPr>
                <w:ilvl w:val="0"/>
                <w:numId w:val="147"/>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hukum dan ketentuan peraturan perundang- undangan terkait dengan perikatan atau perjanjian antara Bank dan pihak lawan (</w:t>
            </w:r>
            <w:r w:rsidRPr="004C0299">
              <w:rPr>
                <w:rFonts w:ascii="Bookman Old Style" w:eastAsia="Times New Roman" w:hAnsi="Bookman Old Style" w:cs="Arial"/>
                <w:i/>
                <w:sz w:val="20"/>
                <w:szCs w:val="20"/>
              </w:rPr>
              <w:t>counterparty</w:t>
            </w:r>
            <w:r w:rsidRPr="004C0299">
              <w:rPr>
                <w:rFonts w:ascii="Bookman Old Style" w:eastAsia="Times New Roman" w:hAnsi="Bookman Old Style" w:cs="Arial"/>
                <w:sz w:val="20"/>
                <w:szCs w:val="20"/>
              </w:rPr>
              <w:t>); dan</w:t>
            </w:r>
          </w:p>
          <w:p w14:paraId="3E313A2D" w14:textId="77777777" w:rsidR="004C0299" w:rsidRPr="004C0299" w:rsidRDefault="004C0299" w:rsidP="00A32F86">
            <w:pPr>
              <w:pStyle w:val="ListParagraph"/>
              <w:numPr>
                <w:ilvl w:val="0"/>
                <w:numId w:val="146"/>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tidak terdapat klausula </w:t>
            </w:r>
            <w:r w:rsidRPr="004C0299">
              <w:rPr>
                <w:rFonts w:ascii="Bookman Old Style" w:eastAsia="Times New Roman" w:hAnsi="Bookman Old Style" w:cs="Arial"/>
                <w:i/>
                <w:sz w:val="20"/>
                <w:szCs w:val="20"/>
              </w:rPr>
              <w:t xml:space="preserve">walkaway </w:t>
            </w:r>
            <w:r w:rsidRPr="004C0299">
              <w:rPr>
                <w:rFonts w:ascii="Bookman Old Style" w:eastAsia="Times New Roman" w:hAnsi="Bookman Old Style" w:cs="Arial"/>
                <w:sz w:val="20"/>
                <w:szCs w:val="20"/>
              </w:rPr>
              <w:t xml:space="preserve">yaitu klausula yang menjelaskan bahwa apabila salah satu pihak mengalami gagal bayar </w:t>
            </w:r>
            <w:r w:rsidRPr="004C0299">
              <w:rPr>
                <w:rFonts w:ascii="Bookman Old Style" w:eastAsia="Times New Roman" w:hAnsi="Bookman Old Style" w:cs="Arial"/>
                <w:i/>
                <w:sz w:val="20"/>
                <w:szCs w:val="20"/>
              </w:rPr>
              <w:t>(default</w:t>
            </w:r>
            <w:r w:rsidRPr="004C0299">
              <w:rPr>
                <w:rFonts w:ascii="Bookman Old Style" w:eastAsia="Times New Roman" w:hAnsi="Bookman Old Style" w:cs="Arial"/>
                <w:sz w:val="20"/>
                <w:szCs w:val="20"/>
              </w:rPr>
              <w:t>) maka memungkinkan pihak yang tidak gagal bayar (</w:t>
            </w:r>
            <w:r w:rsidRPr="004C0299">
              <w:rPr>
                <w:rFonts w:ascii="Bookman Old Style" w:eastAsia="Times New Roman" w:hAnsi="Bookman Old Style" w:cs="Arial"/>
                <w:i/>
                <w:sz w:val="20"/>
                <w:szCs w:val="20"/>
              </w:rPr>
              <w:t>non-defaulting party</w:t>
            </w:r>
            <w:r w:rsidRPr="004C0299">
              <w:rPr>
                <w:rFonts w:ascii="Bookman Old Style" w:eastAsia="Times New Roman" w:hAnsi="Bookman Old Style" w:cs="Arial"/>
                <w:sz w:val="20"/>
                <w:szCs w:val="20"/>
              </w:rPr>
              <w:t>):</w:t>
            </w:r>
          </w:p>
          <w:p w14:paraId="0191AAA4" w14:textId="77777777" w:rsidR="004C0299" w:rsidRPr="004C0299" w:rsidRDefault="004C0299" w:rsidP="00A32F86">
            <w:pPr>
              <w:pStyle w:val="ListParagraph"/>
              <w:numPr>
                <w:ilvl w:val="0"/>
                <w:numId w:val="148"/>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hanya membayar sebagian kewajiban; atau</w:t>
            </w:r>
          </w:p>
          <w:p w14:paraId="4C4C0455" w14:textId="77777777" w:rsidR="004C0299" w:rsidRPr="004C0299" w:rsidRDefault="004C0299" w:rsidP="00A32F86">
            <w:pPr>
              <w:pStyle w:val="ListParagraph"/>
              <w:numPr>
                <w:ilvl w:val="0"/>
                <w:numId w:val="148"/>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tidak membayar kewajiban sama sekali,</w:t>
            </w:r>
          </w:p>
          <w:p w14:paraId="1B4F17E9" w14:textId="77777777" w:rsidR="004C0299" w:rsidRPr="004C0299" w:rsidRDefault="004C0299" w:rsidP="004C0299">
            <w:pPr>
              <w:spacing w:after="0" w:line="240" w:lineRule="auto"/>
              <w:ind w:left="2268"/>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dalam hal hasil proses saling hapus (</w:t>
            </w:r>
            <w:r w:rsidRPr="004C0299">
              <w:rPr>
                <w:rFonts w:ascii="Bookman Old Style" w:eastAsia="Times New Roman" w:hAnsi="Bookman Old Style" w:cs="Arial"/>
                <w:i/>
                <w:sz w:val="20"/>
                <w:szCs w:val="20"/>
              </w:rPr>
              <w:t>netting</w:t>
            </w:r>
            <w:r w:rsidRPr="004C0299">
              <w:rPr>
                <w:rFonts w:ascii="Bookman Old Style" w:eastAsia="Times New Roman" w:hAnsi="Bookman Old Style" w:cs="Arial"/>
                <w:sz w:val="20"/>
                <w:szCs w:val="20"/>
              </w:rPr>
              <w:t>) menyebabkan pihak yang tidak gagal bayar (</w:t>
            </w:r>
            <w:r w:rsidRPr="004C0299">
              <w:rPr>
                <w:rFonts w:ascii="Bookman Old Style" w:eastAsia="Times New Roman" w:hAnsi="Bookman Old Style" w:cs="Arial"/>
                <w:i/>
                <w:sz w:val="20"/>
                <w:szCs w:val="20"/>
              </w:rPr>
              <w:t>non-defaulting party</w:t>
            </w:r>
            <w:r w:rsidRPr="004C0299">
              <w:rPr>
                <w:rFonts w:ascii="Bookman Old Style" w:eastAsia="Times New Roman" w:hAnsi="Bookman Old Style" w:cs="Arial"/>
                <w:sz w:val="20"/>
                <w:szCs w:val="20"/>
              </w:rPr>
              <w:t>) memiliki kewajiban (</w:t>
            </w:r>
            <w:r w:rsidRPr="004C0299">
              <w:rPr>
                <w:rFonts w:ascii="Bookman Old Style" w:eastAsia="Times New Roman" w:hAnsi="Bookman Old Style" w:cs="Arial"/>
                <w:i/>
                <w:sz w:val="20"/>
                <w:szCs w:val="20"/>
              </w:rPr>
              <w:t>net-debtor</w:t>
            </w:r>
            <w:r w:rsidRPr="004C0299">
              <w:rPr>
                <w:rFonts w:ascii="Bookman Old Style" w:eastAsia="Times New Roman" w:hAnsi="Bookman Old Style" w:cs="Arial"/>
                <w:sz w:val="20"/>
                <w:szCs w:val="20"/>
              </w:rPr>
              <w:t>) kepada pihak yang mengalami gagal bayar (</w:t>
            </w:r>
            <w:r w:rsidRPr="004C0299">
              <w:rPr>
                <w:rFonts w:ascii="Bookman Old Style" w:eastAsia="Times New Roman" w:hAnsi="Bookman Old Style" w:cs="Arial"/>
                <w:i/>
                <w:sz w:val="20"/>
                <w:szCs w:val="20"/>
              </w:rPr>
              <w:t>default</w:t>
            </w:r>
            <w:r w:rsidRPr="004C0299">
              <w:rPr>
                <w:rFonts w:ascii="Bookman Old Style" w:eastAsia="Times New Roman" w:hAnsi="Bookman Old Style" w:cs="Arial"/>
                <w:sz w:val="20"/>
                <w:szCs w:val="20"/>
              </w:rPr>
              <w:t>).</w:t>
            </w:r>
          </w:p>
          <w:p w14:paraId="6FB53682" w14:textId="4454FB38" w:rsidR="004C0299" w:rsidRPr="004C0299" w:rsidRDefault="004C0299" w:rsidP="00A32F86">
            <w:pPr>
              <w:pStyle w:val="ListParagraph"/>
              <w:numPr>
                <w:ilvl w:val="0"/>
                <w:numId w:val="144"/>
              </w:numPr>
              <w:spacing w:after="0" w:line="240" w:lineRule="auto"/>
              <w:ind w:left="1701" w:hanging="567"/>
              <w:jc w:val="both"/>
              <w:rPr>
                <w:rFonts w:ascii="Bookman Old Style" w:hAnsi="Bookman Old Style" w:cs="Arial"/>
                <w:sz w:val="20"/>
                <w:szCs w:val="20"/>
              </w:rPr>
            </w:pPr>
            <w:r w:rsidRPr="004C0299">
              <w:rPr>
                <w:rFonts w:ascii="Bookman Old Style" w:eastAsia="Times New Roman" w:hAnsi="Bookman Old Style" w:cs="Arial"/>
                <w:sz w:val="20"/>
                <w:szCs w:val="20"/>
              </w:rPr>
              <w:t>Bank harus memiliki prosedur kaji ulang untuk memastikan bahwa novasi (pembaruan utang) atau perjanjian saling hapus (</w:t>
            </w:r>
            <w:r w:rsidRPr="004C0299">
              <w:rPr>
                <w:rFonts w:ascii="Bookman Old Style" w:eastAsia="Times New Roman" w:hAnsi="Bookman Old Style" w:cs="Arial"/>
                <w:i/>
                <w:sz w:val="20"/>
                <w:szCs w:val="20"/>
              </w:rPr>
              <w:t>netting agreement</w:t>
            </w:r>
            <w:r w:rsidRPr="004C0299">
              <w:rPr>
                <w:rFonts w:ascii="Bookman Old Style" w:eastAsia="Times New Roman" w:hAnsi="Bookman Old Style" w:cs="Arial"/>
                <w:sz w:val="20"/>
                <w:szCs w:val="20"/>
              </w:rPr>
              <w:t>) tetap sesuai dengan hukum dan ketentuan peraturan perundang-undangan terutama dalam hal terdapat perubahan terhadap hukum dan ketentuan peraturan peraturan perundang-undangan yang terkait.</w:t>
            </w:r>
          </w:p>
        </w:tc>
        <w:tc>
          <w:tcPr>
            <w:tcW w:w="3686" w:type="dxa"/>
            <w:shd w:val="clear" w:color="auto" w:fill="auto"/>
            <w:vAlign w:val="center"/>
          </w:tcPr>
          <w:p w14:paraId="15F90846"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DBF2067"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5D9AF4C2" w14:textId="77777777" w:rsidTr="004C0299">
        <w:trPr>
          <w:trHeight w:val="564"/>
          <w:tblHeader/>
        </w:trPr>
        <w:tc>
          <w:tcPr>
            <w:tcW w:w="9634" w:type="dxa"/>
            <w:shd w:val="clear" w:color="auto" w:fill="DBDBDB" w:themeFill="accent3" w:themeFillTint="66"/>
            <w:vAlign w:val="center"/>
          </w:tcPr>
          <w:p w14:paraId="7978F051" w14:textId="4CDC94F2" w:rsidR="004C0299" w:rsidRPr="004C0299" w:rsidRDefault="004C0299" w:rsidP="00A32F86">
            <w:pPr>
              <w:pStyle w:val="BodyText"/>
              <w:numPr>
                <w:ilvl w:val="3"/>
                <w:numId w:val="28"/>
              </w:numPr>
              <w:ind w:left="595" w:hanging="567"/>
              <w:rPr>
                <w:rFonts w:ascii="Bookman Old Style" w:hAnsi="Bookman Old Style"/>
                <w:sz w:val="20"/>
                <w:szCs w:val="20"/>
              </w:rPr>
            </w:pPr>
            <w:r w:rsidRPr="004C0299">
              <w:rPr>
                <w:rFonts w:ascii="Bookman Old Style" w:hAnsi="Bookman Old Style"/>
                <w:sz w:val="20"/>
                <w:szCs w:val="20"/>
              </w:rPr>
              <w:t>PENDANAAN STABIL YANG DIPERLUKAN (</w:t>
            </w:r>
            <w:r w:rsidRPr="004C0299">
              <w:rPr>
                <w:rFonts w:ascii="Bookman Old Style" w:hAnsi="Bookman Old Style"/>
                <w:i/>
                <w:sz w:val="20"/>
                <w:szCs w:val="20"/>
              </w:rPr>
              <w:t>REQUIRED STABLE FUNDING</w:t>
            </w:r>
            <w:r w:rsidRPr="004C0299">
              <w:rPr>
                <w:rFonts w:ascii="Bookman Old Style" w:hAnsi="Bookman Old Style"/>
                <w:sz w:val="20"/>
                <w:szCs w:val="20"/>
              </w:rPr>
              <w:t>)</w:t>
            </w:r>
          </w:p>
        </w:tc>
        <w:tc>
          <w:tcPr>
            <w:tcW w:w="3686" w:type="dxa"/>
            <w:shd w:val="clear" w:color="auto" w:fill="DBDBDB" w:themeFill="accent3" w:themeFillTint="66"/>
            <w:vAlign w:val="center"/>
          </w:tcPr>
          <w:p w14:paraId="2FA8568D"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680D3444" w14:textId="77777777" w:rsidR="004C0299" w:rsidRPr="006A283D" w:rsidRDefault="004C0299" w:rsidP="006A283D">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35D7B46D" w14:textId="77777777" w:rsidTr="004C0299">
        <w:trPr>
          <w:trHeight w:val="564"/>
          <w:tblHeader/>
        </w:trPr>
        <w:tc>
          <w:tcPr>
            <w:tcW w:w="9634" w:type="dxa"/>
            <w:shd w:val="clear" w:color="auto" w:fill="FFF2CC" w:themeFill="accent4" w:themeFillTint="33"/>
            <w:vAlign w:val="center"/>
          </w:tcPr>
          <w:p w14:paraId="26D0CECF" w14:textId="5D9F23DF" w:rsidR="004C0299" w:rsidRPr="004C0299" w:rsidRDefault="004C0299" w:rsidP="00A32F86">
            <w:pPr>
              <w:pStyle w:val="BodyText"/>
              <w:numPr>
                <w:ilvl w:val="5"/>
                <w:numId w:val="28"/>
              </w:numPr>
              <w:ind w:left="1134" w:hanging="567"/>
              <w:rPr>
                <w:rFonts w:ascii="Bookman Old Style" w:hAnsi="Bookman Old Style" w:cs="Arial"/>
                <w:sz w:val="20"/>
                <w:szCs w:val="20"/>
              </w:rPr>
            </w:pPr>
            <w:r w:rsidRPr="004C0299">
              <w:rPr>
                <w:rFonts w:ascii="Bookman Old Style" w:hAnsi="Bookman Old Style"/>
                <w:sz w:val="20"/>
                <w:szCs w:val="20"/>
              </w:rPr>
              <w:t>Umum</w:t>
            </w:r>
          </w:p>
        </w:tc>
        <w:tc>
          <w:tcPr>
            <w:tcW w:w="3686" w:type="dxa"/>
            <w:shd w:val="clear" w:color="auto" w:fill="FFF2CC" w:themeFill="accent4" w:themeFillTint="33"/>
            <w:vAlign w:val="center"/>
          </w:tcPr>
          <w:p w14:paraId="339A90ED"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4BB690A4"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013DAD6A" w14:textId="77777777" w:rsidTr="006A283D">
        <w:trPr>
          <w:trHeight w:val="564"/>
          <w:tblHeader/>
        </w:trPr>
        <w:tc>
          <w:tcPr>
            <w:tcW w:w="9634" w:type="dxa"/>
            <w:shd w:val="clear" w:color="auto" w:fill="auto"/>
            <w:vAlign w:val="center"/>
          </w:tcPr>
          <w:p w14:paraId="0496FDE8" w14:textId="77777777" w:rsidR="004C0299" w:rsidRPr="004C0299" w:rsidRDefault="004C0299" w:rsidP="00A32F86">
            <w:pPr>
              <w:pStyle w:val="ListParagraph"/>
              <w:numPr>
                <w:ilvl w:val="0"/>
                <w:numId w:val="149"/>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RSF adalah jumlah aset dan transaksi rekening administratif yang perlu didanai oleh Pendanaan stabil.</w:t>
            </w:r>
          </w:p>
          <w:p w14:paraId="2F9767E0" w14:textId="77777777" w:rsidR="004C0299" w:rsidRPr="004C0299" w:rsidRDefault="004C0299" w:rsidP="00A32F86">
            <w:pPr>
              <w:pStyle w:val="ListParagraph"/>
              <w:numPr>
                <w:ilvl w:val="0"/>
                <w:numId w:val="149"/>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Dalam menentukan nilai RSF, kriteria yang dipertimbangkan untuk mencerminkan tingkat likuiditas suatu aset adalah sebagai berikut:</w:t>
            </w:r>
          </w:p>
          <w:p w14:paraId="5E78D7DC" w14:textId="77777777" w:rsidR="004C0299" w:rsidRPr="004C0299" w:rsidRDefault="004C0299" w:rsidP="00A32F86">
            <w:pPr>
              <w:pStyle w:val="ListParagraph"/>
              <w:numPr>
                <w:ilvl w:val="0"/>
                <w:numId w:val="150"/>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kesinambungan proses intermediasi, yaitu pembiayaan yang dimiliki Bank wajib didanai oleh sumber dana stabil sebesar eksposur pembiayaan;</w:t>
            </w:r>
          </w:p>
          <w:p w14:paraId="5CFE0ACE" w14:textId="77777777" w:rsidR="004C0299" w:rsidRPr="004C0299" w:rsidRDefault="004C0299" w:rsidP="00A32F86">
            <w:pPr>
              <w:pStyle w:val="ListParagraph"/>
              <w:numPr>
                <w:ilvl w:val="0"/>
                <w:numId w:val="150"/>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lastRenderedPageBreak/>
              <w:t>perilaku Bank, yaitu dalam hal suatu aset akan jatuh tempo, Bank diasumsikan akan memperpanjang (</w:t>
            </w:r>
            <w:r w:rsidRPr="004C0299">
              <w:rPr>
                <w:rFonts w:ascii="Bookman Old Style" w:eastAsia="Times New Roman" w:hAnsi="Bookman Old Style" w:cs="Arial"/>
                <w:i/>
                <w:sz w:val="20"/>
                <w:szCs w:val="20"/>
              </w:rPr>
              <w:t>roll- over</w:t>
            </w:r>
            <w:r w:rsidRPr="004C0299">
              <w:rPr>
                <w:rFonts w:ascii="Bookman Old Style" w:eastAsia="Times New Roman" w:hAnsi="Bookman Old Style" w:cs="Arial"/>
                <w:sz w:val="20"/>
                <w:szCs w:val="20"/>
              </w:rPr>
              <w:t>) sebagian besar fasilitas pembiayaan dalam rangka menjaga hubungan bisnis dengan nasabah;</w:t>
            </w:r>
          </w:p>
          <w:p w14:paraId="18F172A8" w14:textId="77777777" w:rsidR="004C0299" w:rsidRPr="004C0299" w:rsidRDefault="004C0299" w:rsidP="00A32F86">
            <w:pPr>
              <w:pStyle w:val="ListParagraph"/>
              <w:numPr>
                <w:ilvl w:val="0"/>
                <w:numId w:val="150"/>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jangka waktu aset, yaitu aset dengan sisa jangka waktu kurang dari 1 (satu) tahun memerlukan jumlah dana stabil yang lebih sedikit karena terdapat kemungkinan bahwa sebagian dari aset tersebut jatuh tempo dan tidak diperpanjang (</w:t>
            </w:r>
            <w:r w:rsidRPr="004C0299">
              <w:rPr>
                <w:rFonts w:ascii="Bookman Old Style" w:eastAsia="Times New Roman" w:hAnsi="Bookman Old Style" w:cs="Arial"/>
                <w:i/>
                <w:sz w:val="20"/>
                <w:szCs w:val="20"/>
              </w:rPr>
              <w:t>roll-over</w:t>
            </w:r>
            <w:r w:rsidRPr="004C0299">
              <w:rPr>
                <w:rFonts w:ascii="Bookman Old Style" w:eastAsia="Times New Roman" w:hAnsi="Bookman Old Style" w:cs="Arial"/>
                <w:sz w:val="20"/>
                <w:szCs w:val="20"/>
              </w:rPr>
              <w:t>); dan/atau</w:t>
            </w:r>
          </w:p>
          <w:p w14:paraId="01C84724" w14:textId="77777777" w:rsidR="004C0299" w:rsidRPr="004C0299" w:rsidRDefault="004C0299" w:rsidP="00A32F86">
            <w:pPr>
              <w:pStyle w:val="ListParagraph"/>
              <w:numPr>
                <w:ilvl w:val="0"/>
                <w:numId w:val="150"/>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kualitas aset dan nilai likuidasi, yaitu aset yang bebas dari segala klaim (</w:t>
            </w:r>
            <w:r w:rsidRPr="004C0299">
              <w:rPr>
                <w:rFonts w:ascii="Bookman Old Style" w:eastAsia="Times New Roman" w:hAnsi="Bookman Old Style" w:cs="Arial"/>
                <w:i/>
                <w:sz w:val="20"/>
                <w:szCs w:val="20"/>
              </w:rPr>
              <w:t>unencumbered</w:t>
            </w:r>
            <w:r w:rsidRPr="004C0299">
              <w:rPr>
                <w:rFonts w:ascii="Bookman Old Style" w:eastAsia="Times New Roman" w:hAnsi="Bookman Old Style" w:cs="Arial"/>
                <w:sz w:val="20"/>
                <w:szCs w:val="20"/>
              </w:rPr>
              <w:t>) dan berkualitas tinggi, yang dapat disekuritisasi atau diperdagangkan sehingga dapat dijaminkan untuk mendapatkan tambahan Pendanaan, tidak harus didanai seluruhnya dari dana stabil.</w:t>
            </w:r>
          </w:p>
          <w:p w14:paraId="7B5DD4B7" w14:textId="77777777" w:rsidR="004C0299" w:rsidRPr="004C0299" w:rsidRDefault="004C0299" w:rsidP="004C0299">
            <w:pPr>
              <w:pStyle w:val="ListParagraph"/>
              <w:spacing w:after="0" w:line="240" w:lineRule="auto"/>
              <w:ind w:left="2268"/>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Seluruh bentuk aset produktif yang memiliki kualitas Kurang Lancar, Diragukan, atau Macet (</w:t>
            </w:r>
            <w:r w:rsidRPr="004C0299">
              <w:rPr>
                <w:rFonts w:ascii="Bookman Old Style" w:eastAsia="Times New Roman" w:hAnsi="Bookman Old Style" w:cs="Arial"/>
                <w:i/>
                <w:sz w:val="20"/>
                <w:szCs w:val="20"/>
              </w:rPr>
              <w:t>Non-Performing Loan</w:t>
            </w:r>
            <w:r w:rsidRPr="004C0299">
              <w:rPr>
                <w:rFonts w:ascii="Bookman Old Style" w:eastAsia="Times New Roman" w:hAnsi="Bookman Old Style" w:cs="Arial"/>
                <w:sz w:val="20"/>
                <w:szCs w:val="20"/>
              </w:rPr>
              <w:t>) mendapat faktor RSF tertinggi, yaitu 100% (seratus persen).</w:t>
            </w:r>
          </w:p>
          <w:p w14:paraId="59B669DE" w14:textId="77777777" w:rsidR="004C0299" w:rsidRPr="004C0299" w:rsidRDefault="004C0299" w:rsidP="00A32F86">
            <w:pPr>
              <w:pStyle w:val="ListParagraph"/>
              <w:numPr>
                <w:ilvl w:val="0"/>
                <w:numId w:val="149"/>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Dalam rangka menghitung nilai RSF, instrumen yang juga diperhitungkan adalah:</w:t>
            </w:r>
          </w:p>
          <w:p w14:paraId="46083E18" w14:textId="77777777" w:rsidR="004C0299" w:rsidRPr="004C0299" w:rsidRDefault="004C0299" w:rsidP="00A32F86">
            <w:pPr>
              <w:pStyle w:val="ListParagraph"/>
              <w:numPr>
                <w:ilvl w:val="0"/>
                <w:numId w:val="151"/>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dalam hal pesanan pembelian (</w:t>
            </w:r>
            <w:r w:rsidRPr="004C0299">
              <w:rPr>
                <w:rFonts w:ascii="Bookman Old Style" w:eastAsia="Times New Roman" w:hAnsi="Bookman Old Style" w:cs="Arial"/>
                <w:i/>
                <w:sz w:val="20"/>
                <w:szCs w:val="20"/>
              </w:rPr>
              <w:t>purchase order</w:t>
            </w:r>
            <w:r w:rsidRPr="004C0299">
              <w:rPr>
                <w:rFonts w:ascii="Bookman Old Style" w:eastAsia="Times New Roman" w:hAnsi="Bookman Old Style" w:cs="Arial"/>
                <w:sz w:val="20"/>
                <w:szCs w:val="20"/>
              </w:rPr>
              <w:t>) telah dieksekusi, aset keuangan, mata uang asing, atau komoditas yang timbul dari transaksi pembelian dimasukkan dalam perhitungan nilai RSF; dan</w:t>
            </w:r>
          </w:p>
          <w:p w14:paraId="4542ED65" w14:textId="77777777" w:rsidR="004C0299" w:rsidRPr="004C0299" w:rsidRDefault="004C0299" w:rsidP="00A32F86">
            <w:pPr>
              <w:pStyle w:val="ListParagraph"/>
              <w:numPr>
                <w:ilvl w:val="0"/>
                <w:numId w:val="151"/>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dalam hal pesanan penjualan (</w:t>
            </w:r>
            <w:r w:rsidRPr="004C0299">
              <w:rPr>
                <w:rFonts w:ascii="Bookman Old Style" w:eastAsia="Times New Roman" w:hAnsi="Bookman Old Style" w:cs="Arial"/>
                <w:i/>
                <w:sz w:val="20"/>
                <w:szCs w:val="20"/>
              </w:rPr>
              <w:t>sales order</w:t>
            </w:r>
            <w:r w:rsidRPr="004C0299">
              <w:rPr>
                <w:rFonts w:ascii="Bookman Old Style" w:eastAsia="Times New Roman" w:hAnsi="Bookman Old Style" w:cs="Arial"/>
                <w:sz w:val="20"/>
                <w:szCs w:val="20"/>
              </w:rPr>
              <w:t>) telah dieksekusi, aset keuangan, mata uang asing, atau komoditas yang dijual harus dikeluarkan dari perhitungan nilai RSF meskipun aset tersebut masih tercatat pada neraca karena penerapan metode akuntansi yang digunakan adalah berdasarkan tanggal penyelesaian (</w:t>
            </w:r>
            <w:r w:rsidRPr="004C0299">
              <w:rPr>
                <w:rFonts w:ascii="Bookman Old Style" w:eastAsia="Times New Roman" w:hAnsi="Bookman Old Style" w:cs="Arial"/>
                <w:i/>
                <w:sz w:val="20"/>
                <w:szCs w:val="20"/>
              </w:rPr>
              <w:t>settlement date</w:t>
            </w:r>
            <w:r w:rsidRPr="004C0299">
              <w:rPr>
                <w:rFonts w:ascii="Bookman Old Style" w:eastAsia="Times New Roman" w:hAnsi="Bookman Old Style" w:cs="Arial"/>
                <w:sz w:val="20"/>
                <w:szCs w:val="20"/>
              </w:rPr>
              <w:t>), sepanjang memenuhi persyaratan:</w:t>
            </w:r>
          </w:p>
          <w:p w14:paraId="54102C93" w14:textId="77777777" w:rsidR="004C0299" w:rsidRPr="004C0299" w:rsidRDefault="004C0299" w:rsidP="00A32F86">
            <w:pPr>
              <w:pStyle w:val="ListParagraph"/>
              <w:numPr>
                <w:ilvl w:val="0"/>
                <w:numId w:val="152"/>
              </w:numPr>
              <w:spacing w:after="0" w:line="240" w:lineRule="auto"/>
              <w:ind w:left="2835"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 xml:space="preserve">transaksi dimaksud tidak termasuk dalam transaksi </w:t>
            </w:r>
            <w:r w:rsidRPr="004C0299">
              <w:rPr>
                <w:rFonts w:ascii="Bookman Old Style" w:eastAsia="Times New Roman" w:hAnsi="Bookman Old Style" w:cs="Arial"/>
                <w:i/>
                <w:sz w:val="20"/>
                <w:szCs w:val="20"/>
                <w:lang w:val="en-US"/>
              </w:rPr>
              <w:t xml:space="preserve">hedging </w:t>
            </w:r>
            <w:r w:rsidRPr="004C0299">
              <w:rPr>
                <w:rFonts w:ascii="Bookman Old Style" w:eastAsia="Times New Roman" w:hAnsi="Bookman Old Style" w:cs="Arial"/>
                <w:sz w:val="20"/>
                <w:szCs w:val="20"/>
                <w:lang w:val="en-US"/>
              </w:rPr>
              <w:t>syariah</w:t>
            </w:r>
            <w:r w:rsidRPr="004C0299">
              <w:rPr>
                <w:rFonts w:ascii="Bookman Old Style" w:eastAsia="Times New Roman" w:hAnsi="Bookman Old Style" w:cs="Arial"/>
                <w:sz w:val="20"/>
                <w:szCs w:val="20"/>
              </w:rPr>
              <w:t xml:space="preserve"> atau </w:t>
            </w:r>
            <w:r w:rsidRPr="004C0299">
              <w:rPr>
                <w:rFonts w:ascii="Bookman Old Style" w:eastAsia="Times New Roman" w:hAnsi="Bookman Old Style" w:cs="Arial"/>
                <w:i/>
                <w:sz w:val="20"/>
                <w:szCs w:val="20"/>
              </w:rPr>
              <w:t xml:space="preserve">secured financing transactions </w:t>
            </w:r>
            <w:r w:rsidRPr="004C0299">
              <w:rPr>
                <w:rFonts w:ascii="Bookman Old Style" w:eastAsia="Times New Roman" w:hAnsi="Bookman Old Style" w:cs="Arial"/>
                <w:sz w:val="20"/>
                <w:szCs w:val="20"/>
              </w:rPr>
              <w:t>dalam laporan posisi keuangan Bank; dan</w:t>
            </w:r>
          </w:p>
          <w:p w14:paraId="32270BC6" w14:textId="54DD97AA" w:rsidR="004C0299" w:rsidRPr="004C0299" w:rsidRDefault="004C0299" w:rsidP="00A32F86">
            <w:pPr>
              <w:pStyle w:val="ListParagraph"/>
              <w:numPr>
                <w:ilvl w:val="0"/>
                <w:numId w:val="152"/>
              </w:numPr>
              <w:spacing w:after="0" w:line="240" w:lineRule="auto"/>
              <w:ind w:left="2835" w:hanging="567"/>
              <w:jc w:val="both"/>
              <w:rPr>
                <w:rFonts w:ascii="Bookman Old Style" w:eastAsia="Times New Roman" w:hAnsi="Bookman Old Style" w:cs="Arial"/>
                <w:sz w:val="20"/>
                <w:szCs w:val="20"/>
              </w:rPr>
            </w:pPr>
            <w:r w:rsidRPr="004C0299">
              <w:rPr>
                <w:rFonts w:ascii="Bookman Old Style" w:hAnsi="Bookman Old Style" w:cs="Arial"/>
                <w:sz w:val="20"/>
                <w:szCs w:val="20"/>
              </w:rPr>
              <w:t>transaksi dimaksud akan tercatat pada laporan posisi keuangan Bank pada saat telah dilunasi (</w:t>
            </w:r>
            <w:r w:rsidRPr="004C0299">
              <w:rPr>
                <w:rFonts w:ascii="Bookman Old Style" w:hAnsi="Bookman Old Style" w:cs="Arial"/>
                <w:i/>
                <w:sz w:val="20"/>
                <w:szCs w:val="20"/>
              </w:rPr>
              <w:t>settled</w:t>
            </w:r>
            <w:r w:rsidRPr="004C0299">
              <w:rPr>
                <w:rFonts w:ascii="Bookman Old Style" w:hAnsi="Bookman Old Style" w:cs="Arial"/>
                <w:sz w:val="20"/>
                <w:szCs w:val="20"/>
              </w:rPr>
              <w:t>).</w:t>
            </w:r>
          </w:p>
        </w:tc>
        <w:tc>
          <w:tcPr>
            <w:tcW w:w="3686" w:type="dxa"/>
            <w:shd w:val="clear" w:color="auto" w:fill="auto"/>
            <w:vAlign w:val="center"/>
          </w:tcPr>
          <w:p w14:paraId="1EFB884B"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2A86529"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31B27953" w14:textId="77777777" w:rsidTr="004C0299">
        <w:trPr>
          <w:trHeight w:val="564"/>
          <w:tblHeader/>
        </w:trPr>
        <w:tc>
          <w:tcPr>
            <w:tcW w:w="9634" w:type="dxa"/>
            <w:shd w:val="clear" w:color="auto" w:fill="FFF2CC" w:themeFill="accent4" w:themeFillTint="33"/>
            <w:vAlign w:val="center"/>
          </w:tcPr>
          <w:p w14:paraId="16CCBD70" w14:textId="59F4371D" w:rsidR="004C0299" w:rsidRPr="004C0299" w:rsidRDefault="004C0299" w:rsidP="00A32F86">
            <w:pPr>
              <w:pStyle w:val="BodyText"/>
              <w:numPr>
                <w:ilvl w:val="5"/>
                <w:numId w:val="28"/>
              </w:numPr>
              <w:ind w:left="1134" w:hanging="567"/>
              <w:rPr>
                <w:rFonts w:ascii="Bookman Old Style" w:hAnsi="Bookman Old Style" w:cs="Arial"/>
                <w:sz w:val="20"/>
                <w:szCs w:val="20"/>
              </w:rPr>
            </w:pPr>
            <w:r w:rsidRPr="004C0299">
              <w:rPr>
                <w:rFonts w:ascii="Bookman Old Style" w:hAnsi="Bookman Old Style"/>
                <w:sz w:val="20"/>
                <w:szCs w:val="20"/>
              </w:rPr>
              <w:t>Perhitungan Nilai Pendanaan Stabil yang Diperlukan (</w:t>
            </w:r>
            <w:r w:rsidRPr="004C0299">
              <w:rPr>
                <w:rFonts w:ascii="Bookman Old Style" w:hAnsi="Bookman Old Style"/>
                <w:i/>
                <w:sz w:val="20"/>
                <w:szCs w:val="20"/>
              </w:rPr>
              <w:t>Required Stable Funding</w:t>
            </w:r>
            <w:r w:rsidRPr="004C0299">
              <w:rPr>
                <w:rFonts w:ascii="Bookman Old Style" w:hAnsi="Bookman Old Style"/>
                <w:sz w:val="20"/>
                <w:szCs w:val="20"/>
              </w:rPr>
              <w:t>)</w:t>
            </w:r>
          </w:p>
        </w:tc>
        <w:tc>
          <w:tcPr>
            <w:tcW w:w="3686" w:type="dxa"/>
            <w:shd w:val="clear" w:color="auto" w:fill="FFF2CC" w:themeFill="accent4" w:themeFillTint="33"/>
            <w:vAlign w:val="center"/>
          </w:tcPr>
          <w:p w14:paraId="478C2FCE"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6812BB90"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09D6D5B2" w14:textId="77777777" w:rsidTr="006A283D">
        <w:trPr>
          <w:trHeight w:val="564"/>
          <w:tblHeader/>
        </w:trPr>
        <w:tc>
          <w:tcPr>
            <w:tcW w:w="9634" w:type="dxa"/>
            <w:shd w:val="clear" w:color="auto" w:fill="auto"/>
            <w:vAlign w:val="center"/>
          </w:tcPr>
          <w:p w14:paraId="2B847CB0" w14:textId="77777777" w:rsidR="004C0299" w:rsidRPr="004C0299" w:rsidRDefault="004C0299" w:rsidP="00A32F86">
            <w:pPr>
              <w:pStyle w:val="ListParagraph"/>
              <w:numPr>
                <w:ilvl w:val="0"/>
                <w:numId w:val="153"/>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Perhitungan nilai RSF dalam rangka perhitungan NSFR merupakan penjumlahan dari:</w:t>
            </w:r>
          </w:p>
          <w:p w14:paraId="14B04076" w14:textId="77777777" w:rsidR="004C0299" w:rsidRPr="004C0299" w:rsidRDefault="004C0299" w:rsidP="00A32F86">
            <w:pPr>
              <w:pStyle w:val="ListParagraph"/>
              <w:numPr>
                <w:ilvl w:val="0"/>
                <w:numId w:val="154"/>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seluruh hasil perkalian antara seluruh nilai tercatat (</w:t>
            </w:r>
            <w:r w:rsidRPr="004C0299">
              <w:rPr>
                <w:rFonts w:ascii="Bookman Old Style" w:eastAsia="Times New Roman" w:hAnsi="Bookman Old Style" w:cs="Arial"/>
                <w:i/>
                <w:sz w:val="20"/>
                <w:szCs w:val="20"/>
              </w:rPr>
              <w:t>carrying value</w:t>
            </w:r>
            <w:r w:rsidRPr="004C0299">
              <w:rPr>
                <w:rFonts w:ascii="Bookman Old Style" w:eastAsia="Times New Roman" w:hAnsi="Bookman Old Style" w:cs="Arial"/>
                <w:sz w:val="20"/>
                <w:szCs w:val="20"/>
              </w:rPr>
              <w:t>) aset dan faktor RSF; dan</w:t>
            </w:r>
          </w:p>
          <w:p w14:paraId="48A59E26" w14:textId="77777777" w:rsidR="004C0299" w:rsidRPr="004C0299" w:rsidRDefault="004C0299" w:rsidP="00A32F86">
            <w:pPr>
              <w:pStyle w:val="ListParagraph"/>
              <w:numPr>
                <w:ilvl w:val="0"/>
                <w:numId w:val="154"/>
              </w:numPr>
              <w:spacing w:after="0" w:line="240" w:lineRule="auto"/>
              <w:ind w:left="2268"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seluruh hasil perkalian antara seluruh nilai komitmen pada rekening administratif dan faktor RSF.</w:t>
            </w:r>
          </w:p>
          <w:p w14:paraId="14B0E2E3" w14:textId="77777777" w:rsidR="004C0299" w:rsidRPr="004C0299" w:rsidRDefault="004C0299" w:rsidP="00A32F86">
            <w:pPr>
              <w:pStyle w:val="ListParagraph"/>
              <w:numPr>
                <w:ilvl w:val="0"/>
                <w:numId w:val="153"/>
              </w:numPr>
              <w:spacing w:after="0" w:line="240" w:lineRule="auto"/>
              <w:ind w:left="1701" w:hanging="567"/>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lastRenderedPageBreak/>
              <w:t>Nilai tercatat (</w:t>
            </w:r>
            <w:r w:rsidRPr="004C0299">
              <w:rPr>
                <w:rFonts w:ascii="Bookman Old Style" w:eastAsia="Times New Roman" w:hAnsi="Bookman Old Style" w:cs="Arial"/>
                <w:i/>
                <w:sz w:val="20"/>
                <w:szCs w:val="20"/>
              </w:rPr>
              <w:t>carrying value</w:t>
            </w:r>
            <w:r w:rsidRPr="004C0299">
              <w:rPr>
                <w:rFonts w:ascii="Bookman Old Style" w:eastAsia="Times New Roman" w:hAnsi="Bookman Old Style" w:cs="Arial"/>
                <w:sz w:val="20"/>
                <w:szCs w:val="20"/>
              </w:rPr>
              <w:t>) aset sebagaimana dimaksud dalam butir 1.a adalah nilai tercatat aset setelah dikurangi dengan Cadangan Kerugian Penurunan Nilai (CKPN) atas aset yang dihitung sesuai standar akuntansi keuangan.</w:t>
            </w:r>
          </w:p>
          <w:p w14:paraId="60FCD217" w14:textId="77777777" w:rsidR="004C0299" w:rsidRPr="004C0299" w:rsidRDefault="004C0299" w:rsidP="004C0299">
            <w:pPr>
              <w:pStyle w:val="ListParagraph"/>
              <w:spacing w:after="0" w:line="240" w:lineRule="auto"/>
              <w:ind w:left="1701"/>
              <w:jc w:val="both"/>
              <w:rPr>
                <w:rFonts w:ascii="Bookman Old Style" w:eastAsia="Times New Roman" w:hAnsi="Bookman Old Style" w:cs="Arial"/>
                <w:sz w:val="20"/>
                <w:szCs w:val="20"/>
              </w:rPr>
            </w:pPr>
            <w:r w:rsidRPr="004C0299">
              <w:rPr>
                <w:rFonts w:ascii="Bookman Old Style" w:eastAsia="Times New Roman" w:hAnsi="Bookman Old Style" w:cs="Arial"/>
                <w:sz w:val="20"/>
                <w:szCs w:val="20"/>
              </w:rPr>
              <w:t>Khusus untuk aset yang penurunan nilai atas aset tersebut dihitung secara kolektif, yang diperhitungkan adalah CKPN atas aset yang telah teridentifikasi mengalami penurunan nilai secara individu.</w:t>
            </w:r>
          </w:p>
          <w:p w14:paraId="13095F48" w14:textId="5E149BF6" w:rsidR="004C0299" w:rsidRPr="004C0299" w:rsidRDefault="004C0299" w:rsidP="00A32F86">
            <w:pPr>
              <w:pStyle w:val="ListParagraph"/>
              <w:numPr>
                <w:ilvl w:val="0"/>
                <w:numId w:val="153"/>
              </w:numPr>
              <w:spacing w:after="0" w:line="240" w:lineRule="auto"/>
              <w:ind w:left="1701" w:hanging="567"/>
              <w:jc w:val="both"/>
              <w:rPr>
                <w:rFonts w:ascii="Bookman Old Style" w:hAnsi="Bookman Old Style" w:cs="Arial"/>
                <w:sz w:val="20"/>
                <w:szCs w:val="20"/>
              </w:rPr>
            </w:pPr>
            <w:r w:rsidRPr="004C0299">
              <w:rPr>
                <w:rFonts w:ascii="Bookman Old Style" w:eastAsia="Times New Roman" w:hAnsi="Bookman Old Style" w:cs="Arial"/>
                <w:sz w:val="20"/>
                <w:szCs w:val="20"/>
              </w:rPr>
              <w:t>Bank memastikan bahwa jumlah seluruh nilai tercatat (</w:t>
            </w:r>
            <w:r w:rsidRPr="004C0299">
              <w:rPr>
                <w:rFonts w:ascii="Bookman Old Style" w:eastAsia="Times New Roman" w:hAnsi="Bookman Old Style" w:cs="Arial"/>
                <w:i/>
                <w:sz w:val="20"/>
                <w:szCs w:val="20"/>
              </w:rPr>
              <w:t>carrying value</w:t>
            </w:r>
            <w:r w:rsidRPr="004C0299">
              <w:rPr>
                <w:rFonts w:ascii="Bookman Old Style" w:eastAsia="Times New Roman" w:hAnsi="Bookman Old Style" w:cs="Arial"/>
                <w:sz w:val="20"/>
                <w:szCs w:val="20"/>
              </w:rPr>
              <w:t xml:space="preserve">) aset dan transaksi rekening administratif sebelum mendapatkan faktor RSF yang dilaporkan pada Laporan NSFR sama dengan jumlah yang dilaporkan pada laporan neraca per kantor dan laporan rekening administratif pada </w:t>
            </w:r>
            <w:r w:rsidRPr="004C0299">
              <w:rPr>
                <w:rFonts w:ascii="Bookman Old Style" w:eastAsia="Times New Roman" w:hAnsi="Bookman Old Style" w:cs="Arial"/>
                <w:sz w:val="20"/>
                <w:szCs w:val="20"/>
                <w:lang w:val="en-US"/>
              </w:rPr>
              <w:t xml:space="preserve">Laporan Bank Umum Terintegrasi </w:t>
            </w:r>
            <w:r w:rsidRPr="004C0299">
              <w:rPr>
                <w:rFonts w:ascii="Bookman Old Style" w:eastAsia="Times New Roman" w:hAnsi="Bookman Old Style" w:cs="Arial"/>
                <w:sz w:val="20"/>
                <w:szCs w:val="20"/>
              </w:rPr>
              <w:t>(LBU</w:t>
            </w:r>
            <w:r w:rsidRPr="004C0299">
              <w:rPr>
                <w:rFonts w:ascii="Bookman Old Style" w:eastAsia="Times New Roman" w:hAnsi="Bookman Old Style" w:cs="Arial"/>
                <w:sz w:val="20"/>
                <w:szCs w:val="20"/>
                <w:lang w:val="en-US"/>
              </w:rPr>
              <w:t>T</w:t>
            </w:r>
            <w:r w:rsidRPr="004C0299">
              <w:rPr>
                <w:rFonts w:ascii="Bookman Old Style" w:eastAsia="Times New Roman" w:hAnsi="Bookman Old Style" w:cs="Arial"/>
                <w:sz w:val="20"/>
                <w:szCs w:val="20"/>
              </w:rPr>
              <w:t>). Untuk menjaga keakuratan, Bank dapat mengidentifikasi dan menjelaskan selisih yang terjadi.</w:t>
            </w:r>
          </w:p>
        </w:tc>
        <w:tc>
          <w:tcPr>
            <w:tcW w:w="3686" w:type="dxa"/>
            <w:shd w:val="clear" w:color="auto" w:fill="auto"/>
            <w:vAlign w:val="center"/>
          </w:tcPr>
          <w:p w14:paraId="69991AEE"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31AB0B22"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299F00A5" w14:textId="77777777" w:rsidTr="004C0299">
        <w:trPr>
          <w:trHeight w:val="564"/>
          <w:tblHeader/>
        </w:trPr>
        <w:tc>
          <w:tcPr>
            <w:tcW w:w="9634" w:type="dxa"/>
            <w:shd w:val="clear" w:color="auto" w:fill="FFF2CC" w:themeFill="accent4" w:themeFillTint="33"/>
            <w:vAlign w:val="center"/>
          </w:tcPr>
          <w:p w14:paraId="220E8AB6" w14:textId="769C7446" w:rsidR="004C0299" w:rsidRPr="004C0299" w:rsidRDefault="004C0299" w:rsidP="00A32F86">
            <w:pPr>
              <w:pStyle w:val="BodyText"/>
              <w:numPr>
                <w:ilvl w:val="5"/>
                <w:numId w:val="28"/>
              </w:numPr>
              <w:ind w:left="1134" w:hanging="567"/>
              <w:rPr>
                <w:rFonts w:ascii="Bookman Old Style" w:hAnsi="Bookman Old Style" w:cs="Arial"/>
                <w:sz w:val="20"/>
                <w:szCs w:val="20"/>
              </w:rPr>
            </w:pPr>
            <w:r w:rsidRPr="004C0299">
              <w:rPr>
                <w:rFonts w:ascii="Bookman Old Style" w:hAnsi="Bookman Old Style"/>
                <w:sz w:val="20"/>
                <w:szCs w:val="20"/>
              </w:rPr>
              <w:t>Penentuan Jangka Waktu Aset</w:t>
            </w:r>
          </w:p>
        </w:tc>
        <w:tc>
          <w:tcPr>
            <w:tcW w:w="3686" w:type="dxa"/>
            <w:shd w:val="clear" w:color="auto" w:fill="FFF2CC" w:themeFill="accent4" w:themeFillTint="33"/>
            <w:vAlign w:val="center"/>
          </w:tcPr>
          <w:p w14:paraId="22EC2436"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5835F904"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410EE8B8" w14:textId="77777777" w:rsidTr="006A283D">
        <w:trPr>
          <w:trHeight w:val="564"/>
          <w:tblHeader/>
        </w:trPr>
        <w:tc>
          <w:tcPr>
            <w:tcW w:w="9634" w:type="dxa"/>
            <w:shd w:val="clear" w:color="auto" w:fill="auto"/>
            <w:vAlign w:val="center"/>
          </w:tcPr>
          <w:p w14:paraId="4B5B5F5F" w14:textId="77777777" w:rsidR="004C0299" w:rsidRPr="007B5B78" w:rsidRDefault="004C0299" w:rsidP="00A32F86">
            <w:pPr>
              <w:pStyle w:val="ListParagraph"/>
              <w:numPr>
                <w:ilvl w:val="0"/>
                <w:numId w:val="155"/>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rangka perhitungan nilai RSF, Bank perlu untuk menentukan jangka waktu aset. Penentuan jangka waktu aset secara umum adalah berdasarkan sisa jangka waktu kontraktual dan mempertimbangkan kondisi yang dapat mempengaruhi jatuh tempo aktual, sebagai berikut:</w:t>
            </w:r>
          </w:p>
          <w:p w14:paraId="0B669682" w14:textId="77777777" w:rsidR="004C0299" w:rsidRPr="007B5B78" w:rsidRDefault="004C0299" w:rsidP="00A32F86">
            <w:pPr>
              <w:pStyle w:val="ListParagraph"/>
              <w:numPr>
                <w:ilvl w:val="0"/>
                <w:numId w:val="156"/>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Opsi perpanjangan jangka waktu yang dimiliki debitur diasumsikan akan dieksekusi.</w:t>
            </w:r>
          </w:p>
          <w:p w14:paraId="79A8A847" w14:textId="77777777" w:rsidR="004C0299" w:rsidRPr="007B5B78" w:rsidRDefault="004C0299" w:rsidP="007B5B78">
            <w:pPr>
              <w:pStyle w:val="ListParagraph"/>
              <w:spacing w:after="0" w:line="240" w:lineRule="auto"/>
              <w:ind w:left="2301" w:hanging="33"/>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Contoh:</w:t>
            </w:r>
          </w:p>
          <w:p w14:paraId="564CAEB1" w14:textId="303F2F39" w:rsidR="004C0299" w:rsidRPr="007B5B78" w:rsidRDefault="004C0299" w:rsidP="007B5B78">
            <w:pPr>
              <w:pStyle w:val="ListParagraph"/>
              <w:spacing w:after="0" w:line="240" w:lineRule="auto"/>
              <w:ind w:left="2301" w:hanging="33"/>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berupa pembiayaan dengan fitur</w:t>
            </w:r>
            <w:r w:rsidRPr="007B5B78">
              <w:rPr>
                <w:rFonts w:ascii="Bookman Old Style" w:eastAsia="Times New Roman" w:hAnsi="Bookman Old Style" w:cs="Arial"/>
                <w:sz w:val="20"/>
                <w:szCs w:val="20"/>
                <w:lang w:val="en-US"/>
              </w:rPr>
              <w:t xml:space="preserve"> imbal hasil/</w:t>
            </w:r>
            <w:r w:rsidRPr="007B5B78">
              <w:rPr>
                <w:rFonts w:ascii="Bookman Old Style" w:eastAsia="Times New Roman" w:hAnsi="Bookman Old Style" w:cs="Arial"/>
                <w:sz w:val="20"/>
                <w:szCs w:val="20"/>
              </w:rPr>
              <w:t>suku bunga mengambang (</w:t>
            </w:r>
            <w:r w:rsidRPr="007B5B78">
              <w:rPr>
                <w:rFonts w:ascii="Bookman Old Style" w:eastAsia="Times New Roman" w:hAnsi="Bookman Old Style" w:cs="Arial"/>
                <w:i/>
                <w:sz w:val="20"/>
                <w:szCs w:val="20"/>
              </w:rPr>
              <w:t>floating rate</w:t>
            </w:r>
            <w:r w:rsidRPr="007B5B78">
              <w:rPr>
                <w:rFonts w:ascii="Bookman Old Style" w:eastAsia="Times New Roman" w:hAnsi="Bookman Old Style" w:cs="Arial"/>
                <w:sz w:val="20"/>
                <w:szCs w:val="20"/>
              </w:rPr>
              <w:t>) yang 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 xml:space="preserve">) dan tidak memiliki jangka waktu akhir. Meskipun </w:t>
            </w:r>
            <w:r w:rsidRPr="007B5B78">
              <w:rPr>
                <w:rFonts w:ascii="Bookman Old Style" w:eastAsia="Times New Roman" w:hAnsi="Bookman Old Style" w:cs="Arial"/>
                <w:sz w:val="20"/>
                <w:szCs w:val="20"/>
                <w:lang w:val="en-US"/>
              </w:rPr>
              <w:t xml:space="preserve">nasabah </w:t>
            </w:r>
            <w:r w:rsidRPr="007B5B78">
              <w:rPr>
                <w:rFonts w:ascii="Bookman Old Style" w:eastAsia="Times New Roman" w:hAnsi="Bookman Old Style" w:cs="Arial"/>
                <w:sz w:val="20"/>
                <w:szCs w:val="20"/>
              </w:rPr>
              <w:t>dapat meminta pelunasan pada saat tanggal penyesuaian</w:t>
            </w:r>
            <w:r w:rsidRPr="007B5B78">
              <w:rPr>
                <w:rFonts w:ascii="Bookman Old Style" w:eastAsia="Times New Roman" w:hAnsi="Bookman Old Style" w:cs="Arial"/>
                <w:sz w:val="20"/>
                <w:szCs w:val="20"/>
                <w:lang w:val="en-US"/>
              </w:rPr>
              <w:t xml:space="preserve"> imbal hasil</w:t>
            </w:r>
            <w:r w:rsidRPr="007B5B78">
              <w:rPr>
                <w:rFonts w:ascii="Bookman Old Style" w:eastAsia="Times New Roman" w:hAnsi="Bookman Old Style" w:cs="Arial"/>
                <w:sz w:val="20"/>
                <w:szCs w:val="20"/>
              </w:rPr>
              <w:t xml:space="preserve"> tanpa terkena penalti namun tetap diasumsikan bahwa </w:t>
            </w:r>
            <w:r w:rsidRPr="007B5B78">
              <w:rPr>
                <w:rFonts w:ascii="Bookman Old Style" w:eastAsia="Times New Roman" w:hAnsi="Bookman Old Style" w:cs="Arial"/>
                <w:sz w:val="20"/>
                <w:szCs w:val="20"/>
                <w:lang w:val="en-US"/>
              </w:rPr>
              <w:t>nasabah</w:t>
            </w:r>
            <w:r w:rsidRPr="007B5B78">
              <w:rPr>
                <w:rFonts w:ascii="Bookman Old Style" w:eastAsia="Times New Roman" w:hAnsi="Bookman Old Style" w:cs="Arial"/>
                <w:sz w:val="20"/>
                <w:szCs w:val="20"/>
              </w:rPr>
              <w:t xml:space="preserve"> akan memperpanjang jangka waktu. Dengan demikian, aset tersebut dianggap memiliki sisa jangka waktu efektif lebih dari satu tahun.</w:t>
            </w:r>
          </w:p>
          <w:p w14:paraId="56D6A2BA" w14:textId="77777777" w:rsidR="004C0299" w:rsidRPr="007B5B78" w:rsidRDefault="004C0299" w:rsidP="00A32F86">
            <w:pPr>
              <w:pStyle w:val="ListParagraph"/>
              <w:numPr>
                <w:ilvl w:val="0"/>
                <w:numId w:val="156"/>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hal Bank memiliki diskresi untuk mengeksekusi opsi atas aset yang dimiliki, Bank mempertimbangkan faktor reputasi yang dapat membatasi kemampuan Bank untuk melakukan atau tidak melakukan eksekusi atas opsi.</w:t>
            </w:r>
          </w:p>
          <w:p w14:paraId="032D9F07" w14:textId="77777777" w:rsidR="004C0299" w:rsidRPr="007B5B78" w:rsidRDefault="004C0299" w:rsidP="00A32F86">
            <w:pPr>
              <w:pStyle w:val="ListParagraph"/>
              <w:numPr>
                <w:ilvl w:val="0"/>
                <w:numId w:val="155"/>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Pertimbangan faktor reputasi antara lain ketika Bank dianggap akan menghadapi risiko likuiditas terkait Pendanaan dalam hal Bank tidak mengeksekusi opsi atas aset yang dimiliki, antara lain sebagai berikut:</w:t>
            </w:r>
          </w:p>
          <w:p w14:paraId="083A80C6" w14:textId="77777777" w:rsidR="004C0299" w:rsidRPr="007B5B78" w:rsidRDefault="004C0299" w:rsidP="00A32F86">
            <w:pPr>
              <w:pStyle w:val="ListParagraph"/>
              <w:numPr>
                <w:ilvl w:val="0"/>
                <w:numId w:val="157"/>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lastRenderedPageBreak/>
              <w:t>Diasumsikan bahwa opsi perpanjangan yang dimiliki oleh Bank untuk memperpanjang jangka waktu aset akan dieksekusi ketika terdapat pertimbangan faktor reputasi.</w:t>
            </w:r>
          </w:p>
          <w:p w14:paraId="476AEC5F" w14:textId="77777777" w:rsidR="004C0299" w:rsidRPr="007B5B78" w:rsidRDefault="004C0299"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Contoh:</w:t>
            </w:r>
          </w:p>
          <w:p w14:paraId="6BFACB12" w14:textId="77777777" w:rsidR="004C0299" w:rsidRPr="007B5B78" w:rsidRDefault="004C0299"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lang w:val="en-US"/>
              </w:rPr>
              <w:t>P</w:t>
            </w:r>
            <w:r w:rsidRPr="007B5B78">
              <w:rPr>
                <w:rFonts w:ascii="Bookman Old Style" w:eastAsia="Times New Roman" w:hAnsi="Bookman Old Style" w:cs="Arial"/>
                <w:sz w:val="20"/>
                <w:szCs w:val="20"/>
              </w:rPr>
              <w:t>embiayaan tanpa jangka waktu (</w:t>
            </w:r>
            <w:r w:rsidRPr="007B5B78">
              <w:rPr>
                <w:rFonts w:ascii="Bookman Old Style" w:eastAsia="Times New Roman" w:hAnsi="Bookman Old Style" w:cs="Arial"/>
                <w:i/>
                <w:sz w:val="20"/>
                <w:szCs w:val="20"/>
              </w:rPr>
              <w:t xml:space="preserve">non-maturity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i/>
                <w:sz w:val="20"/>
                <w:szCs w:val="20"/>
              </w:rPr>
              <w:t xml:space="preserve">) </w:t>
            </w:r>
            <w:r w:rsidRPr="007B5B78">
              <w:rPr>
                <w:rFonts w:ascii="Bookman Old Style" w:eastAsia="Times New Roman" w:hAnsi="Bookman Old Style" w:cs="Arial"/>
                <w:sz w:val="20"/>
                <w:szCs w:val="20"/>
              </w:rPr>
              <w:t xml:space="preserve">seperti fasilitas </w:t>
            </w:r>
            <w:r w:rsidRPr="007B5B78">
              <w:rPr>
                <w:rFonts w:ascii="Bookman Old Style" w:eastAsia="Times New Roman" w:hAnsi="Bookman Old Style" w:cs="Arial"/>
                <w:i/>
                <w:sz w:val="20"/>
                <w:szCs w:val="20"/>
              </w:rPr>
              <w:t xml:space="preserve">overdraft </w:t>
            </w:r>
            <w:r w:rsidRPr="007B5B78">
              <w:rPr>
                <w:rFonts w:ascii="Bookman Old Style" w:eastAsia="Times New Roman" w:hAnsi="Bookman Old Style" w:cs="Arial"/>
                <w:sz w:val="20"/>
                <w:szCs w:val="20"/>
              </w:rPr>
              <w:t>dimana Bank dapat menentukan untuk memperpanjang atau tidak memperpanjang jangka waktu.</w:t>
            </w:r>
          </w:p>
          <w:p w14:paraId="0F4D68E7" w14:textId="77777777" w:rsidR="004C0299" w:rsidRPr="007B5B78" w:rsidRDefault="004C0299"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Apabila terdapat perjanjian kontraktual yang mencantumkan tanggal kaji ulang (</w:t>
            </w:r>
            <w:r w:rsidRPr="007B5B78">
              <w:rPr>
                <w:rFonts w:ascii="Bookman Old Style" w:eastAsia="Times New Roman" w:hAnsi="Bookman Old Style" w:cs="Arial"/>
                <w:i/>
                <w:sz w:val="20"/>
                <w:szCs w:val="20"/>
              </w:rPr>
              <w:t>review date</w:t>
            </w:r>
            <w:r w:rsidRPr="007B5B78">
              <w:rPr>
                <w:rFonts w:ascii="Bookman Old Style" w:eastAsia="Times New Roman" w:hAnsi="Bookman Old Style" w:cs="Arial"/>
                <w:sz w:val="20"/>
                <w:szCs w:val="20"/>
              </w:rPr>
              <w:t>), Bank dapat menggunakan tanggal kaji ulang berikutnya (</w:t>
            </w:r>
            <w:r w:rsidRPr="007B5B78">
              <w:rPr>
                <w:rFonts w:ascii="Bookman Old Style" w:eastAsia="Times New Roman" w:hAnsi="Bookman Old Style" w:cs="Arial"/>
                <w:i/>
                <w:sz w:val="20"/>
                <w:szCs w:val="20"/>
              </w:rPr>
              <w:t>next review date</w:t>
            </w:r>
            <w:r w:rsidRPr="007B5B78">
              <w:rPr>
                <w:rFonts w:ascii="Bookman Old Style" w:eastAsia="Times New Roman" w:hAnsi="Bookman Old Style" w:cs="Arial"/>
                <w:sz w:val="20"/>
                <w:szCs w:val="20"/>
              </w:rPr>
              <w:t>) sebagai tanggal jatuh tempo.</w:t>
            </w:r>
          </w:p>
          <w:p w14:paraId="27BE2708" w14:textId="77777777" w:rsidR="004C0299" w:rsidRPr="007B5B78" w:rsidRDefault="004C0299" w:rsidP="00A32F86">
            <w:pPr>
              <w:pStyle w:val="ListParagraph"/>
              <w:numPr>
                <w:ilvl w:val="0"/>
                <w:numId w:val="157"/>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Diasumsikan bahwa opsi yang dimiliki oleh Bank untuk tidak memperpanjang fasilitas </w:t>
            </w:r>
            <w:r w:rsidRPr="007B5B78">
              <w:rPr>
                <w:rFonts w:ascii="Bookman Old Style" w:eastAsia="Times New Roman" w:hAnsi="Bookman Old Style" w:cs="Arial"/>
                <w:sz w:val="20"/>
                <w:szCs w:val="20"/>
                <w:lang w:val="en-US"/>
              </w:rPr>
              <w:t>pembiayaan</w:t>
            </w:r>
            <w:r w:rsidRPr="007B5B78">
              <w:rPr>
                <w:rFonts w:ascii="Bookman Old Style" w:eastAsia="Times New Roman" w:hAnsi="Bookman Old Style" w:cs="Arial"/>
                <w:sz w:val="20"/>
                <w:szCs w:val="20"/>
              </w:rPr>
              <w:t xml:space="preserve"> tidak akan dieksekusi ketika terdapat pertimbangan faktor reputasi.</w:t>
            </w:r>
          </w:p>
          <w:p w14:paraId="2B978BDA" w14:textId="44EC31D3" w:rsidR="004C0299" w:rsidRPr="007B5B78" w:rsidRDefault="004C0299" w:rsidP="00A32F86">
            <w:pPr>
              <w:pStyle w:val="ListParagraph"/>
              <w:numPr>
                <w:ilvl w:val="0"/>
                <w:numId w:val="155"/>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Ketika pelaku pasar memiliki pandangan bahwa jangka waktu aset tertentu akan diperpanjang, Bank harus mengasumsikan bahwa perilaku tersebut akan dilakukan dan memasukkan aset ke dalam kategori RSF yang terkait.</w:t>
            </w:r>
          </w:p>
        </w:tc>
        <w:tc>
          <w:tcPr>
            <w:tcW w:w="3686" w:type="dxa"/>
            <w:shd w:val="clear" w:color="auto" w:fill="auto"/>
            <w:vAlign w:val="center"/>
          </w:tcPr>
          <w:p w14:paraId="6FDD0707"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D6399C6"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7864C956" w14:textId="77777777" w:rsidTr="004C0299">
        <w:trPr>
          <w:trHeight w:val="564"/>
          <w:tblHeader/>
        </w:trPr>
        <w:tc>
          <w:tcPr>
            <w:tcW w:w="9634" w:type="dxa"/>
            <w:shd w:val="clear" w:color="auto" w:fill="FFF2CC" w:themeFill="accent4" w:themeFillTint="33"/>
            <w:vAlign w:val="center"/>
          </w:tcPr>
          <w:p w14:paraId="71887C22" w14:textId="2386A8FD" w:rsidR="004C0299" w:rsidRPr="007B5B78" w:rsidRDefault="004C0299" w:rsidP="00A32F86">
            <w:pPr>
              <w:pStyle w:val="BodyText"/>
              <w:numPr>
                <w:ilvl w:val="5"/>
                <w:numId w:val="28"/>
              </w:numPr>
              <w:ind w:left="1134" w:hanging="567"/>
              <w:rPr>
                <w:rFonts w:ascii="Bookman Old Style" w:hAnsi="Bookman Old Style"/>
                <w:sz w:val="20"/>
                <w:szCs w:val="20"/>
              </w:rPr>
            </w:pPr>
            <w:r w:rsidRPr="007B5B78">
              <w:rPr>
                <w:rFonts w:ascii="Bookman Old Style" w:hAnsi="Bookman Old Style"/>
                <w:sz w:val="20"/>
                <w:szCs w:val="20"/>
              </w:rPr>
              <w:t>Klasifikasi Aset</w:t>
            </w:r>
          </w:p>
        </w:tc>
        <w:tc>
          <w:tcPr>
            <w:tcW w:w="3686" w:type="dxa"/>
            <w:shd w:val="clear" w:color="auto" w:fill="FFF2CC" w:themeFill="accent4" w:themeFillTint="33"/>
            <w:vAlign w:val="center"/>
          </w:tcPr>
          <w:p w14:paraId="1C0F1B7D"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0A9E5D0F"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000DE6FE" w14:textId="77777777" w:rsidTr="006A283D">
        <w:trPr>
          <w:trHeight w:val="564"/>
          <w:tblHeader/>
        </w:trPr>
        <w:tc>
          <w:tcPr>
            <w:tcW w:w="9634" w:type="dxa"/>
            <w:shd w:val="clear" w:color="auto" w:fill="auto"/>
            <w:vAlign w:val="center"/>
          </w:tcPr>
          <w:p w14:paraId="7B0F2C6D" w14:textId="77777777" w:rsidR="004C0299" w:rsidRPr="007B5B78" w:rsidRDefault="004C0299" w:rsidP="007B5B78">
            <w:pPr>
              <w:pStyle w:val="ListParagraph"/>
              <w:spacing w:after="0" w:line="240" w:lineRule="auto"/>
              <w:ind w:left="1134"/>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rangka perhitungan nilai RSF, klasifikasi aset akan mempengaruhi faktor RSF yang ditetapkan pada aset tersebut. Bank mengklasifikasikan aset sebagai berikut:</w:t>
            </w:r>
          </w:p>
          <w:p w14:paraId="1028582C" w14:textId="77777777" w:rsidR="004C0299" w:rsidRPr="007B5B78" w:rsidRDefault="004C0299" w:rsidP="00A32F86">
            <w:pPr>
              <w:pStyle w:val="ListParagraph"/>
              <w:numPr>
                <w:ilvl w:val="0"/>
                <w:numId w:val="158"/>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Likuid Berkualitas Tinggi (</w:t>
            </w:r>
            <w:r w:rsidRPr="007B5B78">
              <w:rPr>
                <w:rFonts w:ascii="Bookman Old Style" w:eastAsia="Times New Roman" w:hAnsi="Bookman Old Style" w:cs="Arial"/>
                <w:i/>
                <w:sz w:val="20"/>
                <w:szCs w:val="20"/>
              </w:rPr>
              <w:t>High Quality Liquid Asset</w:t>
            </w:r>
            <w:r w:rsidRPr="007B5B78">
              <w:rPr>
                <w:rFonts w:ascii="Bookman Old Style" w:eastAsia="Times New Roman" w:hAnsi="Bookman Old Style" w:cs="Arial"/>
                <w:sz w:val="20"/>
                <w:szCs w:val="20"/>
              </w:rPr>
              <w:t>)</w:t>
            </w:r>
          </w:p>
          <w:p w14:paraId="76CB4C26" w14:textId="77777777" w:rsidR="004C0299" w:rsidRPr="007B5B78" w:rsidRDefault="004C0299" w:rsidP="00A32F86">
            <w:pPr>
              <w:pStyle w:val="ListParagraph"/>
              <w:numPr>
                <w:ilvl w:val="0"/>
                <w:numId w:val="15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rangka menghitung nilai RSF, Bank mengidentifikasi aset tertentu sebagai aset likuid berkualitas tinggi atau HQLA. Komponen HQLA yang</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diperhitungkan dalam pemenuhan NSFR sebagaimana dimaksud dalam angka II.2 terdiri atas:</w:t>
            </w:r>
          </w:p>
          <w:p w14:paraId="70354889" w14:textId="77777777" w:rsidR="004C0299" w:rsidRPr="007B5B78" w:rsidRDefault="004C0299" w:rsidP="00A32F86">
            <w:pPr>
              <w:pStyle w:val="ListParagraph"/>
              <w:numPr>
                <w:ilvl w:val="0"/>
                <w:numId w:val="16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HQLA Level 1; dan</w:t>
            </w:r>
          </w:p>
          <w:p w14:paraId="472C9DFD" w14:textId="77777777" w:rsidR="004C0299" w:rsidRPr="007B5B78" w:rsidRDefault="004C0299" w:rsidP="00A32F86">
            <w:pPr>
              <w:pStyle w:val="ListParagraph"/>
              <w:numPr>
                <w:ilvl w:val="0"/>
                <w:numId w:val="16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HQLA Level 2 yang meliputi: </w:t>
            </w:r>
          </w:p>
          <w:p w14:paraId="15B5D43F" w14:textId="77777777" w:rsidR="004C0299" w:rsidRPr="007B5B78" w:rsidRDefault="004C0299" w:rsidP="00A32F86">
            <w:pPr>
              <w:pStyle w:val="ListParagraph"/>
              <w:numPr>
                <w:ilvl w:val="0"/>
                <w:numId w:val="161"/>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HQLA Level 2A; dan</w:t>
            </w:r>
          </w:p>
          <w:p w14:paraId="7B9C267C" w14:textId="77777777" w:rsidR="004C0299" w:rsidRPr="007B5B78" w:rsidRDefault="004C0299" w:rsidP="00A32F86">
            <w:pPr>
              <w:pStyle w:val="ListParagraph"/>
              <w:numPr>
                <w:ilvl w:val="0"/>
                <w:numId w:val="161"/>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HQLA Level 2B,</w:t>
            </w:r>
          </w:p>
          <w:p w14:paraId="307D6CB1" w14:textId="77777777" w:rsidR="004C0299" w:rsidRPr="007B5B78" w:rsidRDefault="004C0299" w:rsidP="007B5B78">
            <w:pPr>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sebagaimana diatur dalam</w:t>
            </w:r>
            <w:r w:rsidRPr="007B5B78">
              <w:rPr>
                <w:rFonts w:ascii="Bookman Old Style" w:eastAsia="Times New Roman" w:hAnsi="Bookman Old Style" w:cs="Arial"/>
                <w:sz w:val="20"/>
                <w:szCs w:val="20"/>
                <w:lang w:val="en-US"/>
              </w:rPr>
              <w:t xml:space="preserve"> Lampiran I POJK ini</w:t>
            </w:r>
            <w:r w:rsidRPr="007B5B78">
              <w:rPr>
                <w:rFonts w:ascii="Bookman Old Style" w:eastAsia="Times New Roman" w:hAnsi="Bookman Old Style" w:cs="Arial"/>
                <w:sz w:val="20"/>
                <w:szCs w:val="20"/>
              </w:rPr>
              <w:t xml:space="preserve">. </w:t>
            </w:r>
          </w:p>
          <w:p w14:paraId="56BF8FB3" w14:textId="77777777" w:rsidR="004C0299" w:rsidRPr="007B5B78" w:rsidRDefault="004C0299" w:rsidP="00A32F86">
            <w:pPr>
              <w:pStyle w:val="ListParagraph"/>
              <w:numPr>
                <w:ilvl w:val="0"/>
                <w:numId w:val="15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HQLA sebagaimana dimaksud dalam huruf a yang diperhitungkan dalam NSFR adalah:</w:t>
            </w:r>
          </w:p>
          <w:p w14:paraId="0DF8B839" w14:textId="77777777" w:rsidR="004C0299" w:rsidRPr="007B5B78" w:rsidRDefault="004C0299" w:rsidP="00A32F86">
            <w:pPr>
              <w:pStyle w:val="ListParagraph"/>
              <w:numPr>
                <w:ilvl w:val="0"/>
                <w:numId w:val="16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dimiliki oleh Bank pada saat perhitungan NSFR tanpa memperhatikan sisa jangka waktu aset yang diperhitungkan;</w:t>
            </w:r>
          </w:p>
          <w:p w14:paraId="19C00F4B" w14:textId="77777777" w:rsidR="004C0299" w:rsidRPr="007B5B78" w:rsidRDefault="004C0299" w:rsidP="00A32F86">
            <w:pPr>
              <w:pStyle w:val="ListParagraph"/>
              <w:numPr>
                <w:ilvl w:val="0"/>
                <w:numId w:val="16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memenuhi persyaratan HQLA sebagaimana dimaksud dalam </w:t>
            </w:r>
            <w:r w:rsidRPr="007B5B78">
              <w:rPr>
                <w:rFonts w:ascii="Bookman Old Style" w:eastAsia="Times New Roman" w:hAnsi="Bookman Old Style" w:cs="Arial"/>
                <w:sz w:val="20"/>
                <w:szCs w:val="20"/>
                <w:lang w:val="en-US"/>
              </w:rPr>
              <w:t>Lampiran I POJK ini</w:t>
            </w:r>
            <w:r w:rsidRPr="007B5B78">
              <w:rPr>
                <w:rFonts w:ascii="Bookman Old Style" w:eastAsia="Times New Roman" w:hAnsi="Bookman Old Style" w:cs="Arial"/>
                <w:sz w:val="20"/>
                <w:szCs w:val="20"/>
              </w:rPr>
              <w:t xml:space="preserve"> namun tidak termasuk persyaratan operasional yang dikecualikan dari perhitungan HQLA dalam pemenuhan NSFR;</w:t>
            </w:r>
          </w:p>
          <w:p w14:paraId="781766A4" w14:textId="77777777" w:rsidR="004C0299" w:rsidRPr="007B5B78" w:rsidRDefault="004C0299" w:rsidP="00A32F86">
            <w:pPr>
              <w:pStyle w:val="ListParagraph"/>
              <w:numPr>
                <w:ilvl w:val="0"/>
                <w:numId w:val="16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lastRenderedPageBreak/>
              <w:t>HQLA Level 2 dan HQLA Level 2B yang dapat diperhitungkan dalam pemenuhan NSFR tidak dibatasi jumlahnya;</w:t>
            </w:r>
          </w:p>
          <w:p w14:paraId="34C99CD6" w14:textId="77777777" w:rsidR="004C0299" w:rsidRPr="007B5B78" w:rsidRDefault="004C0299" w:rsidP="00A32F86">
            <w:pPr>
              <w:pStyle w:val="ListParagraph"/>
              <w:numPr>
                <w:ilvl w:val="0"/>
                <w:numId w:val="16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surat berharga syariah yang diterbitkan oleh Pemerintah Indonesia dan Bank Indonesia dalam valuta asing yang dapat diperhitungkan sebagai HQLA Level 1 tidak dibatasi jumlahnya, yaitu tidak dibatasi sebesar kebutuhan arus kas keluar bersih (</w:t>
            </w:r>
            <w:r w:rsidRPr="007B5B78">
              <w:rPr>
                <w:rFonts w:ascii="Bookman Old Style" w:eastAsia="Times New Roman" w:hAnsi="Bookman Old Style" w:cs="Arial"/>
                <w:i/>
                <w:sz w:val="20"/>
                <w:szCs w:val="20"/>
              </w:rPr>
              <w:t>net cash outflow</w:t>
            </w:r>
            <w:r w:rsidRPr="007B5B78">
              <w:rPr>
                <w:rFonts w:ascii="Bookman Old Style" w:eastAsia="Times New Roman" w:hAnsi="Bookman Old Style" w:cs="Arial"/>
                <w:sz w:val="20"/>
                <w:szCs w:val="20"/>
              </w:rPr>
              <w:t>) dalam valuta asing tersebut; dan</w:t>
            </w:r>
          </w:p>
          <w:p w14:paraId="35928FF1" w14:textId="77777777" w:rsidR="004C0299" w:rsidRPr="007B5B78" w:rsidRDefault="004C0299" w:rsidP="00A32F86">
            <w:pPr>
              <w:pStyle w:val="ListParagraph"/>
              <w:numPr>
                <w:ilvl w:val="0"/>
                <w:numId w:val="16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surat berharga syariah yang diterbitkan oleh pemerintah dan bank sentral negara lain dengan bobot risiko lebih dari 0% (nol persen) dalam valuta asing dapat diperhitungkan sebagai HQLA Level 1 sepanjang:</w:t>
            </w:r>
          </w:p>
          <w:p w14:paraId="52A8CDFE" w14:textId="77777777" w:rsidR="004C0299" w:rsidRPr="007B5B78" w:rsidRDefault="004C0299" w:rsidP="00A32F86">
            <w:pPr>
              <w:pStyle w:val="ListParagraph"/>
              <w:numPr>
                <w:ilvl w:val="0"/>
                <w:numId w:val="163"/>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Bank memiliki perusahaan anak atau cabang di negara lain dimaksud; dan</w:t>
            </w:r>
          </w:p>
          <w:p w14:paraId="30F36104" w14:textId="77777777" w:rsidR="004C0299" w:rsidRPr="007B5B78" w:rsidRDefault="004C0299" w:rsidP="00A32F86">
            <w:pPr>
              <w:pStyle w:val="ListParagraph"/>
              <w:numPr>
                <w:ilvl w:val="0"/>
                <w:numId w:val="163"/>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tidak dibatasi sebesar kebutuhan arus kas keluar (</w:t>
            </w:r>
            <w:r w:rsidRPr="007B5B78">
              <w:rPr>
                <w:rFonts w:ascii="Bookman Old Style" w:eastAsia="Times New Roman" w:hAnsi="Bookman Old Style" w:cs="Arial"/>
                <w:i/>
                <w:sz w:val="20"/>
                <w:szCs w:val="20"/>
              </w:rPr>
              <w:t>outflow</w:t>
            </w:r>
            <w:r w:rsidRPr="007B5B78">
              <w:rPr>
                <w:rFonts w:ascii="Bookman Old Style" w:eastAsia="Times New Roman" w:hAnsi="Bookman Old Style" w:cs="Arial"/>
                <w:sz w:val="20"/>
                <w:szCs w:val="20"/>
              </w:rPr>
              <w:t>) pada mata uang di negara yang menerbitkan surat berharga syariah valuta asing dimaksud.</w:t>
            </w:r>
          </w:p>
          <w:p w14:paraId="03DDA4D5" w14:textId="77777777" w:rsidR="004C0299" w:rsidRPr="007B5B78" w:rsidRDefault="004C0299" w:rsidP="00A32F86">
            <w:pPr>
              <w:pStyle w:val="ListParagraph"/>
              <w:numPr>
                <w:ilvl w:val="0"/>
                <w:numId w:val="158"/>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Terikat (</w:t>
            </w:r>
            <w:r w:rsidRPr="007B5B78">
              <w:rPr>
                <w:rFonts w:ascii="Bookman Old Style" w:eastAsia="Times New Roman" w:hAnsi="Bookman Old Style" w:cs="Arial"/>
                <w:i/>
                <w:sz w:val="20"/>
                <w:szCs w:val="20"/>
              </w:rPr>
              <w:t>Encumbered Asset</w:t>
            </w:r>
            <w:r w:rsidRPr="007B5B78">
              <w:rPr>
                <w:rFonts w:ascii="Bookman Old Style" w:eastAsia="Times New Roman" w:hAnsi="Bookman Old Style" w:cs="Arial"/>
                <w:sz w:val="20"/>
                <w:szCs w:val="20"/>
              </w:rPr>
              <w:t>)</w:t>
            </w:r>
          </w:p>
          <w:p w14:paraId="690932B4" w14:textId="77777777" w:rsidR="004C0299" w:rsidRPr="007B5B78" w:rsidRDefault="004C0299" w:rsidP="00A32F86">
            <w:pPr>
              <w:pStyle w:val="ListParagraph"/>
              <w:numPr>
                <w:ilvl w:val="0"/>
                <w:numId w:val="164"/>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rangka menghitung nilai RSF, Bank wajib mengklasifikasikan nilai aset pada laporan posisi keuangan dalam:</w:t>
            </w:r>
          </w:p>
          <w:p w14:paraId="20EB0D7E" w14:textId="77777777" w:rsidR="004C0299" w:rsidRPr="007B5B78" w:rsidRDefault="004C0299" w:rsidP="00A32F86">
            <w:pPr>
              <w:pStyle w:val="ListParagraph"/>
              <w:numPr>
                <w:ilvl w:val="0"/>
                <w:numId w:val="165"/>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terikat atau yang tidak bebas dari segala klaim (</w:t>
            </w:r>
            <w:r w:rsidRPr="007B5B78">
              <w:rPr>
                <w:rFonts w:ascii="Bookman Old Style" w:eastAsia="Times New Roman" w:hAnsi="Bookman Old Style" w:cs="Arial"/>
                <w:i/>
                <w:sz w:val="20"/>
                <w:szCs w:val="20"/>
              </w:rPr>
              <w:t>encumbered asset</w:t>
            </w:r>
            <w:r w:rsidRPr="007B5B78">
              <w:rPr>
                <w:rFonts w:ascii="Bookman Old Style" w:eastAsia="Times New Roman" w:hAnsi="Bookman Old Style" w:cs="Arial"/>
                <w:sz w:val="20"/>
                <w:szCs w:val="20"/>
              </w:rPr>
              <w:t>); dan</w:t>
            </w:r>
          </w:p>
          <w:p w14:paraId="7471560A" w14:textId="77777777" w:rsidR="004C0299" w:rsidRPr="007B5B78" w:rsidRDefault="004C0299" w:rsidP="00A32F86">
            <w:pPr>
              <w:pStyle w:val="ListParagraph"/>
              <w:numPr>
                <w:ilvl w:val="0"/>
                <w:numId w:val="165"/>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tidak terikat atau yang bebas dari segala klaim (</w:t>
            </w:r>
            <w:r w:rsidRPr="007B5B78">
              <w:rPr>
                <w:rFonts w:ascii="Bookman Old Style" w:eastAsia="Times New Roman" w:hAnsi="Bookman Old Style" w:cs="Arial"/>
                <w:i/>
                <w:sz w:val="20"/>
                <w:szCs w:val="20"/>
              </w:rPr>
              <w:t>unencumbered asset</w:t>
            </w:r>
            <w:r w:rsidRPr="007B5B78">
              <w:rPr>
                <w:rFonts w:ascii="Bookman Old Style" w:eastAsia="Times New Roman" w:hAnsi="Bookman Old Style" w:cs="Arial"/>
                <w:sz w:val="20"/>
                <w:szCs w:val="20"/>
              </w:rPr>
              <w:t>).</w:t>
            </w:r>
          </w:p>
          <w:p w14:paraId="3AFEB179" w14:textId="77777777" w:rsidR="004C0299" w:rsidRPr="007B5B78" w:rsidRDefault="004C0299" w:rsidP="00A32F86">
            <w:pPr>
              <w:pStyle w:val="ListParagraph"/>
              <w:numPr>
                <w:ilvl w:val="0"/>
                <w:numId w:val="164"/>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terikat atau yang tidak bebas dari segala klaim (</w:t>
            </w:r>
            <w:r w:rsidRPr="007B5B78">
              <w:rPr>
                <w:rFonts w:ascii="Bookman Old Style" w:eastAsia="Times New Roman" w:hAnsi="Bookman Old Style" w:cs="Arial"/>
                <w:i/>
                <w:sz w:val="20"/>
                <w:szCs w:val="20"/>
              </w:rPr>
              <w:t>encumbered asset</w:t>
            </w:r>
            <w:r w:rsidRPr="007B5B78">
              <w:rPr>
                <w:rFonts w:ascii="Bookman Old Style" w:eastAsia="Times New Roman" w:hAnsi="Bookman Old Style" w:cs="Arial"/>
                <w:sz w:val="20"/>
                <w:szCs w:val="20"/>
              </w:rPr>
              <w:t xml:space="preserve">) sebagaimana dimaksud   dalam butir a.1), antara lain aset yang sedang menjadi </w:t>
            </w:r>
            <w:r w:rsidRPr="007B5B78">
              <w:rPr>
                <w:rFonts w:ascii="Bookman Old Style" w:eastAsia="Times New Roman" w:hAnsi="Bookman Old Style" w:cs="Arial"/>
                <w:i/>
                <w:sz w:val="20"/>
                <w:szCs w:val="20"/>
              </w:rPr>
              <w:t xml:space="preserve">underlying </w:t>
            </w:r>
            <w:r w:rsidRPr="007B5B78">
              <w:rPr>
                <w:rFonts w:ascii="Bookman Old Style" w:eastAsia="Times New Roman" w:hAnsi="Bookman Old Style" w:cs="Arial"/>
                <w:sz w:val="20"/>
                <w:szCs w:val="20"/>
              </w:rPr>
              <w:t>untuk surat berharga syariah (</w:t>
            </w:r>
            <w:r w:rsidRPr="007B5B78">
              <w:rPr>
                <w:rFonts w:ascii="Bookman Old Style" w:eastAsia="Times New Roman" w:hAnsi="Bookman Old Style" w:cs="Arial"/>
                <w:i/>
                <w:sz w:val="20"/>
                <w:szCs w:val="20"/>
              </w:rPr>
              <w:t>assets backing securities</w:t>
            </w:r>
            <w:r w:rsidRPr="007B5B78">
              <w:rPr>
                <w:rFonts w:ascii="Bookman Old Style" w:eastAsia="Times New Roman" w:hAnsi="Bookman Old Style" w:cs="Arial"/>
                <w:sz w:val="20"/>
                <w:szCs w:val="20"/>
              </w:rPr>
              <w:t xml:space="preserve">) atau </w:t>
            </w:r>
            <w:r w:rsidRPr="007B5B78">
              <w:rPr>
                <w:rFonts w:ascii="Bookman Old Style" w:eastAsia="Times New Roman" w:hAnsi="Bookman Old Style" w:cs="Arial"/>
                <w:i/>
                <w:sz w:val="20"/>
                <w:szCs w:val="20"/>
              </w:rPr>
              <w:t xml:space="preserve">covered bonds, </w:t>
            </w:r>
            <w:r w:rsidRPr="007B5B78">
              <w:rPr>
                <w:rFonts w:ascii="Bookman Old Style" w:eastAsia="Times New Roman" w:hAnsi="Bookman Old Style" w:cs="Arial"/>
                <w:sz w:val="20"/>
                <w:szCs w:val="20"/>
              </w:rPr>
              <w:t xml:space="preserve">dan aset yang sedang dijaminkan untuk </w:t>
            </w:r>
            <w:r w:rsidRPr="007B5B78">
              <w:rPr>
                <w:rFonts w:ascii="Bookman Old Style" w:eastAsia="Times New Roman" w:hAnsi="Bookman Old Style" w:cs="Arial"/>
                <w:i/>
                <w:sz w:val="20"/>
                <w:szCs w:val="20"/>
              </w:rPr>
              <w:t xml:space="preserve">securities financing transactions </w:t>
            </w:r>
            <w:r w:rsidRPr="007B5B78">
              <w:rPr>
                <w:rFonts w:ascii="Bookman Old Style" w:eastAsia="Times New Roman" w:hAnsi="Bookman Old Style" w:cs="Arial"/>
                <w:sz w:val="20"/>
                <w:szCs w:val="20"/>
              </w:rPr>
              <w:t xml:space="preserve">(seperti repo dan </w:t>
            </w:r>
            <w:r w:rsidRPr="007B5B78">
              <w:rPr>
                <w:rFonts w:ascii="Bookman Old Style" w:eastAsia="Times New Roman" w:hAnsi="Bookman Old Style" w:cs="Arial"/>
                <w:i/>
                <w:sz w:val="20"/>
                <w:szCs w:val="20"/>
              </w:rPr>
              <w:t xml:space="preserve">reverse </w:t>
            </w:r>
            <w:r w:rsidRPr="007B5B78">
              <w:rPr>
                <w:rFonts w:ascii="Bookman Old Style" w:eastAsia="Times New Roman" w:hAnsi="Bookman Old Style" w:cs="Arial"/>
                <w:sz w:val="20"/>
                <w:szCs w:val="20"/>
              </w:rPr>
              <w:t xml:space="preserve">repo) atau </w:t>
            </w:r>
            <w:r w:rsidRPr="007B5B78">
              <w:rPr>
                <w:rFonts w:ascii="Bookman Old Style" w:eastAsia="Times New Roman" w:hAnsi="Bookman Old Style" w:cs="Arial"/>
                <w:i/>
                <w:sz w:val="20"/>
                <w:szCs w:val="20"/>
              </w:rPr>
              <w:t>collateral swaps</w:t>
            </w:r>
            <w:r w:rsidRPr="007B5B78">
              <w:rPr>
                <w:rFonts w:ascii="Bookman Old Style" w:eastAsia="Times New Roman" w:hAnsi="Bookman Old Style" w:cs="Arial"/>
                <w:sz w:val="20"/>
                <w:szCs w:val="20"/>
              </w:rPr>
              <w:t>.</w:t>
            </w:r>
          </w:p>
          <w:p w14:paraId="57EB41E7" w14:textId="77777777" w:rsidR="004C0299" w:rsidRPr="007B5B78" w:rsidRDefault="004C0299" w:rsidP="00A32F86">
            <w:pPr>
              <w:pStyle w:val="ListParagraph"/>
              <w:numPr>
                <w:ilvl w:val="0"/>
                <w:numId w:val="164"/>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tidak terikat atau yang bebas dari segala klaim (</w:t>
            </w:r>
            <w:r w:rsidRPr="007B5B78">
              <w:rPr>
                <w:rFonts w:ascii="Bookman Old Style" w:eastAsia="Times New Roman" w:hAnsi="Bookman Old Style" w:cs="Arial"/>
                <w:i/>
                <w:sz w:val="20"/>
                <w:szCs w:val="20"/>
              </w:rPr>
              <w:t>unencumbered asset</w:t>
            </w:r>
            <w:r w:rsidRPr="007B5B78">
              <w:rPr>
                <w:rFonts w:ascii="Bookman Old Style" w:eastAsia="Times New Roman" w:hAnsi="Bookman Old Style" w:cs="Arial"/>
                <w:sz w:val="20"/>
                <w:szCs w:val="20"/>
              </w:rPr>
              <w:t>) sebagaimana dimaksud dalam butir a.2), antara lain aset yang tidak sedang menjadi agunan dalam transaksi repo, bebas dari tuntutan hukum, batasan regulasi dan perjanjian, serta batasan lain yang membatasi kemampuan Bank untuk melikuidasi, menjual, mentransfer, menggunakan atau menetapkan suatu aset.</w:t>
            </w:r>
          </w:p>
          <w:p w14:paraId="774C17AD" w14:textId="77777777" w:rsidR="004C0299" w:rsidRPr="007B5B78" w:rsidRDefault="004C0299" w:rsidP="00A32F86">
            <w:pPr>
              <w:pStyle w:val="ListParagraph"/>
              <w:numPr>
                <w:ilvl w:val="0"/>
                <w:numId w:val="164"/>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Penetapan faktor RSF untuk aset tidak terikat atau yang bebas dari segala klaim (</w:t>
            </w:r>
            <w:r w:rsidRPr="007B5B78">
              <w:rPr>
                <w:rFonts w:ascii="Bookman Old Style" w:eastAsia="Times New Roman" w:hAnsi="Bookman Old Style" w:cs="Arial"/>
                <w:i/>
                <w:sz w:val="20"/>
                <w:szCs w:val="20"/>
              </w:rPr>
              <w:t>unencumbered asset</w:t>
            </w:r>
            <w:r w:rsidRPr="007B5B78">
              <w:rPr>
                <w:rFonts w:ascii="Bookman Old Style" w:eastAsia="Times New Roman" w:hAnsi="Bookman Old Style" w:cs="Arial"/>
                <w:sz w:val="20"/>
                <w:szCs w:val="20"/>
              </w:rPr>
              <w:t>) mengacu pada ketentuan faktor RSF untuk aset.</w:t>
            </w:r>
          </w:p>
          <w:p w14:paraId="3D35431B" w14:textId="77777777" w:rsidR="004C0299" w:rsidRPr="007B5B78" w:rsidRDefault="004C0299" w:rsidP="00A32F86">
            <w:pPr>
              <w:pStyle w:val="ListParagraph"/>
              <w:numPr>
                <w:ilvl w:val="0"/>
                <w:numId w:val="164"/>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lastRenderedPageBreak/>
              <w:t>Penetapan faktor RSF untuk aset terikat atau yang tidak bebas dari segala klaim (</w:t>
            </w:r>
            <w:r w:rsidRPr="007B5B78">
              <w:rPr>
                <w:rFonts w:ascii="Bookman Old Style" w:eastAsia="Times New Roman" w:hAnsi="Bookman Old Style" w:cs="Arial"/>
                <w:i/>
                <w:sz w:val="20"/>
                <w:szCs w:val="20"/>
              </w:rPr>
              <w:t>encumbered asset</w:t>
            </w:r>
            <w:r w:rsidRPr="007B5B78">
              <w:rPr>
                <w:rFonts w:ascii="Bookman Old Style" w:eastAsia="Times New Roman" w:hAnsi="Bookman Old Style" w:cs="Arial"/>
                <w:sz w:val="20"/>
                <w:szCs w:val="20"/>
              </w:rPr>
              <w:t>) adalah sebagai berikut:</w:t>
            </w:r>
          </w:p>
          <w:p w14:paraId="3F5C3501" w14:textId="77777777" w:rsidR="004C0299" w:rsidRPr="007B5B78" w:rsidRDefault="004C0299" w:rsidP="00A32F86">
            <w:pPr>
              <w:pStyle w:val="ListParagraph"/>
              <w:numPr>
                <w:ilvl w:val="0"/>
                <w:numId w:val="16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hal sisa jangka waktu pengikatan aset adalah 1 (satu) tahun atau lebih, aset dimaksud mendapat faktor RSF sebesar 100% (seratus persen).</w:t>
            </w:r>
          </w:p>
          <w:p w14:paraId="4F6A4B2B" w14:textId="77777777" w:rsidR="004C0299" w:rsidRPr="007B5B78" w:rsidRDefault="004C0299" w:rsidP="00A32F86">
            <w:pPr>
              <w:pStyle w:val="ListParagraph"/>
              <w:numPr>
                <w:ilvl w:val="0"/>
                <w:numId w:val="16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hal sisa jangka waktu pengikatan aset adalah 6 (enam) bulan sampai dengan 1 (satu) tahun, penetapan faktor RSF dilakukan:</w:t>
            </w:r>
          </w:p>
          <w:p w14:paraId="3BD2885D" w14:textId="77777777" w:rsidR="004C0299" w:rsidRPr="007B5B78" w:rsidRDefault="004C0299" w:rsidP="00A32F86">
            <w:pPr>
              <w:pStyle w:val="ListParagraph"/>
              <w:numPr>
                <w:ilvl w:val="0"/>
                <w:numId w:val="167"/>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mendapat faktor   RSF   lebih   tinggi   dari 50% (lima puluh persen) dalam hal aset tersebut mendapat faktor RSF lebih tinggi dari 50% (lima puluh persen) ketika sedang bebas dari segala klaim;</w:t>
            </w:r>
          </w:p>
          <w:p w14:paraId="16C6262A" w14:textId="77777777" w:rsidR="004C0299" w:rsidRPr="007B5B78" w:rsidRDefault="004C0299" w:rsidP="00A32F86">
            <w:pPr>
              <w:pStyle w:val="ListParagraph"/>
              <w:numPr>
                <w:ilvl w:val="0"/>
                <w:numId w:val="167"/>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mendapat faktor RSF sebesar 50% (lima puluh persen) dalam hal aset tersebut mendapat faktor RSF lebih rendah atau sama dengan 50% (lima puluh persen) ketika sedang bebas dari segala klaim; atau</w:t>
            </w:r>
          </w:p>
          <w:p w14:paraId="4AB2CC95" w14:textId="77777777" w:rsidR="004C0299" w:rsidRPr="007B5B78" w:rsidRDefault="004C0299" w:rsidP="00A32F86">
            <w:pPr>
              <w:pStyle w:val="ListParagraph"/>
              <w:numPr>
                <w:ilvl w:val="0"/>
                <w:numId w:val="167"/>
              </w:numPr>
              <w:spacing w:after="0" w:line="240" w:lineRule="auto"/>
              <w:ind w:left="3402"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hal sisa jangka waktu pengikatan aset adalah kurang dari 6 (enam) bulan, aset dimaksud mendapat faktor RSF yang sama dengan faktor RSF ketika aset dimaksud sedang tidak terikat.</w:t>
            </w:r>
          </w:p>
          <w:p w14:paraId="485F5A3A" w14:textId="77777777" w:rsidR="004C0299" w:rsidRPr="007B5B78" w:rsidRDefault="004C0299" w:rsidP="00A32F86">
            <w:pPr>
              <w:pStyle w:val="ListParagraph"/>
              <w:numPr>
                <w:ilvl w:val="0"/>
                <w:numId w:val="158"/>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Penetapan Kualitas Aset</w:t>
            </w:r>
          </w:p>
          <w:p w14:paraId="0D1544B5" w14:textId="77777777" w:rsidR="004C0299" w:rsidRPr="007B5B78" w:rsidRDefault="004C0299" w:rsidP="007B5B78">
            <w:pPr>
              <w:pStyle w:val="ListParagraph"/>
              <w:spacing w:after="0" w:line="240" w:lineRule="auto"/>
              <w:ind w:left="1701"/>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Kualitas aset dalam rangka perhitungan nilai RSF ditetapkan sebagai berikut:</w:t>
            </w:r>
          </w:p>
          <w:p w14:paraId="03F97ADF" w14:textId="77777777" w:rsidR="004C0299" w:rsidRPr="007B5B78" w:rsidRDefault="004C0299" w:rsidP="00A32F86">
            <w:pPr>
              <w:pStyle w:val="ListParagraph"/>
              <w:numPr>
                <w:ilvl w:val="0"/>
                <w:numId w:val="168"/>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Bermasalah (</w:t>
            </w:r>
            <w:r w:rsidRPr="007B5B78">
              <w:rPr>
                <w:rFonts w:ascii="Bookman Old Style" w:eastAsia="Times New Roman" w:hAnsi="Bookman Old Style" w:cs="Arial"/>
                <w:i/>
                <w:sz w:val="20"/>
                <w:szCs w:val="20"/>
              </w:rPr>
              <w:t>Non-Performing</w:t>
            </w:r>
            <w:r w:rsidRPr="007B5B78">
              <w:rPr>
                <w:rFonts w:ascii="Bookman Old Style" w:eastAsia="Times New Roman" w:hAnsi="Bookman Old Style" w:cs="Arial"/>
                <w:i/>
                <w:sz w:val="20"/>
                <w:szCs w:val="20"/>
                <w:lang w:val="en-US"/>
              </w:rPr>
              <w:t xml:space="preserve"> Financing</w:t>
            </w:r>
            <w:r w:rsidRPr="007B5B78">
              <w:rPr>
                <w:rFonts w:ascii="Bookman Old Style" w:eastAsia="Times New Roman" w:hAnsi="Bookman Old Style" w:cs="Arial"/>
                <w:i/>
                <w:sz w:val="20"/>
                <w:szCs w:val="20"/>
              </w:rPr>
              <w:t xml:space="preserve">) </w:t>
            </w:r>
            <w:r w:rsidRPr="007B5B78">
              <w:rPr>
                <w:rFonts w:ascii="Bookman Old Style" w:eastAsia="Times New Roman" w:hAnsi="Bookman Old Style" w:cs="Arial"/>
                <w:sz w:val="20"/>
                <w:szCs w:val="20"/>
              </w:rPr>
              <w:t>adalah aset yang memiliki kualitas Kurang Lancar, Diragukan, atau Macet.</w:t>
            </w:r>
          </w:p>
          <w:p w14:paraId="14EB6972" w14:textId="77777777" w:rsidR="004C0299" w:rsidRPr="007B5B78" w:rsidRDefault="004C0299" w:rsidP="00A32F86">
            <w:pPr>
              <w:pStyle w:val="ListParagraph"/>
              <w:numPr>
                <w:ilvl w:val="0"/>
                <w:numId w:val="168"/>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lang w:val="en-US"/>
              </w:rPr>
              <w:t>Pembiayaan</w:t>
            </w:r>
            <w:r w:rsidRPr="007B5B78">
              <w:rPr>
                <w:rFonts w:ascii="Bookman Old Style" w:eastAsia="Times New Roman" w:hAnsi="Bookman Old Style" w:cs="Arial"/>
                <w:sz w:val="20"/>
                <w:szCs w:val="20"/>
              </w:rPr>
              <w:t xml:space="preserve"> Tidak Bermasalah (</w:t>
            </w:r>
            <w:r w:rsidRPr="007B5B78">
              <w:rPr>
                <w:rFonts w:ascii="Bookman Old Style" w:eastAsia="Times New Roman" w:hAnsi="Bookman Old Style" w:cs="Arial"/>
                <w:i/>
                <w:sz w:val="20"/>
                <w:szCs w:val="20"/>
              </w:rPr>
              <w:t xml:space="preserve">Performing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 adalah aset yang memiliki kualitas Lancar atau Dalam Perhatian Khusus.</w:t>
            </w:r>
          </w:p>
          <w:p w14:paraId="2F0B1721" w14:textId="3843C059" w:rsidR="004C0299" w:rsidRPr="007B5B78" w:rsidRDefault="004C0299" w:rsidP="007B5B78">
            <w:pPr>
              <w:spacing w:after="0" w:line="240" w:lineRule="auto"/>
              <w:ind w:left="1723"/>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Penetapan kualitas “Lancar, Dalam Perhatian Khusus, Kurang Lancar, Diragukan, atau Macet” mengacu pada </w:t>
            </w:r>
            <w:r w:rsidRPr="007B5B78">
              <w:rPr>
                <w:rFonts w:ascii="Bookman Old Style" w:eastAsia="Times New Roman" w:hAnsi="Bookman Old Style" w:cs="Arial"/>
                <w:sz w:val="20"/>
                <w:szCs w:val="20"/>
                <w:lang w:val="en-US"/>
              </w:rPr>
              <w:t>POJK</w:t>
            </w:r>
            <w:r w:rsidRPr="007B5B78">
              <w:rPr>
                <w:rFonts w:ascii="Bookman Old Style" w:eastAsia="Times New Roman" w:hAnsi="Bookman Old Style" w:cs="Arial"/>
                <w:sz w:val="20"/>
                <w:szCs w:val="20"/>
              </w:rPr>
              <w:t xml:space="preserve"> yang mengatur mengenai penilaian kualitas aset </w:t>
            </w:r>
            <w:r w:rsidRPr="007B5B78">
              <w:rPr>
                <w:rFonts w:ascii="Bookman Old Style" w:eastAsia="Times New Roman" w:hAnsi="Bookman Old Style" w:cs="Arial"/>
                <w:sz w:val="20"/>
                <w:szCs w:val="20"/>
                <w:lang w:val="en-US"/>
              </w:rPr>
              <w:t>Bank Umum Syariah dan Unit Usaha Syariah.</w:t>
            </w:r>
          </w:p>
        </w:tc>
        <w:tc>
          <w:tcPr>
            <w:tcW w:w="3686" w:type="dxa"/>
            <w:shd w:val="clear" w:color="auto" w:fill="auto"/>
            <w:vAlign w:val="center"/>
          </w:tcPr>
          <w:p w14:paraId="578313DF"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5A9E2568"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0FBE8347" w14:textId="77777777" w:rsidTr="004C0299">
        <w:trPr>
          <w:trHeight w:val="564"/>
          <w:tblHeader/>
        </w:trPr>
        <w:tc>
          <w:tcPr>
            <w:tcW w:w="9634" w:type="dxa"/>
            <w:shd w:val="clear" w:color="auto" w:fill="FFF2CC" w:themeFill="accent4" w:themeFillTint="33"/>
            <w:vAlign w:val="center"/>
          </w:tcPr>
          <w:p w14:paraId="41DB5469" w14:textId="20538046" w:rsidR="004C0299" w:rsidRPr="007B5B78" w:rsidRDefault="004C0299" w:rsidP="00A32F86">
            <w:pPr>
              <w:pStyle w:val="BodyText"/>
              <w:numPr>
                <w:ilvl w:val="5"/>
                <w:numId w:val="28"/>
              </w:numPr>
              <w:ind w:left="1134" w:hanging="567"/>
              <w:rPr>
                <w:rFonts w:ascii="Bookman Old Style" w:hAnsi="Bookman Old Style" w:cs="Arial"/>
                <w:sz w:val="20"/>
                <w:szCs w:val="20"/>
              </w:rPr>
            </w:pPr>
            <w:r w:rsidRPr="007B5B78">
              <w:rPr>
                <w:rFonts w:ascii="Bookman Old Style" w:hAnsi="Bookman Old Style"/>
                <w:sz w:val="20"/>
                <w:szCs w:val="20"/>
              </w:rPr>
              <w:lastRenderedPageBreak/>
              <w:t>Faktor Nilai Pendanaan Stabil yang Diperlukan (</w:t>
            </w:r>
            <w:r w:rsidRPr="007B5B78">
              <w:rPr>
                <w:rFonts w:ascii="Bookman Old Style" w:hAnsi="Bookman Old Style"/>
                <w:i/>
                <w:sz w:val="20"/>
                <w:szCs w:val="20"/>
              </w:rPr>
              <w:t>Required Stable Funding</w:t>
            </w:r>
            <w:r w:rsidRPr="007B5B78">
              <w:rPr>
                <w:rFonts w:ascii="Bookman Old Style" w:hAnsi="Bookman Old Style"/>
                <w:sz w:val="20"/>
                <w:szCs w:val="20"/>
              </w:rPr>
              <w:t>) untuk Aset</w:t>
            </w:r>
          </w:p>
        </w:tc>
        <w:tc>
          <w:tcPr>
            <w:tcW w:w="3686" w:type="dxa"/>
            <w:shd w:val="clear" w:color="auto" w:fill="FFF2CC" w:themeFill="accent4" w:themeFillTint="33"/>
            <w:vAlign w:val="center"/>
          </w:tcPr>
          <w:p w14:paraId="16420B3A"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7EB563B1"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7D6CCD74" w14:textId="77777777" w:rsidTr="006A283D">
        <w:trPr>
          <w:trHeight w:val="564"/>
          <w:tblHeader/>
        </w:trPr>
        <w:tc>
          <w:tcPr>
            <w:tcW w:w="9634" w:type="dxa"/>
            <w:shd w:val="clear" w:color="auto" w:fill="auto"/>
            <w:vAlign w:val="center"/>
          </w:tcPr>
          <w:p w14:paraId="460CA9DC" w14:textId="77777777" w:rsidR="004C0299" w:rsidRPr="007B5B78" w:rsidRDefault="004C0299" w:rsidP="007B5B78">
            <w:pPr>
              <w:pStyle w:val="ListParagraph"/>
              <w:spacing w:after="0" w:line="240" w:lineRule="auto"/>
              <w:ind w:left="1134"/>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Faktor RSF ditetapkan untuk seluruh aset dengan tujuan untuk memperkirakan jumlah aset yang perlu didanai oleh Pendanaan stabil, antara lain karena aset akan diperpanjang (</w:t>
            </w:r>
            <w:r w:rsidRPr="007B5B78">
              <w:rPr>
                <w:rFonts w:ascii="Bookman Old Style" w:eastAsia="Times New Roman" w:hAnsi="Bookman Old Style" w:cs="Arial"/>
                <w:i/>
                <w:sz w:val="20"/>
                <w:szCs w:val="20"/>
              </w:rPr>
              <w:t>roll-over</w:t>
            </w:r>
            <w:r w:rsidRPr="007B5B78">
              <w:rPr>
                <w:rFonts w:ascii="Bookman Old Style" w:eastAsia="Times New Roman" w:hAnsi="Bookman Old Style" w:cs="Arial"/>
                <w:sz w:val="20"/>
                <w:szCs w:val="20"/>
              </w:rPr>
              <w:t>), aset tidak dapat dicairkan dengan dijual, atau aset sedang digunakan sebagai agunan dalam transaksi pembiayaan dengan agunan (</w:t>
            </w:r>
            <w:r w:rsidRPr="007B5B78">
              <w:rPr>
                <w:rFonts w:ascii="Bookman Old Style" w:eastAsia="Times New Roman" w:hAnsi="Bookman Old Style" w:cs="Arial"/>
                <w:i/>
                <w:sz w:val="20"/>
                <w:szCs w:val="20"/>
              </w:rPr>
              <w:t xml:space="preserve">secured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 dengan jangka waktu 1 (satu) tahun tanpa biaya yang signifikan.</w:t>
            </w:r>
          </w:p>
          <w:p w14:paraId="3E19BD6D" w14:textId="7C00CEDB" w:rsidR="004C0299" w:rsidRPr="007B5B78" w:rsidRDefault="004C0299" w:rsidP="007B5B78">
            <w:pPr>
              <w:pStyle w:val="ListParagraph"/>
              <w:spacing w:after="0" w:line="240" w:lineRule="auto"/>
              <w:ind w:left="1134"/>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Dalam rangka menentukan nilai RSF sebagaimana dimaksud dalam huruf B untuk menghitung pemenuhan NSFR, Bank menggolongkan seluruh aset pada laporan </w:t>
            </w:r>
            <w:r w:rsidRPr="007B5B78">
              <w:rPr>
                <w:rFonts w:ascii="Bookman Old Style" w:eastAsia="Times New Roman" w:hAnsi="Bookman Old Style" w:cs="Arial"/>
                <w:sz w:val="20"/>
                <w:szCs w:val="20"/>
              </w:rPr>
              <w:lastRenderedPageBreak/>
              <w:t>posisi keuangan (dalam kategori faktor RSF yang penetapannya didasarkan pada sisa jangka waktu atau nilai likuiditas aset, yaitu:</w:t>
            </w:r>
          </w:p>
        </w:tc>
        <w:tc>
          <w:tcPr>
            <w:tcW w:w="3686" w:type="dxa"/>
            <w:shd w:val="clear" w:color="auto" w:fill="auto"/>
            <w:vAlign w:val="center"/>
          </w:tcPr>
          <w:p w14:paraId="7C84C4CD"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C7EF43F"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4A27C4B1" w14:textId="77777777" w:rsidTr="006A283D">
        <w:trPr>
          <w:trHeight w:val="564"/>
          <w:tblHeader/>
        </w:trPr>
        <w:tc>
          <w:tcPr>
            <w:tcW w:w="9634" w:type="dxa"/>
            <w:shd w:val="clear" w:color="auto" w:fill="auto"/>
            <w:vAlign w:val="center"/>
          </w:tcPr>
          <w:p w14:paraId="007D0974" w14:textId="77777777" w:rsidR="004C0299" w:rsidRPr="007B5B78" w:rsidRDefault="004C0299"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mendapatkan faktor RSF 0% (nol persen) meliputi:</w:t>
            </w:r>
          </w:p>
          <w:p w14:paraId="57E0505A" w14:textId="77777777" w:rsidR="004C0299" w:rsidRPr="007B5B78" w:rsidRDefault="004C0299" w:rsidP="00A32F86">
            <w:pPr>
              <w:pStyle w:val="ListParagraph"/>
              <w:numPr>
                <w:ilvl w:val="0"/>
                <w:numId w:val="170"/>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kas dan setara kas;</w:t>
            </w:r>
          </w:p>
          <w:p w14:paraId="53776E49" w14:textId="77777777" w:rsidR="004C0299" w:rsidRPr="007B5B78" w:rsidRDefault="004C0299" w:rsidP="00A32F86">
            <w:pPr>
              <w:pStyle w:val="ListParagraph"/>
              <w:numPr>
                <w:ilvl w:val="0"/>
                <w:numId w:val="170"/>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penempatan pada Bank Indonesia, tanpa melihat jangka waktu.</w:t>
            </w:r>
          </w:p>
          <w:p w14:paraId="27CED318" w14:textId="77777777" w:rsidR="004C0299" w:rsidRPr="007B5B78" w:rsidRDefault="004C0299"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Penempatan pada Bank Indonesia adalah penempatan dana Bank baik dalam rupiah maupun valuta asing pada Bank Indonesia, antara lain dalam bentuk giro, transaksi dalam rangka operasi pasar terbuka (</w:t>
            </w:r>
            <w:r w:rsidRPr="007B5B78">
              <w:rPr>
                <w:rFonts w:ascii="Bookman Old Style" w:eastAsia="Times New Roman" w:hAnsi="Bookman Old Style" w:cs="Arial"/>
                <w:i/>
                <w:sz w:val="20"/>
                <w:szCs w:val="20"/>
              </w:rPr>
              <w:t>fine tune operation</w:t>
            </w:r>
            <w:r w:rsidRPr="007B5B78">
              <w:rPr>
                <w:rFonts w:ascii="Bookman Old Style" w:eastAsia="Times New Roman" w:hAnsi="Bookman Old Style" w:cs="Arial"/>
                <w:sz w:val="20"/>
                <w:szCs w:val="20"/>
              </w:rPr>
              <w:t>), dan Fasilitas Bank Indonesia (FASBI</w:t>
            </w:r>
            <w:r w:rsidRPr="007B5B78">
              <w:rPr>
                <w:rFonts w:ascii="Bookman Old Style" w:eastAsia="Times New Roman" w:hAnsi="Bookman Old Style" w:cs="Arial"/>
                <w:sz w:val="20"/>
                <w:szCs w:val="20"/>
                <w:lang w:val="en-US"/>
              </w:rPr>
              <w:t>S</w:t>
            </w:r>
            <w:r w:rsidRPr="007B5B78">
              <w:rPr>
                <w:rFonts w:ascii="Bookman Old Style" w:eastAsia="Times New Roman" w:hAnsi="Bookman Old Style" w:cs="Arial"/>
                <w:sz w:val="20"/>
                <w:szCs w:val="20"/>
              </w:rPr>
              <w:t>);</w:t>
            </w:r>
          </w:p>
          <w:p w14:paraId="4484FAC3" w14:textId="77777777" w:rsidR="004C0299" w:rsidRPr="007B5B78" w:rsidRDefault="004C0299" w:rsidP="00A32F86">
            <w:pPr>
              <w:pStyle w:val="ListParagraph"/>
              <w:numPr>
                <w:ilvl w:val="0"/>
                <w:numId w:val="170"/>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tagihan kepada Bank Indonesia dan bank sentral negara lain yang memiliki sisa jangka waktu sampai dengan 6 (enam) bulan;</w:t>
            </w:r>
          </w:p>
          <w:p w14:paraId="3C94E9C6" w14:textId="77777777" w:rsidR="004C0299" w:rsidRPr="007B5B78" w:rsidRDefault="004C0299"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Contoh: Sertifikat Bank</w:t>
            </w:r>
            <w:r w:rsidRPr="007B5B78">
              <w:rPr>
                <w:rFonts w:ascii="Bookman Old Style" w:eastAsia="Times New Roman" w:hAnsi="Bookman Old Style" w:cs="Arial"/>
                <w:sz w:val="20"/>
                <w:szCs w:val="20"/>
                <w:lang w:val="en-US"/>
              </w:rPr>
              <w:t xml:space="preserve"> Indonesia</w:t>
            </w:r>
            <w:r w:rsidRPr="007B5B78">
              <w:rPr>
                <w:rFonts w:ascii="Bookman Old Style" w:eastAsia="Times New Roman" w:hAnsi="Bookman Old Style" w:cs="Arial"/>
                <w:sz w:val="20"/>
                <w:szCs w:val="20"/>
              </w:rPr>
              <w:t xml:space="preserve"> </w:t>
            </w:r>
            <w:r w:rsidRPr="007B5B78">
              <w:rPr>
                <w:rFonts w:ascii="Bookman Old Style" w:eastAsia="Times New Roman" w:hAnsi="Bookman Old Style" w:cs="Arial"/>
                <w:sz w:val="20"/>
                <w:szCs w:val="20"/>
                <w:lang w:val="en-US"/>
              </w:rPr>
              <w:t xml:space="preserve"> Syariah</w:t>
            </w:r>
            <w:r w:rsidRPr="007B5B78">
              <w:rPr>
                <w:rFonts w:ascii="Bookman Old Style" w:eastAsia="Times New Roman" w:hAnsi="Bookman Old Style" w:cs="Arial"/>
                <w:sz w:val="20"/>
                <w:szCs w:val="20"/>
              </w:rPr>
              <w:t xml:space="preserve"> (SBI) dan surat berharga syariah yang diterbitkan oleh bank sentral negara lain yang dikenakan bobot risiko 0% (nol persen) atau lebih dari 0% (nol persen) sebagaimana dimaksud dalam perhitungan Aset Tertimbang Menurut Risiko (ATMR) untuk risiko kredit dengan menggunakan pendekatan standar; dan</w:t>
            </w:r>
          </w:p>
          <w:p w14:paraId="37D93017" w14:textId="77777777" w:rsidR="004C0299" w:rsidRPr="007B5B78" w:rsidRDefault="004C0299" w:rsidP="00A32F86">
            <w:pPr>
              <w:pStyle w:val="ListParagraph"/>
              <w:numPr>
                <w:ilvl w:val="0"/>
                <w:numId w:val="170"/>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piutang tanggal perdagangan (</w:t>
            </w:r>
            <w:r w:rsidRPr="007B5B78">
              <w:rPr>
                <w:rFonts w:ascii="Bookman Old Style" w:eastAsia="Times New Roman" w:hAnsi="Bookman Old Style" w:cs="Arial"/>
                <w:i/>
                <w:sz w:val="20"/>
                <w:szCs w:val="20"/>
              </w:rPr>
              <w:t>trade date receivable</w:t>
            </w:r>
            <w:r w:rsidRPr="007B5B78">
              <w:rPr>
                <w:rFonts w:ascii="Bookman Old Style" w:eastAsia="Times New Roman" w:hAnsi="Bookman Old Style" w:cs="Arial"/>
                <w:sz w:val="20"/>
                <w:szCs w:val="20"/>
              </w:rPr>
              <w:t>) yang timbul dari penjualan instrumen keuangan, mata uang asing, atau komoditas, yang memenuhi persyaratan:</w:t>
            </w:r>
          </w:p>
          <w:p w14:paraId="105109E4" w14:textId="77777777" w:rsidR="004C0299" w:rsidRPr="007B5B78" w:rsidRDefault="004C0299" w:rsidP="00A32F86">
            <w:pPr>
              <w:pStyle w:val="ListParagraph"/>
              <w:numPr>
                <w:ilvl w:val="0"/>
                <w:numId w:val="171"/>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penyelesaian transaksi diharapkan terjadi dalam siklus penyelesaian yang normal atau periode yang umum untuk jenis transaksi tersebut; atau</w:t>
            </w:r>
          </w:p>
          <w:p w14:paraId="5C27567F" w14:textId="2AFB935C" w:rsidR="004C0299" w:rsidRPr="007B5B78" w:rsidRDefault="004C0299" w:rsidP="00A32F86">
            <w:pPr>
              <w:pStyle w:val="ListParagraph"/>
              <w:numPr>
                <w:ilvl w:val="0"/>
                <w:numId w:val="171"/>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penyelesaian transaksi diharapkan tetap dapat diselesaikan walaupun penyelesaian transaksi telah mengalami kegagalan.</w:t>
            </w:r>
          </w:p>
        </w:tc>
        <w:tc>
          <w:tcPr>
            <w:tcW w:w="3686" w:type="dxa"/>
            <w:shd w:val="clear" w:color="auto" w:fill="auto"/>
            <w:vAlign w:val="center"/>
          </w:tcPr>
          <w:p w14:paraId="6C2E2525"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153E292"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5B4C7624" w14:textId="77777777" w:rsidTr="006A283D">
        <w:trPr>
          <w:trHeight w:val="564"/>
          <w:tblHeader/>
        </w:trPr>
        <w:tc>
          <w:tcPr>
            <w:tcW w:w="9634" w:type="dxa"/>
            <w:shd w:val="clear" w:color="auto" w:fill="auto"/>
            <w:vAlign w:val="center"/>
          </w:tcPr>
          <w:p w14:paraId="6D7AC384" w14:textId="77777777" w:rsidR="004C0299" w:rsidRPr="007B5B78" w:rsidRDefault="004C0299"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mendapatkan faktor RSF 5% (lima persen)</w:t>
            </w:r>
          </w:p>
          <w:p w14:paraId="19AB8D70" w14:textId="77777777" w:rsidR="004C0299" w:rsidRPr="007B5B78" w:rsidRDefault="004C0299" w:rsidP="007B5B78">
            <w:pPr>
              <w:pStyle w:val="ListParagraph"/>
              <w:spacing w:after="0" w:line="240" w:lineRule="auto"/>
              <w:ind w:left="1701"/>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mendapat faktor RSF 5% (lima persen) meliputi HQLA Level 1 yang memenuhi persyaratan:</w:t>
            </w:r>
          </w:p>
          <w:p w14:paraId="1419CF14" w14:textId="77777777" w:rsidR="004C0299" w:rsidRPr="007B5B78" w:rsidRDefault="004C0299" w:rsidP="00A32F86">
            <w:pPr>
              <w:pStyle w:val="ListParagraph"/>
              <w:numPr>
                <w:ilvl w:val="0"/>
                <w:numId w:val="172"/>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 dan</w:t>
            </w:r>
          </w:p>
          <w:p w14:paraId="46F2582C" w14:textId="1D59ABA0" w:rsidR="004C0299" w:rsidRPr="007B5B78" w:rsidRDefault="004C0299" w:rsidP="00A32F86">
            <w:pPr>
              <w:pStyle w:val="ListParagraph"/>
              <w:numPr>
                <w:ilvl w:val="0"/>
                <w:numId w:val="172"/>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tidak termasuk aset yang telah mendapat faktor RSF 0% (nol persen).</w:t>
            </w:r>
          </w:p>
        </w:tc>
        <w:tc>
          <w:tcPr>
            <w:tcW w:w="3686" w:type="dxa"/>
            <w:shd w:val="clear" w:color="auto" w:fill="auto"/>
            <w:vAlign w:val="center"/>
          </w:tcPr>
          <w:p w14:paraId="5A2D7510"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1CF0C1EE"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4C0299" w:rsidRPr="006A283D" w14:paraId="153B1818" w14:textId="77777777" w:rsidTr="006A283D">
        <w:trPr>
          <w:trHeight w:val="564"/>
          <w:tblHeader/>
        </w:trPr>
        <w:tc>
          <w:tcPr>
            <w:tcW w:w="9634" w:type="dxa"/>
            <w:shd w:val="clear" w:color="auto" w:fill="auto"/>
            <w:vAlign w:val="center"/>
          </w:tcPr>
          <w:p w14:paraId="5CCCEE05" w14:textId="77777777" w:rsidR="004C0299" w:rsidRPr="007B5B78" w:rsidRDefault="004C0299"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A</w:t>
            </w:r>
            <w:r w:rsidRPr="007B5B78">
              <w:rPr>
                <w:rFonts w:ascii="Bookman Old Style" w:eastAsia="Times New Roman" w:hAnsi="Bookman Old Style" w:cs="Arial"/>
                <w:sz w:val="20"/>
                <w:szCs w:val="20"/>
              </w:rPr>
              <w:t>set yang mendapatkan faktor RSF 10% (sepuluh persen)</w:t>
            </w:r>
          </w:p>
          <w:p w14:paraId="3CD40B76" w14:textId="77777777" w:rsidR="004C0299" w:rsidRPr="007B5B78" w:rsidRDefault="004C0299" w:rsidP="007B5B78">
            <w:pPr>
              <w:pStyle w:val="ListParagraph"/>
              <w:spacing w:after="0" w:line="240" w:lineRule="auto"/>
              <w:ind w:left="1701"/>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mendapatkan faktor RSF 10% (sepuluh persen) adalah</w:t>
            </w:r>
            <w:r w:rsidRPr="007B5B78">
              <w:rPr>
                <w:rFonts w:ascii="Bookman Old Style" w:eastAsia="Times New Roman" w:hAnsi="Bookman Old Style" w:cs="Arial"/>
                <w:sz w:val="20"/>
                <w:szCs w:val="20"/>
                <w:lang w:val="en-US"/>
              </w:rPr>
              <w:t xml:space="preserve"> p</w:t>
            </w:r>
            <w:r w:rsidRPr="007B5B78">
              <w:rPr>
                <w:rFonts w:ascii="Bookman Old Style" w:eastAsia="Times New Roman" w:hAnsi="Bookman Old Style" w:cs="Arial"/>
                <w:sz w:val="20"/>
                <w:szCs w:val="20"/>
              </w:rPr>
              <w:t>embiayaan kepada lembaga keuangan, yang memenuhi persyaratan:</w:t>
            </w:r>
          </w:p>
          <w:p w14:paraId="2DC878F2" w14:textId="77777777" w:rsidR="004C0299" w:rsidRPr="007B5B78" w:rsidRDefault="004C0299" w:rsidP="00A32F86">
            <w:pPr>
              <w:pStyle w:val="ListParagraph"/>
              <w:numPr>
                <w:ilvl w:val="0"/>
                <w:numId w:val="173"/>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p>
          <w:p w14:paraId="7ED4B5E6" w14:textId="77777777" w:rsidR="004C0299" w:rsidRPr="007B5B78" w:rsidRDefault="004C0299" w:rsidP="00A32F86">
            <w:pPr>
              <w:pStyle w:val="ListParagraph"/>
              <w:numPr>
                <w:ilvl w:val="0"/>
                <w:numId w:val="173"/>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 xml:space="preserve">merupakan </w:t>
            </w: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Tidak Bermasalah (</w:t>
            </w:r>
            <w:r w:rsidRPr="007B5B78">
              <w:rPr>
                <w:rFonts w:ascii="Bookman Old Style" w:eastAsia="Times New Roman" w:hAnsi="Bookman Old Style" w:cs="Arial"/>
                <w:i/>
                <w:sz w:val="20"/>
                <w:szCs w:val="20"/>
              </w:rPr>
              <w:t xml:space="preserve">Performing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w:t>
            </w:r>
          </w:p>
          <w:p w14:paraId="41533E87" w14:textId="77777777" w:rsidR="004C0299" w:rsidRPr="007B5B78" w:rsidRDefault="004C0299" w:rsidP="00A32F86">
            <w:pPr>
              <w:pStyle w:val="ListParagraph"/>
              <w:numPr>
                <w:ilvl w:val="0"/>
                <w:numId w:val="173"/>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memiliki sisa jangka waktu kurang dari 6 (enam) bulan;</w:t>
            </w:r>
          </w:p>
          <w:p w14:paraId="31929231" w14:textId="77777777" w:rsidR="004C0299" w:rsidRPr="007B5B78" w:rsidRDefault="004C0299" w:rsidP="00A32F86">
            <w:pPr>
              <w:pStyle w:val="ListParagraph"/>
              <w:numPr>
                <w:ilvl w:val="0"/>
                <w:numId w:val="173"/>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dijamin dengan HQLA Level 1; dan</w:t>
            </w:r>
          </w:p>
          <w:p w14:paraId="5EFF30C6" w14:textId="77777777" w:rsidR="004C0299" w:rsidRPr="007B5B78" w:rsidRDefault="004C0299" w:rsidP="00A32F86">
            <w:pPr>
              <w:pStyle w:val="ListParagraph"/>
              <w:numPr>
                <w:ilvl w:val="0"/>
                <w:numId w:val="173"/>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agunan yang diperoleh dapat secara bebas digunakan kembali atau diagunkan kembali (rehipotek) selama jangka waktu pembiayaan.</w:t>
            </w:r>
          </w:p>
          <w:p w14:paraId="4953B97E" w14:textId="77777777" w:rsidR="007B5B78" w:rsidRPr="007B5B78" w:rsidRDefault="004C0299" w:rsidP="007B5B78">
            <w:pPr>
              <w:spacing w:after="0" w:line="240" w:lineRule="auto"/>
              <w:ind w:left="2268"/>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lastRenderedPageBreak/>
              <w:t>Contoh:</w:t>
            </w:r>
          </w:p>
          <w:p w14:paraId="1D056506" w14:textId="2A2ADC57" w:rsidR="004C0299" w:rsidRPr="007B5B78" w:rsidRDefault="004C0299" w:rsidP="007B5B78">
            <w:pPr>
              <w:spacing w:after="0" w:line="240" w:lineRule="auto"/>
              <w:ind w:left="2268"/>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pembiayaan dengan agunan (</w:t>
            </w:r>
            <w:r w:rsidRPr="007B5B78">
              <w:rPr>
                <w:rFonts w:ascii="Bookman Old Style" w:eastAsia="Times New Roman" w:hAnsi="Bookman Old Style" w:cs="Arial"/>
                <w:i/>
                <w:sz w:val="20"/>
                <w:szCs w:val="20"/>
              </w:rPr>
              <w:t xml:space="preserve">secured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 antara lain tagihan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i/>
                <w:sz w:val="20"/>
                <w:szCs w:val="20"/>
              </w:rPr>
              <w:t>reverse repo.</w:t>
            </w:r>
          </w:p>
        </w:tc>
        <w:tc>
          <w:tcPr>
            <w:tcW w:w="3686" w:type="dxa"/>
            <w:shd w:val="clear" w:color="auto" w:fill="auto"/>
            <w:vAlign w:val="center"/>
          </w:tcPr>
          <w:p w14:paraId="73014B2D"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13ADFFCD" w14:textId="77777777" w:rsidR="004C0299" w:rsidRPr="006A283D" w:rsidRDefault="004C0299"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77546DE5" w14:textId="77777777" w:rsidTr="006A283D">
        <w:trPr>
          <w:trHeight w:val="564"/>
          <w:tblHeader/>
        </w:trPr>
        <w:tc>
          <w:tcPr>
            <w:tcW w:w="9634" w:type="dxa"/>
            <w:shd w:val="clear" w:color="auto" w:fill="auto"/>
            <w:vAlign w:val="center"/>
          </w:tcPr>
          <w:p w14:paraId="5CD86AE7" w14:textId="77777777" w:rsidR="007B5B78" w:rsidRPr="007B5B78" w:rsidRDefault="007B5B78"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mendapatkan faktor RSF 15% (lima belas persen) terdiri atas:</w:t>
            </w:r>
          </w:p>
          <w:p w14:paraId="7589F58F" w14:textId="77777777" w:rsidR="007B5B78" w:rsidRPr="007B5B78" w:rsidRDefault="007B5B78" w:rsidP="00A32F86">
            <w:pPr>
              <w:pStyle w:val="ListParagraph"/>
              <w:numPr>
                <w:ilvl w:val="0"/>
                <w:numId w:val="174"/>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pembiayaan kepada lembaga keuangan, yang memenuhi persyaratan:</w:t>
            </w:r>
          </w:p>
          <w:p w14:paraId="489E6064" w14:textId="77777777" w:rsidR="007B5B78" w:rsidRPr="007B5B78" w:rsidRDefault="007B5B78" w:rsidP="00A32F86">
            <w:pPr>
              <w:pStyle w:val="ListParagraph"/>
              <w:numPr>
                <w:ilvl w:val="0"/>
                <w:numId w:val="175"/>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r w:rsidRPr="007B5B78">
              <w:rPr>
                <w:rFonts w:ascii="Bookman Old Style" w:eastAsia="Times New Roman" w:hAnsi="Bookman Old Style" w:cs="Arial"/>
                <w:i/>
                <w:sz w:val="20"/>
                <w:szCs w:val="20"/>
              </w:rPr>
              <w:t>;</w:t>
            </w:r>
          </w:p>
          <w:p w14:paraId="7EE4B677" w14:textId="77777777" w:rsidR="007B5B78" w:rsidRPr="007B5B78" w:rsidRDefault="007B5B78" w:rsidP="00A32F86">
            <w:pPr>
              <w:pStyle w:val="ListParagraph"/>
              <w:numPr>
                <w:ilvl w:val="0"/>
                <w:numId w:val="175"/>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 xml:space="preserve">merupakan </w:t>
            </w:r>
            <w:r w:rsidRPr="007B5B78">
              <w:rPr>
                <w:rFonts w:ascii="Bookman Old Style" w:eastAsia="Times New Roman" w:hAnsi="Bookman Old Style" w:cs="Arial"/>
                <w:sz w:val="20"/>
                <w:szCs w:val="20"/>
                <w:lang w:val="en-US"/>
              </w:rPr>
              <w:t>Pembiayaan</w:t>
            </w:r>
            <w:r w:rsidRPr="007B5B78">
              <w:rPr>
                <w:rFonts w:ascii="Bookman Old Style" w:eastAsia="Times New Roman" w:hAnsi="Bookman Old Style" w:cs="Arial"/>
                <w:sz w:val="20"/>
                <w:szCs w:val="20"/>
              </w:rPr>
              <w:t xml:space="preserve"> Tidak Bermasalah (</w:t>
            </w:r>
            <w:r w:rsidRPr="007B5B78">
              <w:rPr>
                <w:rFonts w:ascii="Bookman Old Style" w:eastAsia="Times New Roman" w:hAnsi="Bookman Old Style" w:cs="Arial"/>
                <w:i/>
                <w:sz w:val="20"/>
                <w:szCs w:val="20"/>
              </w:rPr>
              <w:t xml:space="preserve">Performing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w:t>
            </w:r>
          </w:p>
          <w:p w14:paraId="2738E0C7" w14:textId="77777777" w:rsidR="007B5B78" w:rsidRPr="007B5B78" w:rsidRDefault="007B5B78" w:rsidP="00A32F86">
            <w:pPr>
              <w:pStyle w:val="ListParagraph"/>
              <w:numPr>
                <w:ilvl w:val="0"/>
                <w:numId w:val="175"/>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memiliki sisa jangka waktu kurang dari 6 (enam) bulan; dan</w:t>
            </w:r>
          </w:p>
          <w:p w14:paraId="4C13FB59" w14:textId="77777777" w:rsidR="007B5B78" w:rsidRPr="007B5B78" w:rsidRDefault="007B5B78" w:rsidP="00A32F86">
            <w:pPr>
              <w:pStyle w:val="ListParagraph"/>
              <w:numPr>
                <w:ilvl w:val="0"/>
                <w:numId w:val="175"/>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tidak memenuhi kriteria aset yang mendapat faktor RSF 10% (sepuluh persen);</w:t>
            </w:r>
          </w:p>
          <w:p w14:paraId="00DD4B64" w14:textId="77777777" w:rsidR="007B5B78" w:rsidRPr="007B5B78" w:rsidRDefault="007B5B78" w:rsidP="00A32F86">
            <w:pPr>
              <w:pStyle w:val="ListParagraph"/>
              <w:numPr>
                <w:ilvl w:val="0"/>
                <w:numId w:val="174"/>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HQLA Level 2A yang 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 dan</w:t>
            </w:r>
          </w:p>
          <w:p w14:paraId="3FDB85CE" w14:textId="3E2086B9" w:rsidR="007B5B78" w:rsidRPr="007B5B78" w:rsidRDefault="007B5B78" w:rsidP="00A32F86">
            <w:pPr>
              <w:pStyle w:val="ListParagraph"/>
              <w:numPr>
                <w:ilvl w:val="0"/>
                <w:numId w:val="174"/>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Simpanan</w:t>
            </w:r>
            <w:r w:rsidRPr="007B5B78">
              <w:rPr>
                <w:rFonts w:ascii="Bookman Old Style" w:eastAsia="Times New Roman" w:hAnsi="Bookman Old Style" w:cs="Arial"/>
                <w:sz w:val="20"/>
                <w:szCs w:val="20"/>
              </w:rPr>
              <w:t xml:space="preserve"> atau penempatan dana pada Bank lain dan lembaga keuangan bukan Bank untuk keperluan selain aktivitas operasional dengan sisa jangka waktu kurang dari 6 (enam) bulan, termasuk Simpanan tanpa jangka waktu (contoh: giro dan tabungan).</w:t>
            </w:r>
          </w:p>
        </w:tc>
        <w:tc>
          <w:tcPr>
            <w:tcW w:w="3686" w:type="dxa"/>
            <w:shd w:val="clear" w:color="auto" w:fill="auto"/>
            <w:vAlign w:val="center"/>
          </w:tcPr>
          <w:p w14:paraId="63A8F5AB"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3E5860C"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4C6BAC5C" w14:textId="77777777" w:rsidTr="006A283D">
        <w:trPr>
          <w:trHeight w:val="564"/>
          <w:tblHeader/>
        </w:trPr>
        <w:tc>
          <w:tcPr>
            <w:tcW w:w="9634" w:type="dxa"/>
            <w:shd w:val="clear" w:color="auto" w:fill="auto"/>
            <w:vAlign w:val="center"/>
          </w:tcPr>
          <w:p w14:paraId="1AD8906A" w14:textId="77777777" w:rsidR="007B5B78" w:rsidRPr="007B5B78" w:rsidRDefault="007B5B78"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Aset yang mendapatkan faktor RSF 50% (lima puluh persen) terdiri atas:</w:t>
            </w:r>
          </w:p>
          <w:p w14:paraId="01290169" w14:textId="77777777" w:rsidR="007B5B78" w:rsidRPr="007B5B78" w:rsidRDefault="007B5B78" w:rsidP="00A32F86">
            <w:pPr>
              <w:pStyle w:val="ListParagraph"/>
              <w:numPr>
                <w:ilvl w:val="0"/>
                <w:numId w:val="176"/>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HQLA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Level</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2B</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yang</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bebas</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dari</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segala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klaim</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p>
          <w:p w14:paraId="1D27D6E3" w14:textId="77777777" w:rsidR="007B5B78" w:rsidRPr="007B5B78" w:rsidRDefault="007B5B78" w:rsidP="00A32F86">
            <w:pPr>
              <w:pStyle w:val="ListParagraph"/>
              <w:numPr>
                <w:ilvl w:val="0"/>
                <w:numId w:val="176"/>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 xml:space="preserve">Simpanan </w:t>
            </w:r>
            <w:r w:rsidRPr="007B5B78">
              <w:rPr>
                <w:rFonts w:ascii="Bookman Old Style" w:eastAsia="Times New Roman" w:hAnsi="Bookman Old Style" w:cs="Arial"/>
                <w:sz w:val="20"/>
                <w:szCs w:val="20"/>
              </w:rPr>
              <w:t>atau</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penempatan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dana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pada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lembaga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keuangan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lain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untuk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keperluan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aktivitas</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operasional</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yang</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mendapatkan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faktor</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ASF</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50%</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(lima puluh persen).</w:t>
            </w:r>
          </w:p>
          <w:p w14:paraId="1C6B8FB8"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Contoh:</w:t>
            </w:r>
          </w:p>
          <w:p w14:paraId="65754F3C"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Penempatan dana untuk kegiatan kliring, kustodian, atau </w:t>
            </w:r>
            <w:r w:rsidRPr="007B5B78">
              <w:rPr>
                <w:rFonts w:ascii="Bookman Old Style" w:eastAsia="Times New Roman" w:hAnsi="Bookman Old Style" w:cs="Arial"/>
                <w:i/>
                <w:sz w:val="20"/>
                <w:szCs w:val="20"/>
              </w:rPr>
              <w:t>cash management</w:t>
            </w:r>
            <w:r w:rsidRPr="007B5B78">
              <w:rPr>
                <w:rFonts w:ascii="Bookman Old Style" w:eastAsia="Times New Roman" w:hAnsi="Bookman Old Style" w:cs="Arial"/>
                <w:sz w:val="20"/>
                <w:szCs w:val="20"/>
              </w:rPr>
              <w:t>;</w:t>
            </w:r>
          </w:p>
          <w:p w14:paraId="606D9AA2" w14:textId="77777777" w:rsidR="007B5B78" w:rsidRPr="007B5B78" w:rsidRDefault="007B5B78" w:rsidP="00A32F86">
            <w:pPr>
              <w:pStyle w:val="ListParagraph"/>
              <w:numPr>
                <w:ilvl w:val="0"/>
                <w:numId w:val="176"/>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Simpanan</w:t>
            </w:r>
            <w:r w:rsidRPr="007B5B78">
              <w:rPr>
                <w:rFonts w:ascii="Bookman Old Style" w:eastAsia="Times New Roman" w:hAnsi="Bookman Old Style" w:cs="Arial"/>
                <w:sz w:val="20"/>
                <w:szCs w:val="20"/>
              </w:rPr>
              <w:t xml:space="preserve"> atau penempatan dana pada Bank lain dan lembaga keuangan bukan Bank untuk keperluan selain aktivitas operasional dengan sisa jangka waktu 6 (enam) bulan sampai dengan 1 (satu) tahun;</w:t>
            </w:r>
          </w:p>
          <w:p w14:paraId="67D21550" w14:textId="77777777" w:rsidR="007B5B78" w:rsidRPr="007B5B78" w:rsidRDefault="007B5B78" w:rsidP="00A32F86">
            <w:pPr>
              <w:pStyle w:val="ListParagraph"/>
              <w:numPr>
                <w:ilvl w:val="0"/>
                <w:numId w:val="176"/>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P</w:t>
            </w:r>
            <w:r w:rsidRPr="007B5B78">
              <w:rPr>
                <w:rFonts w:ascii="Bookman Old Style" w:eastAsia="Times New Roman" w:hAnsi="Bookman Old Style" w:cs="Arial"/>
                <w:sz w:val="20"/>
                <w:szCs w:val="20"/>
              </w:rPr>
              <w:t>embiayaan pada Bank Indonesia, bank sentral negara lain, dan lembaga   keuangan   dengan   sisa   jangka   waktu 6 (enam) bulan sampai dengan 1 (satu) tahun;</w:t>
            </w:r>
          </w:p>
          <w:p w14:paraId="01887D73" w14:textId="77777777" w:rsidR="007B5B78" w:rsidRPr="007B5B78" w:rsidRDefault="007B5B78" w:rsidP="00A32F86">
            <w:pPr>
              <w:pStyle w:val="ListParagraph"/>
              <w:numPr>
                <w:ilvl w:val="0"/>
                <w:numId w:val="176"/>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seluruh HQLA yang memenuhi persyaratan:</w:t>
            </w:r>
          </w:p>
          <w:p w14:paraId="6C416104" w14:textId="77777777" w:rsidR="007B5B78" w:rsidRPr="007B5B78" w:rsidRDefault="007B5B78" w:rsidP="00A32F86">
            <w:pPr>
              <w:pStyle w:val="ListParagraph"/>
              <w:numPr>
                <w:ilvl w:val="0"/>
                <w:numId w:val="177"/>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tidak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bebas</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dari</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segala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klaim</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atau</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digunakan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sebagai</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jaminan (</w:t>
            </w:r>
            <w:r w:rsidRPr="007B5B78">
              <w:rPr>
                <w:rFonts w:ascii="Bookman Old Style" w:eastAsia="Times New Roman" w:hAnsi="Bookman Old Style" w:cs="Arial"/>
                <w:i/>
                <w:sz w:val="20"/>
                <w:szCs w:val="20"/>
              </w:rPr>
              <w:t>encumbered</w:t>
            </w:r>
            <w:r w:rsidRPr="007B5B78">
              <w:rPr>
                <w:rFonts w:ascii="Bookman Old Style" w:eastAsia="Times New Roman" w:hAnsi="Bookman Old Style" w:cs="Arial"/>
                <w:sz w:val="20"/>
                <w:szCs w:val="20"/>
              </w:rPr>
              <w:t>); dan</w:t>
            </w:r>
          </w:p>
          <w:p w14:paraId="2333D828" w14:textId="77777777" w:rsidR="007B5B78" w:rsidRPr="007B5B78" w:rsidRDefault="007B5B78" w:rsidP="00A32F86">
            <w:pPr>
              <w:pStyle w:val="ListParagraph"/>
              <w:numPr>
                <w:ilvl w:val="0"/>
                <w:numId w:val="177"/>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sisa jangka waktu penjaminan adalah 6 (enam) bulan sampai dengan kurang dari 1 (satu) tahun.</w:t>
            </w:r>
          </w:p>
          <w:p w14:paraId="16F845BC" w14:textId="77777777" w:rsidR="007B5B78" w:rsidRPr="007B5B78" w:rsidRDefault="007B5B78" w:rsidP="007B5B78">
            <w:pPr>
              <w:pStyle w:val="ListParagraph"/>
              <w:spacing w:after="0" w:line="240" w:lineRule="auto"/>
              <w:ind w:left="2835"/>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Contoh:</w:t>
            </w:r>
          </w:p>
          <w:p w14:paraId="4D97F08C" w14:textId="77777777" w:rsidR="007B5B78" w:rsidRPr="007B5B78" w:rsidRDefault="007B5B78" w:rsidP="007B5B78">
            <w:pPr>
              <w:pStyle w:val="ListParagraph"/>
              <w:spacing w:after="0" w:line="240" w:lineRule="auto"/>
              <w:ind w:left="2268" w:hanging="33"/>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HQLA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yang</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digunakan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sebagai</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jaminan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dalam</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transaksi repo; dan</w:t>
            </w:r>
          </w:p>
          <w:p w14:paraId="58F40DFD" w14:textId="77777777" w:rsidR="007B5B78" w:rsidRPr="007B5B78" w:rsidRDefault="007B5B78" w:rsidP="00A32F86">
            <w:pPr>
              <w:pStyle w:val="ListParagraph"/>
              <w:numPr>
                <w:ilvl w:val="0"/>
                <w:numId w:val="176"/>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seluruh aset yang tidak termasuk dalam kategori HQLA dan</w:t>
            </w:r>
            <w:r w:rsidRPr="007B5B78">
              <w:rPr>
                <w:rFonts w:ascii="Bookman Old Style" w:eastAsia="Times New Roman" w:hAnsi="Bookman Old Style" w:cs="Arial"/>
                <w:sz w:val="20"/>
                <w:szCs w:val="20"/>
              </w:rPr>
              <w:tab/>
              <w:t>tidak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termasuk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dalam</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kategori</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sebagaimana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 xml:space="preserve">dimaksud dalam angka 1 sampai </w:t>
            </w:r>
            <w:r w:rsidRPr="007B5B78">
              <w:rPr>
                <w:rFonts w:ascii="Bookman Old Style" w:eastAsia="Times New Roman" w:hAnsi="Bookman Old Style" w:cs="Arial"/>
                <w:sz w:val="20"/>
                <w:szCs w:val="20"/>
              </w:rPr>
              <w:lastRenderedPageBreak/>
              <w:t>dengan angka 5 huruf e dengan sisa jangka waktu kurang dari 1 (satu) tahun.</w:t>
            </w:r>
          </w:p>
          <w:p w14:paraId="35563E04"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Contoh:</w:t>
            </w:r>
          </w:p>
          <w:p w14:paraId="569AB7D8" w14:textId="7376F30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P</w:t>
            </w:r>
            <w:r w:rsidRPr="007B5B78">
              <w:rPr>
                <w:rFonts w:ascii="Bookman Old Style" w:eastAsia="Times New Roman" w:hAnsi="Bookman Old Style" w:cs="Arial"/>
                <w:sz w:val="20"/>
                <w:szCs w:val="20"/>
              </w:rPr>
              <w:t>embiayaan kepada korporasi non-keuangan, pembiayaan kepada nasabah perorangan dan nasabah usaha mikro dan usaha kecil, serta pembiayaan kepada pemerintah dan Entitas Sektor Publik.</w:t>
            </w:r>
          </w:p>
        </w:tc>
        <w:tc>
          <w:tcPr>
            <w:tcW w:w="3686" w:type="dxa"/>
            <w:shd w:val="clear" w:color="auto" w:fill="auto"/>
            <w:vAlign w:val="center"/>
          </w:tcPr>
          <w:p w14:paraId="088BBD47"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73E8FE2B"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2ACB85CA" w14:textId="77777777" w:rsidTr="006A283D">
        <w:trPr>
          <w:trHeight w:val="564"/>
          <w:tblHeader/>
        </w:trPr>
        <w:tc>
          <w:tcPr>
            <w:tcW w:w="9634" w:type="dxa"/>
            <w:shd w:val="clear" w:color="auto" w:fill="auto"/>
            <w:vAlign w:val="center"/>
          </w:tcPr>
          <w:p w14:paraId="4DD33840" w14:textId="77777777" w:rsidR="007B5B78" w:rsidRPr="007B5B78" w:rsidRDefault="007B5B78"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Aset yang mendapatkan faktor RSF 65% (enam puluh lima persen) terdiri atas:</w:t>
            </w:r>
          </w:p>
          <w:p w14:paraId="3B21CB6A" w14:textId="77777777" w:rsidR="007B5B78" w:rsidRPr="007B5B78" w:rsidRDefault="007B5B78" w:rsidP="00A32F86">
            <w:pPr>
              <w:pStyle w:val="ListParagraph"/>
              <w:numPr>
                <w:ilvl w:val="0"/>
                <w:numId w:val="178"/>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Pembiayaan</w:t>
            </w:r>
            <w:r w:rsidRPr="007B5B78">
              <w:rPr>
                <w:rFonts w:ascii="Bookman Old Style" w:eastAsia="Times New Roman" w:hAnsi="Bookman Old Style" w:cs="Arial"/>
                <w:sz w:val="20"/>
                <w:szCs w:val="20"/>
              </w:rPr>
              <w:t xml:space="preserve"> beragun rumah tinggal sebagaimana dimaksud dalam ketentuan Otoritas Jasa Keuangan yang mengatur mengenai perhitungan aset tertimbang menurut risiko untuk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risiko</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kredit dengan menggunakan pendekatan standar</w:t>
            </w:r>
            <w:r w:rsidRPr="007B5B78">
              <w:rPr>
                <w:rFonts w:ascii="Bookman Old Style" w:eastAsia="Times New Roman" w:hAnsi="Bookman Old Style" w:cs="Arial"/>
                <w:sz w:val="20"/>
                <w:szCs w:val="20"/>
                <w:lang w:val="en-US"/>
              </w:rPr>
              <w:t xml:space="preserve"> bagi bank umum syariah</w:t>
            </w:r>
            <w:r w:rsidRPr="007B5B78">
              <w:rPr>
                <w:rFonts w:ascii="Bookman Old Style" w:eastAsia="Times New Roman" w:hAnsi="Bookman Old Style" w:cs="Arial"/>
                <w:sz w:val="20"/>
                <w:szCs w:val="20"/>
              </w:rPr>
              <w:t>, yang memenuhi persyaratan:</w:t>
            </w:r>
          </w:p>
          <w:p w14:paraId="1A856505" w14:textId="77777777" w:rsidR="007B5B78" w:rsidRPr="007B5B78" w:rsidRDefault="007B5B78" w:rsidP="00A32F86">
            <w:pPr>
              <w:pStyle w:val="ListParagraph"/>
              <w:numPr>
                <w:ilvl w:val="0"/>
                <w:numId w:val="179"/>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 xml:space="preserve">merupakan </w:t>
            </w: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Tidak Bermasalah (</w:t>
            </w:r>
            <w:r w:rsidRPr="007B5B78">
              <w:rPr>
                <w:rFonts w:ascii="Bookman Old Style" w:eastAsia="Times New Roman" w:hAnsi="Bookman Old Style" w:cs="Arial"/>
                <w:i/>
                <w:sz w:val="20"/>
                <w:szCs w:val="20"/>
              </w:rPr>
              <w:t xml:space="preserve">Performing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w:t>
            </w:r>
          </w:p>
          <w:p w14:paraId="0A813D8C" w14:textId="77777777" w:rsidR="007B5B78" w:rsidRPr="007B5B78" w:rsidRDefault="007B5B78" w:rsidP="00A32F86">
            <w:pPr>
              <w:pStyle w:val="ListParagraph"/>
              <w:numPr>
                <w:ilvl w:val="0"/>
                <w:numId w:val="179"/>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p>
          <w:p w14:paraId="1B22D756" w14:textId="77777777" w:rsidR="007B5B78" w:rsidRPr="007B5B78" w:rsidRDefault="007B5B78" w:rsidP="00A32F86">
            <w:pPr>
              <w:pStyle w:val="ListParagraph"/>
              <w:numPr>
                <w:ilvl w:val="0"/>
                <w:numId w:val="179"/>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memiliki sisa jangka waktu 1 (satu) tahun atau lebih; dan</w:t>
            </w:r>
          </w:p>
          <w:p w14:paraId="22ABCFEB" w14:textId="77777777" w:rsidR="007B5B78" w:rsidRPr="007B5B78" w:rsidRDefault="007B5B78" w:rsidP="00A32F86">
            <w:pPr>
              <w:pStyle w:val="ListParagraph"/>
              <w:numPr>
                <w:ilvl w:val="0"/>
                <w:numId w:val="179"/>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dikenakan bobot risiko 35% (tiga puluh lima persen) atau kurang dalam perhitungan ATMR untuk risiko kredit dengan menggunakan pendekatan standar;</w:t>
            </w:r>
            <w:r w:rsidRPr="007B5B78">
              <w:rPr>
                <w:rFonts w:ascii="Bookman Old Style" w:eastAsia="Times New Roman" w:hAnsi="Bookman Old Style" w:cs="Arial"/>
                <w:sz w:val="20"/>
                <w:szCs w:val="20"/>
                <w:lang w:val="en-US"/>
              </w:rPr>
              <w:t xml:space="preserve"> dan</w:t>
            </w:r>
          </w:p>
          <w:p w14:paraId="34541D66" w14:textId="77777777" w:rsidR="007B5B78" w:rsidRPr="007B5B78" w:rsidRDefault="007B5B78" w:rsidP="00A32F86">
            <w:pPr>
              <w:pStyle w:val="ListParagraph"/>
              <w:numPr>
                <w:ilvl w:val="0"/>
                <w:numId w:val="178"/>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lang w:val="en-US"/>
              </w:rPr>
              <w:t>P</w:t>
            </w:r>
            <w:r w:rsidRPr="007B5B78">
              <w:rPr>
                <w:rFonts w:ascii="Bookman Old Style" w:eastAsia="Times New Roman" w:hAnsi="Bookman Old Style" w:cs="Arial"/>
                <w:sz w:val="20"/>
                <w:szCs w:val="20"/>
              </w:rPr>
              <w:t xml:space="preserve">embiayaan lain yang tidak termasuk kategori sebagaimana dimaksud dalam angka 1 sampai dengan butir 6.a dan tidak termasuk </w:t>
            </w: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kepada lembaga keuangan, yang memenuhi persyaratan:</w:t>
            </w:r>
          </w:p>
          <w:p w14:paraId="19F8A048" w14:textId="77777777" w:rsidR="007B5B78" w:rsidRPr="007B5B78" w:rsidRDefault="007B5B78" w:rsidP="00A32F86">
            <w:pPr>
              <w:pStyle w:val="ListParagraph"/>
              <w:numPr>
                <w:ilvl w:val="0"/>
                <w:numId w:val="180"/>
              </w:numPr>
              <w:spacing w:after="0" w:line="240" w:lineRule="auto"/>
              <w:ind w:left="2835"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 xml:space="preserve">merupakan </w:t>
            </w:r>
            <w:r w:rsidRPr="007B5B78">
              <w:rPr>
                <w:rFonts w:ascii="Bookman Old Style" w:eastAsia="Times New Roman" w:hAnsi="Bookman Old Style" w:cs="Arial"/>
                <w:sz w:val="20"/>
                <w:szCs w:val="20"/>
                <w:lang w:val="en-US"/>
              </w:rPr>
              <w:t>pembiayaan</w:t>
            </w:r>
            <w:r w:rsidRPr="007B5B78">
              <w:rPr>
                <w:rFonts w:ascii="Bookman Old Style" w:eastAsia="Times New Roman" w:hAnsi="Bookman Old Style" w:cs="Arial"/>
                <w:sz w:val="20"/>
                <w:szCs w:val="20"/>
              </w:rPr>
              <w:t xml:space="preserve"> Tidak Bermasalah (</w:t>
            </w:r>
            <w:r w:rsidRPr="007B5B78">
              <w:rPr>
                <w:rFonts w:ascii="Bookman Old Style" w:eastAsia="Times New Roman" w:hAnsi="Bookman Old Style" w:cs="Arial"/>
                <w:i/>
                <w:sz w:val="20"/>
                <w:szCs w:val="20"/>
              </w:rPr>
              <w:t xml:space="preserve">Performing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w:t>
            </w:r>
          </w:p>
          <w:p w14:paraId="7229B5E8" w14:textId="77777777" w:rsidR="007B5B78" w:rsidRPr="007B5B78" w:rsidRDefault="007B5B78" w:rsidP="00A32F86">
            <w:pPr>
              <w:pStyle w:val="ListParagraph"/>
              <w:numPr>
                <w:ilvl w:val="0"/>
                <w:numId w:val="18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p>
          <w:p w14:paraId="3489ED73" w14:textId="77777777" w:rsidR="007B5B78" w:rsidRPr="007B5B78" w:rsidRDefault="007B5B78" w:rsidP="00A32F86">
            <w:pPr>
              <w:pStyle w:val="ListParagraph"/>
              <w:numPr>
                <w:ilvl w:val="0"/>
                <w:numId w:val="18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memiliki sisa jangka waktu 1 (satu) tahun atau lebih; dan</w:t>
            </w:r>
          </w:p>
          <w:p w14:paraId="17932FE9" w14:textId="5BC1CAB2" w:rsidR="007B5B78" w:rsidRPr="007B5B78" w:rsidRDefault="007B5B78" w:rsidP="00A32F86">
            <w:pPr>
              <w:pStyle w:val="ListParagraph"/>
              <w:numPr>
                <w:ilvl w:val="0"/>
                <w:numId w:val="18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dikenakan bobot risiko 35% (tiga puluh lima persen) atau kurang dalam perhitungan ATMR untuk risiko kredit dengan menggunakan pendekatan standar</w:t>
            </w:r>
            <w:r w:rsidRPr="007B5B78">
              <w:rPr>
                <w:rFonts w:ascii="Bookman Old Style" w:eastAsia="Times New Roman" w:hAnsi="Bookman Old Style" w:cs="Arial"/>
                <w:sz w:val="20"/>
                <w:szCs w:val="20"/>
                <w:lang w:val="en-US"/>
              </w:rPr>
              <w:t>.</w:t>
            </w:r>
          </w:p>
        </w:tc>
        <w:tc>
          <w:tcPr>
            <w:tcW w:w="3686" w:type="dxa"/>
            <w:shd w:val="clear" w:color="auto" w:fill="auto"/>
            <w:vAlign w:val="center"/>
          </w:tcPr>
          <w:p w14:paraId="04A1C967"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DB81A08"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7B8AA3E9" w14:textId="77777777" w:rsidTr="006A283D">
        <w:trPr>
          <w:trHeight w:val="564"/>
          <w:tblHeader/>
        </w:trPr>
        <w:tc>
          <w:tcPr>
            <w:tcW w:w="9634" w:type="dxa"/>
            <w:shd w:val="clear" w:color="auto" w:fill="auto"/>
            <w:vAlign w:val="center"/>
          </w:tcPr>
          <w:p w14:paraId="67865C05" w14:textId="77777777" w:rsidR="007B5B78" w:rsidRPr="007B5B78" w:rsidRDefault="007B5B78"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Aset yang mendapatkan faktor RSF 85% (delapan puluh lima persen) terdiri atas:</w:t>
            </w:r>
          </w:p>
          <w:p w14:paraId="28851EC2" w14:textId="77777777" w:rsidR="007B5B78" w:rsidRPr="007B5B78" w:rsidRDefault="007B5B78" w:rsidP="00A32F86">
            <w:pPr>
              <w:pStyle w:val="ListParagraph"/>
              <w:numPr>
                <w:ilvl w:val="0"/>
                <w:numId w:val="181"/>
              </w:numPr>
              <w:spacing w:after="0" w:line="240" w:lineRule="auto"/>
              <w:ind w:left="2268" w:hanging="567"/>
              <w:jc w:val="both"/>
              <w:rPr>
                <w:rFonts w:ascii="Bookman Old Style" w:eastAsia="Times New Roman" w:hAnsi="Bookman Old Style" w:cs="Arial"/>
                <w:sz w:val="20"/>
                <w:szCs w:val="20"/>
                <w:lang w:val="en-US"/>
              </w:rPr>
            </w:pPr>
            <w:r w:rsidRPr="007B5B78">
              <w:rPr>
                <w:rFonts w:ascii="Bookman Old Style" w:eastAsia="Times New Roman" w:hAnsi="Bookman Old Style" w:cs="Arial"/>
                <w:sz w:val="20"/>
                <w:szCs w:val="20"/>
              </w:rPr>
              <w:t>kas, surat berharga</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syariah, dan aset lainnya yang dicatat sebagai marjin awal (</w:t>
            </w:r>
            <w:r w:rsidRPr="007B5B78">
              <w:rPr>
                <w:rFonts w:ascii="Bookman Old Style" w:eastAsia="Times New Roman" w:hAnsi="Bookman Old Style" w:cs="Arial"/>
                <w:i/>
                <w:sz w:val="20"/>
                <w:szCs w:val="20"/>
              </w:rPr>
              <w:t>initial margin</w:t>
            </w:r>
            <w:r w:rsidRPr="007B5B78">
              <w:rPr>
                <w:rFonts w:ascii="Bookman Old Style" w:eastAsia="Times New Roman" w:hAnsi="Bookman Old Style" w:cs="Arial"/>
                <w:sz w:val="20"/>
                <w:szCs w:val="20"/>
              </w:rPr>
              <w:t xml:space="preserve">) untuk kontrak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dan kas atau aset lain yang diserahkan sebagai dana kontribusi (</w:t>
            </w:r>
            <w:r w:rsidRPr="007B5B78">
              <w:rPr>
                <w:rFonts w:ascii="Bookman Old Style" w:eastAsia="Times New Roman" w:hAnsi="Bookman Old Style" w:cs="Arial"/>
                <w:i/>
                <w:sz w:val="20"/>
                <w:szCs w:val="20"/>
              </w:rPr>
              <w:t>default fund</w:t>
            </w:r>
            <w:r w:rsidRPr="007B5B78">
              <w:rPr>
                <w:rFonts w:ascii="Bookman Old Style" w:eastAsia="Times New Roman" w:hAnsi="Bookman Old Style" w:cs="Arial"/>
                <w:sz w:val="20"/>
                <w:szCs w:val="20"/>
              </w:rPr>
              <w:t xml:space="preserve">) pada </w:t>
            </w:r>
            <w:r w:rsidRPr="007B5B78">
              <w:rPr>
                <w:rFonts w:ascii="Bookman Old Style" w:eastAsia="Times New Roman" w:hAnsi="Bookman Old Style" w:cs="Arial"/>
                <w:i/>
                <w:sz w:val="20"/>
                <w:szCs w:val="20"/>
              </w:rPr>
              <w:t xml:space="preserve">central counterparty </w:t>
            </w:r>
            <w:r w:rsidRPr="007B5B78">
              <w:rPr>
                <w:rFonts w:ascii="Bookman Old Style" w:eastAsia="Times New Roman" w:hAnsi="Bookman Old Style" w:cs="Arial"/>
                <w:sz w:val="20"/>
                <w:szCs w:val="20"/>
              </w:rPr>
              <w:t>(CCP).</w:t>
            </w:r>
          </w:p>
          <w:p w14:paraId="15F9C462"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Margin awal (</w:t>
            </w:r>
            <w:r w:rsidRPr="007B5B78">
              <w:rPr>
                <w:rFonts w:ascii="Bookman Old Style" w:eastAsia="Times New Roman" w:hAnsi="Bookman Old Style" w:cs="Arial"/>
                <w:i/>
                <w:sz w:val="20"/>
                <w:szCs w:val="20"/>
              </w:rPr>
              <w:t>initial margin</w:t>
            </w:r>
            <w:r w:rsidRPr="007B5B78">
              <w:rPr>
                <w:rFonts w:ascii="Bookman Old Style" w:eastAsia="Times New Roman" w:hAnsi="Bookman Old Style" w:cs="Arial"/>
                <w:sz w:val="20"/>
                <w:szCs w:val="20"/>
              </w:rPr>
              <w:t>) yang dicatat atas nama nasabah</w:t>
            </w:r>
            <w:r w:rsidRPr="007B5B78">
              <w:rPr>
                <w:rFonts w:ascii="Bookman Old Style" w:eastAsia="Times New Roman" w:hAnsi="Bookman Old Style" w:cs="Arial"/>
                <w:sz w:val="20"/>
                <w:szCs w:val="20"/>
              </w:rPr>
              <w:tab/>
              <w:t>dan</w:t>
            </w:r>
            <w:r w:rsidRPr="007B5B78">
              <w:rPr>
                <w:rFonts w:ascii="Bookman Old Style" w:eastAsia="Times New Roman" w:hAnsi="Bookman Old Style" w:cs="Arial"/>
                <w:sz w:val="20"/>
                <w:szCs w:val="20"/>
              </w:rPr>
              <w:tab/>
              <w:t>bank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tidak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memberikan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jaminan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atas</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kinerja dari pihak ketiga dapat dikecualikan dari aset yang mendapatkan faktor RSF 85% (delapan puluh lima persen).</w:t>
            </w:r>
          </w:p>
          <w:p w14:paraId="29EF9727"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Kondisi tersebut dapat terjadi ketika Bank menyediakan akses ke pihak ketiga (contoh: CCP) bagi nasabah dengan tujuan untuk melakukan </w:t>
            </w:r>
            <w:r w:rsidRPr="007B5B78">
              <w:rPr>
                <w:rFonts w:ascii="Bookman Old Style" w:eastAsia="Times New Roman" w:hAnsi="Bookman Old Style" w:cs="Arial"/>
                <w:sz w:val="20"/>
                <w:szCs w:val="20"/>
              </w:rPr>
              <w:lastRenderedPageBreak/>
              <w:t xml:space="preserve">kliring transaksi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dan transaksi dilakukan atas nama nasabah Bank.</w:t>
            </w:r>
          </w:p>
          <w:p w14:paraId="67868BCE"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Dalam hal surat berharga syariah atau aset lain tersebut mendapatkan faktor   RSF   yang   lebih   tinggi   dari 85% (delapan puluh lima persen) maka yang harus digunakan adalah faktor RSF di atas 85% (delapan puluh lima persen);</w:t>
            </w:r>
          </w:p>
          <w:p w14:paraId="2FAE5978" w14:textId="77777777" w:rsidR="007B5B78" w:rsidRPr="007B5B78" w:rsidRDefault="007B5B78" w:rsidP="00A32F86">
            <w:pPr>
              <w:pStyle w:val="ListParagraph"/>
              <w:numPr>
                <w:ilvl w:val="0"/>
                <w:numId w:val="181"/>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saham yang diperdagangkan di bursa, yang memenuhi persyaratan:</w:t>
            </w:r>
          </w:p>
          <w:p w14:paraId="4EAB1F31" w14:textId="77777777" w:rsidR="007B5B78" w:rsidRPr="007B5B78" w:rsidRDefault="007B5B78" w:rsidP="00A32F86">
            <w:pPr>
              <w:pStyle w:val="ListParagraph"/>
              <w:numPr>
                <w:ilvl w:val="0"/>
                <w:numId w:val="18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tidak mengalami gagal bayar (</w:t>
            </w:r>
            <w:r w:rsidRPr="007B5B78">
              <w:rPr>
                <w:rFonts w:ascii="Bookman Old Style" w:eastAsia="Times New Roman" w:hAnsi="Bookman Old Style" w:cs="Arial"/>
                <w:i/>
                <w:sz w:val="20"/>
                <w:szCs w:val="20"/>
              </w:rPr>
              <w:t>default</w:t>
            </w:r>
            <w:r w:rsidRPr="007B5B78">
              <w:rPr>
                <w:rFonts w:ascii="Bookman Old Style" w:eastAsia="Times New Roman" w:hAnsi="Bookman Old Style" w:cs="Arial"/>
                <w:sz w:val="20"/>
                <w:szCs w:val="20"/>
              </w:rPr>
              <w:t>); dan</w:t>
            </w:r>
          </w:p>
          <w:p w14:paraId="15D88966" w14:textId="77777777" w:rsidR="007B5B78" w:rsidRPr="007B5B78" w:rsidRDefault="007B5B78" w:rsidP="00A32F86">
            <w:pPr>
              <w:pStyle w:val="ListParagraph"/>
              <w:numPr>
                <w:ilvl w:val="0"/>
                <w:numId w:val="182"/>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tidak memenuhi kualifikasi sebagai HQLA;</w:t>
            </w:r>
          </w:p>
          <w:p w14:paraId="2F1BC56E" w14:textId="77777777" w:rsidR="007B5B78" w:rsidRPr="007B5B78" w:rsidRDefault="007B5B78" w:rsidP="00A32F86">
            <w:pPr>
              <w:pStyle w:val="ListParagraph"/>
              <w:numPr>
                <w:ilvl w:val="0"/>
                <w:numId w:val="181"/>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komoditas yang diperdagangkan, termasuk emas;</w:t>
            </w:r>
          </w:p>
          <w:p w14:paraId="5771C95A" w14:textId="77777777" w:rsidR="007B5B78" w:rsidRPr="007B5B78" w:rsidRDefault="007B5B78" w:rsidP="00A32F86">
            <w:pPr>
              <w:pStyle w:val="ListParagraph"/>
              <w:numPr>
                <w:ilvl w:val="0"/>
                <w:numId w:val="181"/>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pinjaman lain yang tidak termasuk </w:t>
            </w: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kepada lembaga keuangan, yang memenuhi persyaratan:</w:t>
            </w:r>
          </w:p>
          <w:p w14:paraId="43466AF8" w14:textId="77777777" w:rsidR="007B5B78" w:rsidRPr="007B5B78" w:rsidRDefault="007B5B78" w:rsidP="00A32F86">
            <w:pPr>
              <w:pStyle w:val="ListParagraph"/>
              <w:numPr>
                <w:ilvl w:val="0"/>
                <w:numId w:val="183"/>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merupakan </w:t>
            </w: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Tidak Bermasalah (</w:t>
            </w:r>
            <w:r w:rsidRPr="007B5B78">
              <w:rPr>
                <w:rFonts w:ascii="Bookman Old Style" w:eastAsia="Times New Roman" w:hAnsi="Bookman Old Style" w:cs="Arial"/>
                <w:i/>
                <w:sz w:val="20"/>
                <w:szCs w:val="20"/>
              </w:rPr>
              <w:t xml:space="preserve">Performing </w:t>
            </w:r>
            <w:r w:rsidRPr="007B5B78">
              <w:rPr>
                <w:rFonts w:ascii="Bookman Old Style" w:eastAsia="Times New Roman" w:hAnsi="Bookman Old Style" w:cs="Arial"/>
                <w:i/>
                <w:sz w:val="20"/>
                <w:szCs w:val="20"/>
                <w:lang w:val="en-US"/>
              </w:rPr>
              <w:t>Financing</w:t>
            </w:r>
            <w:r w:rsidRPr="007B5B78">
              <w:rPr>
                <w:rFonts w:ascii="Bookman Old Style" w:eastAsia="Times New Roman" w:hAnsi="Bookman Old Style" w:cs="Arial"/>
                <w:sz w:val="20"/>
                <w:szCs w:val="20"/>
              </w:rPr>
              <w:t>);</w:t>
            </w:r>
          </w:p>
          <w:p w14:paraId="7F828DCC" w14:textId="77777777" w:rsidR="007B5B78" w:rsidRPr="007B5B78" w:rsidRDefault="007B5B78" w:rsidP="00A32F86">
            <w:pPr>
              <w:pStyle w:val="ListParagraph"/>
              <w:numPr>
                <w:ilvl w:val="0"/>
                <w:numId w:val="183"/>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p>
          <w:p w14:paraId="4E86C5EB" w14:textId="77777777" w:rsidR="007B5B78" w:rsidRPr="007B5B78" w:rsidRDefault="007B5B78" w:rsidP="00A32F86">
            <w:pPr>
              <w:pStyle w:val="ListParagraph"/>
              <w:numPr>
                <w:ilvl w:val="0"/>
                <w:numId w:val="183"/>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memiliki sisa jangka waktu 1 (satu) tahun atau lebih; dan</w:t>
            </w:r>
          </w:p>
          <w:p w14:paraId="2363971F" w14:textId="77777777" w:rsidR="007B5B78" w:rsidRPr="007B5B78" w:rsidRDefault="007B5B78" w:rsidP="00A32F86">
            <w:pPr>
              <w:pStyle w:val="ListParagraph"/>
              <w:numPr>
                <w:ilvl w:val="0"/>
                <w:numId w:val="183"/>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tidak dikenakan bobot risiko 35% (tiga puluh lima persen) atau kurang dalam perhitungan ATMR untuk risiko kredit dengan menggunakan pendekatan standar.</w:t>
            </w:r>
          </w:p>
          <w:p w14:paraId="3EA9566E" w14:textId="77777777" w:rsidR="007B5B78" w:rsidRPr="007B5B78" w:rsidRDefault="007B5B78" w:rsidP="007B5B78">
            <w:pPr>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Contoh: </w:t>
            </w:r>
            <w:r w:rsidRPr="007B5B78">
              <w:rPr>
                <w:rFonts w:ascii="Bookman Old Style" w:eastAsia="Times New Roman" w:hAnsi="Bookman Old Style" w:cs="Arial"/>
                <w:sz w:val="20"/>
                <w:szCs w:val="20"/>
                <w:lang w:val="en-US"/>
              </w:rPr>
              <w:t xml:space="preserve">pembiayaan </w:t>
            </w:r>
            <w:r w:rsidRPr="007B5B78">
              <w:rPr>
                <w:rFonts w:ascii="Bookman Old Style" w:eastAsia="Times New Roman" w:hAnsi="Bookman Old Style" w:cs="Arial"/>
                <w:sz w:val="20"/>
                <w:szCs w:val="20"/>
              </w:rPr>
              <w:t>beragun properti komersial; dan</w:t>
            </w:r>
          </w:p>
          <w:p w14:paraId="01658F75" w14:textId="77777777" w:rsidR="007B5B78" w:rsidRPr="007B5B78" w:rsidRDefault="007B5B78" w:rsidP="00A32F86">
            <w:pPr>
              <w:pStyle w:val="ListParagraph"/>
              <w:numPr>
                <w:ilvl w:val="0"/>
                <w:numId w:val="181"/>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surat berharga syariah yang memenuhi persyaratan:</w:t>
            </w:r>
          </w:p>
          <w:p w14:paraId="303D38A6" w14:textId="77777777" w:rsidR="007B5B78" w:rsidRPr="007B5B78" w:rsidRDefault="007B5B78" w:rsidP="00A32F86">
            <w:pPr>
              <w:pStyle w:val="ListParagraph"/>
              <w:numPr>
                <w:ilvl w:val="0"/>
                <w:numId w:val="184"/>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bebas dari segala klaim (</w:t>
            </w:r>
            <w:r w:rsidRPr="007B5B78">
              <w:rPr>
                <w:rFonts w:ascii="Bookman Old Style" w:eastAsia="Times New Roman" w:hAnsi="Bookman Old Style" w:cs="Arial"/>
                <w:i/>
                <w:sz w:val="20"/>
                <w:szCs w:val="20"/>
              </w:rPr>
              <w:t>unencumbered</w:t>
            </w:r>
            <w:r w:rsidRPr="007B5B78">
              <w:rPr>
                <w:rFonts w:ascii="Bookman Old Style" w:eastAsia="Times New Roman" w:hAnsi="Bookman Old Style" w:cs="Arial"/>
                <w:sz w:val="20"/>
                <w:szCs w:val="20"/>
              </w:rPr>
              <w:t>);</w:t>
            </w:r>
          </w:p>
          <w:p w14:paraId="37B2F42D" w14:textId="77777777" w:rsidR="007B5B78" w:rsidRPr="007B5B78" w:rsidRDefault="007B5B78" w:rsidP="00A32F86">
            <w:pPr>
              <w:pStyle w:val="ListParagraph"/>
              <w:numPr>
                <w:ilvl w:val="0"/>
                <w:numId w:val="184"/>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memiliki sisa jangka waktu 1 (satu) tahun atau lebih;</w:t>
            </w:r>
          </w:p>
          <w:p w14:paraId="3E0DF860" w14:textId="77777777" w:rsidR="007B5B78" w:rsidRPr="007B5B78" w:rsidRDefault="007B5B78" w:rsidP="00A32F86">
            <w:pPr>
              <w:pStyle w:val="ListParagraph"/>
              <w:numPr>
                <w:ilvl w:val="0"/>
                <w:numId w:val="184"/>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tidak mengalami gagal bayar (</w:t>
            </w:r>
            <w:r w:rsidRPr="007B5B78">
              <w:rPr>
                <w:rFonts w:ascii="Bookman Old Style" w:eastAsia="Times New Roman" w:hAnsi="Bookman Old Style" w:cs="Arial"/>
                <w:i/>
                <w:sz w:val="20"/>
                <w:szCs w:val="20"/>
              </w:rPr>
              <w:t>default</w:t>
            </w:r>
            <w:r w:rsidRPr="007B5B78">
              <w:rPr>
                <w:rFonts w:ascii="Bookman Old Style" w:eastAsia="Times New Roman" w:hAnsi="Bookman Old Style" w:cs="Arial"/>
                <w:sz w:val="20"/>
                <w:szCs w:val="20"/>
              </w:rPr>
              <w:t>); dan</w:t>
            </w:r>
          </w:p>
          <w:p w14:paraId="1F8E8D5F" w14:textId="5ABDCA7D" w:rsidR="007B5B78" w:rsidRPr="007B5B78" w:rsidRDefault="007B5B78" w:rsidP="00A32F86">
            <w:pPr>
              <w:pStyle w:val="ListParagraph"/>
              <w:numPr>
                <w:ilvl w:val="0"/>
                <w:numId w:val="184"/>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tidak memenuhi kualifikasi sebagai HQLA.</w:t>
            </w:r>
          </w:p>
        </w:tc>
        <w:tc>
          <w:tcPr>
            <w:tcW w:w="3686" w:type="dxa"/>
            <w:shd w:val="clear" w:color="auto" w:fill="auto"/>
            <w:vAlign w:val="center"/>
          </w:tcPr>
          <w:p w14:paraId="3AD23042"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2C92170A"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63604D4E" w14:textId="77777777" w:rsidTr="006A283D">
        <w:trPr>
          <w:trHeight w:val="564"/>
          <w:tblHeader/>
        </w:trPr>
        <w:tc>
          <w:tcPr>
            <w:tcW w:w="9634" w:type="dxa"/>
            <w:shd w:val="clear" w:color="auto" w:fill="auto"/>
            <w:vAlign w:val="center"/>
          </w:tcPr>
          <w:p w14:paraId="5D1F0B6F" w14:textId="77777777" w:rsidR="007B5B78" w:rsidRPr="007B5B78" w:rsidRDefault="007B5B78" w:rsidP="00A32F86">
            <w:pPr>
              <w:pStyle w:val="ListParagraph"/>
              <w:numPr>
                <w:ilvl w:val="0"/>
                <w:numId w:val="169"/>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yang mendapatkan faktor RSF 100% (seratus persen) terdiri atas:</w:t>
            </w:r>
          </w:p>
          <w:p w14:paraId="0B069671" w14:textId="77777777" w:rsidR="007B5B78" w:rsidRPr="007B5B78" w:rsidRDefault="007B5B78" w:rsidP="00A32F86">
            <w:pPr>
              <w:pStyle w:val="ListParagraph"/>
              <w:numPr>
                <w:ilvl w:val="0"/>
                <w:numId w:val="185"/>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seluruh aset yang tidak bebas dari segala klaim atau digunakan sebagai jaminan (</w:t>
            </w:r>
            <w:r w:rsidRPr="007B5B78">
              <w:rPr>
                <w:rFonts w:ascii="Bookman Old Style" w:eastAsia="Times New Roman" w:hAnsi="Bookman Old Style" w:cs="Arial"/>
                <w:i/>
                <w:sz w:val="20"/>
                <w:szCs w:val="20"/>
              </w:rPr>
              <w:t>encumbered</w:t>
            </w:r>
            <w:r w:rsidRPr="007B5B78">
              <w:rPr>
                <w:rFonts w:ascii="Bookman Old Style" w:eastAsia="Times New Roman" w:hAnsi="Bookman Old Style" w:cs="Arial"/>
                <w:sz w:val="20"/>
                <w:szCs w:val="20"/>
              </w:rPr>
              <w:t>) dengan sisa jangka waktu penjaminan adalah 1 (satu) tahun atau lebih;</w:t>
            </w:r>
          </w:p>
          <w:p w14:paraId="16C61CDC" w14:textId="77777777" w:rsidR="007B5B78" w:rsidRPr="007B5B78" w:rsidRDefault="007B5B78" w:rsidP="00A32F86">
            <w:pPr>
              <w:pStyle w:val="ListParagraph"/>
              <w:numPr>
                <w:ilvl w:val="0"/>
                <w:numId w:val="185"/>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lang w:val="en-US"/>
              </w:rPr>
              <w:t>Simpanan</w:t>
            </w:r>
            <w:r w:rsidRPr="007B5B78">
              <w:rPr>
                <w:rFonts w:ascii="Bookman Old Style" w:eastAsia="Times New Roman" w:hAnsi="Bookman Old Style" w:cs="Arial"/>
                <w:sz w:val="20"/>
                <w:szCs w:val="20"/>
              </w:rPr>
              <w:t xml:space="preserve"> atau penempatan dana pada Bank lain dan lembaga keuangan bukan Bank untuk keperluan selain aktivitas operasional dengan sisa jangka waktu 1 (satu) tahun atau lebih;</w:t>
            </w:r>
          </w:p>
          <w:p w14:paraId="494DD30D" w14:textId="77777777" w:rsidR="007B5B78" w:rsidRPr="007B5B78" w:rsidRDefault="007B5B78" w:rsidP="00A32F86">
            <w:pPr>
              <w:pStyle w:val="ListParagraph"/>
              <w:numPr>
                <w:ilvl w:val="0"/>
                <w:numId w:val="185"/>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lainnya yang tidak termasuk dalam kategori sebagaimana dimaksud dalam angka 1 sampai dengan angka 8 huruf b, antara lain:</w:t>
            </w:r>
          </w:p>
          <w:p w14:paraId="49A67D3A"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Kredit Bermasalah (</w:t>
            </w:r>
            <w:r w:rsidRPr="007B5B78">
              <w:rPr>
                <w:rFonts w:ascii="Bookman Old Style" w:eastAsia="Times New Roman" w:hAnsi="Bookman Old Style" w:cs="Arial"/>
                <w:i/>
                <w:sz w:val="20"/>
                <w:szCs w:val="20"/>
              </w:rPr>
              <w:t>Non-Performing Loan</w:t>
            </w:r>
            <w:r w:rsidRPr="007B5B78">
              <w:rPr>
                <w:rFonts w:ascii="Bookman Old Style" w:eastAsia="Times New Roman" w:hAnsi="Bookman Old Style" w:cs="Arial"/>
                <w:sz w:val="20"/>
                <w:szCs w:val="20"/>
              </w:rPr>
              <w:t>);</w:t>
            </w:r>
          </w:p>
          <w:p w14:paraId="131EFC4E"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lang w:val="en-US"/>
              </w:rPr>
              <w:t>P</w:t>
            </w:r>
            <w:r w:rsidRPr="007B5B78">
              <w:rPr>
                <w:rFonts w:ascii="Bookman Old Style" w:eastAsia="Times New Roman" w:hAnsi="Bookman Old Style" w:cs="Arial"/>
                <w:sz w:val="20"/>
                <w:szCs w:val="20"/>
              </w:rPr>
              <w:t>embiayaan dengan kualitas Lancar dan Dalam Perhatian Khusus (</w:t>
            </w:r>
            <w:r w:rsidRPr="007B5B78">
              <w:rPr>
                <w:rFonts w:ascii="Bookman Old Style" w:eastAsia="Times New Roman" w:hAnsi="Bookman Old Style" w:cs="Arial"/>
                <w:i/>
                <w:sz w:val="20"/>
                <w:szCs w:val="20"/>
              </w:rPr>
              <w:t>Performing Loan</w:t>
            </w:r>
            <w:r w:rsidRPr="007B5B78">
              <w:rPr>
                <w:rFonts w:ascii="Bookman Old Style" w:eastAsia="Times New Roman" w:hAnsi="Bookman Old Style" w:cs="Arial"/>
                <w:sz w:val="20"/>
                <w:szCs w:val="20"/>
              </w:rPr>
              <w:t>) kepada lembaga keuangan yang memiliki sisa jangka waktu 1 (satu) tahun atau lebih;</w:t>
            </w:r>
          </w:p>
          <w:p w14:paraId="26C1F4D5"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saham yang tidak diperdagangkan di bursa;</w:t>
            </w:r>
          </w:p>
          <w:p w14:paraId="79DA6791"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aset tetap;</w:t>
            </w:r>
          </w:p>
          <w:p w14:paraId="4AC41DDC"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lastRenderedPageBreak/>
              <w:t>faktor-faktor pengurang modal sebagaimana dimaksud dalam POJK KPMM;</w:t>
            </w:r>
          </w:p>
          <w:p w14:paraId="60BA683F"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lang w:val="en-US"/>
              </w:rPr>
              <w:t>imbal hasil</w:t>
            </w:r>
            <w:r w:rsidRPr="007B5B78">
              <w:rPr>
                <w:rFonts w:ascii="Bookman Old Style" w:eastAsia="Times New Roman" w:hAnsi="Bookman Old Style" w:cs="Arial"/>
                <w:sz w:val="20"/>
                <w:szCs w:val="20"/>
              </w:rPr>
              <w:t xml:space="preserve"> tangguhan (</w:t>
            </w:r>
            <w:r w:rsidRPr="007B5B78">
              <w:rPr>
                <w:rFonts w:ascii="Bookman Old Style" w:eastAsia="Times New Roman" w:hAnsi="Bookman Old Style" w:cs="Arial"/>
                <w:i/>
                <w:sz w:val="20"/>
                <w:szCs w:val="20"/>
              </w:rPr>
              <w:t xml:space="preserve">retained </w:t>
            </w:r>
            <w:r w:rsidRPr="007B5B78">
              <w:rPr>
                <w:rFonts w:ascii="Bookman Old Style" w:eastAsia="Times New Roman" w:hAnsi="Bookman Old Style" w:cs="Arial"/>
                <w:i/>
                <w:sz w:val="20"/>
                <w:szCs w:val="20"/>
                <w:lang w:val="en-US"/>
              </w:rPr>
              <w:t>rate of return</w:t>
            </w:r>
            <w:r w:rsidRPr="007B5B78">
              <w:rPr>
                <w:rFonts w:ascii="Bookman Old Style" w:eastAsia="Times New Roman" w:hAnsi="Bookman Old Style" w:cs="Arial"/>
                <w:sz w:val="20"/>
                <w:szCs w:val="20"/>
              </w:rPr>
              <w:t>);</w:t>
            </w:r>
          </w:p>
          <w:p w14:paraId="6A3E253B"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kepentingan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dalam</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entitas</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anak</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w:t>
            </w:r>
            <w:r w:rsidRPr="007B5B78">
              <w:rPr>
                <w:rFonts w:ascii="Bookman Old Style" w:eastAsia="Times New Roman" w:hAnsi="Bookman Old Style" w:cs="Arial"/>
                <w:i/>
                <w:sz w:val="20"/>
                <w:szCs w:val="20"/>
              </w:rPr>
              <w:t>subsidiary interest</w:t>
            </w:r>
            <w:r w:rsidRPr="007B5B78">
              <w:rPr>
                <w:rFonts w:ascii="Bookman Old Style" w:eastAsia="Times New Roman" w:hAnsi="Bookman Old Style" w:cs="Arial"/>
                <w:sz w:val="20"/>
                <w:szCs w:val="20"/>
              </w:rPr>
              <w:t>)</w:t>
            </w:r>
            <w:r w:rsidRPr="007B5B78">
              <w:rPr>
                <w:rFonts w:ascii="Bookman Old Style" w:eastAsia="Times New Roman" w:hAnsi="Bookman Old Style" w:cs="Arial"/>
                <w:i/>
                <w:sz w:val="20"/>
                <w:szCs w:val="20"/>
              </w:rPr>
              <w:t xml:space="preserve">; </w:t>
            </w:r>
            <w:r w:rsidRPr="007B5B78">
              <w:rPr>
                <w:rFonts w:ascii="Bookman Old Style" w:eastAsia="Times New Roman" w:hAnsi="Bookman Old Style" w:cs="Arial"/>
                <w:sz w:val="20"/>
                <w:szCs w:val="20"/>
              </w:rPr>
              <w:t>dan</w:t>
            </w:r>
          </w:p>
          <w:p w14:paraId="6D273B4C" w14:textId="77777777" w:rsidR="007B5B78" w:rsidRPr="007B5B78" w:rsidRDefault="007B5B78" w:rsidP="00A32F86">
            <w:pPr>
              <w:pStyle w:val="ListParagraph"/>
              <w:numPr>
                <w:ilvl w:val="0"/>
                <w:numId w:val="186"/>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surat berharga syariah yang gagal bayar (</w:t>
            </w:r>
            <w:r w:rsidRPr="007B5B78">
              <w:rPr>
                <w:rFonts w:ascii="Bookman Old Style" w:eastAsia="Times New Roman" w:hAnsi="Bookman Old Style" w:cs="Arial"/>
                <w:i/>
                <w:sz w:val="20"/>
                <w:szCs w:val="20"/>
              </w:rPr>
              <w:t>default</w:t>
            </w:r>
            <w:r w:rsidRPr="007B5B78">
              <w:rPr>
                <w:rFonts w:ascii="Bookman Old Style" w:eastAsia="Times New Roman" w:hAnsi="Bookman Old Style" w:cs="Arial"/>
                <w:sz w:val="20"/>
                <w:szCs w:val="20"/>
              </w:rPr>
              <w:t>);</w:t>
            </w:r>
          </w:p>
          <w:p w14:paraId="151ABDE9" w14:textId="77777777" w:rsidR="007B5B78" w:rsidRPr="007B5B78" w:rsidRDefault="007B5B78" w:rsidP="00A32F86">
            <w:pPr>
              <w:pStyle w:val="ListParagraph"/>
              <w:numPr>
                <w:ilvl w:val="0"/>
                <w:numId w:val="185"/>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NSFR</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aset</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setelah</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dikurangi</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dengan</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NSFR</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liabilitas</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dengan formula:</w:t>
            </w:r>
          </w:p>
          <w:p w14:paraId="3DF44B51" w14:textId="77777777" w:rsidR="007B5B78" w:rsidRPr="007B5B78" w:rsidRDefault="007B5B78" w:rsidP="007B5B78">
            <w:pPr>
              <w:pStyle w:val="ListParagraph"/>
              <w:spacing w:after="0" w:line="240" w:lineRule="auto"/>
              <w:ind w:left="3119" w:hanging="851"/>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RSF = 100% x MAX [(NSFR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 NSFR liabilitas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0]</w:t>
            </w:r>
          </w:p>
          <w:p w14:paraId="5FFA3AB1"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Dalam hal nilai 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lebih besar dari NSFR liabilitas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nilai RSF adalah 100% x (NSFR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 NSFR liabilitas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w:t>
            </w:r>
          </w:p>
          <w:p w14:paraId="1DAA7118" w14:textId="77777777" w:rsidR="007B5B78" w:rsidRPr="007B5B78" w:rsidRDefault="007B5B78" w:rsidP="007B5B78">
            <w:pPr>
              <w:pStyle w:val="ListParagraph"/>
              <w:spacing w:after="0" w:line="240" w:lineRule="auto"/>
              <w:ind w:left="2268"/>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Dalam hal nilai 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lebih kecil dari NSFR liabilitas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nilai RSF adalah 100% x 0; dan</w:t>
            </w:r>
          </w:p>
          <w:p w14:paraId="243AD1D4" w14:textId="2EC16290" w:rsidR="007B5B78" w:rsidRPr="007B5B78" w:rsidRDefault="007B5B78" w:rsidP="00A32F86">
            <w:pPr>
              <w:pStyle w:val="ListParagraph"/>
              <w:numPr>
                <w:ilvl w:val="0"/>
                <w:numId w:val="185"/>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20% (dua puluh persen) dari liabilitas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sebagaimana dimaksud pada butir III.E. sebelum dikurangi dengan </w:t>
            </w:r>
            <w:r w:rsidRPr="007B5B78">
              <w:rPr>
                <w:rFonts w:ascii="Bookman Old Style" w:eastAsia="Times New Roman" w:hAnsi="Bookman Old Style" w:cs="Arial"/>
                <w:i/>
                <w:sz w:val="20"/>
                <w:szCs w:val="20"/>
              </w:rPr>
              <w:t>variation margin</w:t>
            </w:r>
            <w:r w:rsidRPr="007B5B78">
              <w:rPr>
                <w:rFonts w:ascii="Bookman Old Style" w:eastAsia="Times New Roman" w:hAnsi="Bookman Old Style" w:cs="Arial"/>
                <w:sz w:val="20"/>
                <w:szCs w:val="20"/>
              </w:rPr>
              <w:t>.</w:t>
            </w:r>
          </w:p>
        </w:tc>
        <w:tc>
          <w:tcPr>
            <w:tcW w:w="3686" w:type="dxa"/>
            <w:shd w:val="clear" w:color="auto" w:fill="auto"/>
            <w:vAlign w:val="center"/>
          </w:tcPr>
          <w:p w14:paraId="7F9072E6"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394ED4B"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07E88EB1" w14:textId="77777777" w:rsidTr="007B5B78">
        <w:trPr>
          <w:trHeight w:val="564"/>
          <w:tblHeader/>
        </w:trPr>
        <w:tc>
          <w:tcPr>
            <w:tcW w:w="9634" w:type="dxa"/>
            <w:shd w:val="clear" w:color="auto" w:fill="FFF2CC" w:themeFill="accent4" w:themeFillTint="33"/>
            <w:vAlign w:val="center"/>
          </w:tcPr>
          <w:p w14:paraId="60C003BD" w14:textId="7FF857C7" w:rsidR="007B5B78" w:rsidRPr="007B5B78" w:rsidRDefault="007B5B78" w:rsidP="00A32F86">
            <w:pPr>
              <w:pStyle w:val="BodyText"/>
              <w:numPr>
                <w:ilvl w:val="5"/>
                <w:numId w:val="28"/>
              </w:numPr>
              <w:ind w:left="1134" w:hanging="567"/>
              <w:rPr>
                <w:rFonts w:ascii="Bookman Old Style" w:hAnsi="Bookman Old Style"/>
                <w:sz w:val="20"/>
                <w:szCs w:val="20"/>
              </w:rPr>
            </w:pPr>
            <w:r w:rsidRPr="007B5B78">
              <w:rPr>
                <w:rFonts w:ascii="Bookman Old Style" w:hAnsi="Bookman Old Style"/>
                <w:sz w:val="20"/>
                <w:szCs w:val="20"/>
              </w:rPr>
              <w:t xml:space="preserve">Perhitungan Nilai Aset </w:t>
            </w:r>
            <w:r w:rsidRPr="007B5B78">
              <w:rPr>
                <w:rFonts w:ascii="Bookman Old Style" w:hAnsi="Bookman Old Style"/>
                <w:i/>
                <w:sz w:val="20"/>
                <w:szCs w:val="20"/>
              </w:rPr>
              <w:t>Hedging</w:t>
            </w:r>
            <w:r w:rsidRPr="007B5B78">
              <w:rPr>
                <w:rFonts w:ascii="Bookman Old Style" w:hAnsi="Bookman Old Style"/>
                <w:sz w:val="20"/>
                <w:szCs w:val="20"/>
              </w:rPr>
              <w:t xml:space="preserve"> Syariah</w:t>
            </w:r>
          </w:p>
        </w:tc>
        <w:tc>
          <w:tcPr>
            <w:tcW w:w="3686" w:type="dxa"/>
            <w:shd w:val="clear" w:color="auto" w:fill="FFF2CC" w:themeFill="accent4" w:themeFillTint="33"/>
            <w:vAlign w:val="center"/>
          </w:tcPr>
          <w:p w14:paraId="415C4765"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0C2BD073"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3605AA44" w14:textId="77777777" w:rsidTr="006A283D">
        <w:trPr>
          <w:trHeight w:val="564"/>
          <w:tblHeader/>
        </w:trPr>
        <w:tc>
          <w:tcPr>
            <w:tcW w:w="9634" w:type="dxa"/>
            <w:shd w:val="clear" w:color="auto" w:fill="auto"/>
            <w:vAlign w:val="center"/>
          </w:tcPr>
          <w:p w14:paraId="7D173B81" w14:textId="77777777"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Dalam menghitung nilai RSF sebagaimana dimaksud dalam huruf B, Bank memperhitungkan nilai RSF yang bersumber dari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w:t>
            </w:r>
          </w:p>
          <w:p w14:paraId="7F52CE41" w14:textId="77777777"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dihitung berdasarkan </w:t>
            </w:r>
            <w:r w:rsidRPr="007B5B78">
              <w:rPr>
                <w:rFonts w:ascii="Bookman Old Style" w:eastAsia="Times New Roman" w:hAnsi="Bookman Old Style" w:cs="Arial"/>
                <w:i/>
                <w:sz w:val="20"/>
                <w:szCs w:val="20"/>
              </w:rPr>
              <w:t xml:space="preserve">replacement cost </w:t>
            </w:r>
            <w:r w:rsidRPr="007B5B78">
              <w:rPr>
                <w:rFonts w:ascii="Bookman Old Style" w:eastAsia="Times New Roman" w:hAnsi="Bookman Old Style" w:cs="Arial"/>
                <w:sz w:val="20"/>
                <w:szCs w:val="20"/>
              </w:rPr>
              <w:t xml:space="preserve">kontrak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yang diperoleh melalui proses valuasi atas kontrak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Proses valuasi tersebut mencerminkan selisih positif atau potensi keuntungan antara nilai kontrak dengan nilai wajar (</w:t>
            </w:r>
            <w:r w:rsidRPr="007B5B78">
              <w:rPr>
                <w:rFonts w:ascii="Bookman Old Style" w:eastAsia="Times New Roman" w:hAnsi="Bookman Old Style" w:cs="Arial"/>
                <w:i/>
                <w:sz w:val="20"/>
                <w:szCs w:val="20"/>
              </w:rPr>
              <w:t>mark to market</w:t>
            </w:r>
            <w:r w:rsidRPr="007B5B78">
              <w:rPr>
                <w:rFonts w:ascii="Bookman Old Style" w:eastAsia="Times New Roman" w:hAnsi="Bookman Old Style" w:cs="Arial"/>
                <w:sz w:val="20"/>
                <w:szCs w:val="20"/>
              </w:rPr>
              <w:t xml:space="preserve">) transaksi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pada tanggal laporan.</w:t>
            </w:r>
          </w:p>
          <w:p w14:paraId="26BF8056" w14:textId="77777777"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Perhitungan nilai RSF untuk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terdiri atas:</w:t>
            </w:r>
          </w:p>
          <w:p w14:paraId="1BAB2C4D" w14:textId="77777777" w:rsidR="007B5B78" w:rsidRPr="007B5B78" w:rsidRDefault="007B5B78" w:rsidP="00A32F86">
            <w:pPr>
              <w:pStyle w:val="ListParagraph"/>
              <w:numPr>
                <w:ilvl w:val="0"/>
                <w:numId w:val="188"/>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hasil perkalian antara 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dengan faktor RSF 100% (seratus persen); dan</w:t>
            </w:r>
          </w:p>
          <w:p w14:paraId="10CF3D46" w14:textId="77777777" w:rsidR="007B5B78" w:rsidRPr="007B5B78" w:rsidRDefault="007B5B78" w:rsidP="00A32F86">
            <w:pPr>
              <w:pStyle w:val="ListParagraph"/>
              <w:numPr>
                <w:ilvl w:val="0"/>
                <w:numId w:val="188"/>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hasil perkalian antara 20% (dua puluh persen) dari jumlah liabilitas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(sebelum dikurangi dengan agunan kas yang diperoleh)   dengan   faktor   RSF</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100% (seratus persen).</w:t>
            </w:r>
          </w:p>
          <w:p w14:paraId="796E5BDA" w14:textId="77777777"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sebagaimana dimaksud dalam butir 3.a dihitung dengan formula:</w:t>
            </w:r>
          </w:p>
          <w:p w14:paraId="19C6A798" w14:textId="77777777" w:rsidR="007B5B78" w:rsidRPr="007B5B78" w:rsidRDefault="007B5B78" w:rsidP="007B5B78">
            <w:pPr>
              <w:pStyle w:val="ListParagraph"/>
              <w:spacing w:after="0" w:line="240" w:lineRule="auto"/>
              <w:ind w:left="5103" w:hanging="3402"/>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NSFR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 agunan kas yang diperoleh sebagai </w:t>
            </w:r>
            <w:r w:rsidRPr="007B5B78">
              <w:rPr>
                <w:rFonts w:ascii="Bookman Old Style" w:eastAsia="Times New Roman" w:hAnsi="Bookman Old Style" w:cs="Arial"/>
                <w:i/>
                <w:sz w:val="20"/>
                <w:szCs w:val="20"/>
              </w:rPr>
              <w:t>variation margin</w:t>
            </w:r>
            <w:r w:rsidRPr="007B5B78">
              <w:rPr>
                <w:rFonts w:ascii="Bookman Old Style" w:eastAsia="Times New Roman" w:hAnsi="Bookman Old Style" w:cs="Arial"/>
                <w:sz w:val="20"/>
                <w:szCs w:val="20"/>
              </w:rPr>
              <w:t>.</w:t>
            </w:r>
          </w:p>
          <w:p w14:paraId="75182D2F" w14:textId="77777777"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Agunan yang diperoleh sebagai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 xml:space="preserve">yang dapat diakui sebagai pengurang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xml:space="preserve"> adalah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berupa kas yang memenuhi persyaratan:</w:t>
            </w:r>
          </w:p>
          <w:p w14:paraId="3B8A6267" w14:textId="77777777" w:rsidR="007B5B78" w:rsidRPr="007B5B78" w:rsidRDefault="007B5B78" w:rsidP="00A32F86">
            <w:pPr>
              <w:pStyle w:val="ListParagraph"/>
              <w:numPr>
                <w:ilvl w:val="0"/>
                <w:numId w:val="18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lastRenderedPageBreak/>
              <w:t xml:space="preserve">untuk transaksi yang tidak diselesaikan melalui </w:t>
            </w:r>
            <w:r w:rsidRPr="007B5B78">
              <w:rPr>
                <w:rFonts w:ascii="Bookman Old Style" w:eastAsia="Times New Roman" w:hAnsi="Bookman Old Style" w:cs="Arial"/>
                <w:i/>
                <w:sz w:val="20"/>
                <w:szCs w:val="20"/>
              </w:rPr>
              <w:t xml:space="preserve">Qualified Central Counterparty </w:t>
            </w:r>
            <w:r w:rsidRPr="007B5B78">
              <w:rPr>
                <w:rFonts w:ascii="Bookman Old Style" w:eastAsia="Times New Roman" w:hAnsi="Bookman Old Style" w:cs="Arial"/>
                <w:sz w:val="20"/>
                <w:szCs w:val="20"/>
              </w:rPr>
              <w:t xml:space="preserve">(QCCP),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 xml:space="preserve">berupa kas harus memenuhi kriteria </w:t>
            </w:r>
            <w:r w:rsidRPr="007B5B78">
              <w:rPr>
                <w:rFonts w:ascii="Bookman Old Style" w:eastAsia="Times New Roman" w:hAnsi="Bookman Old Style" w:cs="Arial"/>
                <w:i/>
                <w:sz w:val="20"/>
                <w:szCs w:val="20"/>
              </w:rPr>
              <w:t xml:space="preserve">non-segregation. </w:t>
            </w:r>
            <w:r w:rsidRPr="007B5B78">
              <w:rPr>
                <w:rFonts w:ascii="Bookman Old Style" w:eastAsia="Times New Roman" w:hAnsi="Bookman Old Style" w:cs="Arial"/>
                <w:sz w:val="20"/>
                <w:szCs w:val="20"/>
              </w:rPr>
              <w:t xml:space="preserve">Yang dimaksud dengan kriteria </w:t>
            </w:r>
            <w:r w:rsidRPr="007B5B78">
              <w:rPr>
                <w:rFonts w:ascii="Bookman Old Style" w:eastAsia="Times New Roman" w:hAnsi="Bookman Old Style" w:cs="Arial"/>
                <w:i/>
                <w:sz w:val="20"/>
                <w:szCs w:val="20"/>
              </w:rPr>
              <w:t xml:space="preserve">non-segregation </w:t>
            </w:r>
            <w:r w:rsidRPr="007B5B78">
              <w:rPr>
                <w:rFonts w:ascii="Bookman Old Style" w:eastAsia="Times New Roman" w:hAnsi="Bookman Old Style" w:cs="Arial"/>
                <w:sz w:val="20"/>
                <w:szCs w:val="20"/>
              </w:rPr>
              <w:t>adalah tidak terdapat hambatan secara hukum, regulasi, atau kontraktual dengan pihak lawan (</w:t>
            </w:r>
            <w:r w:rsidRPr="007B5B78">
              <w:rPr>
                <w:rFonts w:ascii="Bookman Old Style" w:eastAsia="Times New Roman" w:hAnsi="Bookman Old Style" w:cs="Arial"/>
                <w:i/>
                <w:sz w:val="20"/>
                <w:szCs w:val="20"/>
              </w:rPr>
              <w:t>counterparty</w:t>
            </w:r>
            <w:r w:rsidRPr="007B5B78">
              <w:rPr>
                <w:rFonts w:ascii="Bookman Old Style" w:eastAsia="Times New Roman" w:hAnsi="Bookman Old Style" w:cs="Arial"/>
                <w:sz w:val="20"/>
                <w:szCs w:val="20"/>
              </w:rPr>
              <w:t xml:space="preserve">) yang dapat membatasi pihak penerima untuk menggunakan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berupa kas dimaksud;</w:t>
            </w:r>
          </w:p>
          <w:p w14:paraId="46EDECD9" w14:textId="77777777" w:rsidR="007B5B78" w:rsidRPr="007B5B78" w:rsidRDefault="007B5B78" w:rsidP="00A32F86">
            <w:pPr>
              <w:pStyle w:val="ListParagraph"/>
              <w:numPr>
                <w:ilvl w:val="0"/>
                <w:numId w:val="18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perhitungan dan penyerahan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dilakukan secara harian dan didasarkan pada perhitungan selisih</w:t>
            </w:r>
            <w:r w:rsidRPr="007B5B78">
              <w:rPr>
                <w:rFonts w:ascii="Bookman Old Style" w:eastAsia="Times New Roman" w:hAnsi="Bookman Old Style" w:cs="Arial"/>
                <w:sz w:val="20"/>
                <w:szCs w:val="20"/>
                <w:lang w:val="en-US"/>
              </w:rPr>
              <w:t xml:space="preserve"> </w:t>
            </w:r>
            <w:r w:rsidRPr="007B5B78">
              <w:rPr>
                <w:rFonts w:ascii="Bookman Old Style" w:eastAsia="Times New Roman" w:hAnsi="Bookman Old Style" w:cs="Arial"/>
                <w:sz w:val="20"/>
                <w:szCs w:val="20"/>
              </w:rPr>
              <w:t>antara nilai kontrak dengan nilai wajar (</w:t>
            </w:r>
            <w:r w:rsidRPr="007B5B78">
              <w:rPr>
                <w:rFonts w:ascii="Bookman Old Style" w:eastAsia="Times New Roman" w:hAnsi="Bookman Old Style" w:cs="Arial"/>
                <w:i/>
                <w:sz w:val="20"/>
                <w:szCs w:val="20"/>
              </w:rPr>
              <w:t>mark to market</w:t>
            </w:r>
            <w:r w:rsidRPr="007B5B78">
              <w:rPr>
                <w:rFonts w:ascii="Bookman Old Style" w:eastAsia="Times New Roman" w:hAnsi="Bookman Old Style" w:cs="Arial"/>
                <w:sz w:val="20"/>
                <w:szCs w:val="20"/>
              </w:rPr>
              <w:t xml:space="preserve">) transaksi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w:t>
            </w:r>
          </w:p>
          <w:p w14:paraId="30A41C19" w14:textId="77777777" w:rsidR="007B5B78" w:rsidRPr="007B5B78" w:rsidRDefault="007B5B78" w:rsidP="00A32F86">
            <w:pPr>
              <w:pStyle w:val="ListParagraph"/>
              <w:numPr>
                <w:ilvl w:val="0"/>
                <w:numId w:val="18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denominasi mata uang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 xml:space="preserve">berupa kas harus sama dengan denominasi mata uang yang digunakan dalam proses penyelesaian transaksi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p>
          <w:p w14:paraId="22D6A7B3" w14:textId="77777777" w:rsidR="007B5B78" w:rsidRPr="007B5B78" w:rsidRDefault="007B5B78" w:rsidP="00A32F86">
            <w:pPr>
              <w:pStyle w:val="ListParagraph"/>
              <w:numPr>
                <w:ilvl w:val="0"/>
                <w:numId w:val="18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nilai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yang diserahkan adalah dalam jumlah penuh (</w:t>
            </w:r>
            <w:r w:rsidRPr="007B5B78">
              <w:rPr>
                <w:rFonts w:ascii="Bookman Old Style" w:eastAsia="Times New Roman" w:hAnsi="Bookman Old Style" w:cs="Arial"/>
                <w:i/>
                <w:sz w:val="20"/>
                <w:szCs w:val="20"/>
              </w:rPr>
              <w:t>full amount</w:t>
            </w:r>
            <w:r w:rsidRPr="007B5B78">
              <w:rPr>
                <w:rFonts w:ascii="Bookman Old Style" w:eastAsia="Times New Roman" w:hAnsi="Bookman Old Style" w:cs="Arial"/>
                <w:sz w:val="20"/>
                <w:szCs w:val="20"/>
              </w:rPr>
              <w:t>) yang dapat memitigasi risiko terhadap selisih antara nilai kontrak dengan nilai wajar (</w:t>
            </w:r>
            <w:r w:rsidRPr="007B5B78">
              <w:rPr>
                <w:rFonts w:ascii="Bookman Old Style" w:eastAsia="Times New Roman" w:hAnsi="Bookman Old Style" w:cs="Arial"/>
                <w:i/>
                <w:sz w:val="20"/>
                <w:szCs w:val="20"/>
              </w:rPr>
              <w:t>mark to market</w:t>
            </w:r>
            <w:r w:rsidRPr="007B5B78">
              <w:rPr>
                <w:rFonts w:ascii="Bookman Old Style" w:eastAsia="Times New Roman" w:hAnsi="Bookman Old Style" w:cs="Arial"/>
                <w:sz w:val="20"/>
                <w:szCs w:val="20"/>
              </w:rPr>
              <w:t>) sesuai dengan batasan dan jumlah minimum tertentu; dan</w:t>
            </w:r>
          </w:p>
          <w:p w14:paraId="1FEC55D8" w14:textId="77777777" w:rsidR="007B5B78" w:rsidRPr="007B5B78" w:rsidRDefault="007B5B78" w:rsidP="00A32F86">
            <w:pPr>
              <w:pStyle w:val="ListParagraph"/>
              <w:numPr>
                <w:ilvl w:val="0"/>
                <w:numId w:val="189"/>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terdapat </w:t>
            </w:r>
            <w:r w:rsidRPr="007B5B78">
              <w:rPr>
                <w:rFonts w:ascii="Bookman Old Style" w:eastAsia="Times New Roman" w:hAnsi="Bookman Old Style" w:cs="Arial"/>
                <w:i/>
                <w:sz w:val="20"/>
                <w:szCs w:val="20"/>
              </w:rPr>
              <w:t xml:space="preserve">Master Netting Agreement </w:t>
            </w:r>
            <w:r w:rsidRPr="007B5B78">
              <w:rPr>
                <w:rFonts w:ascii="Bookman Old Style" w:eastAsia="Times New Roman" w:hAnsi="Bookman Old Style" w:cs="Arial"/>
                <w:sz w:val="20"/>
                <w:szCs w:val="20"/>
              </w:rPr>
              <w:t>(MNA) dengan entitas legal yang merupakan pihak lawan (</w:t>
            </w:r>
            <w:r w:rsidRPr="007B5B78">
              <w:rPr>
                <w:rFonts w:ascii="Bookman Old Style" w:eastAsia="Times New Roman" w:hAnsi="Bookman Old Style" w:cs="Arial"/>
                <w:i/>
                <w:sz w:val="20"/>
                <w:szCs w:val="20"/>
              </w:rPr>
              <w:t>counterparty</w:t>
            </w:r>
            <w:r w:rsidRPr="007B5B78">
              <w:rPr>
                <w:rFonts w:ascii="Bookman Old Style" w:eastAsia="Times New Roman" w:hAnsi="Bookman Old Style" w:cs="Arial"/>
                <w:sz w:val="20"/>
                <w:szCs w:val="20"/>
              </w:rPr>
              <w:t xml:space="preserve">) dalam transaksi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 yang memenuhi persyaratan:</w:t>
            </w:r>
          </w:p>
          <w:p w14:paraId="48A614D0" w14:textId="77777777" w:rsidR="007B5B78" w:rsidRPr="007B5B78" w:rsidRDefault="007B5B78" w:rsidP="00A32F86">
            <w:pPr>
              <w:pStyle w:val="ListParagraph"/>
              <w:numPr>
                <w:ilvl w:val="0"/>
                <w:numId w:val="19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MNA telah sesuai dengan hukum dan ketentuan peraturan perundang-undangan di yurisdiksi tempat kedudukan Bank maupun pihak lawan (</w:t>
            </w:r>
            <w:r w:rsidRPr="007B5B78">
              <w:rPr>
                <w:rFonts w:ascii="Bookman Old Style" w:eastAsia="Times New Roman" w:hAnsi="Bookman Old Style" w:cs="Arial"/>
                <w:i/>
                <w:sz w:val="20"/>
                <w:szCs w:val="20"/>
              </w:rPr>
              <w:t>counterparty</w:t>
            </w:r>
            <w:r w:rsidRPr="007B5B78">
              <w:rPr>
                <w:rFonts w:ascii="Bookman Old Style" w:eastAsia="Times New Roman" w:hAnsi="Bookman Old Style" w:cs="Arial"/>
                <w:sz w:val="20"/>
                <w:szCs w:val="20"/>
              </w:rPr>
              <w:t>) serta dapat diterapkan pada saat terjadi gagal bayar (</w:t>
            </w:r>
            <w:r w:rsidRPr="007B5B78">
              <w:rPr>
                <w:rFonts w:ascii="Bookman Old Style" w:eastAsia="Times New Roman" w:hAnsi="Bookman Old Style" w:cs="Arial"/>
                <w:i/>
                <w:sz w:val="20"/>
                <w:szCs w:val="20"/>
              </w:rPr>
              <w:t>default</w:t>
            </w:r>
            <w:r w:rsidRPr="007B5B78">
              <w:rPr>
                <w:rFonts w:ascii="Bookman Old Style" w:eastAsia="Times New Roman" w:hAnsi="Bookman Old Style" w:cs="Arial"/>
                <w:sz w:val="20"/>
                <w:szCs w:val="20"/>
              </w:rPr>
              <w:t>)</w:t>
            </w:r>
            <w:r w:rsidRPr="007B5B78">
              <w:rPr>
                <w:rFonts w:ascii="Bookman Old Style" w:eastAsia="Times New Roman" w:hAnsi="Bookman Old Style" w:cs="Arial"/>
                <w:i/>
                <w:sz w:val="20"/>
                <w:szCs w:val="20"/>
              </w:rPr>
              <w:t xml:space="preserve">, </w:t>
            </w:r>
            <w:r w:rsidRPr="007B5B78">
              <w:rPr>
                <w:rFonts w:ascii="Bookman Old Style" w:eastAsia="Times New Roman" w:hAnsi="Bookman Old Style" w:cs="Arial"/>
                <w:sz w:val="20"/>
                <w:szCs w:val="20"/>
              </w:rPr>
              <w:t>kepailitan, dan/atau ketidakmampuan memenuhi kewajiban (insolvensi);</w:t>
            </w:r>
          </w:p>
          <w:p w14:paraId="26794522" w14:textId="77777777" w:rsidR="007B5B78" w:rsidRPr="007B5B78" w:rsidRDefault="007B5B78" w:rsidP="00A32F86">
            <w:pPr>
              <w:pStyle w:val="ListParagraph"/>
              <w:numPr>
                <w:ilvl w:val="0"/>
                <w:numId w:val="19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MNA memenuhi seluruh persyaratan dalam </w:t>
            </w:r>
            <w:r w:rsidRPr="007B5B78">
              <w:rPr>
                <w:rFonts w:ascii="Bookman Old Style" w:eastAsia="Times New Roman" w:hAnsi="Bookman Old Style" w:cs="Arial"/>
                <w:i/>
                <w:sz w:val="20"/>
                <w:szCs w:val="20"/>
              </w:rPr>
              <w:t>bilateral netting agreement</w:t>
            </w:r>
            <w:r w:rsidRPr="007B5B78">
              <w:rPr>
                <w:rFonts w:ascii="Bookman Old Style" w:eastAsia="Times New Roman" w:hAnsi="Bookman Old Style" w:cs="Arial"/>
                <w:sz w:val="20"/>
                <w:szCs w:val="20"/>
              </w:rPr>
              <w:t>; dan</w:t>
            </w:r>
          </w:p>
          <w:p w14:paraId="155DED77" w14:textId="77777777" w:rsidR="007B5B78" w:rsidRPr="007B5B78" w:rsidRDefault="007B5B78" w:rsidP="00A32F86">
            <w:pPr>
              <w:pStyle w:val="ListParagraph"/>
              <w:numPr>
                <w:ilvl w:val="0"/>
                <w:numId w:val="190"/>
              </w:numPr>
              <w:spacing w:after="0" w:line="240" w:lineRule="auto"/>
              <w:ind w:left="2835"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MNA mensyaratkan adanya proses saling hapus (</w:t>
            </w:r>
            <w:r w:rsidRPr="007B5B78">
              <w:rPr>
                <w:rFonts w:ascii="Bookman Old Style" w:eastAsia="Times New Roman" w:hAnsi="Bookman Old Style" w:cs="Arial"/>
                <w:i/>
                <w:sz w:val="20"/>
                <w:szCs w:val="20"/>
              </w:rPr>
              <w:t>netting</w:t>
            </w:r>
            <w:r w:rsidRPr="007B5B78">
              <w:rPr>
                <w:rFonts w:ascii="Bookman Old Style" w:eastAsia="Times New Roman" w:hAnsi="Bookman Old Style" w:cs="Arial"/>
                <w:sz w:val="20"/>
                <w:szCs w:val="20"/>
              </w:rPr>
              <w:t>) sebagaimana dimaksud dalam butir III.E.7 sehingga hanya menghasilkan satu kewajiban legal tertentu (</w:t>
            </w:r>
            <w:r w:rsidRPr="007B5B78">
              <w:rPr>
                <w:rFonts w:ascii="Bookman Old Style" w:eastAsia="Times New Roman" w:hAnsi="Bookman Old Style" w:cs="Arial"/>
                <w:i/>
                <w:sz w:val="20"/>
                <w:szCs w:val="20"/>
              </w:rPr>
              <w:t>single legal obligation</w:t>
            </w:r>
            <w:r w:rsidRPr="007B5B78">
              <w:rPr>
                <w:rFonts w:ascii="Bookman Old Style" w:eastAsia="Times New Roman" w:hAnsi="Bookman Old Style" w:cs="Arial"/>
                <w:sz w:val="20"/>
                <w:szCs w:val="20"/>
              </w:rPr>
              <w:t xml:space="preserve">) bagi salah satu pihak (Bank atau pihak lawan) dengan turut memperhitungkan </w:t>
            </w: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yang diterima atau diserahkan.</w:t>
            </w:r>
          </w:p>
          <w:p w14:paraId="4F6BA5FA" w14:textId="77777777"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Liabilitas yang tersisa yang tercatat pada neraca dan terkait dengan:</w:t>
            </w:r>
          </w:p>
          <w:p w14:paraId="6FCB470D" w14:textId="77777777" w:rsidR="007B5B78" w:rsidRPr="007B5B78" w:rsidRDefault="007B5B78" w:rsidP="00A32F86">
            <w:pPr>
              <w:pStyle w:val="ListParagraph"/>
              <w:numPr>
                <w:ilvl w:val="0"/>
                <w:numId w:val="191"/>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i/>
                <w:sz w:val="20"/>
                <w:szCs w:val="20"/>
              </w:rPr>
              <w:t xml:space="preserve">variation margin </w:t>
            </w:r>
            <w:r w:rsidRPr="007B5B78">
              <w:rPr>
                <w:rFonts w:ascii="Bookman Old Style" w:eastAsia="Times New Roman" w:hAnsi="Bookman Old Style" w:cs="Arial"/>
                <w:sz w:val="20"/>
                <w:szCs w:val="20"/>
              </w:rPr>
              <w:t>yang diterima namun tidak memenuhi syarat sebagaimana dimaksud dalam angka 5; atau</w:t>
            </w:r>
          </w:p>
          <w:p w14:paraId="6471B8C1" w14:textId="77777777" w:rsidR="007B5B78" w:rsidRPr="007B5B78" w:rsidRDefault="007B5B78" w:rsidP="00A32F86">
            <w:pPr>
              <w:pStyle w:val="ListParagraph"/>
              <w:numPr>
                <w:ilvl w:val="0"/>
                <w:numId w:val="191"/>
              </w:numPr>
              <w:spacing w:after="0" w:line="240" w:lineRule="auto"/>
              <w:ind w:left="2268"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margin awal (</w:t>
            </w:r>
            <w:r w:rsidRPr="007B5B78">
              <w:rPr>
                <w:rFonts w:ascii="Bookman Old Style" w:eastAsia="Times New Roman" w:hAnsi="Bookman Old Style" w:cs="Arial"/>
                <w:i/>
                <w:sz w:val="20"/>
                <w:szCs w:val="20"/>
              </w:rPr>
              <w:t>initial margin</w:t>
            </w:r>
            <w:r w:rsidRPr="007B5B78">
              <w:rPr>
                <w:rFonts w:ascii="Bookman Old Style" w:eastAsia="Times New Roman" w:hAnsi="Bookman Old Style" w:cs="Arial"/>
                <w:sz w:val="20"/>
                <w:szCs w:val="20"/>
              </w:rPr>
              <w:t>) yang diterima</w:t>
            </w:r>
            <w:r w:rsidRPr="007B5B78">
              <w:rPr>
                <w:rFonts w:ascii="Bookman Old Style" w:eastAsia="Times New Roman" w:hAnsi="Bookman Old Style" w:cs="Arial"/>
                <w:sz w:val="20"/>
                <w:szCs w:val="20"/>
                <w:lang w:val="en-US"/>
              </w:rPr>
              <w:t>,</w:t>
            </w:r>
          </w:p>
          <w:p w14:paraId="79C9A7D7" w14:textId="77777777" w:rsidR="007B5B78" w:rsidRPr="007B5B78" w:rsidRDefault="007B5B78" w:rsidP="007B5B78">
            <w:pPr>
              <w:spacing w:after="0" w:line="240" w:lineRule="auto"/>
              <w:ind w:left="1701"/>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 xml:space="preserve">tidak dapat digunakan untuk mengurangi aset </w:t>
            </w:r>
            <w:r w:rsidRPr="007B5B78">
              <w:rPr>
                <w:rFonts w:ascii="Bookman Old Style" w:eastAsia="Times New Roman" w:hAnsi="Bookman Old Style" w:cs="Arial"/>
                <w:i/>
                <w:sz w:val="20"/>
                <w:szCs w:val="20"/>
                <w:lang w:val="en-US"/>
              </w:rPr>
              <w:t xml:space="preserve">hedging </w:t>
            </w:r>
            <w:r w:rsidRPr="007B5B78">
              <w:rPr>
                <w:rFonts w:ascii="Bookman Old Style" w:eastAsia="Times New Roman" w:hAnsi="Bookman Old Style" w:cs="Arial"/>
                <w:sz w:val="20"/>
                <w:szCs w:val="20"/>
                <w:lang w:val="en-US"/>
              </w:rPr>
              <w:t>syariah</w:t>
            </w:r>
            <w:r w:rsidRPr="007B5B78">
              <w:rPr>
                <w:rFonts w:ascii="Bookman Old Style" w:eastAsia="Times New Roman" w:hAnsi="Bookman Old Style" w:cs="Arial"/>
                <w:sz w:val="20"/>
                <w:szCs w:val="20"/>
              </w:rPr>
              <w:t>.</w:t>
            </w:r>
          </w:p>
          <w:p w14:paraId="166787A7" w14:textId="4838DA3E" w:rsidR="007B5B78" w:rsidRPr="007B5B78" w:rsidRDefault="007B5B78" w:rsidP="00A32F86">
            <w:pPr>
              <w:pStyle w:val="ListParagraph"/>
              <w:numPr>
                <w:ilvl w:val="0"/>
                <w:numId w:val="187"/>
              </w:numPr>
              <w:spacing w:after="0" w:line="240" w:lineRule="auto"/>
              <w:ind w:left="1701" w:hanging="567"/>
              <w:jc w:val="both"/>
              <w:rPr>
                <w:rFonts w:ascii="Bookman Old Style" w:eastAsia="Times New Roman" w:hAnsi="Bookman Old Style" w:cs="Arial"/>
                <w:sz w:val="20"/>
                <w:szCs w:val="20"/>
              </w:rPr>
            </w:pPr>
            <w:r w:rsidRPr="007B5B78">
              <w:rPr>
                <w:rFonts w:ascii="Bookman Old Style" w:eastAsia="Times New Roman" w:hAnsi="Bookman Old Style" w:cs="Arial"/>
                <w:sz w:val="20"/>
                <w:szCs w:val="20"/>
              </w:rPr>
              <w:t>Liabilitas sebagaimana dimaksud pada angka 6 mendapatkan faktor ASF 0% (nol persen).</w:t>
            </w:r>
          </w:p>
        </w:tc>
        <w:tc>
          <w:tcPr>
            <w:tcW w:w="3686" w:type="dxa"/>
            <w:shd w:val="clear" w:color="auto" w:fill="auto"/>
            <w:vAlign w:val="center"/>
          </w:tcPr>
          <w:p w14:paraId="1CCBC0CD"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FB0359D"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2C363C2C" w14:textId="77777777" w:rsidTr="007B5B78">
        <w:trPr>
          <w:trHeight w:val="564"/>
          <w:tblHeader/>
        </w:trPr>
        <w:tc>
          <w:tcPr>
            <w:tcW w:w="9634" w:type="dxa"/>
            <w:shd w:val="clear" w:color="auto" w:fill="FFF2CC" w:themeFill="accent4" w:themeFillTint="33"/>
            <w:vAlign w:val="center"/>
          </w:tcPr>
          <w:p w14:paraId="116CCFE7" w14:textId="76E321FF" w:rsidR="007B5B78" w:rsidRPr="007B5B78" w:rsidRDefault="007B5B78" w:rsidP="00A32F86">
            <w:pPr>
              <w:pStyle w:val="BodyText"/>
              <w:numPr>
                <w:ilvl w:val="5"/>
                <w:numId w:val="28"/>
              </w:numPr>
              <w:ind w:left="1134" w:hanging="567"/>
              <w:rPr>
                <w:rFonts w:ascii="Bookman Old Style" w:hAnsi="Bookman Old Style" w:cs="Arial"/>
                <w:sz w:val="20"/>
                <w:szCs w:val="20"/>
              </w:rPr>
            </w:pPr>
            <w:r w:rsidRPr="007B5B78">
              <w:rPr>
                <w:rFonts w:ascii="Bookman Old Style" w:hAnsi="Bookman Old Style"/>
                <w:sz w:val="20"/>
                <w:szCs w:val="20"/>
              </w:rPr>
              <w:lastRenderedPageBreak/>
              <w:t>Faktor Nilai Pendanaan Stabil yang Diperlukan (Required Stable Funding) untuk Transaksi Rekening Administratif</w:t>
            </w:r>
          </w:p>
        </w:tc>
        <w:tc>
          <w:tcPr>
            <w:tcW w:w="3686" w:type="dxa"/>
            <w:shd w:val="clear" w:color="auto" w:fill="FFF2CC" w:themeFill="accent4" w:themeFillTint="33"/>
            <w:vAlign w:val="center"/>
          </w:tcPr>
          <w:p w14:paraId="167096E7"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7859E86B"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1CFEB2D4" w14:textId="77777777" w:rsidTr="006A283D">
        <w:trPr>
          <w:trHeight w:val="564"/>
          <w:tblHeader/>
        </w:trPr>
        <w:tc>
          <w:tcPr>
            <w:tcW w:w="9634" w:type="dxa"/>
            <w:shd w:val="clear" w:color="auto" w:fill="auto"/>
            <w:vAlign w:val="center"/>
          </w:tcPr>
          <w:p w14:paraId="2E2D9AB1" w14:textId="77777777" w:rsidR="007B5B78" w:rsidRPr="00A22891" w:rsidRDefault="007B5B78" w:rsidP="00A32F86">
            <w:pPr>
              <w:pStyle w:val="ListParagraph"/>
              <w:numPr>
                <w:ilvl w:val="0"/>
                <w:numId w:val="192"/>
              </w:numPr>
              <w:spacing w:after="0" w:line="240" w:lineRule="auto"/>
              <w:ind w:left="1701"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Penetapan faktor RSF untuk transaksi rekening administratif dilakukan untuk menjamin bahwa Bank memiliki dana stabil atas porsi eksposur rekening administratif yang diperkirakan membutuhkan Pendanaan dalam jangka waktu 1 (satu) tahun ke depan.</w:t>
            </w:r>
          </w:p>
          <w:p w14:paraId="26945630" w14:textId="77777777" w:rsidR="007B5B78" w:rsidRPr="00A22891" w:rsidRDefault="007B5B78" w:rsidP="00A32F86">
            <w:pPr>
              <w:pStyle w:val="ListParagraph"/>
              <w:numPr>
                <w:ilvl w:val="0"/>
                <w:numId w:val="192"/>
              </w:numPr>
              <w:spacing w:after="0" w:line="240" w:lineRule="auto"/>
              <w:ind w:left="1701"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Pengelompokan eksposur rekening administratif dalam perhitungan nilai RSF didasarkan pada bentuk komitmen yang dimiliki Bank, misalnya fasilitas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xml:space="preserve">, fasilitas likuiditas, atau bentuk kewajiban kontinjensi lainnya. Pengelompokan tersebut adalah sebagaimana diatur dalam </w:t>
            </w:r>
            <w:r w:rsidRPr="00A22891">
              <w:rPr>
                <w:rFonts w:ascii="Bookman Old Style" w:eastAsia="Times New Roman" w:hAnsi="Bookman Old Style" w:cs="Arial"/>
                <w:sz w:val="20"/>
                <w:szCs w:val="20"/>
                <w:lang w:val="en-US"/>
              </w:rPr>
              <w:t>Lampiran I POJK ini</w:t>
            </w:r>
            <w:r w:rsidRPr="00A22891">
              <w:rPr>
                <w:rFonts w:ascii="Bookman Old Style" w:eastAsia="Times New Roman" w:hAnsi="Bookman Old Style" w:cs="Arial"/>
                <w:sz w:val="20"/>
                <w:szCs w:val="20"/>
              </w:rPr>
              <w:t>.</w:t>
            </w:r>
          </w:p>
          <w:p w14:paraId="23BB39C5" w14:textId="77777777" w:rsidR="007B5B78" w:rsidRPr="00A22891" w:rsidRDefault="007B5B78" w:rsidP="00A32F86">
            <w:pPr>
              <w:pStyle w:val="ListParagraph"/>
              <w:numPr>
                <w:ilvl w:val="0"/>
                <w:numId w:val="192"/>
              </w:numPr>
              <w:spacing w:after="0" w:line="240" w:lineRule="auto"/>
              <w:ind w:left="1701"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Dalam menentukan nilai RSF untuk menghitung pemenuhan NSFR, Bank mengklasifikasikan transaksi rekening administratif dalam kategori yang penetapannya didasarkan pada faktor RSF sebagai berikut:</w:t>
            </w:r>
          </w:p>
          <w:p w14:paraId="60A3F53C" w14:textId="77777777" w:rsidR="007B5B78" w:rsidRPr="00A22891" w:rsidRDefault="007B5B78" w:rsidP="00A32F86">
            <w:pPr>
              <w:pStyle w:val="ListParagraph"/>
              <w:numPr>
                <w:ilvl w:val="0"/>
                <w:numId w:val="193"/>
              </w:numPr>
              <w:spacing w:after="0" w:line="240" w:lineRule="auto"/>
              <w:ind w:left="2268"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Transaksi rekening administratif yang mendapatkan faktor RSF 5% (lima persen) terdiri atas:</w:t>
            </w:r>
          </w:p>
          <w:p w14:paraId="0D03E142" w14:textId="77777777" w:rsidR="007B5B78" w:rsidRPr="00A22891" w:rsidRDefault="007B5B78" w:rsidP="00A32F86">
            <w:pPr>
              <w:pStyle w:val="ListParagraph"/>
              <w:numPr>
                <w:ilvl w:val="0"/>
                <w:numId w:val="194"/>
              </w:numPr>
              <w:spacing w:after="0" w:line="240" w:lineRule="auto"/>
              <w:ind w:left="2835"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fasilitas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xml:space="preserve"> dan fasilitas likuiditas yang belum ditarik</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bersifat</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tidak</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dapat</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dibatalkan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w:t>
            </w:r>
            <w:r w:rsidRPr="00A22891">
              <w:rPr>
                <w:rFonts w:ascii="Bookman Old Style" w:eastAsia="Times New Roman" w:hAnsi="Bookman Old Style" w:cs="Arial"/>
                <w:i/>
                <w:sz w:val="20"/>
                <w:szCs w:val="20"/>
              </w:rPr>
              <w:t>irrevocable</w:t>
            </w:r>
            <w:r w:rsidRPr="00A22891">
              <w:rPr>
                <w:rFonts w:ascii="Bookman Old Style" w:eastAsia="Times New Roman" w:hAnsi="Bookman Old Style" w:cs="Arial"/>
                <w:sz w:val="20"/>
                <w:szCs w:val="20"/>
              </w:rPr>
              <w:t>) atau</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dapat</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dibatalkan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dengan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persyaratan tertentu (</w:t>
            </w:r>
            <w:r w:rsidRPr="00A22891">
              <w:rPr>
                <w:rFonts w:ascii="Bookman Old Style" w:eastAsia="Times New Roman" w:hAnsi="Bookman Old Style" w:cs="Arial"/>
                <w:i/>
                <w:sz w:val="20"/>
                <w:szCs w:val="20"/>
              </w:rPr>
              <w:t>conditionally revocable</w:t>
            </w:r>
            <w:r w:rsidRPr="00A22891">
              <w:rPr>
                <w:rFonts w:ascii="Bookman Old Style" w:eastAsia="Times New Roman" w:hAnsi="Bookman Old Style" w:cs="Arial"/>
                <w:sz w:val="20"/>
                <w:szCs w:val="20"/>
              </w:rPr>
              <w:t>).</w:t>
            </w:r>
          </w:p>
          <w:p w14:paraId="68E54803" w14:textId="77777777" w:rsidR="007B5B78" w:rsidRPr="00A22891" w:rsidRDefault="007B5B78" w:rsidP="00A22891">
            <w:pPr>
              <w:pStyle w:val="ListParagraph"/>
              <w:spacing w:after="0" w:line="240" w:lineRule="auto"/>
              <w:ind w:left="2835"/>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Contoh: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xml:space="preserve"> modal kerja, segala bentuk fasilitas kewajiban komitmen yang diberikan kepada </w:t>
            </w:r>
            <w:r w:rsidRPr="00A22891">
              <w:rPr>
                <w:rFonts w:ascii="Bookman Old Style" w:eastAsia="Times New Roman" w:hAnsi="Bookman Old Style" w:cs="Arial"/>
                <w:i/>
                <w:sz w:val="20"/>
                <w:szCs w:val="20"/>
              </w:rPr>
              <w:t>hedge funds</w:t>
            </w:r>
            <w:r w:rsidRPr="00A22891">
              <w:rPr>
                <w:rFonts w:ascii="Bookman Old Style" w:eastAsia="Times New Roman" w:hAnsi="Bookman Old Style" w:cs="Arial"/>
                <w:sz w:val="20"/>
                <w:szCs w:val="20"/>
              </w:rPr>
              <w:t xml:space="preserve">, </w:t>
            </w:r>
            <w:r w:rsidRPr="00A22891">
              <w:rPr>
                <w:rFonts w:ascii="Bookman Old Style" w:eastAsia="Times New Roman" w:hAnsi="Bookman Old Style" w:cs="Arial"/>
                <w:i/>
                <w:sz w:val="20"/>
                <w:szCs w:val="20"/>
              </w:rPr>
              <w:t>money market funds</w:t>
            </w:r>
            <w:r w:rsidRPr="00A22891">
              <w:rPr>
                <w:rFonts w:ascii="Bookman Old Style" w:eastAsia="Times New Roman" w:hAnsi="Bookman Old Style" w:cs="Arial"/>
                <w:sz w:val="20"/>
                <w:szCs w:val="20"/>
              </w:rPr>
              <w:t xml:space="preserve">, </w:t>
            </w:r>
            <w:r w:rsidRPr="00A22891">
              <w:rPr>
                <w:rFonts w:ascii="Bookman Old Style" w:eastAsia="Times New Roman" w:hAnsi="Bookman Old Style" w:cs="Arial"/>
                <w:i/>
                <w:sz w:val="20"/>
                <w:szCs w:val="20"/>
              </w:rPr>
              <w:t xml:space="preserve">special purpose vehicle </w:t>
            </w:r>
            <w:r w:rsidRPr="00A22891">
              <w:rPr>
                <w:rFonts w:ascii="Bookman Old Style" w:eastAsia="Times New Roman" w:hAnsi="Bookman Old Style" w:cs="Arial"/>
                <w:sz w:val="20"/>
                <w:szCs w:val="20"/>
              </w:rPr>
              <w:t>(SPV) atau</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bentuk</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entitas</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lain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yan</w:t>
            </w:r>
            <w:r w:rsidRPr="00A22891">
              <w:rPr>
                <w:rFonts w:ascii="Bookman Old Style" w:eastAsia="Times New Roman" w:hAnsi="Bookman Old Style" w:cs="Arial"/>
                <w:sz w:val="20"/>
                <w:szCs w:val="20"/>
                <w:lang w:val="en-US"/>
              </w:rPr>
              <w:t xml:space="preserve">g </w:t>
            </w:r>
            <w:r w:rsidRPr="00A22891">
              <w:rPr>
                <w:rFonts w:ascii="Bookman Old Style" w:eastAsia="Times New Roman" w:hAnsi="Bookman Old Style" w:cs="Arial"/>
                <w:sz w:val="20"/>
                <w:szCs w:val="20"/>
              </w:rPr>
              <w:tab/>
              <w:t>bertujuan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khusus</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untuk membiayai aset Bank sendiri;</w:t>
            </w:r>
          </w:p>
          <w:p w14:paraId="3F088D48" w14:textId="77777777" w:rsidR="007B5B78" w:rsidRPr="00A22891" w:rsidRDefault="007B5B78" w:rsidP="00A32F86">
            <w:pPr>
              <w:pStyle w:val="ListParagraph"/>
              <w:numPr>
                <w:ilvl w:val="0"/>
                <w:numId w:val="194"/>
              </w:numPr>
              <w:spacing w:after="0" w:line="240" w:lineRule="auto"/>
              <w:ind w:left="2835"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kewajiban kontinjen Pendanaan lainnya meliputi:</w:t>
            </w:r>
          </w:p>
          <w:p w14:paraId="4620D61A" w14:textId="77777777" w:rsidR="007B5B78" w:rsidRPr="00A22891" w:rsidRDefault="007B5B78" w:rsidP="00A32F86">
            <w:pPr>
              <w:pStyle w:val="ListParagraph"/>
              <w:numPr>
                <w:ilvl w:val="0"/>
                <w:numId w:val="195"/>
              </w:numPr>
              <w:spacing w:after="0" w:line="240" w:lineRule="auto"/>
              <w:ind w:left="3402"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kewajiban yang berasal dari </w:t>
            </w:r>
            <w:r w:rsidRPr="00A22891">
              <w:rPr>
                <w:rFonts w:ascii="Bookman Old Style" w:eastAsia="Times New Roman" w:hAnsi="Bookman Old Style" w:cs="Arial"/>
                <w:i/>
                <w:sz w:val="20"/>
                <w:szCs w:val="20"/>
              </w:rPr>
              <w:t xml:space="preserve">letter of credit </w:t>
            </w:r>
            <w:r w:rsidRPr="00A22891">
              <w:rPr>
                <w:rFonts w:ascii="Bookman Old Style" w:eastAsia="Times New Roman" w:hAnsi="Bookman Old Style" w:cs="Arial"/>
                <w:sz w:val="20"/>
                <w:szCs w:val="20"/>
              </w:rPr>
              <w:t>(L/C) dan garansi yang tidak terkait dengan kewajiban pembiayaan perdagangan (</w:t>
            </w:r>
            <w:r w:rsidRPr="00A22891">
              <w:rPr>
                <w:rFonts w:ascii="Bookman Old Style" w:eastAsia="Times New Roman" w:hAnsi="Bookman Old Style" w:cs="Arial"/>
                <w:i/>
                <w:sz w:val="20"/>
                <w:szCs w:val="20"/>
              </w:rPr>
              <w:t>trade finance</w:t>
            </w:r>
            <w:r w:rsidRPr="00A22891">
              <w:rPr>
                <w:rFonts w:ascii="Bookman Old Style" w:eastAsia="Times New Roman" w:hAnsi="Bookman Old Style" w:cs="Arial"/>
                <w:sz w:val="20"/>
                <w:szCs w:val="20"/>
              </w:rPr>
              <w:t>);</w:t>
            </w:r>
          </w:p>
          <w:p w14:paraId="74C28034" w14:textId="77777777" w:rsidR="007B5B78" w:rsidRPr="00A22891" w:rsidRDefault="007B5B78" w:rsidP="00A32F86">
            <w:pPr>
              <w:pStyle w:val="ListParagraph"/>
              <w:numPr>
                <w:ilvl w:val="0"/>
                <w:numId w:val="195"/>
              </w:numPr>
              <w:spacing w:after="0" w:line="240" w:lineRule="auto"/>
              <w:ind w:left="3402"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kewajiban yang berasal dari permintaan potensial untuk membeli kembali utang Bank atau yang terkait dengan </w:t>
            </w:r>
            <w:r w:rsidRPr="00A22891">
              <w:rPr>
                <w:rFonts w:ascii="Bookman Old Style" w:eastAsia="Times New Roman" w:hAnsi="Bookman Old Style" w:cs="Arial"/>
                <w:i/>
                <w:sz w:val="20"/>
                <w:szCs w:val="20"/>
              </w:rPr>
              <w:t>conduits, securities</w:t>
            </w:r>
            <w:r w:rsidRPr="00A22891">
              <w:rPr>
                <w:rFonts w:ascii="Bookman Old Style" w:eastAsia="Times New Roman" w:hAnsi="Bookman Old Style" w:cs="Arial"/>
                <w:i/>
                <w:sz w:val="20"/>
                <w:szCs w:val="20"/>
                <w:lang w:val="en-US"/>
              </w:rPr>
              <w:t xml:space="preserve"> </w:t>
            </w:r>
            <w:r w:rsidRPr="00A22891">
              <w:rPr>
                <w:rFonts w:ascii="Bookman Old Style" w:eastAsia="Times New Roman" w:hAnsi="Bookman Old Style" w:cs="Arial"/>
                <w:i/>
                <w:sz w:val="20"/>
                <w:szCs w:val="20"/>
              </w:rPr>
              <w:t xml:space="preserve">investment vehicles, </w:t>
            </w:r>
            <w:r w:rsidRPr="00A22891">
              <w:rPr>
                <w:rFonts w:ascii="Bookman Old Style" w:eastAsia="Times New Roman" w:hAnsi="Bookman Old Style" w:cs="Arial"/>
                <w:sz w:val="20"/>
                <w:szCs w:val="20"/>
              </w:rPr>
              <w:t>dan fasilitas pembiayaan lainnya;</w:t>
            </w:r>
          </w:p>
          <w:p w14:paraId="64BD4625" w14:textId="77777777" w:rsidR="007B5B78" w:rsidRPr="00A22891" w:rsidRDefault="007B5B78" w:rsidP="00A32F86">
            <w:pPr>
              <w:pStyle w:val="ListParagraph"/>
              <w:numPr>
                <w:ilvl w:val="0"/>
                <w:numId w:val="195"/>
              </w:numPr>
              <w:spacing w:after="0" w:line="240" w:lineRule="auto"/>
              <w:ind w:left="3402"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kewajiban yang berasal dari </w:t>
            </w:r>
            <w:r w:rsidRPr="00A22891">
              <w:rPr>
                <w:rFonts w:ascii="Bookman Old Style" w:eastAsia="Times New Roman" w:hAnsi="Bookman Old Style" w:cs="Arial"/>
                <w:i/>
                <w:sz w:val="20"/>
                <w:szCs w:val="20"/>
              </w:rPr>
              <w:t xml:space="preserve">structured product </w:t>
            </w:r>
            <w:r w:rsidRPr="00A22891">
              <w:rPr>
                <w:rFonts w:ascii="Bookman Old Style" w:eastAsia="Times New Roman" w:hAnsi="Bookman Old Style" w:cs="Arial"/>
                <w:sz w:val="20"/>
                <w:szCs w:val="20"/>
              </w:rPr>
              <w:t xml:space="preserve">yang diantisipasi oleh nasabah melalui </w:t>
            </w:r>
            <w:r w:rsidRPr="00A22891">
              <w:rPr>
                <w:rFonts w:ascii="Bookman Old Style" w:eastAsia="Times New Roman" w:hAnsi="Bookman Old Style" w:cs="Arial"/>
                <w:i/>
                <w:sz w:val="20"/>
                <w:szCs w:val="20"/>
              </w:rPr>
              <w:t xml:space="preserve">ready marketability, </w:t>
            </w:r>
            <w:r w:rsidRPr="00A22891">
              <w:rPr>
                <w:rFonts w:ascii="Bookman Old Style" w:eastAsia="Times New Roman" w:hAnsi="Bookman Old Style" w:cs="Arial"/>
                <w:sz w:val="20"/>
                <w:szCs w:val="20"/>
              </w:rPr>
              <w:t xml:space="preserve">misalnya </w:t>
            </w:r>
            <w:r w:rsidRPr="00A22891">
              <w:rPr>
                <w:rFonts w:ascii="Bookman Old Style" w:eastAsia="Times New Roman" w:hAnsi="Bookman Old Style" w:cs="Arial"/>
                <w:i/>
                <w:sz w:val="20"/>
                <w:szCs w:val="20"/>
              </w:rPr>
              <w:t xml:space="preserve">adjustable rate notes </w:t>
            </w:r>
            <w:r w:rsidRPr="00A22891">
              <w:rPr>
                <w:rFonts w:ascii="Bookman Old Style" w:eastAsia="Times New Roman" w:hAnsi="Bookman Old Style" w:cs="Arial"/>
                <w:sz w:val="20"/>
                <w:szCs w:val="20"/>
              </w:rPr>
              <w:t xml:space="preserve">dan </w:t>
            </w:r>
            <w:r w:rsidRPr="00A22891">
              <w:rPr>
                <w:rFonts w:ascii="Bookman Old Style" w:eastAsia="Times New Roman" w:hAnsi="Bookman Old Style" w:cs="Arial"/>
                <w:i/>
                <w:sz w:val="20"/>
                <w:szCs w:val="20"/>
              </w:rPr>
              <w:t xml:space="preserve">variable rate demand notes </w:t>
            </w:r>
            <w:r w:rsidRPr="00A22891">
              <w:rPr>
                <w:rFonts w:ascii="Bookman Old Style" w:eastAsia="Times New Roman" w:hAnsi="Bookman Old Style" w:cs="Arial"/>
                <w:sz w:val="20"/>
                <w:szCs w:val="20"/>
              </w:rPr>
              <w:t>(VRDNs); dan</w:t>
            </w:r>
          </w:p>
          <w:p w14:paraId="4C38F200" w14:textId="77777777" w:rsidR="007B5B78" w:rsidRPr="00A22891" w:rsidRDefault="007B5B78" w:rsidP="00A32F86">
            <w:pPr>
              <w:pStyle w:val="ListParagraph"/>
              <w:numPr>
                <w:ilvl w:val="0"/>
                <w:numId w:val="195"/>
              </w:numPr>
              <w:spacing w:after="0" w:line="240" w:lineRule="auto"/>
              <w:ind w:left="3402"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kewajiban yang berasal dari dana kelolaan (</w:t>
            </w:r>
            <w:r w:rsidRPr="00A22891">
              <w:rPr>
                <w:rFonts w:ascii="Bookman Old Style" w:eastAsia="Times New Roman" w:hAnsi="Bookman Old Style" w:cs="Arial"/>
                <w:i/>
                <w:sz w:val="20"/>
                <w:szCs w:val="20"/>
              </w:rPr>
              <w:t>managed fund</w:t>
            </w:r>
            <w:r w:rsidRPr="00A22891">
              <w:rPr>
                <w:rFonts w:ascii="Bookman Old Style" w:eastAsia="Times New Roman" w:hAnsi="Bookman Old Style" w:cs="Arial"/>
                <w:sz w:val="20"/>
                <w:szCs w:val="20"/>
              </w:rPr>
              <w:t>) yang dijual dengan tujuan menjaga kestabilan nilai.</w:t>
            </w:r>
          </w:p>
          <w:p w14:paraId="3FA8CDCE" w14:textId="77777777" w:rsidR="007B5B78" w:rsidRPr="00A22891" w:rsidRDefault="007B5B78" w:rsidP="00A32F86">
            <w:pPr>
              <w:pStyle w:val="ListParagraph"/>
              <w:numPr>
                <w:ilvl w:val="0"/>
                <w:numId w:val="193"/>
              </w:numPr>
              <w:spacing w:after="0" w:line="240" w:lineRule="auto"/>
              <w:ind w:left="2268"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lastRenderedPageBreak/>
              <w:t>Transaksi rekening administratif yang mendapatkan faktor RSF 3% (tiga persen) adalah:</w:t>
            </w:r>
          </w:p>
          <w:p w14:paraId="49EC2F94" w14:textId="77777777" w:rsidR="007B5B78" w:rsidRPr="00A22891" w:rsidRDefault="007B5B78" w:rsidP="00A32F86">
            <w:pPr>
              <w:pStyle w:val="ListParagraph"/>
              <w:numPr>
                <w:ilvl w:val="0"/>
                <w:numId w:val="196"/>
              </w:numPr>
              <w:spacing w:after="0" w:line="240" w:lineRule="auto"/>
              <w:ind w:left="2835"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kewajiban yang berasal dari instrumen pembiayaan perdagangan (</w:t>
            </w:r>
            <w:r w:rsidRPr="00A22891">
              <w:rPr>
                <w:rFonts w:ascii="Bookman Old Style" w:eastAsia="Times New Roman" w:hAnsi="Bookman Old Style" w:cs="Arial"/>
                <w:i/>
                <w:sz w:val="20"/>
                <w:szCs w:val="20"/>
              </w:rPr>
              <w:t>trade finance</w:t>
            </w:r>
            <w:r w:rsidRPr="00A22891">
              <w:rPr>
                <w:rFonts w:ascii="Bookman Old Style" w:eastAsia="Times New Roman" w:hAnsi="Bookman Old Style" w:cs="Arial"/>
                <w:sz w:val="20"/>
                <w:szCs w:val="20"/>
              </w:rPr>
              <w:t xml:space="preserve">), termasuk bank garansi dan </w:t>
            </w:r>
            <w:r w:rsidRPr="00A22891">
              <w:rPr>
                <w:rFonts w:ascii="Bookman Old Style" w:eastAsia="Times New Roman" w:hAnsi="Bookman Old Style" w:cs="Arial"/>
                <w:i/>
                <w:sz w:val="20"/>
                <w:szCs w:val="20"/>
              </w:rPr>
              <w:t xml:space="preserve">letters of credit </w:t>
            </w:r>
            <w:r w:rsidRPr="00A22891">
              <w:rPr>
                <w:rFonts w:ascii="Bookman Old Style" w:eastAsia="Times New Roman" w:hAnsi="Bookman Old Style" w:cs="Arial"/>
                <w:sz w:val="20"/>
                <w:szCs w:val="20"/>
              </w:rPr>
              <w:t>(L/C);</w:t>
            </w:r>
          </w:p>
          <w:p w14:paraId="04EA0F25" w14:textId="77777777" w:rsidR="007B5B78" w:rsidRPr="00A22891" w:rsidRDefault="007B5B78" w:rsidP="00A22891">
            <w:pPr>
              <w:pStyle w:val="ListParagraph"/>
              <w:spacing w:after="0" w:line="240" w:lineRule="auto"/>
              <w:ind w:left="2835"/>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Contoh instrumen pembiayaan perdagangan (</w:t>
            </w:r>
            <w:r w:rsidRPr="00A22891">
              <w:rPr>
                <w:rFonts w:ascii="Bookman Old Style" w:eastAsia="Times New Roman" w:hAnsi="Bookman Old Style" w:cs="Arial"/>
                <w:i/>
                <w:sz w:val="20"/>
                <w:szCs w:val="20"/>
              </w:rPr>
              <w:t>trade finance</w:t>
            </w:r>
            <w:r w:rsidRPr="00A22891">
              <w:rPr>
                <w:rFonts w:ascii="Bookman Old Style" w:eastAsia="Times New Roman" w:hAnsi="Bookman Old Style" w:cs="Arial"/>
                <w:sz w:val="20"/>
                <w:szCs w:val="20"/>
              </w:rPr>
              <w:t>) antara lain:</w:t>
            </w:r>
          </w:p>
          <w:p w14:paraId="2253B1C5" w14:textId="77777777" w:rsidR="007B5B78" w:rsidRPr="00A22891" w:rsidRDefault="007B5B78" w:rsidP="00A32F86">
            <w:pPr>
              <w:pStyle w:val="ListParagraph"/>
              <w:numPr>
                <w:ilvl w:val="0"/>
                <w:numId w:val="197"/>
              </w:numPr>
              <w:spacing w:after="0" w:line="240" w:lineRule="auto"/>
              <w:ind w:left="3402"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dokumen perdagangan menggunakan L/C, </w:t>
            </w:r>
            <w:r w:rsidRPr="00A22891">
              <w:rPr>
                <w:rFonts w:ascii="Bookman Old Style" w:eastAsia="Times New Roman" w:hAnsi="Bookman Old Style" w:cs="Arial"/>
                <w:i/>
                <w:sz w:val="20"/>
                <w:szCs w:val="20"/>
              </w:rPr>
              <w:t xml:space="preserve">clean collection, documentary collection, import bills, </w:t>
            </w:r>
            <w:r w:rsidRPr="00A22891">
              <w:rPr>
                <w:rFonts w:ascii="Bookman Old Style" w:eastAsia="Times New Roman" w:hAnsi="Bookman Old Style" w:cs="Arial"/>
                <w:sz w:val="20"/>
                <w:szCs w:val="20"/>
              </w:rPr>
              <w:t xml:space="preserve">dan </w:t>
            </w:r>
            <w:r w:rsidRPr="00A22891">
              <w:rPr>
                <w:rFonts w:ascii="Bookman Old Style" w:eastAsia="Times New Roman" w:hAnsi="Bookman Old Style" w:cs="Arial"/>
                <w:i/>
                <w:sz w:val="20"/>
                <w:szCs w:val="20"/>
              </w:rPr>
              <w:t>export bills</w:t>
            </w:r>
            <w:r w:rsidRPr="00A22891">
              <w:rPr>
                <w:rFonts w:ascii="Bookman Old Style" w:eastAsia="Times New Roman" w:hAnsi="Bookman Old Style" w:cs="Arial"/>
                <w:sz w:val="20"/>
                <w:szCs w:val="20"/>
              </w:rPr>
              <w:t>; dan</w:t>
            </w:r>
          </w:p>
          <w:p w14:paraId="7FD7964C" w14:textId="77777777" w:rsidR="007B5B78" w:rsidRPr="00A22891" w:rsidRDefault="007B5B78" w:rsidP="00A32F86">
            <w:pPr>
              <w:pStyle w:val="ListParagraph"/>
              <w:numPr>
                <w:ilvl w:val="0"/>
                <w:numId w:val="197"/>
              </w:numPr>
              <w:spacing w:after="0" w:line="240" w:lineRule="auto"/>
              <w:ind w:left="3402"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garansi yang terkait langsung dengan kewajiban pembiayaan perdagangan (</w:t>
            </w:r>
            <w:r w:rsidRPr="00A22891">
              <w:rPr>
                <w:rFonts w:ascii="Bookman Old Style" w:eastAsia="Times New Roman" w:hAnsi="Bookman Old Style" w:cs="Arial"/>
                <w:i/>
                <w:sz w:val="20"/>
                <w:szCs w:val="20"/>
              </w:rPr>
              <w:t>trade finance</w:t>
            </w:r>
            <w:r w:rsidRPr="00A22891">
              <w:rPr>
                <w:rFonts w:ascii="Bookman Old Style" w:eastAsia="Times New Roman" w:hAnsi="Bookman Old Style" w:cs="Arial"/>
                <w:sz w:val="20"/>
                <w:szCs w:val="20"/>
              </w:rPr>
              <w:t xml:space="preserve">) seperti </w:t>
            </w:r>
            <w:r w:rsidRPr="00A22891">
              <w:rPr>
                <w:rFonts w:ascii="Bookman Old Style" w:eastAsia="Times New Roman" w:hAnsi="Bookman Old Style" w:cs="Arial"/>
                <w:i/>
                <w:sz w:val="20"/>
                <w:szCs w:val="20"/>
              </w:rPr>
              <w:t>shipping guarantees</w:t>
            </w:r>
            <w:r w:rsidRPr="00A22891">
              <w:rPr>
                <w:rFonts w:ascii="Bookman Old Style" w:eastAsia="Times New Roman" w:hAnsi="Bookman Old Style" w:cs="Arial"/>
                <w:sz w:val="20"/>
                <w:szCs w:val="20"/>
              </w:rPr>
              <w:t>;</w:t>
            </w:r>
            <w:r w:rsidRPr="00A22891">
              <w:rPr>
                <w:rFonts w:ascii="Bookman Old Style" w:eastAsia="Times New Roman" w:hAnsi="Bookman Old Style" w:cs="Arial"/>
                <w:sz w:val="20"/>
                <w:szCs w:val="20"/>
                <w:lang w:val="en-US"/>
              </w:rPr>
              <w:t xml:space="preserve"> dan</w:t>
            </w:r>
          </w:p>
          <w:p w14:paraId="0CADE99C" w14:textId="77777777" w:rsidR="007B5B78" w:rsidRPr="00A22891" w:rsidRDefault="007B5B78" w:rsidP="00A32F86">
            <w:pPr>
              <w:pStyle w:val="ListParagraph"/>
              <w:numPr>
                <w:ilvl w:val="0"/>
                <w:numId w:val="196"/>
              </w:numPr>
              <w:spacing w:after="0" w:line="240" w:lineRule="auto"/>
              <w:ind w:left="2835"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komitmen pembiayaan seperti pembiayaan langsung impor dan ekspor untuk perusahaan non-keuangan dikecualikan dari perhitungan sebagaimana dimaksud dalam angka 1).</w:t>
            </w:r>
          </w:p>
          <w:p w14:paraId="06E7ACDD" w14:textId="77777777" w:rsidR="007B5B78" w:rsidRPr="00A22891" w:rsidRDefault="007B5B78" w:rsidP="00A32F86">
            <w:pPr>
              <w:pStyle w:val="ListParagraph"/>
              <w:numPr>
                <w:ilvl w:val="0"/>
                <w:numId w:val="193"/>
              </w:numPr>
              <w:spacing w:after="0" w:line="240" w:lineRule="auto"/>
              <w:ind w:left="2268"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 xml:space="preserve">Transaksi rekening administratif yang mendapatkan faktor RSF 0% (nol persen) adalah kewajiban yang berasal dari fasilitas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xml:space="preserve"> dan fasilitas likuiditas yang bersifat dapat dibatalkan tanpa syarat (</w:t>
            </w:r>
            <w:r w:rsidRPr="00A22891">
              <w:rPr>
                <w:rFonts w:ascii="Bookman Old Style" w:eastAsia="Times New Roman" w:hAnsi="Bookman Old Style" w:cs="Arial"/>
                <w:i/>
                <w:sz w:val="20"/>
                <w:szCs w:val="20"/>
              </w:rPr>
              <w:t>unconditionally revocable</w:t>
            </w:r>
            <w:r w:rsidRPr="00A22891">
              <w:rPr>
                <w:rFonts w:ascii="Bookman Old Style" w:eastAsia="Times New Roman" w:hAnsi="Bookman Old Style" w:cs="Arial"/>
                <w:sz w:val="20"/>
                <w:szCs w:val="20"/>
              </w:rPr>
              <w:t>) dan tanpa komitmen (</w:t>
            </w:r>
            <w:r w:rsidRPr="00A22891">
              <w:rPr>
                <w:rFonts w:ascii="Bookman Old Style" w:eastAsia="Times New Roman" w:hAnsi="Bookman Old Style" w:cs="Arial"/>
                <w:i/>
                <w:sz w:val="20"/>
                <w:szCs w:val="20"/>
              </w:rPr>
              <w:t>uncommitted</w:t>
            </w:r>
            <w:r w:rsidRPr="00A22891">
              <w:rPr>
                <w:rFonts w:ascii="Bookman Old Style" w:eastAsia="Times New Roman" w:hAnsi="Bookman Old Style" w:cs="Arial"/>
                <w:sz w:val="20"/>
                <w:szCs w:val="20"/>
              </w:rPr>
              <w:t>).</w:t>
            </w:r>
          </w:p>
          <w:p w14:paraId="022D5FA3" w14:textId="00DF4DB1" w:rsidR="007B5B78" w:rsidRPr="00A22891" w:rsidRDefault="007B5B78" w:rsidP="00A32F86">
            <w:pPr>
              <w:pStyle w:val="ListParagraph"/>
              <w:numPr>
                <w:ilvl w:val="0"/>
                <w:numId w:val="192"/>
              </w:numPr>
              <w:spacing w:after="0" w:line="240" w:lineRule="auto"/>
              <w:ind w:left="1701"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Termasuk ke dalam tagihan komitmen (</w:t>
            </w:r>
            <w:r w:rsidRPr="00A22891">
              <w:rPr>
                <w:rFonts w:ascii="Bookman Old Style" w:eastAsia="Times New Roman" w:hAnsi="Bookman Old Style" w:cs="Arial"/>
                <w:i/>
                <w:sz w:val="20"/>
                <w:szCs w:val="20"/>
              </w:rPr>
              <w:t>committed facility</w:t>
            </w:r>
            <w:r w:rsidRPr="00A22891">
              <w:rPr>
                <w:rFonts w:ascii="Bookman Old Style" w:eastAsia="Times New Roman" w:hAnsi="Bookman Old Style" w:cs="Arial"/>
                <w:sz w:val="20"/>
                <w:szCs w:val="20"/>
              </w:rPr>
              <w:t xml:space="preserve">) adalah fasilitas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fasilitas likuiditas, dan/atau fasilitas kontinjensi lainnya dari entitas lain baik Bank maupun bukan Bank.</w:t>
            </w:r>
          </w:p>
        </w:tc>
        <w:tc>
          <w:tcPr>
            <w:tcW w:w="3686" w:type="dxa"/>
            <w:shd w:val="clear" w:color="auto" w:fill="auto"/>
            <w:vAlign w:val="center"/>
          </w:tcPr>
          <w:p w14:paraId="21BA94A2"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DE4C8F9"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48B3E991" w14:textId="77777777" w:rsidTr="007B5B78">
        <w:trPr>
          <w:trHeight w:val="564"/>
          <w:tblHeader/>
        </w:trPr>
        <w:tc>
          <w:tcPr>
            <w:tcW w:w="9634" w:type="dxa"/>
            <w:shd w:val="clear" w:color="auto" w:fill="DBDBDB" w:themeFill="accent3" w:themeFillTint="66"/>
            <w:vAlign w:val="center"/>
          </w:tcPr>
          <w:p w14:paraId="6B8A86D4" w14:textId="41CEB974" w:rsidR="007B5B78" w:rsidRPr="00A22891" w:rsidRDefault="007B5B78" w:rsidP="00A32F86">
            <w:pPr>
              <w:pStyle w:val="BodyText"/>
              <w:numPr>
                <w:ilvl w:val="3"/>
                <w:numId w:val="28"/>
              </w:numPr>
              <w:ind w:left="595" w:hanging="567"/>
              <w:rPr>
                <w:rFonts w:ascii="Bookman Old Style" w:hAnsi="Bookman Old Style"/>
                <w:i/>
                <w:sz w:val="20"/>
                <w:szCs w:val="20"/>
              </w:rPr>
            </w:pPr>
            <w:r w:rsidRPr="00A22891">
              <w:rPr>
                <w:rFonts w:ascii="Bookman Old Style" w:hAnsi="Bookman Old Style"/>
                <w:i/>
                <w:sz w:val="20"/>
                <w:szCs w:val="20"/>
              </w:rPr>
              <w:t>SECURITIES FINANCING TRANSACTIONS</w:t>
            </w:r>
          </w:p>
        </w:tc>
        <w:tc>
          <w:tcPr>
            <w:tcW w:w="3686" w:type="dxa"/>
            <w:shd w:val="clear" w:color="auto" w:fill="DBDBDB" w:themeFill="accent3" w:themeFillTint="66"/>
            <w:vAlign w:val="center"/>
          </w:tcPr>
          <w:p w14:paraId="3C636DC0"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4D76269B"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038B53EA" w14:textId="77777777" w:rsidTr="006A283D">
        <w:trPr>
          <w:trHeight w:val="564"/>
          <w:tblHeader/>
        </w:trPr>
        <w:tc>
          <w:tcPr>
            <w:tcW w:w="9634" w:type="dxa"/>
            <w:shd w:val="clear" w:color="auto" w:fill="auto"/>
            <w:vAlign w:val="center"/>
          </w:tcPr>
          <w:p w14:paraId="2FD3761F"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 xml:space="preserve">Bank memperhitungkan nilai ASF dan nilai RSF yang bersumber dari </w:t>
            </w:r>
            <w:r w:rsidRPr="00A22891">
              <w:rPr>
                <w:rFonts w:ascii="Bookman Old Style" w:eastAsia="Times New Roman" w:hAnsi="Bookman Old Style" w:cs="Arial"/>
                <w:i/>
                <w:sz w:val="20"/>
                <w:szCs w:val="20"/>
              </w:rPr>
              <w:t xml:space="preserve">securities financing transaction </w:t>
            </w:r>
            <w:r w:rsidRPr="00A22891">
              <w:rPr>
                <w:rFonts w:ascii="Bookman Old Style" w:eastAsia="Times New Roman" w:hAnsi="Bookman Old Style" w:cs="Arial"/>
                <w:sz w:val="20"/>
                <w:szCs w:val="20"/>
              </w:rPr>
              <w:t>(SFT). SFT mencakup Pendanaan dengan agunan (</w:t>
            </w:r>
            <w:r w:rsidRPr="00A22891">
              <w:rPr>
                <w:rFonts w:ascii="Bookman Old Style" w:eastAsia="Times New Roman" w:hAnsi="Bookman Old Style" w:cs="Arial"/>
                <w:i/>
                <w:sz w:val="20"/>
                <w:szCs w:val="20"/>
              </w:rPr>
              <w:t>secured funding</w:t>
            </w:r>
            <w:r w:rsidRPr="00A22891">
              <w:rPr>
                <w:rFonts w:ascii="Bookman Old Style" w:eastAsia="Times New Roman" w:hAnsi="Bookman Old Style" w:cs="Arial"/>
                <w:sz w:val="20"/>
                <w:szCs w:val="20"/>
              </w:rPr>
              <w:t xml:space="preserve">) misalnya transaksi repo dan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xml:space="preserve"> dengan agunan (</w:t>
            </w:r>
            <w:r w:rsidRPr="00A22891">
              <w:rPr>
                <w:rFonts w:ascii="Bookman Old Style" w:eastAsia="Times New Roman" w:hAnsi="Bookman Old Style" w:cs="Arial"/>
                <w:i/>
                <w:sz w:val="20"/>
                <w:szCs w:val="20"/>
              </w:rPr>
              <w:t xml:space="preserve">secured </w:t>
            </w:r>
            <w:r w:rsidRPr="00A22891">
              <w:rPr>
                <w:rFonts w:ascii="Bookman Old Style" w:eastAsia="Times New Roman" w:hAnsi="Bookman Old Style" w:cs="Arial"/>
                <w:i/>
                <w:sz w:val="20"/>
                <w:szCs w:val="20"/>
                <w:lang w:val="en-US"/>
              </w:rPr>
              <w:t>financing</w:t>
            </w:r>
            <w:r w:rsidRPr="00A22891">
              <w:rPr>
                <w:rFonts w:ascii="Bookman Old Style" w:eastAsia="Times New Roman" w:hAnsi="Bookman Old Style" w:cs="Arial"/>
                <w:sz w:val="20"/>
                <w:szCs w:val="20"/>
              </w:rPr>
              <w:t xml:space="preserve">) misalnya transaksi </w:t>
            </w:r>
            <w:r w:rsidRPr="00A22891">
              <w:rPr>
                <w:rFonts w:ascii="Bookman Old Style" w:eastAsia="Times New Roman" w:hAnsi="Bookman Old Style" w:cs="Arial"/>
                <w:i/>
                <w:sz w:val="20"/>
                <w:szCs w:val="20"/>
              </w:rPr>
              <w:t xml:space="preserve">reverse </w:t>
            </w:r>
            <w:r w:rsidRPr="00A22891">
              <w:rPr>
                <w:rFonts w:ascii="Bookman Old Style" w:eastAsia="Times New Roman" w:hAnsi="Bookman Old Style" w:cs="Arial"/>
                <w:sz w:val="20"/>
                <w:szCs w:val="20"/>
              </w:rPr>
              <w:t>repo</w:t>
            </w:r>
            <w:r w:rsidRPr="00A22891">
              <w:rPr>
                <w:rFonts w:ascii="Bookman Old Style" w:eastAsia="Times New Roman" w:hAnsi="Bookman Old Style" w:cs="Arial"/>
                <w:i/>
                <w:sz w:val="20"/>
                <w:szCs w:val="20"/>
              </w:rPr>
              <w:t>.</w:t>
            </w:r>
          </w:p>
          <w:p w14:paraId="5E674E7D"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Yang dimaksud dengan “Pendanaan dengan agunan (</w:t>
            </w:r>
            <w:r w:rsidRPr="00A22891">
              <w:rPr>
                <w:rFonts w:ascii="Bookman Old Style" w:eastAsia="Times New Roman" w:hAnsi="Bookman Old Style" w:cs="Arial"/>
                <w:i/>
                <w:sz w:val="20"/>
                <w:szCs w:val="20"/>
              </w:rPr>
              <w:t>secured funding</w:t>
            </w:r>
            <w:r w:rsidRPr="00A22891">
              <w:rPr>
                <w:rFonts w:ascii="Bookman Old Style" w:eastAsia="Times New Roman" w:hAnsi="Bookman Old Style" w:cs="Arial"/>
                <w:sz w:val="20"/>
                <w:szCs w:val="20"/>
              </w:rPr>
              <w:t>)” sebagaimana dalam angka 1 adalah kewajiban yang dijamin dengan suatu hak secara hukum atas aset tertentu yang dimiliki oleh Bank dalam hal terjadi kepailitan, ketidakmampuan memenuhi kewajiban (insolvensi), likuidasi, atau resolusi.</w:t>
            </w:r>
          </w:p>
          <w:p w14:paraId="3C3AF956"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Dalam rangka perhitungan nilai RSF, Bank menetapkan perlakuan atas aset yang digunakan dalam SFT sebagai berikut:</w:t>
            </w:r>
          </w:p>
          <w:p w14:paraId="3D7C2F9C" w14:textId="77777777" w:rsidR="007B5B78" w:rsidRPr="00A22891" w:rsidRDefault="007B5B78" w:rsidP="00A32F86">
            <w:pPr>
              <w:pStyle w:val="ListParagraph"/>
              <w:numPr>
                <w:ilvl w:val="0"/>
                <w:numId w:val="199"/>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 xml:space="preserve">Untuk transaksi </w:t>
            </w:r>
            <w:r w:rsidRPr="00A22891">
              <w:rPr>
                <w:rFonts w:ascii="Bookman Old Style" w:eastAsia="Times New Roman" w:hAnsi="Bookman Old Style" w:cs="Arial"/>
                <w:i/>
                <w:sz w:val="20"/>
                <w:szCs w:val="20"/>
              </w:rPr>
              <w:t xml:space="preserve">reverse </w:t>
            </w:r>
            <w:r w:rsidRPr="00A22891">
              <w:rPr>
                <w:rFonts w:ascii="Bookman Old Style" w:eastAsia="Times New Roman" w:hAnsi="Bookman Old Style" w:cs="Arial"/>
                <w:sz w:val="20"/>
                <w:szCs w:val="20"/>
              </w:rPr>
              <w:t>repo</w:t>
            </w:r>
            <w:r w:rsidRPr="00A22891">
              <w:rPr>
                <w:rFonts w:ascii="Bookman Old Style" w:eastAsia="Times New Roman" w:hAnsi="Bookman Old Style" w:cs="Arial"/>
                <w:i/>
                <w:sz w:val="20"/>
                <w:szCs w:val="20"/>
              </w:rPr>
              <w:t xml:space="preserve">, </w:t>
            </w:r>
            <w:r w:rsidRPr="00A22891">
              <w:rPr>
                <w:rFonts w:ascii="Bookman Old Style" w:eastAsia="Times New Roman" w:hAnsi="Bookman Old Style" w:cs="Arial"/>
                <w:sz w:val="20"/>
                <w:szCs w:val="20"/>
              </w:rPr>
              <w:t xml:space="preserve">aset yang diterima tidak diakui sebagai aset alihan bagi pihak yang menerima sepanjang pengalihan aset tidak memenuhi kriteria penghentian pengakuan sesuai dengan standar akuntasi keuangan. Dengan demikian, aset yang diterima oleh Bank dalam transaksi </w:t>
            </w:r>
            <w:r w:rsidRPr="00A22891">
              <w:rPr>
                <w:rFonts w:ascii="Bookman Old Style" w:eastAsia="Times New Roman" w:hAnsi="Bookman Old Style" w:cs="Arial"/>
                <w:i/>
                <w:sz w:val="20"/>
                <w:szCs w:val="20"/>
              </w:rPr>
              <w:t xml:space="preserve">reverse repo </w:t>
            </w:r>
            <w:r w:rsidRPr="00A22891">
              <w:rPr>
                <w:rFonts w:ascii="Bookman Old Style" w:eastAsia="Times New Roman" w:hAnsi="Bookman Old Style" w:cs="Arial"/>
                <w:sz w:val="20"/>
                <w:szCs w:val="20"/>
              </w:rPr>
              <w:t>tidak dimasukkan dalam perhitungan nilai RSF.</w:t>
            </w:r>
          </w:p>
          <w:p w14:paraId="603B4591" w14:textId="77777777" w:rsidR="007B5B78" w:rsidRPr="00A22891" w:rsidRDefault="007B5B78" w:rsidP="00A32F86">
            <w:pPr>
              <w:pStyle w:val="ListParagraph"/>
              <w:numPr>
                <w:ilvl w:val="0"/>
                <w:numId w:val="199"/>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lastRenderedPageBreak/>
              <w:t>Untuk transaksi repo, aset yang diserahkan atau dialihkan dalam transaksi repo tidak dihentikan pengakuannya karena pihak yang mengalihkan secara substansial mempertahankan seluruh risiko dan manfaat atas kepemilikan aset tersebut. Dengan demikian, aset yang dialihkan dalam transaksi repo dimasukkan dalam perhitungan nilai RSF dan mendapat faktor RSF yang sesuai.</w:t>
            </w:r>
          </w:p>
          <w:p w14:paraId="5CE8B9F8"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Penetapan faktor RSF atas aset yang diserahkan atau dialihkan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dalam</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transaksi</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repo</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dan</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SFT, sebagaimana</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dimaksu</w:t>
            </w:r>
            <w:r w:rsidRPr="00A22891">
              <w:rPr>
                <w:rFonts w:ascii="Bookman Old Style" w:eastAsia="Times New Roman" w:hAnsi="Bookman Old Style" w:cs="Arial"/>
                <w:sz w:val="20"/>
                <w:szCs w:val="20"/>
                <w:lang w:val="en-US"/>
              </w:rPr>
              <w:t xml:space="preserve">d </w:t>
            </w:r>
            <w:r w:rsidRPr="00A22891">
              <w:rPr>
                <w:rFonts w:ascii="Bookman Old Style" w:eastAsia="Times New Roman" w:hAnsi="Bookman Old Style" w:cs="Arial"/>
                <w:sz w:val="20"/>
                <w:szCs w:val="20"/>
              </w:rPr>
              <w:t>dalam</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butir 3.b, dilakukan berdasarkan penetapan faktor RSF untuk aset terikat (</w:t>
            </w:r>
            <w:r w:rsidRPr="00A22891">
              <w:rPr>
                <w:rFonts w:ascii="Bookman Old Style" w:eastAsia="Times New Roman" w:hAnsi="Bookman Old Style" w:cs="Arial"/>
                <w:i/>
                <w:sz w:val="20"/>
                <w:szCs w:val="20"/>
              </w:rPr>
              <w:t>encumbered</w:t>
            </w:r>
            <w:r w:rsidRPr="00A22891">
              <w:rPr>
                <w:rFonts w:ascii="Bookman Old Style" w:eastAsia="Times New Roman" w:hAnsi="Bookman Old Style" w:cs="Arial"/>
                <w:sz w:val="20"/>
                <w:szCs w:val="20"/>
              </w:rPr>
              <w:t>) sebagaimana dimaksud dalam butir IV.D.2.e.</w:t>
            </w:r>
          </w:p>
          <w:p w14:paraId="67334751" w14:textId="77777777" w:rsidR="007B5B78" w:rsidRPr="00A22891" w:rsidRDefault="007B5B78" w:rsidP="00A22891">
            <w:pPr>
              <w:pStyle w:val="ListParagraph"/>
              <w:spacing w:after="0" w:line="240" w:lineRule="auto"/>
              <w:ind w:left="1134"/>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lang w:val="en-US"/>
              </w:rPr>
              <w:t>Contoh:</w:t>
            </w:r>
          </w:p>
          <w:p w14:paraId="3543E1AB" w14:textId="77777777" w:rsidR="007B5B78" w:rsidRPr="00A22891" w:rsidRDefault="007B5B78" w:rsidP="00A22891">
            <w:pPr>
              <w:pStyle w:val="ListParagraph"/>
              <w:spacing w:after="0" w:line="240" w:lineRule="auto"/>
              <w:ind w:left="1134"/>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Aset yang diserahkan atau dijaminkan dalam repo atau SFT memiliki sisa jangka waktu kurang dari 1 (satu) tahun namun sisa jangka waktu repo adalah lebih dari 1 (satu) tahun. Dengan demikian, sisa jangka waktu yang digunakan dalam menentukan faktor RSF adalah sisa jangka waktu repo yaitu lebih dari 1 (satu) tahun sehingga aset tersebut mendapatkan faktor RSF 100% (seratus persen).</w:t>
            </w:r>
          </w:p>
          <w:p w14:paraId="08351E8A"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Nilai RSF atas aset yang diserahkan atau dialihkan dalam transaksi repo sebagaimana dimaksud dalam butir 3.b. merupakan perkalian antara:</w:t>
            </w:r>
          </w:p>
          <w:p w14:paraId="78E13732" w14:textId="77777777" w:rsidR="007B5B78" w:rsidRPr="00A22891" w:rsidRDefault="007B5B78" w:rsidP="00A32F86">
            <w:pPr>
              <w:pStyle w:val="ListParagraph"/>
              <w:numPr>
                <w:ilvl w:val="0"/>
                <w:numId w:val="200"/>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nilai tercatat bersih aset yang menjadi dasar (</w:t>
            </w:r>
            <w:r w:rsidRPr="00A22891">
              <w:rPr>
                <w:rFonts w:ascii="Bookman Old Style" w:eastAsia="Times New Roman" w:hAnsi="Bookman Old Style" w:cs="Arial"/>
                <w:i/>
                <w:sz w:val="20"/>
                <w:szCs w:val="20"/>
              </w:rPr>
              <w:t>underlying</w:t>
            </w:r>
            <w:r w:rsidRPr="00A22891">
              <w:rPr>
                <w:rFonts w:ascii="Bookman Old Style" w:eastAsia="Times New Roman" w:hAnsi="Bookman Old Style" w:cs="Arial"/>
                <w:sz w:val="20"/>
                <w:szCs w:val="20"/>
              </w:rPr>
              <w:t>) transaksi repo.</w:t>
            </w:r>
          </w:p>
          <w:p w14:paraId="730F79AA" w14:textId="77777777" w:rsidR="007B5B78" w:rsidRPr="00A22891" w:rsidRDefault="007B5B78" w:rsidP="00A22891">
            <w:pPr>
              <w:pStyle w:val="ListParagraph"/>
              <w:spacing w:after="0" w:line="240" w:lineRule="auto"/>
              <w:ind w:left="1701"/>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Nilai tercatat bersih aset adalah nilai tercatat aset setelah dikurangi dengan CKPN atas aset tersebut sesuai standar akuntansi yang berlaku.</w:t>
            </w:r>
          </w:p>
          <w:p w14:paraId="33BB5C61" w14:textId="77777777" w:rsidR="007B5B78" w:rsidRPr="00A22891" w:rsidRDefault="007B5B78" w:rsidP="00A22891">
            <w:pPr>
              <w:pStyle w:val="ListParagraph"/>
              <w:spacing w:after="0" w:line="240" w:lineRule="auto"/>
              <w:ind w:left="1701"/>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Khusus untuk CKPN yang dibentuk secara kolektif, yang diperhitungkan hanya CKPN atas tagihan yang telah teridentifikasi mengalami penurunan nilai; dan</w:t>
            </w:r>
          </w:p>
          <w:p w14:paraId="35D3C530" w14:textId="77777777" w:rsidR="007B5B78" w:rsidRPr="00A22891" w:rsidRDefault="007B5B78" w:rsidP="00A32F86">
            <w:pPr>
              <w:pStyle w:val="ListParagraph"/>
              <w:numPr>
                <w:ilvl w:val="0"/>
                <w:numId w:val="200"/>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faktor RSF untuk aset terikat (</w:t>
            </w:r>
            <w:r w:rsidRPr="00A22891">
              <w:rPr>
                <w:rFonts w:ascii="Bookman Old Style" w:eastAsia="Times New Roman" w:hAnsi="Bookman Old Style" w:cs="Arial"/>
                <w:i/>
                <w:sz w:val="20"/>
                <w:szCs w:val="20"/>
              </w:rPr>
              <w:t>encumbered</w:t>
            </w:r>
            <w:r w:rsidRPr="00A22891">
              <w:rPr>
                <w:rFonts w:ascii="Bookman Old Style" w:eastAsia="Times New Roman" w:hAnsi="Bookman Old Style" w:cs="Arial"/>
                <w:sz w:val="20"/>
                <w:szCs w:val="20"/>
              </w:rPr>
              <w:t>) sebagaimana dimaksud dalam butir IV.D.2.e.</w:t>
            </w:r>
          </w:p>
          <w:p w14:paraId="18409503"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Penetapan nilai ASF dan nilai RSF atas liabilitas kas dan tagihan kas yang berasal dari SFT dilakukan sebagai berikut:</w:t>
            </w:r>
          </w:p>
          <w:p w14:paraId="00A14E03" w14:textId="77777777" w:rsidR="007B5B78" w:rsidRPr="00A22891" w:rsidRDefault="007B5B78" w:rsidP="00A32F86">
            <w:pPr>
              <w:pStyle w:val="ListParagraph"/>
              <w:numPr>
                <w:ilvl w:val="0"/>
                <w:numId w:val="201"/>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Untuk liabilitas kas dari transaksi repo, nilai ASF merupakan hasil perkalian antara:</w:t>
            </w:r>
          </w:p>
          <w:p w14:paraId="473A8C3A" w14:textId="77777777" w:rsidR="007B5B78" w:rsidRPr="00A22891" w:rsidRDefault="007B5B78" w:rsidP="00A32F86">
            <w:pPr>
              <w:pStyle w:val="ListParagraph"/>
              <w:numPr>
                <w:ilvl w:val="0"/>
                <w:numId w:val="202"/>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nilai tercatat dari liabilitas repo; dan</w:t>
            </w:r>
          </w:p>
          <w:p w14:paraId="2C225D52" w14:textId="77777777" w:rsidR="007B5B78" w:rsidRPr="00A22891" w:rsidRDefault="007B5B78" w:rsidP="00A32F86">
            <w:pPr>
              <w:pStyle w:val="ListParagraph"/>
              <w:numPr>
                <w:ilvl w:val="0"/>
                <w:numId w:val="202"/>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faktor ASF yang didasarkan pada jenis liabilitas, sisa jangka waktu liabilitas, dan pihak lawan transaksi, sebagaimana dimaksud dalam butir III.D.</w:t>
            </w:r>
          </w:p>
          <w:p w14:paraId="3D62E656" w14:textId="77777777" w:rsidR="007B5B78" w:rsidRPr="00A22891" w:rsidRDefault="007B5B78" w:rsidP="00A22891">
            <w:pPr>
              <w:pStyle w:val="ListParagraph"/>
              <w:spacing w:after="0" w:line="240" w:lineRule="auto"/>
              <w:ind w:left="2268"/>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lang w:val="en-US"/>
              </w:rPr>
              <w:t xml:space="preserve">Contoh: </w:t>
            </w:r>
          </w:p>
          <w:p w14:paraId="162B3907" w14:textId="77777777" w:rsidR="007B5B78" w:rsidRPr="00A22891" w:rsidRDefault="007B5B78" w:rsidP="00A22891">
            <w:pPr>
              <w:pStyle w:val="ListParagraph"/>
              <w:spacing w:after="0" w:line="240" w:lineRule="auto"/>
              <w:ind w:left="2268"/>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Liabilitas repo berupa Pendanaan dari Bank Indonesia atau   lembaga   keuangan   dengan   sisa   jangka   waktu 6 (enam) bulan sampai dengan kurang dari 1 (satu) tahun akan mendapat faktor ASF 50% (lima puluh persen).</w:t>
            </w:r>
          </w:p>
          <w:p w14:paraId="13377579" w14:textId="77777777" w:rsidR="007B5B78" w:rsidRPr="00A22891" w:rsidRDefault="007B5B78" w:rsidP="00A32F86">
            <w:pPr>
              <w:pStyle w:val="ListParagraph"/>
              <w:numPr>
                <w:ilvl w:val="0"/>
                <w:numId w:val="201"/>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lastRenderedPageBreak/>
              <w:t xml:space="preserve">Untuk tagihan kas dari transaksi </w:t>
            </w:r>
            <w:r w:rsidRPr="00A22891">
              <w:rPr>
                <w:rFonts w:ascii="Bookman Old Style" w:eastAsia="Times New Roman" w:hAnsi="Bookman Old Style" w:cs="Arial"/>
                <w:i/>
                <w:sz w:val="20"/>
                <w:szCs w:val="20"/>
              </w:rPr>
              <w:t xml:space="preserve">reverse </w:t>
            </w:r>
            <w:r w:rsidRPr="00A22891">
              <w:rPr>
                <w:rFonts w:ascii="Bookman Old Style" w:eastAsia="Times New Roman" w:hAnsi="Bookman Old Style" w:cs="Arial"/>
                <w:sz w:val="20"/>
                <w:szCs w:val="20"/>
              </w:rPr>
              <w:t>repo, nilai RSF merupakan hasil perkalian antara:</w:t>
            </w:r>
          </w:p>
          <w:p w14:paraId="51A251B6" w14:textId="77777777" w:rsidR="007B5B78" w:rsidRPr="00A22891" w:rsidRDefault="007B5B78" w:rsidP="00A32F86">
            <w:pPr>
              <w:pStyle w:val="ListParagraph"/>
              <w:numPr>
                <w:ilvl w:val="0"/>
                <w:numId w:val="203"/>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 xml:space="preserve">nilai tercatat dari tagihan </w:t>
            </w:r>
            <w:r w:rsidRPr="00A22891">
              <w:rPr>
                <w:rFonts w:ascii="Bookman Old Style" w:eastAsia="Times New Roman" w:hAnsi="Bookman Old Style" w:cs="Arial"/>
                <w:i/>
                <w:sz w:val="20"/>
                <w:szCs w:val="20"/>
              </w:rPr>
              <w:t xml:space="preserve">reverse </w:t>
            </w:r>
            <w:r w:rsidRPr="00A22891">
              <w:rPr>
                <w:rFonts w:ascii="Bookman Old Style" w:eastAsia="Times New Roman" w:hAnsi="Bookman Old Style" w:cs="Arial"/>
                <w:sz w:val="20"/>
                <w:szCs w:val="20"/>
              </w:rPr>
              <w:t>repo setelah dikurangi dengan CKPN atas tagihan tersebut sesuai standar akuntansi.</w:t>
            </w:r>
          </w:p>
          <w:p w14:paraId="5B259A24" w14:textId="77777777" w:rsidR="007B5B78" w:rsidRPr="00A22891" w:rsidRDefault="007B5B78" w:rsidP="00A22891">
            <w:pPr>
              <w:pStyle w:val="ListParagraph"/>
              <w:spacing w:after="0" w:line="240" w:lineRule="auto"/>
              <w:ind w:left="2268"/>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Khusus untuk CKPN yang dibentuk secara kolektif, yang diperhitungkan hanya CKPN atas tagihan yang telah teridentifikasi mengalami penurunan nilai; dan</w:t>
            </w:r>
          </w:p>
          <w:p w14:paraId="4C974DEA" w14:textId="77777777" w:rsidR="007B5B78" w:rsidRPr="00A22891" w:rsidRDefault="007B5B78" w:rsidP="00A32F86">
            <w:pPr>
              <w:pStyle w:val="ListParagraph"/>
              <w:numPr>
                <w:ilvl w:val="0"/>
                <w:numId w:val="203"/>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faktor RSF yang didasarkan pada jenis tagihan, sisa jangka waktu tagihan dan pihak lawan transaksi sebagaimana dimaksud dalam butir IV.E.</w:t>
            </w:r>
          </w:p>
          <w:p w14:paraId="6394E6FE" w14:textId="77777777" w:rsidR="007B5B78" w:rsidRPr="00A22891" w:rsidRDefault="007B5B78" w:rsidP="00A22891">
            <w:pPr>
              <w:pStyle w:val="ListParagraph"/>
              <w:spacing w:after="0" w:line="240" w:lineRule="auto"/>
              <w:ind w:left="2268"/>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lang w:val="en-US"/>
              </w:rPr>
              <w:t xml:space="preserve">Contoh: </w:t>
            </w:r>
          </w:p>
          <w:p w14:paraId="626E8812" w14:textId="77777777" w:rsidR="007B5B78" w:rsidRPr="00A22891" w:rsidRDefault="007B5B78" w:rsidP="00A22891">
            <w:pPr>
              <w:pStyle w:val="ListParagraph"/>
              <w:spacing w:after="0" w:line="240" w:lineRule="auto"/>
              <w:ind w:left="2268"/>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lang w:val="en-US"/>
              </w:rPr>
              <w:t>Tagihan</w:t>
            </w:r>
            <w:r w:rsidRPr="00A22891">
              <w:rPr>
                <w:rFonts w:ascii="Bookman Old Style" w:eastAsia="Times New Roman" w:hAnsi="Bookman Old Style" w:cs="Arial"/>
                <w:sz w:val="20"/>
                <w:szCs w:val="20"/>
              </w:rPr>
              <w:t xml:space="preserve"> </w:t>
            </w:r>
            <w:r w:rsidRPr="00A22891">
              <w:rPr>
                <w:rFonts w:ascii="Bookman Old Style" w:eastAsia="Times New Roman" w:hAnsi="Bookman Old Style" w:cs="Arial"/>
                <w:i/>
                <w:sz w:val="20"/>
                <w:szCs w:val="20"/>
              </w:rPr>
              <w:t xml:space="preserve">reverse </w:t>
            </w:r>
            <w:r w:rsidRPr="00A22891">
              <w:rPr>
                <w:rFonts w:ascii="Bookman Old Style" w:eastAsia="Times New Roman" w:hAnsi="Bookman Old Style" w:cs="Arial"/>
                <w:sz w:val="20"/>
                <w:szCs w:val="20"/>
              </w:rPr>
              <w:t>repo berupa pinjaman kepada lembaga keuangan dengan sisa jangka waktu kurang dari 6 (enam) bulan dan dijamin dengan HQLA Level 1 akan mendapat faktor RSF 10% (sepuluh persen).</w:t>
            </w:r>
          </w:p>
          <w:p w14:paraId="456706A9" w14:textId="77777777" w:rsidR="007B5B78" w:rsidRPr="00A22891" w:rsidRDefault="007B5B78" w:rsidP="00A32F86">
            <w:pPr>
              <w:pStyle w:val="ListParagraph"/>
              <w:numPr>
                <w:ilvl w:val="0"/>
                <w:numId w:val="19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 xml:space="preserve">Liabilitas kas dalam SFT (contoh: liabilitas repo) dan tagihan kas dalam SFT (contoh: tagihan </w:t>
            </w:r>
            <w:r w:rsidRPr="00A22891">
              <w:rPr>
                <w:rFonts w:ascii="Bookman Old Style" w:eastAsia="Times New Roman" w:hAnsi="Bookman Old Style" w:cs="Arial"/>
                <w:i/>
                <w:sz w:val="20"/>
                <w:szCs w:val="20"/>
              </w:rPr>
              <w:t xml:space="preserve">reverse </w:t>
            </w:r>
            <w:r w:rsidRPr="00A22891">
              <w:rPr>
                <w:rFonts w:ascii="Bookman Old Style" w:eastAsia="Times New Roman" w:hAnsi="Bookman Old Style" w:cs="Arial"/>
                <w:sz w:val="20"/>
                <w:szCs w:val="20"/>
              </w:rPr>
              <w:t>repo) dengan satu pihak lawan transaksi (</w:t>
            </w:r>
            <w:r w:rsidRPr="00A22891">
              <w:rPr>
                <w:rFonts w:ascii="Bookman Old Style" w:eastAsia="Times New Roman" w:hAnsi="Bookman Old Style" w:cs="Arial"/>
                <w:i/>
                <w:sz w:val="20"/>
                <w:szCs w:val="20"/>
              </w:rPr>
              <w:t>single counterparty</w:t>
            </w:r>
            <w:r w:rsidRPr="00A22891">
              <w:rPr>
                <w:rFonts w:ascii="Bookman Old Style" w:eastAsia="Times New Roman" w:hAnsi="Bookman Old Style" w:cs="Arial"/>
                <w:sz w:val="20"/>
                <w:szCs w:val="20"/>
              </w:rPr>
              <w:t>) dapat dihitung secara saling hapus (</w:t>
            </w:r>
            <w:r w:rsidRPr="00A22891">
              <w:rPr>
                <w:rFonts w:ascii="Bookman Old Style" w:eastAsia="Times New Roman" w:hAnsi="Bookman Old Style" w:cs="Arial"/>
                <w:i/>
                <w:sz w:val="20"/>
                <w:szCs w:val="20"/>
              </w:rPr>
              <w:t>netting</w:t>
            </w:r>
            <w:r w:rsidRPr="00A22891">
              <w:rPr>
                <w:rFonts w:ascii="Bookman Old Style" w:eastAsia="Times New Roman" w:hAnsi="Bookman Old Style" w:cs="Arial"/>
                <w:sz w:val="20"/>
                <w:szCs w:val="20"/>
              </w:rPr>
              <w:t>) dalam hal memiliki perjanjian saling hapus (</w:t>
            </w:r>
            <w:r w:rsidRPr="00A22891">
              <w:rPr>
                <w:rFonts w:ascii="Bookman Old Style" w:eastAsia="Times New Roman" w:hAnsi="Bookman Old Style" w:cs="Arial"/>
                <w:i/>
                <w:sz w:val="20"/>
                <w:szCs w:val="20"/>
              </w:rPr>
              <w:t>bilateral netting agreement</w:t>
            </w:r>
            <w:r w:rsidRPr="00A22891">
              <w:rPr>
                <w:rFonts w:ascii="Bookman Old Style" w:eastAsia="Times New Roman" w:hAnsi="Bookman Old Style" w:cs="Arial"/>
                <w:sz w:val="20"/>
                <w:szCs w:val="20"/>
              </w:rPr>
              <w:t>) yang memenuhi persyaratan:</w:t>
            </w:r>
          </w:p>
          <w:p w14:paraId="1C775F5B" w14:textId="77777777" w:rsidR="007B5B78" w:rsidRPr="00A22891" w:rsidRDefault="007B5B78" w:rsidP="00A32F86">
            <w:pPr>
              <w:pStyle w:val="ListParagraph"/>
              <w:numPr>
                <w:ilvl w:val="0"/>
                <w:numId w:val="204"/>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transaksi memiliki tanggal penyelesaian final yang sama yang dinyatakan secara eksplisit;</w:t>
            </w:r>
          </w:p>
          <w:p w14:paraId="2A91F75C" w14:textId="77777777" w:rsidR="007B5B78" w:rsidRPr="00A22891" w:rsidRDefault="007B5B78" w:rsidP="00A32F86">
            <w:pPr>
              <w:pStyle w:val="ListParagraph"/>
              <w:numPr>
                <w:ilvl w:val="0"/>
                <w:numId w:val="204"/>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hak untuk mengeliminasi (</w:t>
            </w:r>
            <w:r w:rsidRPr="00A22891">
              <w:rPr>
                <w:rFonts w:ascii="Bookman Old Style" w:eastAsia="Times New Roman" w:hAnsi="Bookman Old Style" w:cs="Arial"/>
                <w:i/>
                <w:sz w:val="20"/>
                <w:szCs w:val="20"/>
              </w:rPr>
              <w:t>set off</w:t>
            </w:r>
            <w:r w:rsidRPr="00A22891">
              <w:rPr>
                <w:rFonts w:ascii="Bookman Old Style" w:eastAsia="Times New Roman" w:hAnsi="Bookman Old Style" w:cs="Arial"/>
                <w:sz w:val="20"/>
                <w:szCs w:val="20"/>
              </w:rPr>
              <w:t>) nilai tagihan dan kewajiban pihak lawan (</w:t>
            </w:r>
            <w:r w:rsidRPr="00A22891">
              <w:rPr>
                <w:rFonts w:ascii="Bookman Old Style" w:eastAsia="Times New Roman" w:hAnsi="Bookman Old Style" w:cs="Arial"/>
                <w:i/>
                <w:sz w:val="20"/>
                <w:szCs w:val="20"/>
              </w:rPr>
              <w:t>counterparty</w:t>
            </w:r>
            <w:r w:rsidRPr="00A22891">
              <w:rPr>
                <w:rFonts w:ascii="Bookman Old Style" w:eastAsia="Times New Roman" w:hAnsi="Bookman Old Style" w:cs="Arial"/>
                <w:sz w:val="20"/>
                <w:szCs w:val="20"/>
              </w:rPr>
              <w:t>) dapat dieksekusi secara legal baik pada waktu normal maupun pada saat terjadi gagal bayar (</w:t>
            </w:r>
            <w:r w:rsidRPr="00A22891">
              <w:rPr>
                <w:rFonts w:ascii="Bookman Old Style" w:eastAsia="Times New Roman" w:hAnsi="Bookman Old Style" w:cs="Arial"/>
                <w:i/>
                <w:sz w:val="20"/>
                <w:szCs w:val="20"/>
              </w:rPr>
              <w:t>default</w:t>
            </w:r>
            <w:r w:rsidRPr="00A22891">
              <w:rPr>
                <w:rFonts w:ascii="Bookman Old Style" w:eastAsia="Times New Roman" w:hAnsi="Bookman Old Style" w:cs="Arial"/>
                <w:sz w:val="20"/>
                <w:szCs w:val="20"/>
              </w:rPr>
              <w:t>), ketidakmampuan memenuhi kewajiban (insolvensi), atau kepailitan; dan</w:t>
            </w:r>
          </w:p>
          <w:p w14:paraId="53208340" w14:textId="3CCB3AF8" w:rsidR="007B5B78" w:rsidRPr="00A22891" w:rsidRDefault="007B5B78" w:rsidP="00A22891">
            <w:pPr>
              <w:pStyle w:val="ListParagraph"/>
              <w:spacing w:after="0" w:line="240" w:lineRule="auto"/>
              <w:ind w:left="1701"/>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pihak lawan (</w:t>
            </w:r>
            <w:r w:rsidRPr="00A22891">
              <w:rPr>
                <w:rFonts w:ascii="Bookman Old Style" w:eastAsia="Times New Roman" w:hAnsi="Bookman Old Style" w:cs="Arial"/>
                <w:i/>
                <w:sz w:val="20"/>
                <w:szCs w:val="20"/>
              </w:rPr>
              <w:t>counterparty</w:t>
            </w:r>
            <w:r w:rsidRPr="00A22891">
              <w:rPr>
                <w:rFonts w:ascii="Bookman Old Style" w:eastAsia="Times New Roman" w:hAnsi="Bookman Old Style" w:cs="Arial"/>
                <w:sz w:val="20"/>
                <w:szCs w:val="20"/>
              </w:rPr>
              <w:t>) memiliki intensi untuk melakukan penyelesaian secara bersih (</w:t>
            </w:r>
            <w:r w:rsidRPr="00A22891">
              <w:rPr>
                <w:rFonts w:ascii="Bookman Old Style" w:eastAsia="Times New Roman" w:hAnsi="Bookman Old Style" w:cs="Arial"/>
                <w:i/>
                <w:sz w:val="20"/>
                <w:szCs w:val="20"/>
              </w:rPr>
              <w:t>settle net</w:t>
            </w:r>
            <w:r w:rsidRPr="00A22891">
              <w:rPr>
                <w:rFonts w:ascii="Bookman Old Style" w:eastAsia="Times New Roman" w:hAnsi="Bookman Old Style" w:cs="Arial"/>
                <w:sz w:val="20"/>
                <w:szCs w:val="20"/>
              </w:rPr>
              <w:t>) dan simultan, atau transaksi lain yang tunduk pada mekanisme penyelesaian (</w:t>
            </w:r>
            <w:r w:rsidRPr="00A22891">
              <w:rPr>
                <w:rFonts w:ascii="Bookman Old Style" w:eastAsia="Times New Roman" w:hAnsi="Bookman Old Style" w:cs="Arial"/>
                <w:i/>
                <w:sz w:val="20"/>
                <w:szCs w:val="20"/>
              </w:rPr>
              <w:t>settlement</w:t>
            </w:r>
            <w:r w:rsidRPr="00A22891">
              <w:rPr>
                <w:rFonts w:ascii="Bookman Old Style" w:eastAsia="Times New Roman" w:hAnsi="Bookman Old Style" w:cs="Arial"/>
                <w:sz w:val="20"/>
                <w:szCs w:val="20"/>
              </w:rPr>
              <w:t xml:space="preserve">) yang serupa dengan penyelesaian secara bersih. </w:t>
            </w:r>
            <w:r w:rsidRPr="00A22891">
              <w:rPr>
                <w:rFonts w:ascii="Bookman Old Style" w:eastAsia="Times New Roman" w:hAnsi="Bookman Old Style" w:cs="Arial"/>
                <w:i/>
                <w:sz w:val="20"/>
                <w:szCs w:val="20"/>
              </w:rPr>
              <w:t xml:space="preserve">Settlement </w:t>
            </w:r>
            <w:r w:rsidRPr="00A22891">
              <w:rPr>
                <w:rFonts w:ascii="Bookman Old Style" w:eastAsia="Times New Roman" w:hAnsi="Bookman Old Style" w:cs="Arial"/>
                <w:sz w:val="20"/>
                <w:szCs w:val="20"/>
              </w:rPr>
              <w:t xml:space="preserve">kedua transaksi dilakukan melalui sistem </w:t>
            </w:r>
            <w:r w:rsidRPr="00A22891">
              <w:rPr>
                <w:rFonts w:ascii="Bookman Old Style" w:eastAsia="Times New Roman" w:hAnsi="Bookman Old Style" w:cs="Arial"/>
                <w:i/>
                <w:sz w:val="20"/>
                <w:szCs w:val="20"/>
              </w:rPr>
              <w:t xml:space="preserve">settlement </w:t>
            </w:r>
            <w:r w:rsidRPr="00A22891">
              <w:rPr>
                <w:rFonts w:ascii="Bookman Old Style" w:eastAsia="Times New Roman" w:hAnsi="Bookman Old Style" w:cs="Arial"/>
                <w:sz w:val="20"/>
                <w:szCs w:val="20"/>
              </w:rPr>
              <w:t xml:space="preserve">yang sama dan pengaturan </w:t>
            </w:r>
            <w:r w:rsidRPr="00A22891">
              <w:rPr>
                <w:rFonts w:ascii="Bookman Old Style" w:eastAsia="Times New Roman" w:hAnsi="Bookman Old Style" w:cs="Arial"/>
                <w:i/>
                <w:sz w:val="20"/>
                <w:szCs w:val="20"/>
              </w:rPr>
              <w:t xml:space="preserve">settlement </w:t>
            </w:r>
            <w:r w:rsidRPr="00A22891">
              <w:rPr>
                <w:rFonts w:ascii="Bookman Old Style" w:eastAsia="Times New Roman" w:hAnsi="Bookman Old Style" w:cs="Arial"/>
                <w:sz w:val="20"/>
                <w:szCs w:val="20"/>
              </w:rPr>
              <w:t xml:space="preserve">yang didukung dengan kas dan/atau fasilitas </w:t>
            </w:r>
            <w:r w:rsidRPr="00A22891">
              <w:rPr>
                <w:rFonts w:ascii="Bookman Old Style" w:eastAsia="Times New Roman" w:hAnsi="Bookman Old Style" w:cs="Arial"/>
                <w:sz w:val="20"/>
                <w:szCs w:val="20"/>
                <w:lang w:val="en-US"/>
              </w:rPr>
              <w:t>pembiayaan</w:t>
            </w:r>
            <w:r w:rsidRPr="00A22891">
              <w:rPr>
                <w:rFonts w:ascii="Bookman Old Style" w:eastAsia="Times New Roman" w:hAnsi="Bookman Old Style" w:cs="Arial"/>
                <w:sz w:val="20"/>
                <w:szCs w:val="20"/>
              </w:rPr>
              <w:t xml:space="preserve"> intrahari. Hal tersebut bertujuan agar penyelesaian kedua transaksi akan terjadi pada akhir hari.</w:t>
            </w:r>
          </w:p>
        </w:tc>
        <w:tc>
          <w:tcPr>
            <w:tcW w:w="3686" w:type="dxa"/>
            <w:shd w:val="clear" w:color="auto" w:fill="auto"/>
            <w:vAlign w:val="center"/>
          </w:tcPr>
          <w:p w14:paraId="215819ED"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BE74D3F"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6788C041" w14:textId="77777777" w:rsidTr="007B5B78">
        <w:trPr>
          <w:trHeight w:val="564"/>
          <w:tblHeader/>
        </w:trPr>
        <w:tc>
          <w:tcPr>
            <w:tcW w:w="9634" w:type="dxa"/>
            <w:shd w:val="clear" w:color="auto" w:fill="DBDBDB" w:themeFill="accent3" w:themeFillTint="66"/>
            <w:vAlign w:val="center"/>
          </w:tcPr>
          <w:p w14:paraId="1AB7DE31" w14:textId="5F4333F8" w:rsidR="007B5B78" w:rsidRPr="00A22891" w:rsidRDefault="007B5B78" w:rsidP="00A32F86">
            <w:pPr>
              <w:pStyle w:val="BodyText"/>
              <w:numPr>
                <w:ilvl w:val="3"/>
                <w:numId w:val="28"/>
              </w:numPr>
              <w:ind w:left="595" w:hanging="567"/>
              <w:rPr>
                <w:rFonts w:ascii="Bookman Old Style" w:hAnsi="Bookman Old Style" w:cs="Arial"/>
                <w:sz w:val="20"/>
                <w:szCs w:val="20"/>
              </w:rPr>
            </w:pPr>
            <w:r w:rsidRPr="00A22891">
              <w:rPr>
                <w:rFonts w:ascii="Bookman Old Style" w:hAnsi="Bookman Old Style"/>
                <w:sz w:val="20"/>
                <w:szCs w:val="20"/>
              </w:rPr>
              <w:lastRenderedPageBreak/>
              <w:t>PENYESUAIAN FAKTOR NILAI PENDANAAN STABIL YANG DIPERLUKAN (</w:t>
            </w:r>
            <w:r w:rsidRPr="00A22891">
              <w:rPr>
                <w:rFonts w:ascii="Bookman Old Style" w:hAnsi="Bookman Old Style"/>
                <w:i/>
                <w:sz w:val="20"/>
                <w:szCs w:val="20"/>
              </w:rPr>
              <w:t>REQUIRED STABLE FUNDING</w:t>
            </w:r>
            <w:r w:rsidRPr="00A22891">
              <w:rPr>
                <w:rFonts w:ascii="Bookman Old Style" w:hAnsi="Bookman Old Style"/>
                <w:sz w:val="20"/>
                <w:szCs w:val="20"/>
              </w:rPr>
              <w:t xml:space="preserve">) DAN PENDANAAN STABIL YANG TERSEDIA </w:t>
            </w:r>
            <w:r w:rsidRPr="00A22891">
              <w:rPr>
                <w:rFonts w:ascii="Bookman Old Style" w:hAnsi="Bookman Old Style"/>
                <w:i/>
                <w:sz w:val="20"/>
                <w:szCs w:val="20"/>
              </w:rPr>
              <w:t>(AVAILABLE STABLE FUNDING</w:t>
            </w:r>
            <w:r w:rsidRPr="00A22891">
              <w:rPr>
                <w:rFonts w:ascii="Bookman Old Style" w:hAnsi="Bookman Old Style"/>
                <w:sz w:val="20"/>
                <w:szCs w:val="20"/>
              </w:rPr>
              <w:t>)</w:t>
            </w:r>
          </w:p>
        </w:tc>
        <w:tc>
          <w:tcPr>
            <w:tcW w:w="3686" w:type="dxa"/>
            <w:shd w:val="clear" w:color="auto" w:fill="DBDBDB" w:themeFill="accent3" w:themeFillTint="66"/>
            <w:vAlign w:val="center"/>
          </w:tcPr>
          <w:p w14:paraId="1AD3C909"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49D41079"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799ED30E" w14:textId="77777777" w:rsidTr="007B5B78">
        <w:trPr>
          <w:trHeight w:val="564"/>
          <w:tblHeader/>
        </w:trPr>
        <w:tc>
          <w:tcPr>
            <w:tcW w:w="9634" w:type="dxa"/>
            <w:shd w:val="clear" w:color="auto" w:fill="FFF2CC" w:themeFill="accent4" w:themeFillTint="33"/>
            <w:vAlign w:val="center"/>
          </w:tcPr>
          <w:p w14:paraId="33C0356C" w14:textId="0044F0D2" w:rsidR="007B5B78" w:rsidRPr="00A22891" w:rsidRDefault="007B5B78" w:rsidP="00A32F86">
            <w:pPr>
              <w:pStyle w:val="ListParagraph"/>
              <w:numPr>
                <w:ilvl w:val="5"/>
                <w:numId w:val="2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Hubungan Saling Bergantung (</w:t>
            </w:r>
            <w:r w:rsidRPr="00A22891">
              <w:rPr>
                <w:rFonts w:ascii="Bookman Old Style" w:eastAsia="Times New Roman" w:hAnsi="Bookman Old Style" w:cs="Arial"/>
                <w:i/>
                <w:sz w:val="20"/>
                <w:szCs w:val="20"/>
              </w:rPr>
              <w:t>Interdependent</w:t>
            </w:r>
            <w:r w:rsidRPr="00A22891">
              <w:rPr>
                <w:rFonts w:ascii="Bookman Old Style" w:eastAsia="Times New Roman" w:hAnsi="Bookman Old Style" w:cs="Arial"/>
                <w:sz w:val="20"/>
                <w:szCs w:val="20"/>
              </w:rPr>
              <w:t>) antara Aset dan Liabilitas</w:t>
            </w:r>
          </w:p>
        </w:tc>
        <w:tc>
          <w:tcPr>
            <w:tcW w:w="3686" w:type="dxa"/>
            <w:shd w:val="clear" w:color="auto" w:fill="FFF2CC" w:themeFill="accent4" w:themeFillTint="33"/>
            <w:vAlign w:val="center"/>
          </w:tcPr>
          <w:p w14:paraId="6FCE3145"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54451761"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7B5B78" w:rsidRPr="006A283D" w14:paraId="26D60339" w14:textId="77777777" w:rsidTr="006A283D">
        <w:trPr>
          <w:trHeight w:val="564"/>
          <w:tblHeader/>
        </w:trPr>
        <w:tc>
          <w:tcPr>
            <w:tcW w:w="9634" w:type="dxa"/>
            <w:shd w:val="clear" w:color="auto" w:fill="auto"/>
            <w:vAlign w:val="center"/>
          </w:tcPr>
          <w:p w14:paraId="2396A69C" w14:textId="77777777" w:rsidR="007B5B78" w:rsidRPr="00A22891" w:rsidRDefault="007B5B78" w:rsidP="00A22891">
            <w:pPr>
              <w:pStyle w:val="ListParagraph"/>
              <w:spacing w:after="0" w:line="240" w:lineRule="auto"/>
              <w:ind w:left="1134"/>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Yang dimaksud dengan “hubungan saling bergantung (</w:t>
            </w:r>
            <w:r w:rsidRPr="00A22891">
              <w:rPr>
                <w:rFonts w:ascii="Bookman Old Style" w:eastAsia="Times New Roman" w:hAnsi="Bookman Old Style" w:cs="Arial"/>
                <w:i/>
                <w:sz w:val="20"/>
                <w:szCs w:val="20"/>
              </w:rPr>
              <w:t>interdependent</w:t>
            </w:r>
            <w:r w:rsidRPr="00A22891">
              <w:rPr>
                <w:rFonts w:ascii="Bookman Old Style" w:eastAsia="Times New Roman" w:hAnsi="Bookman Old Style" w:cs="Arial"/>
                <w:sz w:val="20"/>
                <w:szCs w:val="20"/>
              </w:rPr>
              <w:t xml:space="preserve">) antara aset dan liabilitas” adalah ketika aset dan liabilitas tertentu saling bergantung satu sama </w:t>
            </w:r>
            <w:r w:rsidRPr="00A22891">
              <w:rPr>
                <w:rFonts w:ascii="Bookman Old Style" w:eastAsia="Times New Roman" w:hAnsi="Bookman Old Style" w:cs="Arial"/>
                <w:sz w:val="20"/>
                <w:szCs w:val="20"/>
              </w:rPr>
              <w:lastRenderedPageBreak/>
              <w:t>lain berdasarkan perjanjian kontraktual sehingga liabilitas dimaksud tidak akan jatuh tempo selama aset yang terkait masih tercatat pada laporan posisi keuangan, arus pembayaran pokok dari aset yang terkait</w:t>
            </w:r>
            <w:r w:rsidRPr="00A22891">
              <w:rPr>
                <w:rFonts w:ascii="Bookman Old Style" w:eastAsia="Times New Roman" w:hAnsi="Bookman Old Style" w:cs="Arial"/>
                <w:sz w:val="20"/>
                <w:szCs w:val="20"/>
                <w:lang w:val="en-US"/>
              </w:rPr>
              <w:t xml:space="preserve"> </w:t>
            </w:r>
            <w:r w:rsidRPr="00A22891">
              <w:rPr>
                <w:rFonts w:ascii="Bookman Old Style" w:eastAsia="Times New Roman" w:hAnsi="Bookman Old Style" w:cs="Arial"/>
                <w:sz w:val="20"/>
                <w:szCs w:val="20"/>
              </w:rPr>
              <w:t>hanya dapat digunakan untuk melunasi liabilitas yang terkait, dan liabilitas yang terkait tidak dapat digunakan untuk mendanai aset lain.</w:t>
            </w:r>
          </w:p>
          <w:p w14:paraId="65826F42" w14:textId="77777777" w:rsidR="007B5B78" w:rsidRPr="00A22891" w:rsidRDefault="007B5B78" w:rsidP="00A22891">
            <w:pPr>
              <w:pStyle w:val="ListParagraph"/>
              <w:spacing w:after="0" w:line="240" w:lineRule="auto"/>
              <w:ind w:left="1134"/>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Faktor ASF dan faktor RSF untuk aset dan liabilitas yang saling bergantung (</w:t>
            </w:r>
            <w:r w:rsidRPr="00A22891">
              <w:rPr>
                <w:rFonts w:ascii="Bookman Old Style" w:eastAsia="Times New Roman" w:hAnsi="Bookman Old Style" w:cs="Arial"/>
                <w:i/>
                <w:sz w:val="20"/>
                <w:szCs w:val="20"/>
              </w:rPr>
              <w:t>interdependent assets and liabilities</w:t>
            </w:r>
            <w:r w:rsidRPr="00A22891">
              <w:rPr>
                <w:rFonts w:ascii="Bookman Old Style" w:eastAsia="Times New Roman" w:hAnsi="Bookman Old Style" w:cs="Arial"/>
                <w:sz w:val="20"/>
                <w:szCs w:val="20"/>
              </w:rPr>
              <w:t>) dapat diturunkan menjadi 0% (nol persen) sepanjang memenuhi persyaratan:</w:t>
            </w:r>
          </w:p>
          <w:p w14:paraId="57F326D8" w14:textId="77777777" w:rsidR="007B5B78" w:rsidRPr="00A22891" w:rsidRDefault="007B5B78" w:rsidP="00A32F86">
            <w:pPr>
              <w:pStyle w:val="ListParagraph"/>
              <w:numPr>
                <w:ilvl w:val="0"/>
                <w:numId w:val="205"/>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komponen aset dan liabilitas yang saling bergantung harus teridentifikasi dengan jelas;</w:t>
            </w:r>
          </w:p>
          <w:p w14:paraId="26260D94" w14:textId="77777777" w:rsidR="007B5B78" w:rsidRPr="00A22891" w:rsidRDefault="007B5B78" w:rsidP="00A32F86">
            <w:pPr>
              <w:pStyle w:val="ListParagraph"/>
              <w:numPr>
                <w:ilvl w:val="0"/>
                <w:numId w:val="205"/>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aset dan liabilitas yang saling bergantung memiliki jangka waktu dan nilai pokok yang sama;</w:t>
            </w:r>
          </w:p>
          <w:p w14:paraId="6D6F0BC6" w14:textId="77777777" w:rsidR="00A22891" w:rsidRPr="00A22891" w:rsidRDefault="007B5B78" w:rsidP="00A32F86">
            <w:pPr>
              <w:pStyle w:val="ListParagraph"/>
              <w:numPr>
                <w:ilvl w:val="0"/>
                <w:numId w:val="205"/>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 xml:space="preserve">Bank hanya bertindak sebagai </w:t>
            </w:r>
            <w:r w:rsidRPr="00A22891">
              <w:rPr>
                <w:rFonts w:ascii="Bookman Old Style" w:eastAsia="Times New Roman" w:hAnsi="Bookman Old Style" w:cs="Arial"/>
                <w:i/>
                <w:sz w:val="20"/>
                <w:szCs w:val="20"/>
              </w:rPr>
              <w:t xml:space="preserve">pass-through unit </w:t>
            </w:r>
            <w:r w:rsidRPr="00A22891">
              <w:rPr>
                <w:rFonts w:ascii="Bookman Old Style" w:eastAsia="Times New Roman" w:hAnsi="Bookman Old Style" w:cs="Arial"/>
                <w:sz w:val="20"/>
                <w:szCs w:val="20"/>
              </w:rPr>
              <w:t xml:space="preserve">untuk menyalurkan dana yang diterima oleh </w:t>
            </w:r>
            <w:r w:rsidRPr="00A22891">
              <w:rPr>
                <w:rFonts w:ascii="Bookman Old Style" w:eastAsia="Times New Roman" w:hAnsi="Bookman Old Style" w:cs="Arial"/>
                <w:i/>
                <w:sz w:val="20"/>
                <w:szCs w:val="20"/>
              </w:rPr>
              <w:t xml:space="preserve">interdependent </w:t>
            </w:r>
            <w:r w:rsidRPr="00A22891">
              <w:rPr>
                <w:rFonts w:ascii="Bookman Old Style" w:eastAsia="Times New Roman" w:hAnsi="Bookman Old Style" w:cs="Arial"/>
                <w:sz w:val="20"/>
                <w:szCs w:val="20"/>
              </w:rPr>
              <w:t xml:space="preserve">liabilitas kepada </w:t>
            </w:r>
            <w:r w:rsidRPr="00A22891">
              <w:rPr>
                <w:rFonts w:ascii="Bookman Old Style" w:eastAsia="Times New Roman" w:hAnsi="Bookman Old Style" w:cs="Arial"/>
                <w:i/>
                <w:sz w:val="20"/>
                <w:szCs w:val="20"/>
              </w:rPr>
              <w:t xml:space="preserve">interdependent </w:t>
            </w:r>
            <w:r w:rsidRPr="00A22891">
              <w:rPr>
                <w:rFonts w:ascii="Bookman Old Style" w:eastAsia="Times New Roman" w:hAnsi="Bookman Old Style" w:cs="Arial"/>
                <w:sz w:val="20"/>
                <w:szCs w:val="20"/>
              </w:rPr>
              <w:t>aset; dan</w:t>
            </w:r>
          </w:p>
          <w:p w14:paraId="125FEC21" w14:textId="30EF752D" w:rsidR="007B5B78" w:rsidRPr="00A22891" w:rsidRDefault="007B5B78" w:rsidP="00A32F86">
            <w:pPr>
              <w:pStyle w:val="ListParagraph"/>
              <w:numPr>
                <w:ilvl w:val="0"/>
                <w:numId w:val="205"/>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pihak lawan (</w:t>
            </w:r>
            <w:r w:rsidRPr="00A22891">
              <w:rPr>
                <w:rFonts w:ascii="Bookman Old Style" w:eastAsia="Times New Roman" w:hAnsi="Bookman Old Style" w:cs="Arial"/>
                <w:i/>
                <w:sz w:val="20"/>
                <w:szCs w:val="20"/>
              </w:rPr>
              <w:t>counterparty</w:t>
            </w:r>
            <w:r w:rsidRPr="00A22891">
              <w:rPr>
                <w:rFonts w:ascii="Bookman Old Style" w:eastAsia="Times New Roman" w:hAnsi="Bookman Old Style" w:cs="Arial"/>
                <w:sz w:val="20"/>
                <w:szCs w:val="20"/>
              </w:rPr>
              <w:t>) transaksi untuk masing-masing pasangan aset dan liabilitas yang bergantung tidak boleh sama.</w:t>
            </w:r>
          </w:p>
        </w:tc>
        <w:tc>
          <w:tcPr>
            <w:tcW w:w="3686" w:type="dxa"/>
            <w:shd w:val="clear" w:color="auto" w:fill="auto"/>
            <w:vAlign w:val="center"/>
          </w:tcPr>
          <w:p w14:paraId="04F26BCF"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31E920E" w14:textId="77777777" w:rsidR="007B5B78" w:rsidRPr="006A283D" w:rsidRDefault="007B5B78"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1F89D1E8" w14:textId="77777777" w:rsidTr="00A22891">
        <w:trPr>
          <w:trHeight w:val="564"/>
          <w:tblHeader/>
        </w:trPr>
        <w:tc>
          <w:tcPr>
            <w:tcW w:w="9634" w:type="dxa"/>
            <w:shd w:val="clear" w:color="auto" w:fill="FFF2CC" w:themeFill="accent4" w:themeFillTint="33"/>
            <w:vAlign w:val="center"/>
          </w:tcPr>
          <w:p w14:paraId="34FA01BA" w14:textId="001482D1" w:rsidR="00A22891" w:rsidRPr="00A22891" w:rsidRDefault="00A22891" w:rsidP="00A32F86">
            <w:pPr>
              <w:pStyle w:val="ListParagraph"/>
              <w:numPr>
                <w:ilvl w:val="5"/>
                <w:numId w:val="28"/>
              </w:numPr>
              <w:spacing w:after="0" w:line="240" w:lineRule="auto"/>
              <w:ind w:left="1134"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Operasi Likuiditas yang Eksepsional</w:t>
            </w:r>
          </w:p>
        </w:tc>
        <w:tc>
          <w:tcPr>
            <w:tcW w:w="3686" w:type="dxa"/>
            <w:shd w:val="clear" w:color="auto" w:fill="FFF2CC" w:themeFill="accent4" w:themeFillTint="33"/>
            <w:vAlign w:val="center"/>
          </w:tcPr>
          <w:p w14:paraId="76210E77"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6D34D986"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4D3603E9" w14:textId="77777777" w:rsidTr="006A283D">
        <w:trPr>
          <w:trHeight w:val="564"/>
          <w:tblHeader/>
        </w:trPr>
        <w:tc>
          <w:tcPr>
            <w:tcW w:w="9634" w:type="dxa"/>
            <w:shd w:val="clear" w:color="auto" w:fill="auto"/>
            <w:vAlign w:val="center"/>
          </w:tcPr>
          <w:p w14:paraId="522B8324" w14:textId="77777777" w:rsidR="00A22891" w:rsidRPr="00A22891" w:rsidRDefault="00A22891" w:rsidP="00A22891">
            <w:pPr>
              <w:pStyle w:val="ListParagraph"/>
              <w:spacing w:after="0" w:line="240" w:lineRule="auto"/>
              <w:ind w:left="1134"/>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Faktor RSF untuk aset yang sedang dijaminkan atau tidak bebas dari segala klaim (</w:t>
            </w:r>
            <w:r w:rsidRPr="00A22891">
              <w:rPr>
                <w:rFonts w:ascii="Bookman Old Style" w:eastAsia="Times New Roman" w:hAnsi="Bookman Old Style" w:cs="Arial"/>
                <w:i/>
                <w:sz w:val="20"/>
                <w:szCs w:val="20"/>
              </w:rPr>
              <w:t>encumbered</w:t>
            </w:r>
            <w:r w:rsidRPr="00A22891">
              <w:rPr>
                <w:rFonts w:ascii="Bookman Old Style" w:eastAsia="Times New Roman" w:hAnsi="Bookman Old Style" w:cs="Arial"/>
                <w:sz w:val="20"/>
                <w:szCs w:val="20"/>
              </w:rPr>
              <w:t>) dapat diturunkan menjadi sebesar faktor RSF dalam kondisi aset tersebut tidak terikat (</w:t>
            </w:r>
            <w:r w:rsidRPr="00A22891">
              <w:rPr>
                <w:rFonts w:ascii="Bookman Old Style" w:eastAsia="Times New Roman" w:hAnsi="Bookman Old Style" w:cs="Arial"/>
                <w:i/>
                <w:sz w:val="20"/>
                <w:szCs w:val="20"/>
              </w:rPr>
              <w:t>unencumbered</w:t>
            </w:r>
            <w:r w:rsidRPr="00A22891">
              <w:rPr>
                <w:rFonts w:ascii="Bookman Old Style" w:eastAsia="Times New Roman" w:hAnsi="Bookman Old Style" w:cs="Arial"/>
                <w:sz w:val="20"/>
                <w:szCs w:val="20"/>
              </w:rPr>
              <w:t>), sepanjang memenuhi kondisi:</w:t>
            </w:r>
          </w:p>
          <w:p w14:paraId="6A52D7A3" w14:textId="77777777" w:rsidR="00A22891" w:rsidRPr="00A22891" w:rsidRDefault="00A22891" w:rsidP="00A32F86">
            <w:pPr>
              <w:pStyle w:val="ListParagraph"/>
              <w:numPr>
                <w:ilvl w:val="0"/>
                <w:numId w:val="206"/>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aset tersebut dijaminkan kepada Bank Indonesia dalam rangka operasi likuiditas Bank Indonesia yang bersifat eksepsional;</w:t>
            </w:r>
          </w:p>
          <w:p w14:paraId="07278712" w14:textId="77777777" w:rsidR="00A22891" w:rsidRPr="00A22891" w:rsidRDefault="00A22891" w:rsidP="00A32F86">
            <w:pPr>
              <w:pStyle w:val="ListParagraph"/>
              <w:numPr>
                <w:ilvl w:val="0"/>
                <w:numId w:val="206"/>
              </w:numPr>
              <w:spacing w:after="0" w:line="240" w:lineRule="auto"/>
              <w:ind w:left="1701"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operasi likuiditas yang bersifat eksepsional memenuhi kriteria:</w:t>
            </w:r>
          </w:p>
          <w:p w14:paraId="127584E0" w14:textId="77777777" w:rsidR="00A22891" w:rsidRPr="00A22891" w:rsidRDefault="00A22891" w:rsidP="00A32F86">
            <w:pPr>
              <w:pStyle w:val="ListParagraph"/>
              <w:numPr>
                <w:ilvl w:val="0"/>
                <w:numId w:val="207"/>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operasi yang bersifat tidak standar;</w:t>
            </w:r>
          </w:p>
          <w:p w14:paraId="417735DB" w14:textId="77777777" w:rsidR="00A22891" w:rsidRPr="00A22891" w:rsidRDefault="00A22891" w:rsidP="00A32F86">
            <w:pPr>
              <w:pStyle w:val="ListParagraph"/>
              <w:numPr>
                <w:ilvl w:val="0"/>
                <w:numId w:val="207"/>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operasi yang bersifat sementara; dan</w:t>
            </w:r>
          </w:p>
          <w:p w14:paraId="1559DA0B" w14:textId="77777777" w:rsidR="00A22891" w:rsidRPr="00A22891" w:rsidRDefault="00A22891" w:rsidP="00A32F86">
            <w:pPr>
              <w:pStyle w:val="ListParagraph"/>
              <w:numPr>
                <w:ilvl w:val="0"/>
                <w:numId w:val="207"/>
              </w:numPr>
              <w:spacing w:after="0" w:line="240" w:lineRule="auto"/>
              <w:ind w:left="2268"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operasi dilakukan oleh Bank Indonesia dalam rangka melaksanakan mandat pada kondisi stres yang meluas dan terjadi di pasar keuangan secara keseluruhan yang dapat bersifat domestik maupun internasional (</w:t>
            </w:r>
            <w:r w:rsidRPr="00A22891">
              <w:rPr>
                <w:rFonts w:ascii="Bookman Old Style" w:eastAsia="Times New Roman" w:hAnsi="Bookman Old Style" w:cs="Arial"/>
                <w:i/>
                <w:sz w:val="20"/>
                <w:szCs w:val="20"/>
              </w:rPr>
              <w:t>market- wide financial stress</w:t>
            </w:r>
            <w:r w:rsidRPr="00A22891">
              <w:rPr>
                <w:rFonts w:ascii="Bookman Old Style" w:eastAsia="Times New Roman" w:hAnsi="Bookman Old Style" w:cs="Arial"/>
                <w:sz w:val="20"/>
                <w:szCs w:val="20"/>
              </w:rPr>
              <w:t>) dan/atau tantangan kondisi makroekonomi yang eksepsional; dan</w:t>
            </w:r>
          </w:p>
          <w:p w14:paraId="74854867" w14:textId="330E966A" w:rsidR="00A22891" w:rsidRPr="00A22891" w:rsidRDefault="00A22891" w:rsidP="00A32F86">
            <w:pPr>
              <w:pStyle w:val="ListParagraph"/>
              <w:numPr>
                <w:ilvl w:val="0"/>
                <w:numId w:val="206"/>
              </w:numPr>
              <w:spacing w:after="0" w:line="240" w:lineRule="auto"/>
              <w:ind w:left="1701" w:hanging="567"/>
              <w:jc w:val="both"/>
              <w:rPr>
                <w:rFonts w:ascii="Bookman Old Style" w:eastAsia="Times New Roman" w:hAnsi="Bookman Old Style" w:cs="Arial"/>
                <w:sz w:val="20"/>
                <w:szCs w:val="20"/>
              </w:rPr>
            </w:pPr>
            <w:r w:rsidRPr="00A22891">
              <w:rPr>
                <w:rFonts w:ascii="Bookman Old Style" w:eastAsia="Times New Roman" w:hAnsi="Bookman Old Style" w:cs="Arial"/>
                <w:sz w:val="20"/>
                <w:szCs w:val="20"/>
              </w:rPr>
              <w:t>penetapan faktor RSF yang lebih rendah atas aset milik Bank yang dijaminkan dalam transaksi repo dengan Bank Indonesia dalam rangka operasi likuiditas Bank Indonesia yang bersifat eksepsional dilakukan atas persetujuan Otoritas Jasa Keuangan, setelah berkoordinasi dengan Bank Indonesia.</w:t>
            </w:r>
          </w:p>
        </w:tc>
        <w:tc>
          <w:tcPr>
            <w:tcW w:w="3686" w:type="dxa"/>
            <w:shd w:val="clear" w:color="auto" w:fill="auto"/>
            <w:vAlign w:val="center"/>
          </w:tcPr>
          <w:p w14:paraId="38378869"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578FAB0"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5613A0CE" w14:textId="77777777" w:rsidTr="00A22891">
        <w:trPr>
          <w:trHeight w:val="564"/>
          <w:tblHeader/>
        </w:trPr>
        <w:tc>
          <w:tcPr>
            <w:tcW w:w="9634" w:type="dxa"/>
            <w:shd w:val="clear" w:color="auto" w:fill="DBDBDB" w:themeFill="accent3" w:themeFillTint="66"/>
            <w:vAlign w:val="center"/>
          </w:tcPr>
          <w:p w14:paraId="3498A76B" w14:textId="2C83C491" w:rsidR="00A22891" w:rsidRPr="00A22891" w:rsidRDefault="00A22891" w:rsidP="00A32F86">
            <w:pPr>
              <w:pStyle w:val="BodyText"/>
              <w:numPr>
                <w:ilvl w:val="3"/>
                <w:numId w:val="28"/>
              </w:numPr>
              <w:ind w:left="595" w:hanging="567"/>
              <w:rPr>
                <w:rFonts w:ascii="Bookman Old Style" w:hAnsi="Bookman Old Style"/>
                <w:sz w:val="20"/>
                <w:szCs w:val="20"/>
              </w:rPr>
            </w:pPr>
            <w:r w:rsidRPr="00A22891">
              <w:rPr>
                <w:rFonts w:ascii="Bookman Old Style" w:hAnsi="Bookman Old Style"/>
                <w:sz w:val="20"/>
                <w:szCs w:val="20"/>
              </w:rPr>
              <w:t>LAIN-LAIN</w:t>
            </w:r>
          </w:p>
        </w:tc>
        <w:tc>
          <w:tcPr>
            <w:tcW w:w="3686" w:type="dxa"/>
            <w:shd w:val="clear" w:color="auto" w:fill="DBDBDB" w:themeFill="accent3" w:themeFillTint="66"/>
            <w:vAlign w:val="center"/>
          </w:tcPr>
          <w:p w14:paraId="5F5B8F0F" w14:textId="77777777" w:rsidR="00A22891" w:rsidRPr="00A22891" w:rsidRDefault="00A22891" w:rsidP="00A22891">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568C0E76"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04F66D0B" w14:textId="77777777" w:rsidTr="006A283D">
        <w:trPr>
          <w:trHeight w:val="564"/>
          <w:tblHeader/>
        </w:trPr>
        <w:tc>
          <w:tcPr>
            <w:tcW w:w="9634" w:type="dxa"/>
            <w:shd w:val="clear" w:color="auto" w:fill="auto"/>
            <w:vAlign w:val="center"/>
          </w:tcPr>
          <w:p w14:paraId="77152B7E" w14:textId="77777777" w:rsidR="00A22891" w:rsidRPr="00A22891" w:rsidRDefault="00A22891" w:rsidP="00A32F86">
            <w:pPr>
              <w:pStyle w:val="ListParagraph"/>
              <w:numPr>
                <w:ilvl w:val="0"/>
                <w:numId w:val="20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lastRenderedPageBreak/>
              <w:t xml:space="preserve">Selain kewajiban memantau kondisi dan kecukupan likuiditas dengan menghitung NSFR, Bank juga memantau kondisi dan kecukupan likuiditas dengan menggunakan indikator tertentu, antara lain melalui penyusunan </w:t>
            </w:r>
            <w:r w:rsidRPr="00A22891">
              <w:rPr>
                <w:rFonts w:ascii="Bookman Old Style" w:eastAsia="Times New Roman" w:hAnsi="Bookman Old Style" w:cs="Arial"/>
                <w:i/>
                <w:sz w:val="20"/>
                <w:szCs w:val="20"/>
              </w:rPr>
              <w:t xml:space="preserve">metric maturity mismatch </w:t>
            </w:r>
            <w:r w:rsidRPr="00A22891">
              <w:rPr>
                <w:rFonts w:ascii="Bookman Old Style" w:eastAsia="Times New Roman" w:hAnsi="Bookman Old Style" w:cs="Arial"/>
                <w:sz w:val="20"/>
                <w:szCs w:val="20"/>
              </w:rPr>
              <w:t>secara kontraktual, terutama untuk aset dan liabilitas dengan sisa jangka waktu lebih dari satu tahun.</w:t>
            </w:r>
          </w:p>
          <w:p w14:paraId="120C072B" w14:textId="70FEB93C" w:rsidR="00A22891" w:rsidRPr="00A22891" w:rsidRDefault="00A22891" w:rsidP="00A32F86">
            <w:pPr>
              <w:pStyle w:val="ListParagraph"/>
              <w:numPr>
                <w:ilvl w:val="0"/>
                <w:numId w:val="208"/>
              </w:numPr>
              <w:spacing w:after="0" w:line="240" w:lineRule="auto"/>
              <w:ind w:left="1134" w:hanging="567"/>
              <w:jc w:val="both"/>
              <w:rPr>
                <w:rFonts w:ascii="Bookman Old Style" w:eastAsia="Times New Roman" w:hAnsi="Bookman Old Style" w:cs="Arial"/>
                <w:sz w:val="20"/>
                <w:szCs w:val="20"/>
                <w:lang w:val="en-US"/>
              </w:rPr>
            </w:pPr>
            <w:r w:rsidRPr="00A22891">
              <w:rPr>
                <w:rFonts w:ascii="Bookman Old Style" w:eastAsia="Times New Roman" w:hAnsi="Bookman Old Style" w:cs="Arial"/>
                <w:sz w:val="20"/>
                <w:szCs w:val="20"/>
              </w:rPr>
              <w:t xml:space="preserve">Pemantauan dengan menggunakan indikator </w:t>
            </w:r>
            <w:r w:rsidRPr="00A22891">
              <w:rPr>
                <w:rFonts w:ascii="Bookman Old Style" w:eastAsia="Times New Roman" w:hAnsi="Bookman Old Style" w:cs="Arial"/>
                <w:i/>
                <w:sz w:val="20"/>
                <w:szCs w:val="20"/>
              </w:rPr>
              <w:t xml:space="preserve">maturity mismatch </w:t>
            </w:r>
            <w:r w:rsidRPr="00A22891">
              <w:rPr>
                <w:rFonts w:ascii="Bookman Old Style" w:eastAsia="Times New Roman" w:hAnsi="Bookman Old Style" w:cs="Arial"/>
                <w:sz w:val="20"/>
                <w:szCs w:val="20"/>
              </w:rPr>
              <w:t xml:space="preserve">secara kontraktual bertujuan untuk mengidentifikasi </w:t>
            </w:r>
            <w:r w:rsidRPr="00A22891">
              <w:rPr>
                <w:rFonts w:ascii="Bookman Old Style" w:eastAsia="Times New Roman" w:hAnsi="Bookman Old Style" w:cs="Arial"/>
                <w:i/>
                <w:sz w:val="20"/>
                <w:szCs w:val="20"/>
              </w:rPr>
              <w:t xml:space="preserve">gap </w:t>
            </w:r>
            <w:r w:rsidRPr="00A22891">
              <w:rPr>
                <w:rFonts w:ascii="Bookman Old Style" w:eastAsia="Times New Roman" w:hAnsi="Bookman Old Style" w:cs="Arial"/>
                <w:sz w:val="20"/>
                <w:szCs w:val="20"/>
              </w:rPr>
              <w:t>antara arus masuk (</w:t>
            </w:r>
            <w:r w:rsidRPr="00A22891">
              <w:rPr>
                <w:rFonts w:ascii="Bookman Old Style" w:eastAsia="Times New Roman" w:hAnsi="Bookman Old Style" w:cs="Arial"/>
                <w:i/>
                <w:sz w:val="20"/>
                <w:szCs w:val="20"/>
              </w:rPr>
              <w:t>inflow</w:t>
            </w:r>
            <w:r w:rsidRPr="00A22891">
              <w:rPr>
                <w:rFonts w:ascii="Bookman Old Style" w:eastAsia="Times New Roman" w:hAnsi="Bookman Old Style" w:cs="Arial"/>
                <w:sz w:val="20"/>
                <w:szCs w:val="20"/>
              </w:rPr>
              <w:t>) dan arus keluar (</w:t>
            </w:r>
            <w:r w:rsidRPr="00A22891">
              <w:rPr>
                <w:rFonts w:ascii="Bookman Old Style" w:eastAsia="Times New Roman" w:hAnsi="Bookman Old Style" w:cs="Arial"/>
                <w:i/>
                <w:sz w:val="20"/>
                <w:szCs w:val="20"/>
              </w:rPr>
              <w:t>outflow</w:t>
            </w:r>
            <w:r w:rsidRPr="00A22891">
              <w:rPr>
                <w:rFonts w:ascii="Bookman Old Style" w:eastAsia="Times New Roman" w:hAnsi="Bookman Old Style" w:cs="Arial"/>
                <w:sz w:val="20"/>
                <w:szCs w:val="20"/>
              </w:rPr>
              <w:t xml:space="preserve">) kontraktual dalam kurun waktu tertentu. </w:t>
            </w:r>
            <w:r w:rsidRPr="00A22891">
              <w:rPr>
                <w:rFonts w:ascii="Bookman Old Style" w:eastAsia="Times New Roman" w:hAnsi="Bookman Old Style" w:cs="Arial"/>
                <w:i/>
                <w:sz w:val="20"/>
                <w:szCs w:val="20"/>
              </w:rPr>
              <w:t xml:space="preserve">Gap </w:t>
            </w:r>
            <w:r w:rsidRPr="00A22891">
              <w:rPr>
                <w:rFonts w:ascii="Bookman Old Style" w:eastAsia="Times New Roman" w:hAnsi="Bookman Old Style" w:cs="Arial"/>
                <w:sz w:val="20"/>
                <w:szCs w:val="20"/>
              </w:rPr>
              <w:t>berdasarkan jatuh tempo mengindikasikan potensi kebutuhan likuiditas Bank dalam kurun waktu tertentu apabila terjadi arus kas keluar (</w:t>
            </w:r>
            <w:r w:rsidRPr="00A22891">
              <w:rPr>
                <w:rFonts w:ascii="Bookman Old Style" w:eastAsia="Times New Roman" w:hAnsi="Bookman Old Style" w:cs="Arial"/>
                <w:i/>
                <w:sz w:val="20"/>
                <w:szCs w:val="20"/>
              </w:rPr>
              <w:t>outflow</w:t>
            </w:r>
            <w:r w:rsidRPr="00A22891">
              <w:rPr>
                <w:rFonts w:ascii="Bookman Old Style" w:eastAsia="Times New Roman" w:hAnsi="Bookman Old Style" w:cs="Arial"/>
                <w:sz w:val="20"/>
                <w:szCs w:val="20"/>
              </w:rPr>
              <w:t>).</w:t>
            </w:r>
          </w:p>
        </w:tc>
        <w:tc>
          <w:tcPr>
            <w:tcW w:w="3686" w:type="dxa"/>
            <w:shd w:val="clear" w:color="auto" w:fill="auto"/>
            <w:vAlign w:val="center"/>
          </w:tcPr>
          <w:p w14:paraId="727BB8A3" w14:textId="77777777" w:rsidR="00A22891" w:rsidRPr="00A22891" w:rsidRDefault="00A22891" w:rsidP="00A22891">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F673204"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38670E73" w14:textId="77777777" w:rsidTr="00A22891">
        <w:trPr>
          <w:trHeight w:val="564"/>
          <w:tblHeader/>
        </w:trPr>
        <w:tc>
          <w:tcPr>
            <w:tcW w:w="9634" w:type="dxa"/>
            <w:shd w:val="clear" w:color="auto" w:fill="DBDBDB" w:themeFill="accent3" w:themeFillTint="66"/>
            <w:vAlign w:val="center"/>
          </w:tcPr>
          <w:p w14:paraId="1138FC2B" w14:textId="340BA7FE" w:rsidR="00A22891" w:rsidRPr="00A22891" w:rsidRDefault="00A22891" w:rsidP="00A32F86">
            <w:pPr>
              <w:pStyle w:val="BodyText"/>
              <w:numPr>
                <w:ilvl w:val="3"/>
                <w:numId w:val="28"/>
              </w:numPr>
              <w:ind w:left="595" w:hanging="567"/>
              <w:rPr>
                <w:rFonts w:ascii="Bookman Old Style" w:hAnsi="Bookman Old Style"/>
                <w:sz w:val="20"/>
                <w:szCs w:val="20"/>
              </w:rPr>
            </w:pPr>
            <w:r w:rsidRPr="00A22891">
              <w:rPr>
                <w:rFonts w:ascii="Bookman Old Style" w:hAnsi="Bookman Old Style"/>
                <w:sz w:val="20"/>
                <w:szCs w:val="20"/>
              </w:rPr>
              <w:t>TABEL RINGKASAN FAKTOR PENDANAAN STABIL YANG TERSEDIA (</w:t>
            </w:r>
            <w:r w:rsidRPr="00A22891">
              <w:rPr>
                <w:rFonts w:ascii="Bookman Old Style" w:hAnsi="Bookman Old Style"/>
                <w:i/>
                <w:sz w:val="20"/>
                <w:szCs w:val="20"/>
              </w:rPr>
              <w:t>AVAILABLE STABLE FUNDING</w:t>
            </w:r>
            <w:r w:rsidRPr="00A22891">
              <w:rPr>
                <w:rFonts w:ascii="Bookman Old Style" w:hAnsi="Bookman Old Style"/>
                <w:sz w:val="20"/>
                <w:szCs w:val="20"/>
              </w:rPr>
              <w:t>) DAN NILAI PENDANAAN STABIL YANG DIPERLUKAN (</w:t>
            </w:r>
            <w:r w:rsidRPr="00A22891">
              <w:rPr>
                <w:rFonts w:ascii="Bookman Old Style" w:hAnsi="Bookman Old Style"/>
                <w:i/>
                <w:sz w:val="20"/>
                <w:szCs w:val="20"/>
              </w:rPr>
              <w:t>REQUIRED STABLE</w:t>
            </w:r>
            <w:r w:rsidRPr="00A22891">
              <w:rPr>
                <w:rFonts w:ascii="Bookman Old Style" w:hAnsi="Bookman Old Style"/>
                <w:sz w:val="20"/>
                <w:szCs w:val="20"/>
              </w:rPr>
              <w:t xml:space="preserve"> </w:t>
            </w:r>
            <w:r w:rsidRPr="00A22891">
              <w:rPr>
                <w:rFonts w:ascii="Bookman Old Style" w:hAnsi="Bookman Old Style"/>
                <w:i/>
                <w:sz w:val="20"/>
                <w:szCs w:val="20"/>
              </w:rPr>
              <w:t>FUNDING</w:t>
            </w:r>
            <w:r w:rsidRPr="00A22891">
              <w:rPr>
                <w:rFonts w:ascii="Bookman Old Style" w:hAnsi="Bookman Old Style"/>
                <w:sz w:val="20"/>
                <w:szCs w:val="20"/>
              </w:rPr>
              <w:t>)</w:t>
            </w:r>
          </w:p>
        </w:tc>
        <w:tc>
          <w:tcPr>
            <w:tcW w:w="3686" w:type="dxa"/>
            <w:shd w:val="clear" w:color="auto" w:fill="DBDBDB" w:themeFill="accent3" w:themeFillTint="66"/>
            <w:vAlign w:val="center"/>
          </w:tcPr>
          <w:p w14:paraId="522EC195" w14:textId="77777777" w:rsidR="00A22891" w:rsidRPr="00A22891"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DBDBDB" w:themeFill="accent3" w:themeFillTint="66"/>
            <w:vAlign w:val="center"/>
          </w:tcPr>
          <w:p w14:paraId="66C5414D" w14:textId="77777777" w:rsidR="00A22891" w:rsidRPr="00A22891"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343185BC" w14:textId="77777777" w:rsidTr="00A22891">
        <w:trPr>
          <w:trHeight w:val="564"/>
          <w:tblHeader/>
        </w:trPr>
        <w:tc>
          <w:tcPr>
            <w:tcW w:w="9634" w:type="dxa"/>
            <w:shd w:val="clear" w:color="auto" w:fill="FFF2CC" w:themeFill="accent4" w:themeFillTint="33"/>
            <w:vAlign w:val="center"/>
          </w:tcPr>
          <w:p w14:paraId="6121280A" w14:textId="4D86F64D" w:rsidR="00A22891" w:rsidRPr="00A22891" w:rsidRDefault="00A22891" w:rsidP="00A32F86">
            <w:pPr>
              <w:pStyle w:val="ListParagraph"/>
              <w:numPr>
                <w:ilvl w:val="5"/>
                <w:numId w:val="28"/>
              </w:numPr>
              <w:spacing w:after="0" w:line="240" w:lineRule="auto"/>
              <w:ind w:left="1134" w:hanging="567"/>
              <w:rPr>
                <w:rFonts w:ascii="Bookman Old Style" w:eastAsia="Times New Roman" w:hAnsi="Bookman Old Style" w:cs="Arial"/>
                <w:sz w:val="20"/>
                <w:szCs w:val="20"/>
              </w:rPr>
            </w:pPr>
            <w:r w:rsidRPr="00A22891">
              <w:rPr>
                <w:rFonts w:ascii="Bookman Old Style" w:eastAsia="Times New Roman" w:hAnsi="Bookman Old Style" w:cs="Arial"/>
                <w:sz w:val="20"/>
                <w:szCs w:val="20"/>
              </w:rPr>
              <w:t>Penetapan Faktor ASF untuk Liabilitas dan Ekuitas Berdasarkan Sisa Jangka Waktu</w:t>
            </w:r>
          </w:p>
        </w:tc>
        <w:tc>
          <w:tcPr>
            <w:tcW w:w="3686" w:type="dxa"/>
            <w:shd w:val="clear" w:color="auto" w:fill="FFF2CC" w:themeFill="accent4" w:themeFillTint="33"/>
            <w:vAlign w:val="center"/>
          </w:tcPr>
          <w:p w14:paraId="5009F780" w14:textId="77777777" w:rsidR="00A22891" w:rsidRPr="00A22891"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FFF2CC" w:themeFill="accent4" w:themeFillTint="33"/>
            <w:vAlign w:val="center"/>
          </w:tcPr>
          <w:p w14:paraId="2968CA9C" w14:textId="77777777" w:rsidR="00A22891" w:rsidRPr="00A22891"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11D4CFC5" w14:textId="77777777" w:rsidTr="006A283D">
        <w:trPr>
          <w:trHeight w:val="564"/>
          <w:tblHeader/>
        </w:trPr>
        <w:tc>
          <w:tcPr>
            <w:tcW w:w="9634" w:type="dxa"/>
            <w:shd w:val="clear" w:color="auto" w:fill="auto"/>
            <w:vAlign w:val="center"/>
          </w:tcPr>
          <w:p w14:paraId="5E8ACF85" w14:textId="21A22C6E" w:rsidR="00A22891" w:rsidRPr="00EB4FBC" w:rsidRDefault="00A22891" w:rsidP="00EB4FBC">
            <w:pPr>
              <w:spacing w:after="0" w:line="240" w:lineRule="auto"/>
              <w:rPr>
                <w:rFonts w:eastAsia="Times New Roman" w:cs="Arial"/>
                <w:sz w:val="24"/>
                <w:szCs w:val="24"/>
              </w:rPr>
            </w:pPr>
          </w:p>
          <w:tbl>
            <w:tblPr>
              <w:tblW w:w="9212" w:type="dxa"/>
              <w:tblInd w:w="132" w:type="dxa"/>
              <w:tblLayout w:type="fixed"/>
              <w:tblCellMar>
                <w:left w:w="0" w:type="dxa"/>
                <w:right w:w="0" w:type="dxa"/>
              </w:tblCellMar>
              <w:tblLook w:val="01E0" w:firstRow="1" w:lastRow="1" w:firstColumn="1" w:lastColumn="1" w:noHBand="0" w:noVBand="0"/>
            </w:tblPr>
            <w:tblGrid>
              <w:gridCol w:w="1276"/>
              <w:gridCol w:w="375"/>
              <w:gridCol w:w="142"/>
              <w:gridCol w:w="1842"/>
              <w:gridCol w:w="88"/>
              <w:gridCol w:w="425"/>
              <w:gridCol w:w="2098"/>
              <w:gridCol w:w="408"/>
              <w:gridCol w:w="2558"/>
            </w:tblGrid>
            <w:tr w:rsidR="00A22891" w:rsidRPr="00A22891" w14:paraId="1B89C2F7" w14:textId="77777777" w:rsidTr="00EB4FBC">
              <w:trPr>
                <w:trHeight w:val="292"/>
                <w:tblHeader/>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C4BC96"/>
                </w:tcPr>
                <w:p w14:paraId="40685A86" w14:textId="77777777" w:rsidR="00A22891" w:rsidRPr="00A22891" w:rsidRDefault="00A22891" w:rsidP="00EB4FBC">
                  <w:pPr>
                    <w:framePr w:hSpace="180" w:wrap="around" w:vAnchor="text" w:hAnchor="text" w:y="1"/>
                    <w:spacing w:after="0" w:line="240" w:lineRule="auto"/>
                    <w:ind w:left="270" w:right="97" w:hanging="137"/>
                    <w:suppressOverlap/>
                    <w:rPr>
                      <w:rFonts w:ascii="Bookman Old Style" w:hAnsi="Bookman Old Style"/>
                      <w:b/>
                      <w:sz w:val="20"/>
                      <w:szCs w:val="20"/>
                    </w:rPr>
                  </w:pPr>
                  <w:r w:rsidRPr="00A22891">
                    <w:rPr>
                      <w:rFonts w:ascii="Bookman Old Style" w:hAnsi="Bookman Old Style"/>
                      <w:b/>
                      <w:sz w:val="20"/>
                      <w:szCs w:val="20"/>
                    </w:rPr>
                    <w:t>Fak</w:t>
                  </w:r>
                  <w:r w:rsidRPr="00A22891">
                    <w:rPr>
                      <w:rFonts w:ascii="Bookman Old Style" w:hAnsi="Bookman Old Style"/>
                      <w:b/>
                      <w:sz w:val="20"/>
                      <w:szCs w:val="20"/>
                      <w:lang w:val="en-US"/>
                    </w:rPr>
                    <w:t>T</w:t>
                  </w:r>
                  <w:r w:rsidRPr="00A22891">
                    <w:rPr>
                      <w:rFonts w:ascii="Bookman Old Style" w:hAnsi="Bookman Old Style"/>
                      <w:b/>
                      <w:sz w:val="20"/>
                      <w:szCs w:val="20"/>
                    </w:rPr>
                    <w:t>or</w:t>
                  </w:r>
                  <w:r w:rsidRPr="00A22891">
                    <w:rPr>
                      <w:rFonts w:ascii="Bookman Old Style" w:hAnsi="Bookman Old Style"/>
                      <w:b/>
                      <w:spacing w:val="-52"/>
                      <w:sz w:val="20"/>
                      <w:szCs w:val="20"/>
                    </w:rPr>
                    <w:t xml:space="preserve"> </w:t>
                  </w:r>
                  <w:r w:rsidRPr="00A22891">
                    <w:rPr>
                      <w:rFonts w:ascii="Bookman Old Style" w:hAnsi="Bookman Old Style"/>
                      <w:b/>
                      <w:sz w:val="20"/>
                      <w:szCs w:val="20"/>
                    </w:rPr>
                    <w:t>ASF</w:t>
                  </w:r>
                </w:p>
              </w:tc>
              <w:tc>
                <w:tcPr>
                  <w:tcW w:w="7936" w:type="dxa"/>
                  <w:gridSpan w:val="8"/>
                  <w:tcBorders>
                    <w:top w:val="single" w:sz="8" w:space="0" w:color="000000"/>
                    <w:left w:val="single" w:sz="8" w:space="0" w:color="000000"/>
                    <w:bottom w:val="single" w:sz="8" w:space="0" w:color="000000"/>
                    <w:right w:val="single" w:sz="8" w:space="0" w:color="000000"/>
                  </w:tcBorders>
                  <w:shd w:val="clear" w:color="auto" w:fill="C4BC96"/>
                </w:tcPr>
                <w:p w14:paraId="7E659ECB" w14:textId="77777777" w:rsidR="00A22891" w:rsidRPr="00A22891" w:rsidRDefault="00A22891" w:rsidP="00EB4FBC">
                  <w:pPr>
                    <w:framePr w:hSpace="180" w:wrap="around" w:vAnchor="text" w:hAnchor="text" w:y="1"/>
                    <w:spacing w:after="0" w:line="240" w:lineRule="auto"/>
                    <w:ind w:left="1318" w:right="1306"/>
                    <w:suppressOverlap/>
                    <w:jc w:val="center"/>
                    <w:rPr>
                      <w:rFonts w:ascii="Bookman Old Style" w:hAnsi="Bookman Old Style"/>
                      <w:b/>
                      <w:sz w:val="20"/>
                      <w:szCs w:val="20"/>
                    </w:rPr>
                  </w:pPr>
                  <w:r w:rsidRPr="00A22891">
                    <w:rPr>
                      <w:rFonts w:ascii="Bookman Old Style" w:hAnsi="Bookman Old Style"/>
                      <w:b/>
                      <w:sz w:val="20"/>
                      <w:szCs w:val="20"/>
                    </w:rPr>
                    <w:t>Komponen</w:t>
                  </w:r>
                  <w:r w:rsidRPr="00A22891">
                    <w:rPr>
                      <w:rFonts w:ascii="Bookman Old Style" w:hAnsi="Bookman Old Style"/>
                      <w:b/>
                      <w:spacing w:val="-3"/>
                      <w:sz w:val="20"/>
                      <w:szCs w:val="20"/>
                    </w:rPr>
                    <w:t xml:space="preserve"> </w:t>
                  </w:r>
                  <w:r w:rsidRPr="00A22891">
                    <w:rPr>
                      <w:rFonts w:ascii="Bookman Old Style" w:hAnsi="Bookman Old Style"/>
                      <w:b/>
                      <w:sz w:val="20"/>
                      <w:szCs w:val="20"/>
                    </w:rPr>
                    <w:t>dari</w:t>
                  </w:r>
                  <w:r w:rsidRPr="00A22891">
                    <w:rPr>
                      <w:rFonts w:ascii="Bookman Old Style" w:hAnsi="Bookman Old Style"/>
                      <w:b/>
                      <w:spacing w:val="-3"/>
                      <w:sz w:val="20"/>
                      <w:szCs w:val="20"/>
                    </w:rPr>
                    <w:t xml:space="preserve"> </w:t>
                  </w:r>
                  <w:r w:rsidRPr="00A22891">
                    <w:rPr>
                      <w:rFonts w:ascii="Bookman Old Style" w:hAnsi="Bookman Old Style"/>
                      <w:b/>
                      <w:sz w:val="20"/>
                      <w:szCs w:val="20"/>
                    </w:rPr>
                    <w:t>Kategori</w:t>
                  </w:r>
                  <w:r w:rsidRPr="00A22891">
                    <w:rPr>
                      <w:rFonts w:ascii="Bookman Old Style" w:hAnsi="Bookman Old Style"/>
                      <w:b/>
                      <w:spacing w:val="-3"/>
                      <w:sz w:val="20"/>
                      <w:szCs w:val="20"/>
                    </w:rPr>
                    <w:t xml:space="preserve"> </w:t>
                  </w:r>
                  <w:r w:rsidRPr="00A22891">
                    <w:rPr>
                      <w:rFonts w:ascii="Bookman Old Style" w:hAnsi="Bookman Old Style"/>
                      <w:b/>
                      <w:sz w:val="20"/>
                      <w:szCs w:val="20"/>
                    </w:rPr>
                    <w:t>ASF</w:t>
                  </w:r>
                  <w:r w:rsidRPr="00A22891">
                    <w:rPr>
                      <w:rFonts w:ascii="Bookman Old Style" w:hAnsi="Bookman Old Style"/>
                      <w:b/>
                      <w:spacing w:val="-2"/>
                      <w:sz w:val="20"/>
                      <w:szCs w:val="20"/>
                    </w:rPr>
                    <w:t xml:space="preserve"> </w:t>
                  </w:r>
                  <w:r w:rsidRPr="00A22891">
                    <w:rPr>
                      <w:rFonts w:ascii="Bookman Old Style" w:hAnsi="Bookman Old Style"/>
                      <w:b/>
                      <w:sz w:val="20"/>
                      <w:szCs w:val="20"/>
                    </w:rPr>
                    <w:t>berdasarkan Sisa</w:t>
                  </w:r>
                  <w:r w:rsidRPr="00A22891">
                    <w:rPr>
                      <w:rFonts w:ascii="Bookman Old Style" w:hAnsi="Bookman Old Style"/>
                      <w:b/>
                      <w:spacing w:val="-2"/>
                      <w:sz w:val="20"/>
                      <w:szCs w:val="20"/>
                    </w:rPr>
                    <w:t xml:space="preserve"> </w:t>
                  </w:r>
                  <w:r w:rsidRPr="00A22891">
                    <w:rPr>
                      <w:rFonts w:ascii="Bookman Old Style" w:hAnsi="Bookman Old Style"/>
                      <w:b/>
                      <w:sz w:val="20"/>
                      <w:szCs w:val="20"/>
                    </w:rPr>
                    <w:t>Jangka</w:t>
                  </w:r>
                  <w:r w:rsidRPr="00A22891">
                    <w:rPr>
                      <w:rFonts w:ascii="Bookman Old Style" w:hAnsi="Bookman Old Style"/>
                      <w:b/>
                      <w:spacing w:val="-3"/>
                      <w:sz w:val="20"/>
                      <w:szCs w:val="20"/>
                    </w:rPr>
                    <w:t xml:space="preserve"> </w:t>
                  </w:r>
                  <w:r w:rsidRPr="00A22891">
                    <w:rPr>
                      <w:rFonts w:ascii="Bookman Old Style" w:hAnsi="Bookman Old Style"/>
                      <w:b/>
                      <w:sz w:val="20"/>
                      <w:szCs w:val="20"/>
                    </w:rPr>
                    <w:t>Waktu</w:t>
                  </w:r>
                </w:p>
              </w:tc>
            </w:tr>
            <w:tr w:rsidR="00A22891" w:rsidRPr="00A22891" w14:paraId="6F0B38EB" w14:textId="77777777" w:rsidTr="00EB4FBC">
              <w:trPr>
                <w:trHeight w:val="294"/>
                <w:tblHeader/>
              </w:trPr>
              <w:tc>
                <w:tcPr>
                  <w:tcW w:w="1276" w:type="dxa"/>
                  <w:vMerge/>
                  <w:tcBorders>
                    <w:top w:val="nil"/>
                    <w:left w:val="single" w:sz="8" w:space="0" w:color="000000"/>
                    <w:bottom w:val="single" w:sz="8" w:space="0" w:color="000000"/>
                    <w:right w:val="single" w:sz="8" w:space="0" w:color="000000"/>
                  </w:tcBorders>
                  <w:shd w:val="clear" w:color="auto" w:fill="C4BC96"/>
                </w:tcPr>
                <w:p w14:paraId="0F0942E5"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2359" w:type="dxa"/>
                  <w:gridSpan w:val="3"/>
                  <w:tcBorders>
                    <w:top w:val="single" w:sz="8" w:space="0" w:color="000000"/>
                    <w:left w:val="single" w:sz="8" w:space="0" w:color="000000"/>
                    <w:right w:val="single" w:sz="8" w:space="0" w:color="000000"/>
                  </w:tcBorders>
                  <w:shd w:val="clear" w:color="auto" w:fill="C4BC96"/>
                </w:tcPr>
                <w:p w14:paraId="7157F167" w14:textId="77777777" w:rsidR="00A22891" w:rsidRPr="00A22891" w:rsidRDefault="00A22891" w:rsidP="00A22891">
                  <w:pPr>
                    <w:framePr w:hSpace="180" w:wrap="around" w:vAnchor="text" w:hAnchor="text" w:y="1"/>
                    <w:spacing w:before="1" w:line="273" w:lineRule="exact"/>
                    <w:ind w:left="892"/>
                    <w:suppressOverlap/>
                    <w:jc w:val="center"/>
                    <w:rPr>
                      <w:rFonts w:ascii="Bookman Old Style" w:hAnsi="Bookman Old Style"/>
                      <w:b/>
                      <w:sz w:val="20"/>
                      <w:szCs w:val="20"/>
                    </w:rPr>
                  </w:pPr>
                  <w:r w:rsidRPr="00A22891">
                    <w:rPr>
                      <w:rFonts w:ascii="Bookman Old Style" w:hAnsi="Bookman Old Style"/>
                      <w:b/>
                      <w:sz w:val="20"/>
                      <w:szCs w:val="20"/>
                    </w:rPr>
                    <w:t>&lt; 6</w:t>
                  </w:r>
                  <w:r w:rsidRPr="00A22891">
                    <w:rPr>
                      <w:rFonts w:ascii="Bookman Old Style" w:hAnsi="Bookman Old Style"/>
                      <w:b/>
                      <w:spacing w:val="-1"/>
                      <w:sz w:val="20"/>
                      <w:szCs w:val="20"/>
                    </w:rPr>
                    <w:t xml:space="preserve"> </w:t>
                  </w:r>
                  <w:r w:rsidRPr="00A22891">
                    <w:rPr>
                      <w:rFonts w:ascii="Bookman Old Style" w:hAnsi="Bookman Old Style"/>
                      <w:b/>
                      <w:sz w:val="20"/>
                      <w:szCs w:val="20"/>
                    </w:rPr>
                    <w:t>bulan</w:t>
                  </w:r>
                </w:p>
              </w:tc>
              <w:tc>
                <w:tcPr>
                  <w:tcW w:w="2611" w:type="dxa"/>
                  <w:gridSpan w:val="3"/>
                  <w:tcBorders>
                    <w:top w:val="single" w:sz="8" w:space="0" w:color="000000"/>
                    <w:left w:val="single" w:sz="8" w:space="0" w:color="000000"/>
                    <w:bottom w:val="single" w:sz="8" w:space="0" w:color="000000"/>
                    <w:right w:val="single" w:sz="8" w:space="0" w:color="000000"/>
                  </w:tcBorders>
                  <w:shd w:val="clear" w:color="auto" w:fill="C4BC96"/>
                </w:tcPr>
                <w:p w14:paraId="55D4EEAF" w14:textId="77777777" w:rsidR="00A22891" w:rsidRPr="00A22891" w:rsidRDefault="00A22891" w:rsidP="00A22891">
                  <w:pPr>
                    <w:framePr w:hSpace="180" w:wrap="around" w:vAnchor="text" w:hAnchor="text" w:y="1"/>
                    <w:spacing w:before="1" w:line="273" w:lineRule="exact"/>
                    <w:ind w:left="450"/>
                    <w:suppressOverlap/>
                    <w:jc w:val="center"/>
                    <w:rPr>
                      <w:rFonts w:ascii="Bookman Old Style" w:hAnsi="Bookman Old Style"/>
                      <w:b/>
                      <w:sz w:val="20"/>
                      <w:szCs w:val="20"/>
                    </w:rPr>
                  </w:pPr>
                  <w:r w:rsidRPr="00A22891">
                    <w:rPr>
                      <w:rFonts w:ascii="Bookman Old Style" w:hAnsi="Bookman Old Style"/>
                      <w:b/>
                      <w:sz w:val="20"/>
                      <w:szCs w:val="20"/>
                    </w:rPr>
                    <w:t>6 bulan</w:t>
                  </w:r>
                  <w:r w:rsidRPr="00A22891">
                    <w:rPr>
                      <w:rFonts w:ascii="Bookman Old Style" w:hAnsi="Bookman Old Style"/>
                      <w:b/>
                      <w:spacing w:val="2"/>
                      <w:sz w:val="20"/>
                      <w:szCs w:val="20"/>
                    </w:rPr>
                    <w:t xml:space="preserve"> </w:t>
                  </w:r>
                  <w:r w:rsidRPr="00A22891">
                    <w:rPr>
                      <w:rFonts w:ascii="Bookman Old Style" w:hAnsi="Bookman Old Style"/>
                      <w:b/>
                      <w:sz w:val="20"/>
                      <w:szCs w:val="20"/>
                    </w:rPr>
                    <w:t>–</w:t>
                  </w:r>
                  <w:r w:rsidRPr="00A22891">
                    <w:rPr>
                      <w:rFonts w:ascii="Bookman Old Style" w:hAnsi="Bookman Old Style"/>
                      <w:b/>
                      <w:spacing w:val="-2"/>
                      <w:sz w:val="20"/>
                      <w:szCs w:val="20"/>
                    </w:rPr>
                    <w:t xml:space="preserve"> </w:t>
                  </w:r>
                  <w:r w:rsidRPr="00A22891">
                    <w:rPr>
                      <w:rFonts w:ascii="Bookman Old Style" w:hAnsi="Bookman Old Style"/>
                      <w:b/>
                      <w:sz w:val="20"/>
                      <w:szCs w:val="20"/>
                    </w:rPr>
                    <w:t>1</w:t>
                  </w:r>
                  <w:r w:rsidRPr="00A22891">
                    <w:rPr>
                      <w:rFonts w:ascii="Bookman Old Style" w:hAnsi="Bookman Old Style"/>
                      <w:b/>
                      <w:spacing w:val="-1"/>
                      <w:sz w:val="20"/>
                      <w:szCs w:val="20"/>
                    </w:rPr>
                    <w:t xml:space="preserve"> </w:t>
                  </w:r>
                  <w:r w:rsidRPr="00A22891">
                    <w:rPr>
                      <w:rFonts w:ascii="Bookman Old Style" w:hAnsi="Bookman Old Style"/>
                      <w:b/>
                      <w:sz w:val="20"/>
                      <w:szCs w:val="20"/>
                    </w:rPr>
                    <w:t>tahun</w:t>
                  </w:r>
                </w:p>
              </w:tc>
              <w:tc>
                <w:tcPr>
                  <w:tcW w:w="2966" w:type="dxa"/>
                  <w:gridSpan w:val="2"/>
                  <w:tcBorders>
                    <w:top w:val="single" w:sz="8" w:space="0" w:color="000000"/>
                    <w:left w:val="single" w:sz="8" w:space="0" w:color="000000"/>
                    <w:bottom w:val="single" w:sz="8" w:space="0" w:color="000000"/>
                    <w:right w:val="single" w:sz="8" w:space="0" w:color="000000"/>
                  </w:tcBorders>
                  <w:shd w:val="clear" w:color="auto" w:fill="C4BC96"/>
                </w:tcPr>
                <w:p w14:paraId="64D58990" w14:textId="77777777" w:rsidR="00A22891" w:rsidRPr="00A22891" w:rsidRDefault="00A22891" w:rsidP="00A22891">
                  <w:pPr>
                    <w:framePr w:hSpace="180" w:wrap="around" w:vAnchor="text" w:hAnchor="text" w:y="1"/>
                    <w:spacing w:before="1" w:line="273" w:lineRule="exact"/>
                    <w:ind w:left="1201" w:right="1178"/>
                    <w:suppressOverlap/>
                    <w:jc w:val="center"/>
                    <w:rPr>
                      <w:rFonts w:ascii="Bookman Old Style" w:hAnsi="Bookman Old Style"/>
                      <w:b/>
                      <w:sz w:val="20"/>
                      <w:szCs w:val="20"/>
                    </w:rPr>
                  </w:pPr>
                  <w:r w:rsidRPr="00A22891">
                    <w:rPr>
                      <w:rFonts w:ascii="Bookman Old Style" w:hAnsi="Bookman Old Style"/>
                      <w:b/>
                      <w:sz w:val="20"/>
                      <w:szCs w:val="20"/>
                    </w:rPr>
                    <w:t>≥</w:t>
                  </w:r>
                  <w:r w:rsidRPr="00A22891">
                    <w:rPr>
                      <w:rFonts w:ascii="Bookman Old Style" w:hAnsi="Bookman Old Style"/>
                      <w:b/>
                      <w:spacing w:val="1"/>
                      <w:sz w:val="20"/>
                      <w:szCs w:val="20"/>
                    </w:rPr>
                    <w:t xml:space="preserve"> </w:t>
                  </w:r>
                  <w:r w:rsidRPr="00A22891">
                    <w:rPr>
                      <w:rFonts w:ascii="Bookman Old Style" w:hAnsi="Bookman Old Style"/>
                      <w:b/>
                      <w:sz w:val="20"/>
                      <w:szCs w:val="20"/>
                    </w:rPr>
                    <w:t>1</w:t>
                  </w:r>
                  <w:r w:rsidRPr="00A22891">
                    <w:rPr>
                      <w:rFonts w:ascii="Bookman Old Style" w:hAnsi="Bookman Old Style"/>
                      <w:b/>
                      <w:spacing w:val="-1"/>
                      <w:sz w:val="20"/>
                      <w:szCs w:val="20"/>
                    </w:rPr>
                    <w:t xml:space="preserve"> </w:t>
                  </w:r>
                  <w:r w:rsidRPr="00A22891">
                    <w:rPr>
                      <w:rFonts w:ascii="Bookman Old Style" w:hAnsi="Bookman Old Style"/>
                      <w:b/>
                      <w:sz w:val="20"/>
                      <w:szCs w:val="20"/>
                    </w:rPr>
                    <w:t>tahun</w:t>
                  </w:r>
                </w:p>
              </w:tc>
            </w:tr>
            <w:tr w:rsidR="00A22891" w:rsidRPr="00A22891" w14:paraId="13DC75AE" w14:textId="77777777" w:rsidTr="00EB4FBC">
              <w:trPr>
                <w:trHeight w:val="1193"/>
              </w:trPr>
              <w:tc>
                <w:tcPr>
                  <w:tcW w:w="1276" w:type="dxa"/>
                  <w:vMerge w:val="restart"/>
                  <w:tcBorders>
                    <w:top w:val="single" w:sz="8" w:space="0" w:color="000000"/>
                    <w:left w:val="single" w:sz="8" w:space="0" w:color="000000"/>
                    <w:bottom w:val="single" w:sz="8" w:space="0" w:color="000000"/>
                    <w:right w:val="single" w:sz="4" w:space="0" w:color="000000"/>
                  </w:tcBorders>
                  <w:shd w:val="clear" w:color="auto" w:fill="C4BC96"/>
                </w:tcPr>
                <w:p w14:paraId="1C9386E2"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62AA5B26"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3C77B2D9"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5714F3D7"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59DB641C"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509C5A51"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1941AE98"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07D3B68B"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600EA43F" w14:textId="77777777" w:rsidR="00A22891" w:rsidRPr="00A22891" w:rsidRDefault="00A22891" w:rsidP="00A22891">
                  <w:pPr>
                    <w:framePr w:hSpace="180" w:wrap="around" w:vAnchor="text" w:hAnchor="text" w:y="1"/>
                    <w:spacing w:before="7"/>
                    <w:suppressOverlap/>
                    <w:rPr>
                      <w:rFonts w:ascii="Bookman Old Style" w:hAnsi="Bookman Old Style"/>
                      <w:sz w:val="20"/>
                      <w:szCs w:val="20"/>
                    </w:rPr>
                  </w:pPr>
                </w:p>
                <w:p w14:paraId="2CBFF61B" w14:textId="77777777" w:rsidR="00A22891" w:rsidRPr="00A22891" w:rsidRDefault="00A22891" w:rsidP="00A22891">
                  <w:pPr>
                    <w:framePr w:hSpace="180" w:wrap="around" w:vAnchor="text" w:hAnchor="text" w:y="1"/>
                    <w:ind w:left="184"/>
                    <w:suppressOverlap/>
                    <w:rPr>
                      <w:rFonts w:ascii="Bookman Old Style" w:hAnsi="Bookman Old Style"/>
                      <w:b/>
                      <w:sz w:val="20"/>
                      <w:szCs w:val="20"/>
                    </w:rPr>
                  </w:pPr>
                  <w:r w:rsidRPr="00A22891">
                    <w:rPr>
                      <w:rFonts w:ascii="Bookman Old Style" w:hAnsi="Bookman Old Style"/>
                      <w:b/>
                      <w:sz w:val="20"/>
                      <w:szCs w:val="20"/>
                    </w:rPr>
                    <w:t>100%</w:t>
                  </w:r>
                </w:p>
              </w:tc>
              <w:tc>
                <w:tcPr>
                  <w:tcW w:w="4970" w:type="dxa"/>
                  <w:gridSpan w:val="6"/>
                  <w:vMerge w:val="restart"/>
                  <w:shd w:val="clear" w:color="auto" w:fill="000000"/>
                </w:tcPr>
                <w:p w14:paraId="5B512EE4"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08" w:type="dxa"/>
                  <w:tcBorders>
                    <w:top w:val="single" w:sz="8" w:space="0" w:color="000000"/>
                  </w:tcBorders>
                </w:tcPr>
                <w:p w14:paraId="5480CCCD" w14:textId="77777777" w:rsidR="00A22891" w:rsidRPr="00A22891" w:rsidRDefault="00A22891" w:rsidP="00A22891">
                  <w:pPr>
                    <w:framePr w:hSpace="180" w:wrap="around" w:vAnchor="text" w:hAnchor="text" w:y="1"/>
                    <w:spacing w:line="292" w:lineRule="exact"/>
                    <w:ind w:left="100" w:right="81"/>
                    <w:suppressOverlap/>
                    <w:jc w:val="center"/>
                    <w:rPr>
                      <w:rFonts w:ascii="Bookman Old Style" w:hAnsi="Bookman Old Style"/>
                      <w:sz w:val="20"/>
                      <w:szCs w:val="20"/>
                    </w:rPr>
                  </w:pPr>
                  <w:r w:rsidRPr="00A22891">
                    <w:rPr>
                      <w:rFonts w:ascii="Bookman Old Style" w:hAnsi="Bookman Old Style"/>
                      <w:sz w:val="20"/>
                      <w:szCs w:val="20"/>
                    </w:rPr>
                    <w:t>1.</w:t>
                  </w:r>
                </w:p>
              </w:tc>
              <w:tc>
                <w:tcPr>
                  <w:tcW w:w="2558" w:type="dxa"/>
                  <w:tcBorders>
                    <w:top w:val="single" w:sz="8" w:space="0" w:color="000000"/>
                    <w:right w:val="single" w:sz="8" w:space="0" w:color="000000"/>
                  </w:tcBorders>
                </w:tcPr>
                <w:p w14:paraId="6C3DA47E" w14:textId="77777777" w:rsidR="00A22891" w:rsidRPr="00A22891" w:rsidRDefault="00A22891" w:rsidP="00A22891">
                  <w:pPr>
                    <w:framePr w:hSpace="180" w:wrap="around" w:vAnchor="text" w:hAnchor="text" w:y="1"/>
                    <w:ind w:left="102" w:right="86"/>
                    <w:suppressOverlap/>
                    <w:jc w:val="both"/>
                    <w:rPr>
                      <w:rFonts w:ascii="Bookman Old Style" w:hAnsi="Bookman Old Style"/>
                      <w:sz w:val="20"/>
                      <w:szCs w:val="20"/>
                    </w:rPr>
                  </w:pPr>
                  <w:r w:rsidRPr="00A22891">
                    <w:rPr>
                      <w:rFonts w:ascii="Bookman Old Style" w:hAnsi="Bookman Old Style"/>
                      <w:sz w:val="20"/>
                      <w:szCs w:val="20"/>
                    </w:rPr>
                    <w:t>Modal</w:t>
                  </w:r>
                  <w:r w:rsidRPr="00A22891">
                    <w:rPr>
                      <w:rFonts w:ascii="Bookman Old Style" w:hAnsi="Bookman Old Style"/>
                      <w:spacing w:val="1"/>
                      <w:sz w:val="20"/>
                      <w:szCs w:val="20"/>
                    </w:rPr>
                    <w:t xml:space="preserve"> </w:t>
                  </w:r>
                  <w:r w:rsidRPr="00A22891">
                    <w:rPr>
                      <w:rFonts w:ascii="Bookman Old Style" w:hAnsi="Bookman Old Style"/>
                      <w:sz w:val="20"/>
                      <w:szCs w:val="20"/>
                    </w:rPr>
                    <w:t>Inti</w:t>
                  </w:r>
                  <w:r w:rsidRPr="00A22891">
                    <w:rPr>
                      <w:rFonts w:ascii="Bookman Old Style" w:hAnsi="Bookman Old Style"/>
                      <w:spacing w:val="1"/>
                      <w:sz w:val="20"/>
                      <w:szCs w:val="20"/>
                    </w:rPr>
                    <w:t xml:space="preserve"> </w:t>
                  </w:r>
                  <w:r w:rsidRPr="00A22891">
                    <w:rPr>
                      <w:rFonts w:ascii="Bookman Old Style" w:hAnsi="Bookman Old Style"/>
                      <w:sz w:val="20"/>
                      <w:szCs w:val="20"/>
                    </w:rPr>
                    <w:t>(</w:t>
                  </w:r>
                  <w:r w:rsidRPr="00A22891">
                    <w:rPr>
                      <w:rFonts w:ascii="Bookman Old Style" w:hAnsi="Bookman Old Style"/>
                      <w:i/>
                      <w:sz w:val="20"/>
                      <w:szCs w:val="20"/>
                    </w:rPr>
                    <w:t>Tier</w:t>
                  </w:r>
                  <w:r w:rsidRPr="00A22891">
                    <w:rPr>
                      <w:rFonts w:ascii="Bookman Old Style" w:hAnsi="Bookman Old Style"/>
                      <w:i/>
                      <w:spacing w:val="1"/>
                      <w:sz w:val="20"/>
                      <w:szCs w:val="20"/>
                    </w:rPr>
                    <w:t xml:space="preserve"> </w:t>
                  </w:r>
                  <w:r w:rsidRPr="00A22891">
                    <w:rPr>
                      <w:rFonts w:ascii="Bookman Old Style" w:hAnsi="Bookman Old Style"/>
                      <w:sz w:val="20"/>
                      <w:szCs w:val="20"/>
                    </w:rPr>
                    <w:t>1)</w:t>
                  </w:r>
                  <w:r w:rsidRPr="00A22891">
                    <w:rPr>
                      <w:rFonts w:ascii="Bookman Old Style" w:hAnsi="Bookman Old Style"/>
                      <w:spacing w:val="1"/>
                      <w:sz w:val="20"/>
                      <w:szCs w:val="20"/>
                    </w:rPr>
                    <w:t xml:space="preserve"> </w:t>
                  </w:r>
                  <w:r w:rsidRPr="00A22891">
                    <w:rPr>
                      <w:rFonts w:ascii="Bookman Old Style" w:hAnsi="Bookman Old Style"/>
                      <w:sz w:val="20"/>
                      <w:szCs w:val="20"/>
                    </w:rPr>
                    <w:t>dan</w:t>
                  </w:r>
                  <w:r w:rsidRPr="00A22891">
                    <w:rPr>
                      <w:rFonts w:ascii="Bookman Old Style" w:hAnsi="Bookman Old Style"/>
                      <w:spacing w:val="1"/>
                      <w:sz w:val="20"/>
                      <w:szCs w:val="20"/>
                    </w:rPr>
                    <w:t xml:space="preserve"> </w:t>
                  </w:r>
                  <w:r w:rsidRPr="00A22891">
                    <w:rPr>
                      <w:rFonts w:ascii="Bookman Old Style" w:hAnsi="Bookman Old Style"/>
                      <w:sz w:val="20"/>
                      <w:szCs w:val="20"/>
                    </w:rPr>
                    <w:t>Modal</w:t>
                  </w:r>
                  <w:r w:rsidRPr="00A22891">
                    <w:rPr>
                      <w:rFonts w:ascii="Bookman Old Style" w:hAnsi="Bookman Old Style"/>
                      <w:spacing w:val="1"/>
                      <w:sz w:val="20"/>
                      <w:szCs w:val="20"/>
                    </w:rPr>
                    <w:t xml:space="preserve"> </w:t>
                  </w:r>
                  <w:r w:rsidRPr="00A22891">
                    <w:rPr>
                      <w:rFonts w:ascii="Bookman Old Style" w:hAnsi="Bookman Old Style"/>
                      <w:sz w:val="20"/>
                      <w:szCs w:val="20"/>
                    </w:rPr>
                    <w:t>Pelengkap</w:t>
                  </w:r>
                  <w:r w:rsidRPr="00A22891">
                    <w:rPr>
                      <w:rFonts w:ascii="Bookman Old Style" w:hAnsi="Bookman Old Style"/>
                      <w:spacing w:val="1"/>
                      <w:sz w:val="20"/>
                      <w:szCs w:val="20"/>
                    </w:rPr>
                    <w:t xml:space="preserve"> </w:t>
                  </w:r>
                  <w:r w:rsidRPr="00A22891">
                    <w:rPr>
                      <w:rFonts w:ascii="Bookman Old Style" w:hAnsi="Bookman Old Style"/>
                      <w:sz w:val="20"/>
                      <w:szCs w:val="20"/>
                    </w:rPr>
                    <w:t>(</w:t>
                  </w:r>
                  <w:r w:rsidRPr="00A22891">
                    <w:rPr>
                      <w:rFonts w:ascii="Bookman Old Style" w:hAnsi="Bookman Old Style"/>
                      <w:i/>
                      <w:sz w:val="20"/>
                      <w:szCs w:val="20"/>
                    </w:rPr>
                    <w:t>Tier</w:t>
                  </w:r>
                  <w:r w:rsidRPr="00A22891">
                    <w:rPr>
                      <w:rFonts w:ascii="Bookman Old Style" w:hAnsi="Bookman Old Style"/>
                      <w:i/>
                      <w:spacing w:val="1"/>
                      <w:sz w:val="20"/>
                      <w:szCs w:val="20"/>
                    </w:rPr>
                    <w:t xml:space="preserve"> </w:t>
                  </w:r>
                  <w:r w:rsidRPr="00A22891">
                    <w:rPr>
                      <w:rFonts w:ascii="Bookman Old Style" w:hAnsi="Bookman Old Style"/>
                      <w:sz w:val="20"/>
                      <w:szCs w:val="20"/>
                    </w:rPr>
                    <w:t>2)</w:t>
                  </w:r>
                  <w:r w:rsidRPr="00A22891">
                    <w:rPr>
                      <w:rFonts w:ascii="Bookman Old Style" w:hAnsi="Bookman Old Style"/>
                      <w:spacing w:val="1"/>
                      <w:sz w:val="20"/>
                      <w:szCs w:val="20"/>
                    </w:rPr>
                    <w:t xml:space="preserve"> </w:t>
                  </w:r>
                  <w:r w:rsidRPr="00A22891">
                    <w:rPr>
                      <w:rFonts w:ascii="Bookman Old Style" w:hAnsi="Bookman Old Style"/>
                      <w:sz w:val="20"/>
                      <w:szCs w:val="20"/>
                    </w:rPr>
                    <w:t>dengan sisa jangka waktu ≥</w:t>
                  </w:r>
                  <w:r w:rsidRPr="00A22891">
                    <w:rPr>
                      <w:rFonts w:ascii="Bookman Old Style" w:hAnsi="Bookman Old Style"/>
                      <w:spacing w:val="1"/>
                      <w:sz w:val="20"/>
                      <w:szCs w:val="20"/>
                    </w:rPr>
                    <w:t xml:space="preserve"> </w:t>
                  </w:r>
                  <w:r w:rsidRPr="00A22891">
                    <w:rPr>
                      <w:rFonts w:ascii="Bookman Old Style" w:hAnsi="Bookman Old Style"/>
                      <w:sz w:val="20"/>
                      <w:szCs w:val="20"/>
                    </w:rPr>
                    <w:t>1 tahun.</w:t>
                  </w:r>
                </w:p>
              </w:tc>
            </w:tr>
            <w:tr w:rsidR="00A22891" w:rsidRPr="00A22891" w14:paraId="1B2AEFF3" w14:textId="77777777" w:rsidTr="00EB4FBC">
              <w:trPr>
                <w:trHeight w:val="1171"/>
              </w:trPr>
              <w:tc>
                <w:tcPr>
                  <w:tcW w:w="1276" w:type="dxa"/>
                  <w:vMerge/>
                  <w:tcBorders>
                    <w:top w:val="nil"/>
                    <w:left w:val="single" w:sz="8" w:space="0" w:color="000000"/>
                    <w:bottom w:val="single" w:sz="8" w:space="0" w:color="000000"/>
                    <w:right w:val="single" w:sz="4" w:space="0" w:color="000000"/>
                  </w:tcBorders>
                  <w:shd w:val="clear" w:color="auto" w:fill="C4BC96"/>
                </w:tcPr>
                <w:p w14:paraId="0B9B4A17"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970" w:type="dxa"/>
                  <w:gridSpan w:val="6"/>
                  <w:vMerge/>
                  <w:tcBorders>
                    <w:top w:val="nil"/>
                  </w:tcBorders>
                  <w:shd w:val="clear" w:color="auto" w:fill="000000"/>
                </w:tcPr>
                <w:p w14:paraId="5F75F878"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08" w:type="dxa"/>
                </w:tcPr>
                <w:p w14:paraId="4BCA0290" w14:textId="77777777" w:rsidR="00A22891" w:rsidRPr="00A22891" w:rsidRDefault="00A22891" w:rsidP="00A22891">
                  <w:pPr>
                    <w:framePr w:hSpace="180" w:wrap="around" w:vAnchor="text" w:hAnchor="text" w:y="1"/>
                    <w:spacing w:line="272" w:lineRule="exact"/>
                    <w:ind w:left="100" w:right="81"/>
                    <w:suppressOverlap/>
                    <w:jc w:val="center"/>
                    <w:rPr>
                      <w:rFonts w:ascii="Bookman Old Style" w:hAnsi="Bookman Old Style"/>
                      <w:sz w:val="20"/>
                      <w:szCs w:val="20"/>
                    </w:rPr>
                  </w:pPr>
                  <w:r w:rsidRPr="00A22891">
                    <w:rPr>
                      <w:rFonts w:ascii="Bookman Old Style" w:hAnsi="Bookman Old Style"/>
                      <w:sz w:val="20"/>
                      <w:szCs w:val="20"/>
                    </w:rPr>
                    <w:t>2.</w:t>
                  </w:r>
                </w:p>
              </w:tc>
              <w:tc>
                <w:tcPr>
                  <w:tcW w:w="2558" w:type="dxa"/>
                  <w:tcBorders>
                    <w:right w:val="single" w:sz="8" w:space="0" w:color="000000"/>
                  </w:tcBorders>
                </w:tcPr>
                <w:p w14:paraId="1FD12887" w14:textId="77777777" w:rsidR="00A22891" w:rsidRPr="00A22891" w:rsidRDefault="00A22891" w:rsidP="00A22891">
                  <w:pPr>
                    <w:framePr w:hSpace="180" w:wrap="around" w:vAnchor="text" w:hAnchor="text" w:y="1"/>
                    <w:spacing w:line="272" w:lineRule="exact"/>
                    <w:ind w:left="102"/>
                    <w:suppressOverlap/>
                    <w:jc w:val="both"/>
                    <w:rPr>
                      <w:rFonts w:ascii="Bookman Old Style" w:hAnsi="Bookman Old Style"/>
                      <w:sz w:val="20"/>
                      <w:szCs w:val="20"/>
                    </w:rPr>
                  </w:pPr>
                  <w:r w:rsidRPr="00A22891">
                    <w:rPr>
                      <w:rFonts w:ascii="Bookman Old Style" w:hAnsi="Bookman Old Style"/>
                      <w:sz w:val="20"/>
                      <w:szCs w:val="20"/>
                    </w:rPr>
                    <w:t>Instrumen</w:t>
                  </w:r>
                  <w:r w:rsidRPr="00A22891">
                    <w:rPr>
                      <w:rFonts w:ascii="Bookman Old Style" w:hAnsi="Bookman Old Style"/>
                      <w:spacing w:val="77"/>
                      <w:sz w:val="20"/>
                      <w:szCs w:val="20"/>
                    </w:rPr>
                    <w:t xml:space="preserve"> </w:t>
                  </w:r>
                  <w:r w:rsidRPr="00A22891">
                    <w:rPr>
                      <w:rFonts w:ascii="Bookman Old Style" w:hAnsi="Bookman Old Style"/>
                      <w:sz w:val="20"/>
                      <w:szCs w:val="20"/>
                    </w:rPr>
                    <w:t xml:space="preserve">modal  </w:t>
                  </w:r>
                  <w:r w:rsidRPr="00A22891">
                    <w:rPr>
                      <w:rFonts w:ascii="Bookman Old Style" w:hAnsi="Bookman Old Style"/>
                      <w:spacing w:val="19"/>
                      <w:sz w:val="20"/>
                      <w:szCs w:val="20"/>
                    </w:rPr>
                    <w:t xml:space="preserve"> </w:t>
                  </w:r>
                  <w:r w:rsidRPr="00A22891">
                    <w:rPr>
                      <w:rFonts w:ascii="Bookman Old Style" w:hAnsi="Bookman Old Style"/>
                      <w:sz w:val="20"/>
                      <w:szCs w:val="20"/>
                    </w:rPr>
                    <w:t>lainnya,</w:t>
                  </w:r>
                </w:p>
                <w:p w14:paraId="360C9132" w14:textId="77777777" w:rsidR="00A22891" w:rsidRPr="00A22891" w:rsidRDefault="00A22891" w:rsidP="00A22891">
                  <w:pPr>
                    <w:framePr w:hSpace="180" w:wrap="around" w:vAnchor="text" w:hAnchor="text" w:y="1"/>
                    <w:ind w:left="102" w:right="85"/>
                    <w:suppressOverlap/>
                    <w:jc w:val="both"/>
                    <w:rPr>
                      <w:rFonts w:ascii="Bookman Old Style" w:hAnsi="Bookman Old Style"/>
                      <w:sz w:val="20"/>
                      <w:szCs w:val="20"/>
                    </w:rPr>
                  </w:pPr>
                  <w:r w:rsidRPr="00A22891">
                    <w:rPr>
                      <w:rFonts w:ascii="Bookman Old Style" w:hAnsi="Bookman Old Style"/>
                      <w:sz w:val="20"/>
                      <w:szCs w:val="20"/>
                    </w:rPr>
                    <w:t>kecuali</w:t>
                  </w:r>
                  <w:r w:rsidRPr="00A22891">
                    <w:rPr>
                      <w:rFonts w:ascii="Bookman Old Style" w:hAnsi="Bookman Old Style"/>
                      <w:spacing w:val="1"/>
                      <w:sz w:val="20"/>
                      <w:szCs w:val="20"/>
                    </w:rPr>
                    <w:t xml:space="preserve"> </w:t>
                  </w:r>
                  <w:r w:rsidRPr="00A22891">
                    <w:rPr>
                      <w:rFonts w:ascii="Bookman Old Style" w:hAnsi="Bookman Old Style"/>
                      <w:sz w:val="20"/>
                      <w:szCs w:val="20"/>
                    </w:rPr>
                    <w:t>opsi</w:t>
                  </w:r>
                  <w:r w:rsidRPr="00A22891">
                    <w:rPr>
                      <w:rFonts w:ascii="Bookman Old Style" w:hAnsi="Bookman Old Style"/>
                      <w:spacing w:val="1"/>
                      <w:sz w:val="20"/>
                      <w:szCs w:val="20"/>
                    </w:rPr>
                    <w:t xml:space="preserve"> </w:t>
                  </w:r>
                  <w:r w:rsidRPr="00A22891">
                    <w:rPr>
                      <w:rFonts w:ascii="Bookman Old Style" w:hAnsi="Bookman Old Style"/>
                      <w:sz w:val="20"/>
                      <w:szCs w:val="20"/>
                    </w:rPr>
                    <w:t>yang</w:t>
                  </w:r>
                  <w:r w:rsidRPr="00A22891">
                    <w:rPr>
                      <w:rFonts w:ascii="Bookman Old Style" w:hAnsi="Bookman Old Style"/>
                      <w:spacing w:val="1"/>
                      <w:sz w:val="20"/>
                      <w:szCs w:val="20"/>
                    </w:rPr>
                    <w:t xml:space="preserve"> </w:t>
                  </w:r>
                  <w:r w:rsidRPr="00A22891">
                    <w:rPr>
                      <w:rFonts w:ascii="Bookman Old Style" w:hAnsi="Bookman Old Style"/>
                      <w:sz w:val="20"/>
                      <w:szCs w:val="20"/>
                    </w:rPr>
                    <w:t>eksplisit</w:t>
                  </w:r>
                  <w:r w:rsidRPr="00A22891">
                    <w:rPr>
                      <w:rFonts w:ascii="Bookman Old Style" w:hAnsi="Bookman Old Style"/>
                      <w:spacing w:val="1"/>
                      <w:sz w:val="20"/>
                      <w:szCs w:val="20"/>
                    </w:rPr>
                    <w:t xml:space="preserve"> </w:t>
                  </w:r>
                  <w:r w:rsidRPr="00A22891">
                    <w:rPr>
                      <w:rFonts w:ascii="Bookman Old Style" w:hAnsi="Bookman Old Style"/>
                      <w:sz w:val="20"/>
                      <w:szCs w:val="20"/>
                    </w:rPr>
                    <w:t>atau</w:t>
                  </w:r>
                  <w:r w:rsidRPr="00A22891">
                    <w:rPr>
                      <w:rFonts w:ascii="Bookman Old Style" w:hAnsi="Bookman Old Style"/>
                      <w:spacing w:val="1"/>
                      <w:sz w:val="20"/>
                      <w:szCs w:val="20"/>
                    </w:rPr>
                    <w:t xml:space="preserve"> </w:t>
                  </w:r>
                  <w:r w:rsidRPr="00A22891">
                    <w:rPr>
                      <w:rFonts w:ascii="Bookman Old Style" w:hAnsi="Bookman Old Style"/>
                      <w:sz w:val="20"/>
                      <w:szCs w:val="20"/>
                    </w:rPr>
                    <w:t>melekat</w:t>
                  </w:r>
                  <w:r w:rsidRPr="00A22891">
                    <w:rPr>
                      <w:rFonts w:ascii="Bookman Old Style" w:hAnsi="Bookman Old Style"/>
                      <w:spacing w:val="1"/>
                      <w:sz w:val="20"/>
                      <w:szCs w:val="20"/>
                    </w:rPr>
                    <w:t xml:space="preserve"> </w:t>
                  </w:r>
                  <w:r w:rsidRPr="00A22891">
                    <w:rPr>
                      <w:rFonts w:ascii="Bookman Old Style" w:hAnsi="Bookman Old Style"/>
                      <w:sz w:val="20"/>
                      <w:szCs w:val="20"/>
                    </w:rPr>
                    <w:t>(</w:t>
                  </w:r>
                  <w:r w:rsidRPr="00A22891">
                    <w:rPr>
                      <w:rFonts w:ascii="Bookman Old Style" w:hAnsi="Bookman Old Style"/>
                      <w:i/>
                      <w:sz w:val="20"/>
                      <w:szCs w:val="20"/>
                    </w:rPr>
                    <w:t>explicit/</w:t>
                  </w:r>
                  <w:r w:rsidRPr="00A22891">
                    <w:rPr>
                      <w:rFonts w:ascii="Bookman Old Style" w:hAnsi="Bookman Old Style"/>
                      <w:i/>
                      <w:spacing w:val="-52"/>
                      <w:sz w:val="20"/>
                      <w:szCs w:val="20"/>
                    </w:rPr>
                    <w:t xml:space="preserve"> </w:t>
                  </w:r>
                  <w:r w:rsidRPr="00A22891">
                    <w:rPr>
                      <w:rFonts w:ascii="Bookman Old Style" w:hAnsi="Bookman Old Style"/>
                      <w:i/>
                      <w:sz w:val="20"/>
                      <w:szCs w:val="20"/>
                    </w:rPr>
                    <w:t>embedded</w:t>
                  </w:r>
                  <w:r w:rsidRPr="00A22891">
                    <w:rPr>
                      <w:rFonts w:ascii="Bookman Old Style" w:hAnsi="Bookman Old Style"/>
                      <w:i/>
                      <w:spacing w:val="-1"/>
                      <w:sz w:val="20"/>
                      <w:szCs w:val="20"/>
                    </w:rPr>
                    <w:t xml:space="preserve"> </w:t>
                  </w:r>
                  <w:r w:rsidRPr="00A22891">
                    <w:rPr>
                      <w:rFonts w:ascii="Bookman Old Style" w:hAnsi="Bookman Old Style"/>
                      <w:i/>
                      <w:sz w:val="20"/>
                      <w:szCs w:val="20"/>
                    </w:rPr>
                    <w:t>option</w:t>
                  </w:r>
                  <w:r w:rsidRPr="00A22891">
                    <w:rPr>
                      <w:rFonts w:ascii="Bookman Old Style" w:hAnsi="Bookman Old Style"/>
                      <w:sz w:val="20"/>
                      <w:szCs w:val="20"/>
                    </w:rPr>
                    <w:t>).</w:t>
                  </w:r>
                </w:p>
              </w:tc>
            </w:tr>
            <w:tr w:rsidR="00A22891" w:rsidRPr="00A22891" w14:paraId="12D569F2" w14:textId="77777777" w:rsidTr="00EB4FBC">
              <w:trPr>
                <w:trHeight w:val="1173"/>
              </w:trPr>
              <w:tc>
                <w:tcPr>
                  <w:tcW w:w="1276" w:type="dxa"/>
                  <w:vMerge/>
                  <w:tcBorders>
                    <w:top w:val="nil"/>
                    <w:left w:val="single" w:sz="8" w:space="0" w:color="000000"/>
                    <w:bottom w:val="single" w:sz="8" w:space="0" w:color="000000"/>
                    <w:right w:val="single" w:sz="4" w:space="0" w:color="000000"/>
                  </w:tcBorders>
                  <w:shd w:val="clear" w:color="auto" w:fill="C4BC96"/>
                </w:tcPr>
                <w:p w14:paraId="59440D60"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970" w:type="dxa"/>
                  <w:gridSpan w:val="6"/>
                  <w:vMerge/>
                  <w:tcBorders>
                    <w:top w:val="nil"/>
                  </w:tcBorders>
                  <w:shd w:val="clear" w:color="auto" w:fill="000000"/>
                </w:tcPr>
                <w:p w14:paraId="22C1FC62"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08" w:type="dxa"/>
                </w:tcPr>
                <w:p w14:paraId="06FC13A5" w14:textId="77777777" w:rsidR="00A22891" w:rsidRPr="00A22891" w:rsidRDefault="00A22891" w:rsidP="00A22891">
                  <w:pPr>
                    <w:framePr w:hSpace="180" w:wrap="around" w:vAnchor="text" w:hAnchor="text" w:y="1"/>
                    <w:spacing w:line="271" w:lineRule="exact"/>
                    <w:ind w:left="100" w:right="81"/>
                    <w:suppressOverlap/>
                    <w:jc w:val="center"/>
                    <w:rPr>
                      <w:rFonts w:ascii="Bookman Old Style" w:hAnsi="Bookman Old Style"/>
                      <w:sz w:val="20"/>
                      <w:szCs w:val="20"/>
                    </w:rPr>
                  </w:pPr>
                  <w:r w:rsidRPr="00A22891">
                    <w:rPr>
                      <w:rFonts w:ascii="Bookman Old Style" w:hAnsi="Bookman Old Style"/>
                      <w:sz w:val="20"/>
                      <w:szCs w:val="20"/>
                    </w:rPr>
                    <w:t>3.</w:t>
                  </w:r>
                </w:p>
              </w:tc>
              <w:tc>
                <w:tcPr>
                  <w:tcW w:w="2558" w:type="dxa"/>
                  <w:tcBorders>
                    <w:right w:val="single" w:sz="8" w:space="0" w:color="000000"/>
                  </w:tcBorders>
                </w:tcPr>
                <w:p w14:paraId="0F8A64D4" w14:textId="77777777" w:rsidR="00A22891" w:rsidRPr="00A22891" w:rsidRDefault="00A22891" w:rsidP="00A22891">
                  <w:pPr>
                    <w:framePr w:hSpace="180" w:wrap="around" w:vAnchor="text" w:hAnchor="text" w:y="1"/>
                    <w:spacing w:line="271" w:lineRule="exact"/>
                    <w:ind w:left="102"/>
                    <w:suppressOverlap/>
                    <w:jc w:val="both"/>
                    <w:rPr>
                      <w:rFonts w:ascii="Bookman Old Style" w:hAnsi="Bookman Old Style"/>
                      <w:sz w:val="20"/>
                      <w:szCs w:val="20"/>
                    </w:rPr>
                  </w:pPr>
                  <w:r w:rsidRPr="00A22891">
                    <w:rPr>
                      <w:rFonts w:ascii="Bookman Old Style" w:hAnsi="Bookman Old Style"/>
                      <w:sz w:val="20"/>
                      <w:szCs w:val="20"/>
                    </w:rPr>
                    <w:t>P</w:t>
                  </w:r>
                  <w:r w:rsidRPr="00A22891">
                    <w:rPr>
                      <w:rFonts w:ascii="Bookman Old Style" w:hAnsi="Bookman Old Style"/>
                      <w:sz w:val="20"/>
                      <w:szCs w:val="20"/>
                      <w:lang w:val="en-US"/>
                    </w:rPr>
                    <w:t>embiayaan</w:t>
                  </w:r>
                  <w:r w:rsidRPr="00A22891">
                    <w:rPr>
                      <w:rFonts w:ascii="Bookman Old Style" w:hAnsi="Bookman Old Style"/>
                      <w:spacing w:val="6"/>
                      <w:sz w:val="20"/>
                      <w:szCs w:val="20"/>
                    </w:rPr>
                    <w:t xml:space="preserve"> </w:t>
                  </w:r>
                  <w:r w:rsidRPr="00A22891">
                    <w:rPr>
                      <w:rFonts w:ascii="Bookman Old Style" w:hAnsi="Bookman Old Style"/>
                      <w:sz w:val="20"/>
                      <w:szCs w:val="20"/>
                    </w:rPr>
                    <w:t>yang</w:t>
                  </w:r>
                  <w:r w:rsidRPr="00A22891">
                    <w:rPr>
                      <w:rFonts w:ascii="Bookman Old Style" w:hAnsi="Bookman Old Style"/>
                      <w:spacing w:val="6"/>
                      <w:sz w:val="20"/>
                      <w:szCs w:val="20"/>
                    </w:rPr>
                    <w:t xml:space="preserve"> </w:t>
                  </w:r>
                  <w:r w:rsidRPr="00A22891">
                    <w:rPr>
                      <w:rFonts w:ascii="Bookman Old Style" w:hAnsi="Bookman Old Style"/>
                      <w:sz w:val="20"/>
                      <w:szCs w:val="20"/>
                    </w:rPr>
                    <w:t>diterima</w:t>
                  </w:r>
                  <w:r w:rsidRPr="00A22891">
                    <w:rPr>
                      <w:rFonts w:ascii="Bookman Old Style" w:hAnsi="Bookman Old Style"/>
                      <w:spacing w:val="6"/>
                      <w:sz w:val="20"/>
                      <w:szCs w:val="20"/>
                    </w:rPr>
                    <w:t xml:space="preserve"> </w:t>
                  </w:r>
                  <w:r w:rsidRPr="00A22891">
                    <w:rPr>
                      <w:rFonts w:ascii="Bookman Old Style" w:hAnsi="Bookman Old Style"/>
                      <w:sz w:val="20"/>
                      <w:szCs w:val="20"/>
                    </w:rPr>
                    <w:t>dan</w:t>
                  </w:r>
                </w:p>
                <w:p w14:paraId="4B4AE238" w14:textId="77777777" w:rsidR="00A22891" w:rsidRPr="00A22891" w:rsidRDefault="00A22891" w:rsidP="00A22891">
                  <w:pPr>
                    <w:framePr w:hSpace="180" w:wrap="around" w:vAnchor="text" w:hAnchor="text" w:y="1"/>
                    <w:ind w:left="102" w:right="87"/>
                    <w:suppressOverlap/>
                    <w:jc w:val="both"/>
                    <w:rPr>
                      <w:rFonts w:ascii="Bookman Old Style" w:hAnsi="Bookman Old Style"/>
                      <w:sz w:val="20"/>
                      <w:szCs w:val="20"/>
                    </w:rPr>
                  </w:pPr>
                  <w:r w:rsidRPr="00A22891">
                    <w:rPr>
                      <w:rFonts w:ascii="Bookman Old Style" w:hAnsi="Bookman Old Style"/>
                      <w:sz w:val="20"/>
                      <w:szCs w:val="20"/>
                    </w:rPr>
                    <w:t>liabilitas</w:t>
                  </w:r>
                  <w:r w:rsidRPr="00A22891">
                    <w:rPr>
                      <w:rFonts w:ascii="Bookman Old Style" w:hAnsi="Bookman Old Style"/>
                      <w:spacing w:val="1"/>
                      <w:sz w:val="20"/>
                      <w:szCs w:val="20"/>
                    </w:rPr>
                    <w:t xml:space="preserve"> </w:t>
                  </w:r>
                  <w:r w:rsidRPr="00A22891">
                    <w:rPr>
                      <w:rFonts w:ascii="Bookman Old Style" w:hAnsi="Bookman Old Style"/>
                      <w:sz w:val="20"/>
                      <w:szCs w:val="20"/>
                    </w:rPr>
                    <w:t>dengan</w:t>
                  </w:r>
                  <w:r w:rsidRPr="00A22891">
                    <w:rPr>
                      <w:rFonts w:ascii="Bookman Old Style" w:hAnsi="Bookman Old Style"/>
                      <w:spacing w:val="55"/>
                      <w:sz w:val="20"/>
                      <w:szCs w:val="20"/>
                    </w:rPr>
                    <w:t xml:space="preserve"> </w:t>
                  </w:r>
                  <w:r w:rsidRPr="00A22891">
                    <w:rPr>
                      <w:rFonts w:ascii="Bookman Old Style" w:hAnsi="Bookman Old Style"/>
                      <w:sz w:val="20"/>
                      <w:szCs w:val="20"/>
                    </w:rPr>
                    <w:t>agunan</w:t>
                  </w:r>
                  <w:r w:rsidRPr="00A22891">
                    <w:rPr>
                      <w:rFonts w:ascii="Bookman Old Style" w:hAnsi="Bookman Old Style"/>
                      <w:spacing w:val="1"/>
                      <w:sz w:val="20"/>
                      <w:szCs w:val="20"/>
                    </w:rPr>
                    <w:t xml:space="preserve"> </w:t>
                  </w:r>
                  <w:r w:rsidRPr="00A22891">
                    <w:rPr>
                      <w:rFonts w:ascii="Bookman Old Style" w:hAnsi="Bookman Old Style"/>
                      <w:sz w:val="20"/>
                      <w:szCs w:val="20"/>
                    </w:rPr>
                    <w:t>dan</w:t>
                  </w:r>
                  <w:r w:rsidRPr="00A22891">
                    <w:rPr>
                      <w:rFonts w:ascii="Bookman Old Style" w:hAnsi="Bookman Old Style"/>
                      <w:spacing w:val="1"/>
                      <w:sz w:val="20"/>
                      <w:szCs w:val="20"/>
                    </w:rPr>
                    <w:t xml:space="preserve"> </w:t>
                  </w:r>
                  <w:r w:rsidRPr="00A22891">
                    <w:rPr>
                      <w:rFonts w:ascii="Bookman Old Style" w:hAnsi="Bookman Old Style"/>
                      <w:sz w:val="20"/>
                      <w:szCs w:val="20"/>
                    </w:rPr>
                    <w:t>tanpa</w:t>
                  </w:r>
                  <w:r w:rsidRPr="00A22891">
                    <w:rPr>
                      <w:rFonts w:ascii="Bookman Old Style" w:hAnsi="Bookman Old Style"/>
                      <w:spacing w:val="55"/>
                      <w:sz w:val="20"/>
                      <w:szCs w:val="20"/>
                    </w:rPr>
                    <w:t xml:space="preserve"> </w:t>
                  </w:r>
                  <w:r w:rsidRPr="00A22891">
                    <w:rPr>
                      <w:rFonts w:ascii="Bookman Old Style" w:hAnsi="Bookman Old Style"/>
                      <w:sz w:val="20"/>
                      <w:szCs w:val="20"/>
                    </w:rPr>
                    <w:t>agunan</w:t>
                  </w:r>
                  <w:r w:rsidRPr="00A22891">
                    <w:rPr>
                      <w:rFonts w:ascii="Bookman Old Style" w:hAnsi="Bookman Old Style"/>
                      <w:spacing w:val="-52"/>
                      <w:sz w:val="20"/>
                      <w:szCs w:val="20"/>
                    </w:rPr>
                    <w:t xml:space="preserve"> </w:t>
                  </w:r>
                  <w:r w:rsidRPr="00A22891">
                    <w:rPr>
                      <w:rFonts w:ascii="Bookman Old Style" w:hAnsi="Bookman Old Style"/>
                      <w:sz w:val="20"/>
                      <w:szCs w:val="20"/>
                    </w:rPr>
                    <w:t>(termasuk</w:t>
                  </w:r>
                  <w:r w:rsidRPr="00A22891">
                    <w:rPr>
                      <w:rFonts w:ascii="Bookman Old Style" w:hAnsi="Bookman Old Style"/>
                      <w:spacing w:val="-2"/>
                      <w:sz w:val="20"/>
                      <w:szCs w:val="20"/>
                    </w:rPr>
                    <w:t xml:space="preserve"> </w:t>
                  </w:r>
                  <w:r w:rsidRPr="00A22891">
                    <w:rPr>
                      <w:rFonts w:ascii="Bookman Old Style" w:hAnsi="Bookman Old Style"/>
                      <w:sz w:val="20"/>
                      <w:szCs w:val="20"/>
                    </w:rPr>
                    <w:t>deposito).</w:t>
                  </w:r>
                </w:p>
              </w:tc>
            </w:tr>
            <w:tr w:rsidR="00A22891" w:rsidRPr="00A22891" w14:paraId="7F362354" w14:textId="77777777" w:rsidTr="00EB4FBC">
              <w:trPr>
                <w:trHeight w:val="1734"/>
              </w:trPr>
              <w:tc>
                <w:tcPr>
                  <w:tcW w:w="1276" w:type="dxa"/>
                  <w:vMerge/>
                  <w:tcBorders>
                    <w:top w:val="nil"/>
                    <w:left w:val="single" w:sz="8" w:space="0" w:color="000000"/>
                    <w:bottom w:val="single" w:sz="8" w:space="0" w:color="000000"/>
                    <w:right w:val="single" w:sz="4" w:space="0" w:color="000000"/>
                  </w:tcBorders>
                  <w:shd w:val="clear" w:color="auto" w:fill="C4BC96"/>
                </w:tcPr>
                <w:p w14:paraId="204E1619"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970" w:type="dxa"/>
                  <w:gridSpan w:val="6"/>
                  <w:vMerge/>
                  <w:tcBorders>
                    <w:top w:val="nil"/>
                  </w:tcBorders>
                  <w:shd w:val="clear" w:color="auto" w:fill="000000"/>
                </w:tcPr>
                <w:p w14:paraId="6EB284DC"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408" w:type="dxa"/>
                </w:tcPr>
                <w:p w14:paraId="519FEC93" w14:textId="77777777" w:rsidR="00A22891" w:rsidRPr="00A22891" w:rsidRDefault="00A22891" w:rsidP="00A22891">
                  <w:pPr>
                    <w:framePr w:hSpace="180" w:wrap="around" w:vAnchor="text" w:hAnchor="text" w:y="1"/>
                    <w:spacing w:line="270" w:lineRule="exact"/>
                    <w:ind w:left="100" w:right="81"/>
                    <w:suppressOverlap/>
                    <w:jc w:val="center"/>
                    <w:rPr>
                      <w:rFonts w:ascii="Bookman Old Style" w:hAnsi="Bookman Old Style"/>
                      <w:sz w:val="20"/>
                      <w:szCs w:val="20"/>
                    </w:rPr>
                  </w:pPr>
                  <w:r w:rsidRPr="00A22891">
                    <w:rPr>
                      <w:rFonts w:ascii="Bookman Old Style" w:hAnsi="Bookman Old Style"/>
                      <w:sz w:val="20"/>
                      <w:szCs w:val="20"/>
                    </w:rPr>
                    <w:t>4.</w:t>
                  </w:r>
                </w:p>
              </w:tc>
              <w:tc>
                <w:tcPr>
                  <w:tcW w:w="2558" w:type="dxa"/>
                  <w:tcBorders>
                    <w:right w:val="single" w:sz="8" w:space="0" w:color="000000"/>
                  </w:tcBorders>
                </w:tcPr>
                <w:p w14:paraId="5F41ED36" w14:textId="66BAE797" w:rsidR="00A22891" w:rsidRPr="00EB4FBC" w:rsidRDefault="00A22891" w:rsidP="00EB4FBC">
                  <w:pPr>
                    <w:framePr w:hSpace="180" w:wrap="around" w:vAnchor="text" w:hAnchor="text" w:y="1"/>
                    <w:spacing w:line="270" w:lineRule="exact"/>
                    <w:ind w:left="102"/>
                    <w:suppressOverlap/>
                    <w:jc w:val="both"/>
                    <w:rPr>
                      <w:rFonts w:ascii="Bookman Old Style" w:hAnsi="Bookman Old Style"/>
                      <w:sz w:val="20"/>
                      <w:szCs w:val="20"/>
                    </w:rPr>
                  </w:pPr>
                  <w:r w:rsidRPr="00A22891">
                    <w:rPr>
                      <w:rFonts w:ascii="Bookman Old Style" w:hAnsi="Bookman Old Style"/>
                      <w:sz w:val="20"/>
                      <w:szCs w:val="20"/>
                    </w:rPr>
                    <w:t>Liabilitas</w:t>
                  </w:r>
                  <w:r w:rsidRPr="00A22891">
                    <w:rPr>
                      <w:rFonts w:ascii="Bookman Old Style" w:hAnsi="Bookman Old Style"/>
                      <w:spacing w:val="61"/>
                      <w:sz w:val="20"/>
                      <w:szCs w:val="20"/>
                    </w:rPr>
                    <w:t xml:space="preserve"> </w:t>
                  </w:r>
                  <w:r w:rsidRPr="00A22891">
                    <w:rPr>
                      <w:rFonts w:ascii="Bookman Old Style" w:hAnsi="Bookman Old Style"/>
                      <w:sz w:val="20"/>
                      <w:szCs w:val="20"/>
                    </w:rPr>
                    <w:t xml:space="preserve">pajak  </w:t>
                  </w:r>
                  <w:r w:rsidRPr="00A22891">
                    <w:rPr>
                      <w:rFonts w:ascii="Bookman Old Style" w:hAnsi="Bookman Old Style"/>
                      <w:spacing w:val="5"/>
                      <w:sz w:val="20"/>
                      <w:szCs w:val="20"/>
                    </w:rPr>
                    <w:t xml:space="preserve"> </w:t>
                  </w:r>
                  <w:r w:rsidRPr="00A22891">
                    <w:rPr>
                      <w:rFonts w:ascii="Bookman Old Style" w:hAnsi="Bookman Old Style"/>
                      <w:sz w:val="20"/>
                      <w:szCs w:val="20"/>
                    </w:rPr>
                    <w:t>tangguhan</w:t>
                  </w:r>
                  <w:r w:rsidR="00EB4FBC">
                    <w:rPr>
                      <w:rFonts w:ascii="Bookman Old Style" w:hAnsi="Bookman Old Style"/>
                      <w:sz w:val="20"/>
                      <w:szCs w:val="20"/>
                      <w:lang w:val="en-US"/>
                    </w:rPr>
                    <w:t xml:space="preserve"> </w:t>
                  </w:r>
                  <w:r w:rsidRPr="00A22891">
                    <w:rPr>
                      <w:rFonts w:ascii="Bookman Old Style" w:hAnsi="Bookman Old Style"/>
                      <w:sz w:val="20"/>
                      <w:szCs w:val="20"/>
                    </w:rPr>
                    <w:t>dan</w:t>
                  </w:r>
                  <w:r w:rsidRPr="00A22891">
                    <w:rPr>
                      <w:rFonts w:ascii="Bookman Old Style" w:hAnsi="Bookman Old Style"/>
                      <w:spacing w:val="1"/>
                      <w:sz w:val="20"/>
                      <w:szCs w:val="20"/>
                    </w:rPr>
                    <w:t xml:space="preserve"> </w:t>
                  </w:r>
                  <w:r w:rsidRPr="00A22891">
                    <w:rPr>
                      <w:rFonts w:ascii="Bookman Old Style" w:hAnsi="Bookman Old Style"/>
                      <w:sz w:val="20"/>
                      <w:szCs w:val="20"/>
                    </w:rPr>
                    <w:t>kepentingan</w:t>
                  </w:r>
                  <w:r w:rsidRPr="00A22891">
                    <w:rPr>
                      <w:rFonts w:ascii="Bookman Old Style" w:hAnsi="Bookman Old Style"/>
                      <w:spacing w:val="1"/>
                      <w:sz w:val="20"/>
                      <w:szCs w:val="20"/>
                    </w:rPr>
                    <w:t xml:space="preserve"> </w:t>
                  </w:r>
                  <w:r w:rsidRPr="00A22891">
                    <w:rPr>
                      <w:rFonts w:ascii="Bookman Old Style" w:hAnsi="Bookman Old Style"/>
                      <w:sz w:val="20"/>
                      <w:szCs w:val="20"/>
                    </w:rPr>
                    <w:t>non-</w:t>
                  </w:r>
                  <w:r w:rsidRPr="00A22891">
                    <w:rPr>
                      <w:rFonts w:ascii="Bookman Old Style" w:hAnsi="Bookman Old Style"/>
                      <w:spacing w:val="1"/>
                      <w:sz w:val="20"/>
                      <w:szCs w:val="20"/>
                    </w:rPr>
                    <w:t xml:space="preserve"> </w:t>
                  </w:r>
                  <w:r w:rsidRPr="00A22891">
                    <w:rPr>
                      <w:rFonts w:ascii="Bookman Old Style" w:hAnsi="Bookman Old Style"/>
                      <w:sz w:val="20"/>
                      <w:szCs w:val="20"/>
                    </w:rPr>
                    <w:t>pengendali</w:t>
                  </w:r>
                  <w:r w:rsidRPr="00A22891">
                    <w:rPr>
                      <w:rFonts w:ascii="Bookman Old Style" w:hAnsi="Bookman Old Style"/>
                      <w:spacing w:val="1"/>
                      <w:sz w:val="20"/>
                      <w:szCs w:val="20"/>
                    </w:rPr>
                    <w:t xml:space="preserve"> </w:t>
                  </w:r>
                  <w:r w:rsidRPr="00A22891">
                    <w:rPr>
                      <w:rFonts w:ascii="Bookman Old Style" w:hAnsi="Bookman Old Style"/>
                      <w:sz w:val="20"/>
                      <w:szCs w:val="20"/>
                    </w:rPr>
                    <w:t>(</w:t>
                  </w:r>
                  <w:r w:rsidRPr="00A22891">
                    <w:rPr>
                      <w:rFonts w:ascii="Bookman Old Style" w:hAnsi="Bookman Old Style"/>
                      <w:i/>
                      <w:sz w:val="20"/>
                      <w:szCs w:val="20"/>
                    </w:rPr>
                    <w:t>non-controlling</w:t>
                  </w:r>
                  <w:r w:rsidRPr="00A22891">
                    <w:rPr>
                      <w:rFonts w:ascii="Bookman Old Style" w:hAnsi="Bookman Old Style"/>
                      <w:i/>
                      <w:spacing w:val="-52"/>
                      <w:sz w:val="20"/>
                      <w:szCs w:val="20"/>
                    </w:rPr>
                    <w:t xml:space="preserve"> </w:t>
                  </w:r>
                  <w:r w:rsidRPr="00A22891">
                    <w:rPr>
                      <w:rFonts w:ascii="Bookman Old Style" w:hAnsi="Bookman Old Style"/>
                      <w:i/>
                      <w:sz w:val="20"/>
                      <w:szCs w:val="20"/>
                    </w:rPr>
                    <w:t>interest),</w:t>
                  </w:r>
                  <w:r w:rsidRPr="00A22891">
                    <w:rPr>
                      <w:rFonts w:ascii="Bookman Old Style" w:hAnsi="Bookman Old Style"/>
                      <w:i/>
                      <w:spacing w:val="1"/>
                      <w:sz w:val="20"/>
                      <w:szCs w:val="20"/>
                    </w:rPr>
                    <w:t xml:space="preserve"> </w:t>
                  </w:r>
                  <w:r w:rsidRPr="00A22891">
                    <w:rPr>
                      <w:rFonts w:ascii="Bookman Old Style" w:hAnsi="Bookman Old Style"/>
                      <w:sz w:val="20"/>
                      <w:szCs w:val="20"/>
                    </w:rPr>
                    <w:t>termasuk</w:t>
                  </w:r>
                  <w:r w:rsidRPr="00A22891">
                    <w:rPr>
                      <w:rFonts w:ascii="Bookman Old Style" w:hAnsi="Bookman Old Style"/>
                      <w:spacing w:val="1"/>
                      <w:sz w:val="20"/>
                      <w:szCs w:val="20"/>
                    </w:rPr>
                    <w:t xml:space="preserve"> </w:t>
                  </w:r>
                  <w:r w:rsidRPr="00A22891">
                    <w:rPr>
                      <w:rFonts w:ascii="Bookman Old Style" w:hAnsi="Bookman Old Style"/>
                      <w:sz w:val="20"/>
                      <w:szCs w:val="20"/>
                    </w:rPr>
                    <w:t>yang</w:t>
                  </w:r>
                  <w:r w:rsidRPr="00A22891">
                    <w:rPr>
                      <w:rFonts w:ascii="Bookman Old Style" w:hAnsi="Bookman Old Style"/>
                      <w:spacing w:val="1"/>
                      <w:sz w:val="20"/>
                      <w:szCs w:val="20"/>
                    </w:rPr>
                    <w:t xml:space="preserve"> </w:t>
                  </w:r>
                  <w:r w:rsidRPr="00A22891">
                    <w:rPr>
                      <w:rFonts w:ascii="Bookman Old Style" w:hAnsi="Bookman Old Style"/>
                      <w:sz w:val="20"/>
                      <w:szCs w:val="20"/>
                    </w:rPr>
                    <w:t>bersifat</w:t>
                  </w:r>
                  <w:r w:rsidR="00EB4FBC">
                    <w:rPr>
                      <w:rFonts w:ascii="Bookman Old Style" w:hAnsi="Bookman Old Style"/>
                      <w:sz w:val="20"/>
                      <w:szCs w:val="20"/>
                      <w:lang w:val="en-US"/>
                    </w:rPr>
                    <w:t xml:space="preserve"> </w:t>
                  </w:r>
                  <w:r w:rsidRPr="00A22891">
                    <w:rPr>
                      <w:rFonts w:ascii="Bookman Old Style" w:hAnsi="Bookman Old Style"/>
                      <w:sz w:val="20"/>
                      <w:szCs w:val="20"/>
                    </w:rPr>
                    <w:t>permanen</w:t>
                  </w:r>
                  <w:r w:rsidRPr="00A22891">
                    <w:rPr>
                      <w:rFonts w:ascii="Bookman Old Style" w:hAnsi="Bookman Old Style"/>
                      <w:spacing w:val="-52"/>
                      <w:sz w:val="20"/>
                      <w:szCs w:val="20"/>
                    </w:rPr>
                    <w:t xml:space="preserve"> </w:t>
                  </w:r>
                  <w:r w:rsidRPr="00A22891">
                    <w:rPr>
                      <w:rFonts w:ascii="Bookman Old Style" w:hAnsi="Bookman Old Style"/>
                      <w:sz w:val="20"/>
                      <w:szCs w:val="20"/>
                    </w:rPr>
                    <w:t>(</w:t>
                  </w:r>
                  <w:r w:rsidRPr="00A22891">
                    <w:rPr>
                      <w:rFonts w:ascii="Bookman Old Style" w:hAnsi="Bookman Old Style"/>
                      <w:i/>
                      <w:sz w:val="20"/>
                      <w:szCs w:val="20"/>
                    </w:rPr>
                    <w:t>perpetual).</w:t>
                  </w:r>
                </w:p>
              </w:tc>
            </w:tr>
            <w:tr w:rsidR="00A22891" w:rsidRPr="00A22891" w14:paraId="4580562D" w14:textId="77777777" w:rsidTr="00EB4FBC">
              <w:trPr>
                <w:trHeight w:val="785"/>
              </w:trPr>
              <w:tc>
                <w:tcPr>
                  <w:tcW w:w="1276" w:type="dxa"/>
                  <w:tcBorders>
                    <w:top w:val="single" w:sz="8" w:space="0" w:color="000000"/>
                    <w:left w:val="single" w:sz="8" w:space="0" w:color="000000"/>
                    <w:bottom w:val="single" w:sz="4" w:space="0" w:color="000000"/>
                    <w:right w:val="single" w:sz="8" w:space="0" w:color="000000"/>
                  </w:tcBorders>
                  <w:shd w:val="clear" w:color="auto" w:fill="C4BC96"/>
                </w:tcPr>
                <w:p w14:paraId="5AF6513D" w14:textId="77777777" w:rsidR="00A22891" w:rsidRPr="00A22891" w:rsidRDefault="00A22891" w:rsidP="00A22891">
                  <w:pPr>
                    <w:framePr w:hSpace="180" w:wrap="around" w:vAnchor="text" w:hAnchor="text" w:y="1"/>
                    <w:suppressOverlap/>
                    <w:rPr>
                      <w:rFonts w:ascii="Bookman Old Style" w:hAnsi="Bookman Old Style"/>
                      <w:sz w:val="20"/>
                      <w:szCs w:val="20"/>
                    </w:rPr>
                  </w:pPr>
                </w:p>
                <w:p w14:paraId="36977797" w14:textId="77777777" w:rsidR="00A22891" w:rsidRPr="00A22891" w:rsidRDefault="00A22891" w:rsidP="00A22891">
                  <w:pPr>
                    <w:framePr w:hSpace="180" w:wrap="around" w:vAnchor="text" w:hAnchor="text" w:y="1"/>
                    <w:ind w:left="227" w:right="205"/>
                    <w:suppressOverlap/>
                    <w:jc w:val="center"/>
                    <w:rPr>
                      <w:rFonts w:ascii="Bookman Old Style" w:hAnsi="Bookman Old Style"/>
                      <w:b/>
                      <w:sz w:val="20"/>
                      <w:szCs w:val="20"/>
                    </w:rPr>
                  </w:pPr>
                  <w:r w:rsidRPr="00A22891">
                    <w:rPr>
                      <w:rFonts w:ascii="Bookman Old Style" w:hAnsi="Bookman Old Style"/>
                      <w:b/>
                      <w:sz w:val="20"/>
                      <w:szCs w:val="20"/>
                    </w:rPr>
                    <w:t>95%</w:t>
                  </w:r>
                </w:p>
              </w:tc>
              <w:tc>
                <w:tcPr>
                  <w:tcW w:w="4970" w:type="dxa"/>
                  <w:gridSpan w:val="6"/>
                  <w:tcBorders>
                    <w:top w:val="single" w:sz="8" w:space="0" w:color="000000"/>
                    <w:left w:val="single" w:sz="8" w:space="0" w:color="000000"/>
                    <w:bottom w:val="single" w:sz="8" w:space="0" w:color="000000"/>
                    <w:right w:val="single" w:sz="8" w:space="0" w:color="000000"/>
                  </w:tcBorders>
                </w:tcPr>
                <w:p w14:paraId="2FEC0D82" w14:textId="3AC18035" w:rsidR="00A22891" w:rsidRPr="00A22891" w:rsidRDefault="00A22891" w:rsidP="00EB4FBC">
                  <w:pPr>
                    <w:framePr w:hSpace="180" w:wrap="around" w:vAnchor="text" w:hAnchor="text" w:y="1"/>
                    <w:spacing w:after="0" w:line="240" w:lineRule="auto"/>
                    <w:ind w:left="505"/>
                    <w:suppressOverlap/>
                    <w:rPr>
                      <w:rFonts w:ascii="Bookman Old Style" w:hAnsi="Bookman Old Style"/>
                      <w:sz w:val="20"/>
                      <w:szCs w:val="20"/>
                    </w:rPr>
                  </w:pPr>
                  <w:r w:rsidRPr="00A22891">
                    <w:rPr>
                      <w:rFonts w:ascii="Bookman Old Style" w:hAnsi="Bookman Old Style"/>
                      <w:sz w:val="20"/>
                      <w:szCs w:val="20"/>
                      <w:lang w:val="en-US"/>
                    </w:rPr>
                    <w:t>Pendanaan</w:t>
                  </w:r>
                  <w:r w:rsidRPr="00A22891">
                    <w:rPr>
                      <w:rFonts w:ascii="Bookman Old Style" w:hAnsi="Bookman Old Style"/>
                      <w:spacing w:val="49"/>
                      <w:sz w:val="20"/>
                      <w:szCs w:val="20"/>
                    </w:rPr>
                    <w:t xml:space="preserve"> </w:t>
                  </w:r>
                  <w:r w:rsidRPr="00A22891">
                    <w:rPr>
                      <w:rFonts w:ascii="Bookman Old Style" w:hAnsi="Bookman Old Style"/>
                      <w:sz w:val="20"/>
                      <w:szCs w:val="20"/>
                    </w:rPr>
                    <w:t>stabil</w:t>
                  </w:r>
                  <w:r w:rsidRPr="00A22891">
                    <w:rPr>
                      <w:rFonts w:ascii="Bookman Old Style" w:hAnsi="Bookman Old Style"/>
                      <w:spacing w:val="48"/>
                      <w:sz w:val="20"/>
                      <w:szCs w:val="20"/>
                    </w:rPr>
                    <w:t xml:space="preserve"> </w:t>
                  </w:r>
                  <w:r w:rsidRPr="00A22891">
                    <w:rPr>
                      <w:rFonts w:ascii="Bookman Old Style" w:hAnsi="Bookman Old Style"/>
                      <w:sz w:val="20"/>
                      <w:szCs w:val="20"/>
                    </w:rPr>
                    <w:t>dari</w:t>
                  </w:r>
                  <w:r w:rsidRPr="00A22891">
                    <w:rPr>
                      <w:rFonts w:ascii="Bookman Old Style" w:hAnsi="Bookman Old Style"/>
                      <w:spacing w:val="48"/>
                      <w:sz w:val="20"/>
                      <w:szCs w:val="20"/>
                    </w:rPr>
                    <w:t xml:space="preserve"> </w:t>
                  </w:r>
                  <w:r w:rsidRPr="00A22891">
                    <w:rPr>
                      <w:rFonts w:ascii="Bookman Old Style" w:hAnsi="Bookman Old Style"/>
                      <w:sz w:val="20"/>
                      <w:szCs w:val="20"/>
                    </w:rPr>
                    <w:t>nasabah</w:t>
                  </w:r>
                  <w:r w:rsidRPr="00A22891">
                    <w:rPr>
                      <w:rFonts w:ascii="Bookman Old Style" w:hAnsi="Bookman Old Style"/>
                      <w:spacing w:val="48"/>
                      <w:sz w:val="20"/>
                      <w:szCs w:val="20"/>
                    </w:rPr>
                    <w:t xml:space="preserve"> </w:t>
                  </w:r>
                  <w:r w:rsidRPr="00A22891">
                    <w:rPr>
                      <w:rFonts w:ascii="Bookman Old Style" w:hAnsi="Bookman Old Style"/>
                      <w:sz w:val="20"/>
                      <w:szCs w:val="20"/>
                    </w:rPr>
                    <w:t>perorangan</w:t>
                  </w:r>
                  <w:r w:rsidRPr="00A22891">
                    <w:rPr>
                      <w:rFonts w:ascii="Bookman Old Style" w:hAnsi="Bookman Old Style"/>
                      <w:spacing w:val="49"/>
                      <w:sz w:val="20"/>
                      <w:szCs w:val="20"/>
                    </w:rPr>
                    <w:t xml:space="preserve"> </w:t>
                  </w:r>
                  <w:r w:rsidRPr="00A22891">
                    <w:rPr>
                      <w:rFonts w:ascii="Bookman Old Style" w:hAnsi="Bookman Old Style"/>
                      <w:sz w:val="20"/>
                      <w:szCs w:val="20"/>
                    </w:rPr>
                    <w:t>dan</w:t>
                  </w:r>
                  <w:r w:rsidRPr="00A22891">
                    <w:rPr>
                      <w:rFonts w:ascii="Bookman Old Style" w:hAnsi="Bookman Old Style"/>
                      <w:spacing w:val="-52"/>
                      <w:sz w:val="20"/>
                      <w:szCs w:val="20"/>
                    </w:rPr>
                    <w:t xml:space="preserve"> </w:t>
                  </w:r>
                  <w:r w:rsidRPr="00A22891">
                    <w:rPr>
                      <w:rFonts w:ascii="Bookman Old Style" w:hAnsi="Bookman Old Style"/>
                      <w:sz w:val="20"/>
                      <w:szCs w:val="20"/>
                    </w:rPr>
                    <w:t>Pendanaan</w:t>
                  </w:r>
                  <w:r w:rsidRPr="00A22891">
                    <w:rPr>
                      <w:rFonts w:ascii="Bookman Old Style" w:hAnsi="Bookman Old Style"/>
                      <w:spacing w:val="9"/>
                      <w:sz w:val="20"/>
                      <w:szCs w:val="20"/>
                    </w:rPr>
                    <w:t xml:space="preserve"> </w:t>
                  </w:r>
                  <w:r w:rsidRPr="00A22891">
                    <w:rPr>
                      <w:rFonts w:ascii="Bookman Old Style" w:hAnsi="Bookman Old Style"/>
                      <w:sz w:val="20"/>
                      <w:szCs w:val="20"/>
                    </w:rPr>
                    <w:t>stabil</w:t>
                  </w:r>
                  <w:r w:rsidRPr="00A22891">
                    <w:rPr>
                      <w:rFonts w:ascii="Bookman Old Style" w:hAnsi="Bookman Old Style"/>
                      <w:spacing w:val="8"/>
                      <w:sz w:val="20"/>
                      <w:szCs w:val="20"/>
                    </w:rPr>
                    <w:t xml:space="preserve"> </w:t>
                  </w:r>
                  <w:r w:rsidRPr="00A22891">
                    <w:rPr>
                      <w:rFonts w:ascii="Bookman Old Style" w:hAnsi="Bookman Old Style"/>
                      <w:sz w:val="20"/>
                      <w:szCs w:val="20"/>
                    </w:rPr>
                    <w:t>dari</w:t>
                  </w:r>
                  <w:r w:rsidRPr="00A22891">
                    <w:rPr>
                      <w:rFonts w:ascii="Bookman Old Style" w:hAnsi="Bookman Old Style"/>
                      <w:spacing w:val="7"/>
                      <w:sz w:val="20"/>
                      <w:szCs w:val="20"/>
                    </w:rPr>
                    <w:t xml:space="preserve"> </w:t>
                  </w:r>
                  <w:r w:rsidRPr="00A22891">
                    <w:rPr>
                      <w:rFonts w:ascii="Bookman Old Style" w:hAnsi="Bookman Old Style"/>
                      <w:sz w:val="20"/>
                      <w:szCs w:val="20"/>
                    </w:rPr>
                    <w:t>nasabah</w:t>
                  </w:r>
                  <w:r w:rsidRPr="00A22891">
                    <w:rPr>
                      <w:rFonts w:ascii="Bookman Old Style" w:hAnsi="Bookman Old Style"/>
                      <w:spacing w:val="9"/>
                      <w:sz w:val="20"/>
                      <w:szCs w:val="20"/>
                    </w:rPr>
                    <w:t xml:space="preserve"> </w:t>
                  </w:r>
                  <w:r w:rsidRPr="00A22891">
                    <w:rPr>
                      <w:rFonts w:ascii="Bookman Old Style" w:hAnsi="Bookman Old Style"/>
                      <w:sz w:val="20"/>
                      <w:szCs w:val="20"/>
                    </w:rPr>
                    <w:t>usaha</w:t>
                  </w:r>
                  <w:r w:rsidRPr="00A22891">
                    <w:rPr>
                      <w:rFonts w:ascii="Bookman Old Style" w:hAnsi="Bookman Old Style"/>
                      <w:spacing w:val="8"/>
                      <w:sz w:val="20"/>
                      <w:szCs w:val="20"/>
                    </w:rPr>
                    <w:t xml:space="preserve"> </w:t>
                  </w:r>
                  <w:r w:rsidRPr="00A22891">
                    <w:rPr>
                      <w:rFonts w:ascii="Bookman Old Style" w:hAnsi="Bookman Old Style"/>
                      <w:sz w:val="20"/>
                      <w:szCs w:val="20"/>
                    </w:rPr>
                    <w:t>mikro</w:t>
                  </w:r>
                  <w:r w:rsidRPr="00A22891">
                    <w:rPr>
                      <w:rFonts w:ascii="Bookman Old Style" w:hAnsi="Bookman Old Style"/>
                      <w:spacing w:val="8"/>
                      <w:sz w:val="20"/>
                      <w:szCs w:val="20"/>
                    </w:rPr>
                    <w:t xml:space="preserve"> </w:t>
                  </w:r>
                  <w:r w:rsidRPr="00A22891">
                    <w:rPr>
                      <w:rFonts w:ascii="Bookman Old Style" w:hAnsi="Bookman Old Style"/>
                      <w:sz w:val="20"/>
                      <w:szCs w:val="20"/>
                    </w:rPr>
                    <w:t>dan</w:t>
                  </w:r>
                  <w:r w:rsidR="00EB4FBC">
                    <w:rPr>
                      <w:rFonts w:ascii="Bookman Old Style" w:hAnsi="Bookman Old Style"/>
                      <w:sz w:val="20"/>
                      <w:szCs w:val="20"/>
                      <w:lang w:val="en-US"/>
                    </w:rPr>
                    <w:t xml:space="preserve"> </w:t>
                  </w:r>
                  <w:r w:rsidRPr="00A22891">
                    <w:rPr>
                      <w:rFonts w:ascii="Bookman Old Style" w:hAnsi="Bookman Old Style"/>
                      <w:sz w:val="20"/>
                      <w:szCs w:val="20"/>
                    </w:rPr>
                    <w:t>usaha</w:t>
                  </w:r>
                  <w:r w:rsidRPr="00A22891">
                    <w:rPr>
                      <w:rFonts w:ascii="Bookman Old Style" w:hAnsi="Bookman Old Style"/>
                      <w:spacing w:val="-1"/>
                      <w:sz w:val="20"/>
                      <w:szCs w:val="20"/>
                    </w:rPr>
                    <w:t xml:space="preserve"> </w:t>
                  </w:r>
                  <w:r w:rsidRPr="00A22891">
                    <w:rPr>
                      <w:rFonts w:ascii="Bookman Old Style" w:hAnsi="Bookman Old Style"/>
                      <w:sz w:val="20"/>
                      <w:szCs w:val="20"/>
                    </w:rPr>
                    <w:t>kecil.</w:t>
                  </w:r>
                </w:p>
              </w:tc>
              <w:tc>
                <w:tcPr>
                  <w:tcW w:w="408" w:type="dxa"/>
                  <w:vMerge w:val="restart"/>
                  <w:shd w:val="clear" w:color="auto" w:fill="000000"/>
                </w:tcPr>
                <w:p w14:paraId="0DCEF4BE"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2558" w:type="dxa"/>
                  <w:vMerge w:val="restart"/>
                  <w:shd w:val="clear" w:color="auto" w:fill="000000"/>
                </w:tcPr>
                <w:p w14:paraId="578FDF8F"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19656D53" w14:textId="77777777" w:rsidTr="00EB4FBC">
              <w:trPr>
                <w:trHeight w:val="292"/>
              </w:trPr>
              <w:tc>
                <w:tcPr>
                  <w:tcW w:w="1276" w:type="dxa"/>
                  <w:tcBorders>
                    <w:top w:val="single" w:sz="4" w:space="0" w:color="000000"/>
                    <w:left w:val="single" w:sz="8" w:space="0" w:color="000000"/>
                    <w:bottom w:val="single" w:sz="4" w:space="0" w:color="000000"/>
                    <w:right w:val="single" w:sz="8" w:space="0" w:color="000000"/>
                  </w:tcBorders>
                  <w:shd w:val="clear" w:color="auto" w:fill="C4BC96"/>
                </w:tcPr>
                <w:p w14:paraId="6776E565"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r w:rsidRPr="00A22891">
                    <w:rPr>
                      <w:rFonts w:ascii="Bookman Old Style" w:hAnsi="Bookman Old Style"/>
                      <w:b/>
                      <w:sz w:val="20"/>
                      <w:szCs w:val="20"/>
                    </w:rPr>
                    <w:t>90%</w:t>
                  </w:r>
                </w:p>
              </w:tc>
              <w:tc>
                <w:tcPr>
                  <w:tcW w:w="4970" w:type="dxa"/>
                  <w:gridSpan w:val="6"/>
                  <w:tcBorders>
                    <w:top w:val="single" w:sz="8" w:space="0" w:color="000000"/>
                    <w:left w:val="single" w:sz="8" w:space="0" w:color="000000"/>
                    <w:bottom w:val="single" w:sz="4" w:space="0" w:color="auto"/>
                    <w:right w:val="single" w:sz="8" w:space="0" w:color="000000"/>
                  </w:tcBorders>
                </w:tcPr>
                <w:p w14:paraId="7DEA205D" w14:textId="78574E76" w:rsidR="00A22891" w:rsidRPr="00EB4FBC" w:rsidRDefault="00A22891" w:rsidP="00EB4FBC">
                  <w:pPr>
                    <w:framePr w:hSpace="180" w:wrap="around" w:vAnchor="text" w:hAnchor="text" w:y="1"/>
                    <w:spacing w:after="0" w:line="240" w:lineRule="auto"/>
                    <w:ind w:left="505"/>
                    <w:suppressOverlap/>
                    <w:rPr>
                      <w:rFonts w:ascii="Bookman Old Style" w:hAnsi="Bookman Old Style"/>
                      <w:sz w:val="20"/>
                      <w:szCs w:val="20"/>
                    </w:rPr>
                  </w:pPr>
                  <w:r w:rsidRPr="00A22891">
                    <w:rPr>
                      <w:rFonts w:ascii="Bookman Old Style" w:hAnsi="Bookman Old Style"/>
                      <w:sz w:val="20"/>
                      <w:szCs w:val="20"/>
                      <w:lang w:val="en-US"/>
                    </w:rPr>
                    <w:t>Pendanaan</w:t>
                  </w:r>
                  <w:r w:rsidRPr="00A22891">
                    <w:rPr>
                      <w:rFonts w:ascii="Bookman Old Style" w:hAnsi="Bookman Old Style"/>
                      <w:sz w:val="20"/>
                      <w:szCs w:val="20"/>
                    </w:rPr>
                    <w:tab/>
                    <w:t>kurang</w:t>
                  </w:r>
                  <w:r w:rsidRPr="00A22891">
                    <w:rPr>
                      <w:rFonts w:ascii="Bookman Old Style" w:hAnsi="Bookman Old Style"/>
                      <w:sz w:val="20"/>
                      <w:szCs w:val="20"/>
                    </w:rPr>
                    <w:tab/>
                    <w:t>stabil</w:t>
                  </w:r>
                  <w:r w:rsidRPr="00A22891">
                    <w:rPr>
                      <w:rFonts w:ascii="Bookman Old Style" w:hAnsi="Bookman Old Style"/>
                      <w:sz w:val="20"/>
                      <w:szCs w:val="20"/>
                    </w:rPr>
                    <w:tab/>
                    <w:t>dari</w:t>
                  </w:r>
                  <w:r w:rsidR="00EB4FBC">
                    <w:rPr>
                      <w:rFonts w:ascii="Bookman Old Style" w:hAnsi="Bookman Old Style"/>
                      <w:sz w:val="20"/>
                      <w:szCs w:val="20"/>
                      <w:lang w:val="en-US"/>
                    </w:rPr>
                    <w:t xml:space="preserve"> </w:t>
                  </w:r>
                  <w:r w:rsidRPr="00A22891">
                    <w:rPr>
                      <w:rFonts w:ascii="Bookman Old Style" w:hAnsi="Bookman Old Style"/>
                      <w:sz w:val="20"/>
                      <w:szCs w:val="20"/>
                    </w:rPr>
                    <w:t>nasabah perorangan dan Pendanaan kurang stabil dari</w:t>
                  </w:r>
                  <w:r w:rsidR="00EB4FBC">
                    <w:rPr>
                      <w:rFonts w:ascii="Bookman Old Style" w:hAnsi="Bookman Old Style"/>
                      <w:sz w:val="20"/>
                      <w:szCs w:val="20"/>
                      <w:lang w:val="en-US"/>
                    </w:rPr>
                    <w:t xml:space="preserve"> </w:t>
                  </w:r>
                  <w:r w:rsidRPr="00A22891">
                    <w:rPr>
                      <w:rFonts w:ascii="Bookman Old Style" w:hAnsi="Bookman Old Style"/>
                      <w:sz w:val="20"/>
                      <w:szCs w:val="20"/>
                    </w:rPr>
                    <w:t>nasabah usaha mikro dan usaha kecil.</w:t>
                  </w:r>
                </w:p>
              </w:tc>
              <w:tc>
                <w:tcPr>
                  <w:tcW w:w="408" w:type="dxa"/>
                  <w:vMerge/>
                  <w:tcBorders>
                    <w:top w:val="nil"/>
                    <w:bottom w:val="nil"/>
                  </w:tcBorders>
                  <w:shd w:val="clear" w:color="auto" w:fill="000000"/>
                </w:tcPr>
                <w:p w14:paraId="19E883B4"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2558" w:type="dxa"/>
                  <w:vMerge/>
                  <w:tcBorders>
                    <w:top w:val="nil"/>
                    <w:bottom w:val="nil"/>
                  </w:tcBorders>
                  <w:shd w:val="clear" w:color="auto" w:fill="000000"/>
                </w:tcPr>
                <w:p w14:paraId="081143DF"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1B6BDF66" w14:textId="77777777" w:rsidTr="00EB4FBC">
              <w:trPr>
                <w:trHeight w:val="252"/>
              </w:trPr>
              <w:tc>
                <w:tcPr>
                  <w:tcW w:w="1276" w:type="dxa"/>
                  <w:vMerge w:val="restart"/>
                  <w:tcBorders>
                    <w:top w:val="single" w:sz="4" w:space="0" w:color="000000"/>
                    <w:left w:val="single" w:sz="8" w:space="0" w:color="000000"/>
                    <w:right w:val="single" w:sz="4" w:space="0" w:color="auto"/>
                  </w:tcBorders>
                  <w:shd w:val="clear" w:color="auto" w:fill="C4BC96"/>
                  <w:vAlign w:val="center"/>
                </w:tcPr>
                <w:p w14:paraId="631FBC2D"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5382FEEF"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637B08F0"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0212D188"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26FD08ED"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544C409E"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0C57DA0C"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2154C060"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4B64D753"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76A56AAF"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p>
                <w:p w14:paraId="42FAAC1E"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r w:rsidRPr="00A22891">
                    <w:rPr>
                      <w:rFonts w:ascii="Bookman Old Style" w:hAnsi="Bookman Old Style"/>
                      <w:b/>
                      <w:sz w:val="20"/>
                      <w:szCs w:val="20"/>
                      <w:lang w:val="en-US"/>
                    </w:rPr>
                    <w:t>50%</w:t>
                  </w:r>
                </w:p>
              </w:tc>
              <w:tc>
                <w:tcPr>
                  <w:tcW w:w="375" w:type="dxa"/>
                  <w:tcBorders>
                    <w:top w:val="single" w:sz="4" w:space="0" w:color="auto"/>
                    <w:left w:val="single" w:sz="4" w:space="0" w:color="auto"/>
                    <w:bottom w:val="single" w:sz="8" w:space="0" w:color="000000"/>
                  </w:tcBorders>
                </w:tcPr>
                <w:p w14:paraId="25A9CE25" w14:textId="77777777" w:rsidR="00A22891" w:rsidRPr="00A22891" w:rsidRDefault="00A22891" w:rsidP="00A22891">
                  <w:pPr>
                    <w:framePr w:hSpace="180" w:wrap="around" w:vAnchor="text" w:hAnchor="text" w:y="1"/>
                    <w:ind w:left="43" w:right="14"/>
                    <w:suppressOverlap/>
                    <w:jc w:val="center"/>
                    <w:rPr>
                      <w:rFonts w:ascii="Bookman Old Style" w:hAnsi="Bookman Old Style"/>
                      <w:sz w:val="20"/>
                      <w:szCs w:val="20"/>
                      <w:lang w:val="en-US"/>
                    </w:rPr>
                  </w:pPr>
                  <w:r w:rsidRPr="00A22891">
                    <w:rPr>
                      <w:rFonts w:ascii="Bookman Old Style" w:hAnsi="Bookman Old Style"/>
                      <w:sz w:val="20"/>
                      <w:szCs w:val="20"/>
                      <w:lang w:val="en-US"/>
                    </w:rPr>
                    <w:lastRenderedPageBreak/>
                    <w:t>1.</w:t>
                  </w:r>
                </w:p>
              </w:tc>
              <w:tc>
                <w:tcPr>
                  <w:tcW w:w="4595" w:type="dxa"/>
                  <w:gridSpan w:val="5"/>
                  <w:tcBorders>
                    <w:top w:val="single" w:sz="4" w:space="0" w:color="auto"/>
                    <w:left w:val="nil"/>
                    <w:bottom w:val="single" w:sz="8" w:space="0" w:color="000000"/>
                    <w:right w:val="single" w:sz="4" w:space="0" w:color="auto"/>
                  </w:tcBorders>
                </w:tcPr>
                <w:p w14:paraId="7E5633B6" w14:textId="77777777" w:rsidR="00A22891" w:rsidRPr="00A22891" w:rsidRDefault="00A22891" w:rsidP="00EB4FBC">
                  <w:pPr>
                    <w:framePr w:hSpace="180" w:wrap="around" w:vAnchor="text" w:hAnchor="text" w:y="1"/>
                    <w:spacing w:after="0" w:line="240" w:lineRule="auto"/>
                    <w:ind w:left="104"/>
                    <w:suppressOverlap/>
                    <w:rPr>
                      <w:rFonts w:ascii="Bookman Old Style" w:hAnsi="Bookman Old Style"/>
                      <w:sz w:val="20"/>
                      <w:szCs w:val="20"/>
                      <w:lang w:val="en-US"/>
                    </w:rPr>
                  </w:pPr>
                  <w:r w:rsidRPr="00A22891">
                    <w:rPr>
                      <w:rFonts w:ascii="Bookman Old Style" w:hAnsi="Bookman Old Style"/>
                      <w:sz w:val="20"/>
                      <w:szCs w:val="20"/>
                      <w:lang w:val="en-US"/>
                    </w:rPr>
                    <w:t>Rekening operasional.</w:t>
                  </w:r>
                </w:p>
              </w:tc>
              <w:tc>
                <w:tcPr>
                  <w:tcW w:w="408" w:type="dxa"/>
                  <w:tcBorders>
                    <w:top w:val="nil"/>
                    <w:left w:val="single" w:sz="4" w:space="0" w:color="auto"/>
                    <w:bottom w:val="nil"/>
                  </w:tcBorders>
                  <w:shd w:val="clear" w:color="auto" w:fill="auto"/>
                </w:tcPr>
                <w:p w14:paraId="4C0AB7E4"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2558" w:type="dxa"/>
                  <w:tcBorders>
                    <w:top w:val="nil"/>
                    <w:bottom w:val="nil"/>
                  </w:tcBorders>
                  <w:shd w:val="clear" w:color="auto" w:fill="auto"/>
                </w:tcPr>
                <w:p w14:paraId="523D7986"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56C0E347" w14:textId="77777777" w:rsidTr="00EB4FBC">
              <w:trPr>
                <w:trHeight w:val="292"/>
              </w:trPr>
              <w:tc>
                <w:tcPr>
                  <w:tcW w:w="1276" w:type="dxa"/>
                  <w:vMerge/>
                  <w:tcBorders>
                    <w:left w:val="single" w:sz="8" w:space="0" w:color="000000"/>
                    <w:right w:val="single" w:sz="4" w:space="0" w:color="auto"/>
                  </w:tcBorders>
                  <w:shd w:val="clear" w:color="auto" w:fill="C4BC96"/>
                </w:tcPr>
                <w:p w14:paraId="14661E1B"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375" w:type="dxa"/>
                  <w:tcBorders>
                    <w:top w:val="single" w:sz="8" w:space="0" w:color="000000"/>
                    <w:left w:val="single" w:sz="4" w:space="0" w:color="auto"/>
                    <w:bottom w:val="single" w:sz="8" w:space="0" w:color="000000"/>
                  </w:tcBorders>
                </w:tcPr>
                <w:p w14:paraId="2C9DA151" w14:textId="77777777" w:rsidR="00A22891" w:rsidRPr="00A22891" w:rsidRDefault="00A22891" w:rsidP="00A22891">
                  <w:pPr>
                    <w:framePr w:hSpace="180" w:wrap="around" w:vAnchor="text" w:hAnchor="text" w:y="1"/>
                    <w:ind w:left="43" w:right="14"/>
                    <w:suppressOverlap/>
                    <w:jc w:val="center"/>
                    <w:rPr>
                      <w:rFonts w:ascii="Bookman Old Style" w:hAnsi="Bookman Old Style"/>
                      <w:sz w:val="20"/>
                      <w:szCs w:val="20"/>
                      <w:lang w:val="en-US"/>
                    </w:rPr>
                  </w:pPr>
                  <w:r w:rsidRPr="00A22891">
                    <w:rPr>
                      <w:rFonts w:ascii="Bookman Old Style" w:hAnsi="Bookman Old Style"/>
                      <w:sz w:val="20"/>
                      <w:szCs w:val="20"/>
                      <w:lang w:val="en-US"/>
                    </w:rPr>
                    <w:t>2.</w:t>
                  </w:r>
                </w:p>
              </w:tc>
              <w:tc>
                <w:tcPr>
                  <w:tcW w:w="4595" w:type="dxa"/>
                  <w:gridSpan w:val="5"/>
                  <w:tcBorders>
                    <w:top w:val="single" w:sz="8" w:space="0" w:color="000000"/>
                    <w:left w:val="nil"/>
                    <w:bottom w:val="single" w:sz="8" w:space="0" w:color="000000"/>
                    <w:right w:val="single" w:sz="4" w:space="0" w:color="auto"/>
                  </w:tcBorders>
                </w:tcPr>
                <w:p w14:paraId="36425A0C" w14:textId="77777777" w:rsidR="00A22891" w:rsidRPr="00A22891" w:rsidRDefault="00A22891" w:rsidP="00EB4FBC">
                  <w:pPr>
                    <w:framePr w:hSpace="180" w:wrap="around" w:vAnchor="text" w:hAnchor="text" w:y="1"/>
                    <w:spacing w:after="0" w:line="240" w:lineRule="auto"/>
                    <w:ind w:left="104"/>
                    <w:suppressOverlap/>
                    <w:jc w:val="both"/>
                    <w:rPr>
                      <w:rFonts w:ascii="Bookman Old Style" w:hAnsi="Bookman Old Style"/>
                      <w:sz w:val="20"/>
                      <w:szCs w:val="20"/>
                    </w:rPr>
                  </w:pPr>
                  <w:r w:rsidRPr="00A22891">
                    <w:rPr>
                      <w:rFonts w:ascii="Bookman Old Style" w:hAnsi="Bookman Old Style"/>
                      <w:sz w:val="20"/>
                      <w:szCs w:val="20"/>
                    </w:rPr>
                    <w:t>Pendanaan dengan agunan dan tanpa agunan yang berasal dari nasabah perusahaan non- keuangan.</w:t>
                  </w:r>
                </w:p>
              </w:tc>
              <w:tc>
                <w:tcPr>
                  <w:tcW w:w="2966" w:type="dxa"/>
                  <w:gridSpan w:val="2"/>
                  <w:tcBorders>
                    <w:top w:val="nil"/>
                    <w:left w:val="single" w:sz="4" w:space="0" w:color="auto"/>
                    <w:bottom w:val="nil"/>
                  </w:tcBorders>
                  <w:shd w:val="clear" w:color="auto" w:fill="000000"/>
                </w:tcPr>
                <w:p w14:paraId="2A854BFD"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42CABC0D" w14:textId="77777777" w:rsidTr="00EB4FBC">
              <w:trPr>
                <w:trHeight w:val="292"/>
              </w:trPr>
              <w:tc>
                <w:tcPr>
                  <w:tcW w:w="1276" w:type="dxa"/>
                  <w:vMerge/>
                  <w:tcBorders>
                    <w:left w:val="single" w:sz="8" w:space="0" w:color="000000"/>
                    <w:right w:val="single" w:sz="4" w:space="0" w:color="auto"/>
                  </w:tcBorders>
                  <w:shd w:val="clear" w:color="auto" w:fill="C4BC96"/>
                </w:tcPr>
                <w:p w14:paraId="40DC07BD"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375" w:type="dxa"/>
                  <w:tcBorders>
                    <w:top w:val="single" w:sz="8" w:space="0" w:color="000000"/>
                    <w:left w:val="single" w:sz="4" w:space="0" w:color="auto"/>
                    <w:bottom w:val="single" w:sz="4" w:space="0" w:color="auto"/>
                  </w:tcBorders>
                </w:tcPr>
                <w:p w14:paraId="5421BB8B" w14:textId="77777777" w:rsidR="00A22891" w:rsidRPr="00A22891" w:rsidRDefault="00A22891" w:rsidP="00A22891">
                  <w:pPr>
                    <w:framePr w:hSpace="180" w:wrap="around" w:vAnchor="text" w:hAnchor="text" w:y="1"/>
                    <w:ind w:left="43" w:right="14"/>
                    <w:suppressOverlap/>
                    <w:jc w:val="center"/>
                    <w:rPr>
                      <w:rFonts w:ascii="Bookman Old Style" w:hAnsi="Bookman Old Style"/>
                      <w:sz w:val="20"/>
                      <w:szCs w:val="20"/>
                      <w:lang w:val="en-US"/>
                    </w:rPr>
                  </w:pPr>
                  <w:r w:rsidRPr="00A22891">
                    <w:rPr>
                      <w:rFonts w:ascii="Bookman Old Style" w:hAnsi="Bookman Old Style"/>
                      <w:sz w:val="20"/>
                      <w:szCs w:val="20"/>
                      <w:lang w:val="en-US"/>
                    </w:rPr>
                    <w:t>3.</w:t>
                  </w:r>
                </w:p>
              </w:tc>
              <w:tc>
                <w:tcPr>
                  <w:tcW w:w="4595" w:type="dxa"/>
                  <w:gridSpan w:val="5"/>
                  <w:tcBorders>
                    <w:top w:val="single" w:sz="8" w:space="0" w:color="000000"/>
                    <w:left w:val="nil"/>
                    <w:bottom w:val="single" w:sz="4" w:space="0" w:color="auto"/>
                    <w:right w:val="single" w:sz="4" w:space="0" w:color="auto"/>
                  </w:tcBorders>
                </w:tcPr>
                <w:p w14:paraId="2D24B431" w14:textId="77777777" w:rsidR="00A22891" w:rsidRPr="00A22891" w:rsidRDefault="00A22891" w:rsidP="00EB4FBC">
                  <w:pPr>
                    <w:framePr w:hSpace="180" w:wrap="around" w:vAnchor="text" w:hAnchor="text" w:y="1"/>
                    <w:spacing w:after="0" w:line="240" w:lineRule="auto"/>
                    <w:ind w:left="104"/>
                    <w:suppressOverlap/>
                    <w:jc w:val="both"/>
                    <w:rPr>
                      <w:rFonts w:ascii="Bookman Old Style" w:hAnsi="Bookman Old Style"/>
                      <w:sz w:val="20"/>
                      <w:szCs w:val="20"/>
                    </w:rPr>
                  </w:pPr>
                  <w:r w:rsidRPr="00A22891">
                    <w:rPr>
                      <w:rFonts w:ascii="Bookman Old Style" w:hAnsi="Bookman Old Style"/>
                      <w:sz w:val="20"/>
                      <w:szCs w:val="20"/>
                    </w:rPr>
                    <w:t>Pendanaan</w:t>
                  </w:r>
                  <w:r w:rsidRPr="00A22891">
                    <w:rPr>
                      <w:rFonts w:ascii="Bookman Old Style" w:hAnsi="Bookman Old Style"/>
                      <w:sz w:val="20"/>
                      <w:szCs w:val="20"/>
                      <w:lang w:val="en-US"/>
                    </w:rPr>
                    <w:t xml:space="preserve"> </w:t>
                  </w:r>
                  <w:r w:rsidRPr="00A22891">
                    <w:rPr>
                      <w:rFonts w:ascii="Bookman Old Style" w:hAnsi="Bookman Old Style"/>
                      <w:sz w:val="20"/>
                      <w:szCs w:val="20"/>
                    </w:rPr>
                    <w:t>dari</w:t>
                  </w:r>
                  <w:r w:rsidRPr="00A22891">
                    <w:rPr>
                      <w:rFonts w:ascii="Bookman Old Style" w:hAnsi="Bookman Old Style"/>
                      <w:sz w:val="20"/>
                      <w:szCs w:val="20"/>
                      <w:lang w:val="en-US"/>
                    </w:rPr>
                    <w:t xml:space="preserve"> </w:t>
                  </w:r>
                  <w:r w:rsidRPr="00A22891">
                    <w:rPr>
                      <w:rFonts w:ascii="Bookman Old Style" w:hAnsi="Bookman Old Style"/>
                      <w:sz w:val="20"/>
                      <w:szCs w:val="20"/>
                    </w:rPr>
                    <w:t>Pemerintah</w:t>
                  </w:r>
                  <w:r w:rsidRPr="00A22891">
                    <w:rPr>
                      <w:rFonts w:ascii="Bookman Old Style" w:hAnsi="Bookman Old Style"/>
                      <w:sz w:val="20"/>
                      <w:szCs w:val="20"/>
                      <w:lang w:val="en-US"/>
                    </w:rPr>
                    <w:t xml:space="preserve"> </w:t>
                  </w:r>
                  <w:r w:rsidRPr="00A22891">
                    <w:rPr>
                      <w:rFonts w:ascii="Bookman Old Style" w:hAnsi="Bookman Old Style"/>
                      <w:sz w:val="20"/>
                      <w:szCs w:val="20"/>
                    </w:rPr>
                    <w:t>Indonesia,</w:t>
                  </w:r>
                  <w:r w:rsidRPr="00A22891">
                    <w:rPr>
                      <w:rFonts w:ascii="Bookman Old Style" w:hAnsi="Bookman Old Style"/>
                      <w:sz w:val="20"/>
                      <w:szCs w:val="20"/>
                      <w:lang w:val="en-US"/>
                    </w:rPr>
                    <w:t xml:space="preserve"> </w:t>
                  </w:r>
                  <w:r w:rsidRPr="00A22891">
                    <w:rPr>
                      <w:rFonts w:ascii="Bookman Old Style" w:hAnsi="Bookman Old Style"/>
                      <w:sz w:val="20"/>
                      <w:szCs w:val="20"/>
                    </w:rPr>
                    <w:t>pemerintah negara lain, entitas sektor publik, dan bank pembangunan multilateral.</w:t>
                  </w:r>
                </w:p>
              </w:tc>
              <w:tc>
                <w:tcPr>
                  <w:tcW w:w="2966" w:type="dxa"/>
                  <w:gridSpan w:val="2"/>
                  <w:vMerge w:val="restart"/>
                  <w:tcBorders>
                    <w:top w:val="nil"/>
                    <w:left w:val="single" w:sz="4" w:space="0" w:color="auto"/>
                  </w:tcBorders>
                  <w:shd w:val="clear" w:color="auto" w:fill="000000"/>
                </w:tcPr>
                <w:p w14:paraId="74217677"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75408E3B" w14:textId="77777777" w:rsidTr="00EB4FBC">
              <w:trPr>
                <w:trHeight w:val="292"/>
              </w:trPr>
              <w:tc>
                <w:tcPr>
                  <w:tcW w:w="1276" w:type="dxa"/>
                  <w:vMerge/>
                  <w:tcBorders>
                    <w:left w:val="single" w:sz="8" w:space="0" w:color="000000"/>
                    <w:right w:val="single" w:sz="8" w:space="0" w:color="000000"/>
                  </w:tcBorders>
                  <w:shd w:val="clear" w:color="auto" w:fill="C4BC96"/>
                </w:tcPr>
                <w:p w14:paraId="769D0C45"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2447" w:type="dxa"/>
                  <w:gridSpan w:val="4"/>
                  <w:tcBorders>
                    <w:top w:val="single" w:sz="4" w:space="0" w:color="auto"/>
                    <w:left w:val="single" w:sz="8" w:space="0" w:color="000000"/>
                    <w:bottom w:val="single" w:sz="8" w:space="0" w:color="000000"/>
                    <w:right w:val="single" w:sz="4" w:space="0" w:color="auto"/>
                  </w:tcBorders>
                  <w:shd w:val="clear" w:color="auto" w:fill="000000" w:themeFill="text1"/>
                </w:tcPr>
                <w:p w14:paraId="01ECB333" w14:textId="77777777" w:rsidR="00A22891" w:rsidRPr="00A22891" w:rsidRDefault="00A22891" w:rsidP="00A22891">
                  <w:pPr>
                    <w:framePr w:hSpace="180" w:wrap="around" w:vAnchor="text" w:hAnchor="text" w:y="1"/>
                    <w:ind w:left="505"/>
                    <w:suppressOverlap/>
                    <w:rPr>
                      <w:rFonts w:ascii="Bookman Old Style" w:hAnsi="Bookman Old Style"/>
                      <w:sz w:val="20"/>
                      <w:szCs w:val="20"/>
                    </w:rPr>
                  </w:pPr>
                </w:p>
              </w:tc>
              <w:tc>
                <w:tcPr>
                  <w:tcW w:w="425" w:type="dxa"/>
                  <w:tcBorders>
                    <w:top w:val="single" w:sz="4" w:space="0" w:color="auto"/>
                    <w:left w:val="single" w:sz="4" w:space="0" w:color="auto"/>
                    <w:bottom w:val="single" w:sz="8" w:space="0" w:color="000000"/>
                  </w:tcBorders>
                </w:tcPr>
                <w:p w14:paraId="70A35004" w14:textId="77777777" w:rsidR="00A22891" w:rsidRPr="00A22891" w:rsidRDefault="00A22891" w:rsidP="00A22891">
                  <w:pPr>
                    <w:framePr w:hSpace="180" w:wrap="around" w:vAnchor="text" w:hAnchor="text" w:y="1"/>
                    <w:ind w:left="7" w:right="-15"/>
                    <w:suppressOverlap/>
                    <w:jc w:val="center"/>
                    <w:rPr>
                      <w:rFonts w:ascii="Bookman Old Style" w:hAnsi="Bookman Old Style"/>
                      <w:sz w:val="20"/>
                      <w:szCs w:val="20"/>
                      <w:lang w:val="en-US"/>
                    </w:rPr>
                  </w:pPr>
                  <w:r w:rsidRPr="00A22891">
                    <w:rPr>
                      <w:rFonts w:ascii="Bookman Old Style" w:hAnsi="Bookman Old Style"/>
                      <w:sz w:val="20"/>
                      <w:szCs w:val="20"/>
                      <w:lang w:val="en-US"/>
                    </w:rPr>
                    <w:t>4.</w:t>
                  </w:r>
                </w:p>
              </w:tc>
              <w:tc>
                <w:tcPr>
                  <w:tcW w:w="2098" w:type="dxa"/>
                  <w:tcBorders>
                    <w:top w:val="single" w:sz="4" w:space="0" w:color="auto"/>
                    <w:left w:val="nil"/>
                    <w:bottom w:val="single" w:sz="8" w:space="0" w:color="000000"/>
                    <w:right w:val="single" w:sz="4" w:space="0" w:color="auto"/>
                  </w:tcBorders>
                </w:tcPr>
                <w:p w14:paraId="444194E7" w14:textId="77777777" w:rsidR="00A22891" w:rsidRPr="00A22891" w:rsidRDefault="00A22891" w:rsidP="00EB4FBC">
                  <w:pPr>
                    <w:framePr w:hSpace="180" w:wrap="around" w:vAnchor="text" w:hAnchor="text" w:y="1"/>
                    <w:spacing w:after="0" w:line="240" w:lineRule="auto"/>
                    <w:ind w:left="146" w:right="136"/>
                    <w:suppressOverlap/>
                    <w:jc w:val="both"/>
                    <w:rPr>
                      <w:rFonts w:ascii="Bookman Old Style" w:hAnsi="Bookman Old Style"/>
                      <w:sz w:val="20"/>
                      <w:szCs w:val="20"/>
                    </w:rPr>
                  </w:pPr>
                  <w:r w:rsidRPr="00A22891">
                    <w:rPr>
                      <w:rFonts w:ascii="Bookman Old Style" w:hAnsi="Bookman Old Style"/>
                      <w:sz w:val="20"/>
                      <w:szCs w:val="20"/>
                    </w:rPr>
                    <w:t>Pendanaan</w:t>
                  </w:r>
                  <w:r w:rsidRPr="00A22891">
                    <w:rPr>
                      <w:rFonts w:ascii="Bookman Old Style" w:hAnsi="Bookman Old Style"/>
                      <w:sz w:val="20"/>
                      <w:szCs w:val="20"/>
                      <w:lang w:val="en-US"/>
                    </w:rPr>
                    <w:t xml:space="preserve"> </w:t>
                  </w:r>
                  <w:r w:rsidRPr="00A22891">
                    <w:rPr>
                      <w:rFonts w:ascii="Bookman Old Style" w:hAnsi="Bookman Old Style"/>
                      <w:sz w:val="20"/>
                      <w:szCs w:val="20"/>
                    </w:rPr>
                    <w:t>dengan agunan dan tanpa agunan lainnya di luar kategori di atas.</w:t>
                  </w:r>
                </w:p>
              </w:tc>
              <w:tc>
                <w:tcPr>
                  <w:tcW w:w="2966" w:type="dxa"/>
                  <w:gridSpan w:val="2"/>
                  <w:vMerge/>
                  <w:tcBorders>
                    <w:left w:val="single" w:sz="4" w:space="0" w:color="auto"/>
                  </w:tcBorders>
                  <w:shd w:val="clear" w:color="auto" w:fill="000000"/>
                </w:tcPr>
                <w:p w14:paraId="22FA3E9B" w14:textId="77777777" w:rsidR="00A22891" w:rsidRPr="00A22891" w:rsidRDefault="00A22891" w:rsidP="00EB4FBC">
                  <w:pPr>
                    <w:framePr w:hSpace="180" w:wrap="around" w:vAnchor="text" w:hAnchor="text" w:y="1"/>
                    <w:spacing w:after="0" w:line="240" w:lineRule="auto"/>
                    <w:suppressOverlap/>
                    <w:rPr>
                      <w:rFonts w:ascii="Bookman Old Style" w:hAnsi="Bookman Old Style"/>
                      <w:sz w:val="20"/>
                      <w:szCs w:val="20"/>
                    </w:rPr>
                  </w:pPr>
                </w:p>
              </w:tc>
            </w:tr>
            <w:tr w:rsidR="00A22891" w:rsidRPr="00A22891" w14:paraId="0EDC74C5" w14:textId="77777777" w:rsidTr="00EB4FBC">
              <w:trPr>
                <w:trHeight w:val="292"/>
              </w:trPr>
              <w:tc>
                <w:tcPr>
                  <w:tcW w:w="1276" w:type="dxa"/>
                  <w:vMerge/>
                  <w:tcBorders>
                    <w:left w:val="single" w:sz="8" w:space="0" w:color="000000"/>
                    <w:right w:val="single" w:sz="8" w:space="0" w:color="000000"/>
                  </w:tcBorders>
                  <w:shd w:val="clear" w:color="auto" w:fill="C4BC96"/>
                </w:tcPr>
                <w:p w14:paraId="489D6A0A"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2447" w:type="dxa"/>
                  <w:gridSpan w:val="4"/>
                  <w:tcBorders>
                    <w:top w:val="single" w:sz="8" w:space="0" w:color="000000"/>
                    <w:left w:val="single" w:sz="8" w:space="0" w:color="000000"/>
                    <w:bottom w:val="single" w:sz="8" w:space="0" w:color="000000"/>
                    <w:right w:val="single" w:sz="4" w:space="0" w:color="auto"/>
                  </w:tcBorders>
                  <w:shd w:val="clear" w:color="auto" w:fill="000000" w:themeFill="text1"/>
                </w:tcPr>
                <w:p w14:paraId="59F9DE2B" w14:textId="77777777" w:rsidR="00A22891" w:rsidRPr="00A22891" w:rsidRDefault="00A22891" w:rsidP="00A22891">
                  <w:pPr>
                    <w:framePr w:hSpace="180" w:wrap="around" w:vAnchor="text" w:hAnchor="text" w:y="1"/>
                    <w:ind w:left="505"/>
                    <w:suppressOverlap/>
                    <w:rPr>
                      <w:rFonts w:ascii="Bookman Old Style" w:hAnsi="Bookman Old Style"/>
                      <w:sz w:val="20"/>
                      <w:szCs w:val="20"/>
                    </w:rPr>
                  </w:pPr>
                </w:p>
              </w:tc>
              <w:tc>
                <w:tcPr>
                  <w:tcW w:w="425" w:type="dxa"/>
                  <w:tcBorders>
                    <w:top w:val="single" w:sz="8" w:space="0" w:color="000000"/>
                    <w:left w:val="single" w:sz="4" w:space="0" w:color="auto"/>
                    <w:bottom w:val="single" w:sz="8" w:space="0" w:color="000000"/>
                  </w:tcBorders>
                </w:tcPr>
                <w:p w14:paraId="61CCFDF9" w14:textId="77777777" w:rsidR="00A22891" w:rsidRPr="00A22891" w:rsidRDefault="00A22891" w:rsidP="00A22891">
                  <w:pPr>
                    <w:framePr w:hSpace="180" w:wrap="around" w:vAnchor="text" w:hAnchor="text" w:y="1"/>
                    <w:ind w:left="7" w:right="-15"/>
                    <w:suppressOverlap/>
                    <w:jc w:val="center"/>
                    <w:rPr>
                      <w:rFonts w:ascii="Bookman Old Style" w:hAnsi="Bookman Old Style"/>
                      <w:sz w:val="20"/>
                      <w:szCs w:val="20"/>
                      <w:lang w:val="en-US"/>
                    </w:rPr>
                  </w:pPr>
                  <w:r w:rsidRPr="00A22891">
                    <w:rPr>
                      <w:rFonts w:ascii="Bookman Old Style" w:hAnsi="Bookman Old Style"/>
                      <w:sz w:val="20"/>
                      <w:szCs w:val="20"/>
                      <w:lang w:val="en-US"/>
                    </w:rPr>
                    <w:t>5.</w:t>
                  </w:r>
                </w:p>
              </w:tc>
              <w:tc>
                <w:tcPr>
                  <w:tcW w:w="2098" w:type="dxa"/>
                  <w:tcBorders>
                    <w:top w:val="single" w:sz="8" w:space="0" w:color="000000"/>
                    <w:left w:val="nil"/>
                    <w:bottom w:val="single" w:sz="8" w:space="0" w:color="000000"/>
                    <w:right w:val="single" w:sz="4" w:space="0" w:color="auto"/>
                  </w:tcBorders>
                </w:tcPr>
                <w:p w14:paraId="103817F2" w14:textId="77777777" w:rsidR="00A22891" w:rsidRPr="00A22891" w:rsidRDefault="00A22891" w:rsidP="00EB4FBC">
                  <w:pPr>
                    <w:framePr w:hSpace="180" w:wrap="around" w:vAnchor="text" w:hAnchor="text" w:y="1"/>
                    <w:spacing w:after="0" w:line="240" w:lineRule="auto"/>
                    <w:ind w:left="146" w:right="136"/>
                    <w:suppressOverlap/>
                    <w:jc w:val="both"/>
                    <w:rPr>
                      <w:rFonts w:ascii="Bookman Old Style" w:hAnsi="Bookman Old Style"/>
                      <w:sz w:val="20"/>
                      <w:szCs w:val="20"/>
                    </w:rPr>
                  </w:pPr>
                  <w:r w:rsidRPr="00A22891">
                    <w:rPr>
                      <w:rFonts w:ascii="Bookman Old Style" w:hAnsi="Bookman Old Style"/>
                      <w:sz w:val="20"/>
                      <w:szCs w:val="20"/>
                    </w:rPr>
                    <w:t>Pendanaa</w:t>
                  </w:r>
                  <w:r w:rsidRPr="00A22891">
                    <w:rPr>
                      <w:rFonts w:ascii="Bookman Old Style" w:hAnsi="Bookman Old Style"/>
                      <w:sz w:val="20"/>
                      <w:szCs w:val="20"/>
                      <w:lang w:val="en-US"/>
                    </w:rPr>
                    <w:t xml:space="preserve">n </w:t>
                  </w:r>
                  <w:r w:rsidRPr="00A22891">
                    <w:rPr>
                      <w:rFonts w:ascii="Bookman Old Style" w:hAnsi="Bookman Old Style"/>
                      <w:sz w:val="20"/>
                      <w:szCs w:val="20"/>
                    </w:rPr>
                    <w:t>dari</w:t>
                  </w:r>
                  <w:r w:rsidRPr="00A22891">
                    <w:rPr>
                      <w:rFonts w:ascii="Bookman Old Style" w:hAnsi="Bookman Old Style"/>
                      <w:sz w:val="20"/>
                      <w:szCs w:val="20"/>
                      <w:lang w:val="en-US"/>
                    </w:rPr>
                    <w:t xml:space="preserve"> </w:t>
                  </w:r>
                  <w:r w:rsidRPr="00A22891">
                    <w:rPr>
                      <w:rFonts w:ascii="Bookman Old Style" w:hAnsi="Bookman Old Style"/>
                      <w:sz w:val="20"/>
                      <w:szCs w:val="20"/>
                    </w:rPr>
                    <w:t>bank</w:t>
                  </w:r>
                  <w:r w:rsidRPr="00A22891">
                    <w:rPr>
                      <w:rFonts w:ascii="Bookman Old Style" w:hAnsi="Bookman Old Style"/>
                      <w:sz w:val="20"/>
                      <w:szCs w:val="20"/>
                      <w:lang w:val="en-US"/>
                    </w:rPr>
                    <w:t xml:space="preserve"> </w:t>
                  </w:r>
                  <w:r w:rsidRPr="00A22891">
                    <w:rPr>
                      <w:rFonts w:ascii="Bookman Old Style" w:hAnsi="Bookman Old Style"/>
                      <w:sz w:val="20"/>
                      <w:szCs w:val="20"/>
                    </w:rPr>
                    <w:t>sentral</w:t>
                  </w:r>
                  <w:r w:rsidRPr="00A22891">
                    <w:rPr>
                      <w:rFonts w:ascii="Bookman Old Style" w:hAnsi="Bookman Old Style"/>
                      <w:sz w:val="20"/>
                      <w:szCs w:val="20"/>
                      <w:lang w:val="en-US"/>
                    </w:rPr>
                    <w:t xml:space="preserve"> </w:t>
                  </w:r>
                  <w:r w:rsidRPr="00A22891">
                    <w:rPr>
                      <w:rFonts w:ascii="Bookman Old Style" w:hAnsi="Bookman Old Style"/>
                      <w:sz w:val="20"/>
                      <w:szCs w:val="20"/>
                    </w:rPr>
                    <w:t>dan lembaga</w:t>
                  </w:r>
                  <w:r w:rsidRPr="00A22891">
                    <w:rPr>
                      <w:rFonts w:ascii="Bookman Old Style" w:hAnsi="Bookman Old Style"/>
                      <w:sz w:val="20"/>
                      <w:szCs w:val="20"/>
                      <w:lang w:val="en-US"/>
                    </w:rPr>
                    <w:t xml:space="preserve"> </w:t>
                  </w:r>
                  <w:r w:rsidRPr="00A22891">
                    <w:rPr>
                      <w:rFonts w:ascii="Bookman Old Style" w:hAnsi="Bookman Old Style"/>
                      <w:sz w:val="20"/>
                      <w:szCs w:val="20"/>
                    </w:rPr>
                    <w:t>keuangan.</w:t>
                  </w:r>
                </w:p>
              </w:tc>
              <w:tc>
                <w:tcPr>
                  <w:tcW w:w="2966" w:type="dxa"/>
                  <w:gridSpan w:val="2"/>
                  <w:vMerge/>
                  <w:tcBorders>
                    <w:left w:val="single" w:sz="4" w:space="0" w:color="auto"/>
                  </w:tcBorders>
                  <w:shd w:val="clear" w:color="auto" w:fill="000000"/>
                </w:tcPr>
                <w:p w14:paraId="52FB5443" w14:textId="77777777" w:rsidR="00A22891" w:rsidRPr="00A22891" w:rsidRDefault="00A22891" w:rsidP="00EB4FBC">
                  <w:pPr>
                    <w:framePr w:hSpace="180" w:wrap="around" w:vAnchor="text" w:hAnchor="text" w:y="1"/>
                    <w:spacing w:after="0" w:line="240" w:lineRule="auto"/>
                    <w:suppressOverlap/>
                    <w:rPr>
                      <w:rFonts w:ascii="Bookman Old Style" w:hAnsi="Bookman Old Style"/>
                      <w:sz w:val="20"/>
                      <w:szCs w:val="20"/>
                    </w:rPr>
                  </w:pPr>
                </w:p>
              </w:tc>
            </w:tr>
            <w:tr w:rsidR="00A22891" w:rsidRPr="00A22891" w14:paraId="4182C5B1" w14:textId="77777777" w:rsidTr="00EB4FBC">
              <w:trPr>
                <w:trHeight w:val="292"/>
              </w:trPr>
              <w:tc>
                <w:tcPr>
                  <w:tcW w:w="1276" w:type="dxa"/>
                  <w:vMerge/>
                  <w:tcBorders>
                    <w:left w:val="single" w:sz="8" w:space="0" w:color="000000"/>
                    <w:bottom w:val="single" w:sz="4" w:space="0" w:color="000000"/>
                    <w:right w:val="single" w:sz="8" w:space="0" w:color="000000"/>
                  </w:tcBorders>
                  <w:shd w:val="clear" w:color="auto" w:fill="C4BC96"/>
                </w:tcPr>
                <w:p w14:paraId="3A7868A8"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2447" w:type="dxa"/>
                  <w:gridSpan w:val="4"/>
                  <w:tcBorders>
                    <w:top w:val="single" w:sz="8" w:space="0" w:color="000000"/>
                    <w:left w:val="single" w:sz="8" w:space="0" w:color="000000"/>
                    <w:bottom w:val="single" w:sz="8" w:space="0" w:color="000000"/>
                    <w:right w:val="single" w:sz="4" w:space="0" w:color="auto"/>
                  </w:tcBorders>
                  <w:shd w:val="clear" w:color="auto" w:fill="000000" w:themeFill="text1"/>
                </w:tcPr>
                <w:p w14:paraId="3853CCA0" w14:textId="77777777" w:rsidR="00A22891" w:rsidRPr="00A22891" w:rsidRDefault="00A22891" w:rsidP="00A22891">
                  <w:pPr>
                    <w:framePr w:hSpace="180" w:wrap="around" w:vAnchor="text" w:hAnchor="text" w:y="1"/>
                    <w:ind w:left="505"/>
                    <w:suppressOverlap/>
                    <w:rPr>
                      <w:rFonts w:ascii="Bookman Old Style" w:hAnsi="Bookman Old Style"/>
                      <w:sz w:val="20"/>
                      <w:szCs w:val="20"/>
                    </w:rPr>
                  </w:pPr>
                </w:p>
              </w:tc>
              <w:tc>
                <w:tcPr>
                  <w:tcW w:w="425" w:type="dxa"/>
                  <w:tcBorders>
                    <w:top w:val="single" w:sz="8" w:space="0" w:color="000000"/>
                    <w:left w:val="single" w:sz="4" w:space="0" w:color="auto"/>
                    <w:bottom w:val="single" w:sz="8" w:space="0" w:color="000000"/>
                  </w:tcBorders>
                </w:tcPr>
                <w:p w14:paraId="01DDD691" w14:textId="77777777" w:rsidR="00A22891" w:rsidRPr="00A22891" w:rsidRDefault="00A22891" w:rsidP="00A22891">
                  <w:pPr>
                    <w:framePr w:hSpace="180" w:wrap="around" w:vAnchor="text" w:hAnchor="text" w:y="1"/>
                    <w:ind w:left="7" w:right="-15"/>
                    <w:suppressOverlap/>
                    <w:jc w:val="center"/>
                    <w:rPr>
                      <w:rFonts w:ascii="Bookman Old Style" w:hAnsi="Bookman Old Style"/>
                      <w:sz w:val="20"/>
                      <w:szCs w:val="20"/>
                      <w:lang w:val="en-US"/>
                    </w:rPr>
                  </w:pPr>
                  <w:r w:rsidRPr="00A22891">
                    <w:rPr>
                      <w:rFonts w:ascii="Bookman Old Style" w:hAnsi="Bookman Old Style"/>
                      <w:sz w:val="20"/>
                      <w:szCs w:val="20"/>
                      <w:lang w:val="en-US"/>
                    </w:rPr>
                    <w:t>6.</w:t>
                  </w:r>
                </w:p>
              </w:tc>
              <w:tc>
                <w:tcPr>
                  <w:tcW w:w="2098" w:type="dxa"/>
                  <w:tcBorders>
                    <w:top w:val="single" w:sz="8" w:space="0" w:color="000000"/>
                    <w:left w:val="nil"/>
                    <w:bottom w:val="single" w:sz="8" w:space="0" w:color="000000"/>
                    <w:right w:val="single" w:sz="4" w:space="0" w:color="auto"/>
                  </w:tcBorders>
                </w:tcPr>
                <w:p w14:paraId="367D343F" w14:textId="0E825C56" w:rsidR="00A22891" w:rsidRPr="00A22891" w:rsidRDefault="00A22891" w:rsidP="00EB4FBC">
                  <w:pPr>
                    <w:framePr w:hSpace="180" w:wrap="around" w:vAnchor="text" w:hAnchor="text" w:y="1"/>
                    <w:spacing w:after="0" w:line="240" w:lineRule="auto"/>
                    <w:ind w:left="146" w:right="136"/>
                    <w:suppressOverlap/>
                    <w:jc w:val="both"/>
                    <w:rPr>
                      <w:rFonts w:ascii="Bookman Old Style" w:hAnsi="Bookman Old Style"/>
                      <w:sz w:val="20"/>
                      <w:szCs w:val="20"/>
                    </w:rPr>
                  </w:pPr>
                  <w:r w:rsidRPr="00A22891">
                    <w:rPr>
                      <w:rFonts w:ascii="Bookman Old Style" w:hAnsi="Bookman Old Style"/>
                      <w:sz w:val="20"/>
                      <w:szCs w:val="20"/>
                    </w:rPr>
                    <w:t>Liabilitas</w:t>
                  </w:r>
                  <w:r w:rsidRPr="00A22891">
                    <w:rPr>
                      <w:rFonts w:ascii="Bookman Old Style" w:hAnsi="Bookman Old Style"/>
                      <w:sz w:val="20"/>
                      <w:szCs w:val="20"/>
                      <w:lang w:val="en-US"/>
                    </w:rPr>
                    <w:t xml:space="preserve"> </w:t>
                  </w:r>
                  <w:r w:rsidRPr="00A22891">
                    <w:rPr>
                      <w:rFonts w:ascii="Bookman Old Style" w:hAnsi="Bookman Old Style"/>
                      <w:sz w:val="20"/>
                      <w:szCs w:val="20"/>
                    </w:rPr>
                    <w:t>pajak</w:t>
                  </w:r>
                  <w:r w:rsidRPr="00A22891">
                    <w:rPr>
                      <w:rFonts w:ascii="Bookman Old Style" w:hAnsi="Bookman Old Style"/>
                      <w:sz w:val="20"/>
                      <w:szCs w:val="20"/>
                      <w:lang w:val="en-US"/>
                    </w:rPr>
                    <w:t xml:space="preserve"> </w:t>
                  </w:r>
                  <w:r w:rsidRPr="00A22891">
                    <w:rPr>
                      <w:rFonts w:ascii="Bookman Old Style" w:hAnsi="Bookman Old Style"/>
                      <w:sz w:val="20"/>
                      <w:szCs w:val="20"/>
                    </w:rPr>
                    <w:t>tangguha</w:t>
                  </w:r>
                  <w:r w:rsidR="00EB4FBC">
                    <w:rPr>
                      <w:rFonts w:ascii="Bookman Old Style" w:hAnsi="Bookman Old Style"/>
                      <w:sz w:val="20"/>
                      <w:szCs w:val="20"/>
                      <w:lang w:val="en-US"/>
                    </w:rPr>
                    <w:t xml:space="preserve">n </w:t>
                  </w:r>
                  <w:r w:rsidRPr="00A22891">
                    <w:rPr>
                      <w:rFonts w:ascii="Bookman Old Style" w:hAnsi="Bookman Old Style"/>
                      <w:sz w:val="20"/>
                      <w:szCs w:val="20"/>
                    </w:rPr>
                    <w:t>dan</w:t>
                  </w:r>
                  <w:r w:rsidRPr="00A22891">
                    <w:rPr>
                      <w:rFonts w:ascii="Bookman Old Style" w:hAnsi="Bookman Old Style"/>
                      <w:sz w:val="20"/>
                      <w:szCs w:val="20"/>
                      <w:lang w:val="en-US"/>
                    </w:rPr>
                    <w:t xml:space="preserve"> </w:t>
                  </w:r>
                  <w:r w:rsidRPr="00A22891">
                    <w:rPr>
                      <w:rFonts w:ascii="Bookman Old Style" w:hAnsi="Bookman Old Style"/>
                      <w:sz w:val="20"/>
                      <w:szCs w:val="20"/>
                    </w:rPr>
                    <w:t>kepentingan non</w:t>
                  </w:r>
                  <w:r w:rsidRPr="00A22891">
                    <w:rPr>
                      <w:rFonts w:ascii="Bookman Old Style" w:hAnsi="Bookman Old Style"/>
                      <w:sz w:val="20"/>
                      <w:szCs w:val="20"/>
                      <w:lang w:val="en-US"/>
                    </w:rPr>
                    <w:t>-</w:t>
                  </w:r>
                  <w:r w:rsidRPr="00A22891">
                    <w:rPr>
                      <w:rFonts w:ascii="Bookman Old Style" w:hAnsi="Bookman Old Style"/>
                      <w:sz w:val="20"/>
                      <w:szCs w:val="20"/>
                    </w:rPr>
                    <w:t>pengendali.</w:t>
                  </w:r>
                </w:p>
              </w:tc>
              <w:tc>
                <w:tcPr>
                  <w:tcW w:w="2966" w:type="dxa"/>
                  <w:gridSpan w:val="2"/>
                  <w:vMerge/>
                  <w:tcBorders>
                    <w:left w:val="single" w:sz="4" w:space="0" w:color="auto"/>
                    <w:bottom w:val="nil"/>
                  </w:tcBorders>
                  <w:shd w:val="clear" w:color="auto" w:fill="000000"/>
                </w:tcPr>
                <w:p w14:paraId="7C4A17DF" w14:textId="77777777" w:rsidR="00A22891" w:rsidRPr="00A22891" w:rsidRDefault="00A22891" w:rsidP="00EB4FBC">
                  <w:pPr>
                    <w:framePr w:hSpace="180" w:wrap="around" w:vAnchor="text" w:hAnchor="text" w:y="1"/>
                    <w:spacing w:after="0" w:line="240" w:lineRule="auto"/>
                    <w:suppressOverlap/>
                    <w:rPr>
                      <w:rFonts w:ascii="Bookman Old Style" w:hAnsi="Bookman Old Style"/>
                      <w:sz w:val="20"/>
                      <w:szCs w:val="20"/>
                    </w:rPr>
                  </w:pPr>
                </w:p>
              </w:tc>
            </w:tr>
            <w:tr w:rsidR="00A22891" w:rsidRPr="00A22891" w14:paraId="43A6D289" w14:textId="77777777" w:rsidTr="00EB4FBC">
              <w:trPr>
                <w:trHeight w:val="292"/>
              </w:trPr>
              <w:tc>
                <w:tcPr>
                  <w:tcW w:w="1276" w:type="dxa"/>
                  <w:vMerge w:val="restart"/>
                  <w:tcBorders>
                    <w:top w:val="single" w:sz="4" w:space="0" w:color="000000"/>
                    <w:left w:val="single" w:sz="8" w:space="0" w:color="000000"/>
                    <w:right w:val="single" w:sz="8" w:space="0" w:color="000000"/>
                  </w:tcBorders>
                  <w:shd w:val="clear" w:color="auto" w:fill="C4BC96"/>
                  <w:vAlign w:val="center"/>
                </w:tcPr>
                <w:p w14:paraId="50E6DE8F"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lang w:val="en-US"/>
                    </w:rPr>
                  </w:pPr>
                  <w:r w:rsidRPr="00A22891">
                    <w:rPr>
                      <w:rFonts w:ascii="Bookman Old Style" w:hAnsi="Bookman Old Style"/>
                      <w:b/>
                      <w:sz w:val="20"/>
                      <w:szCs w:val="20"/>
                      <w:lang w:val="en-US"/>
                    </w:rPr>
                    <w:t>0%</w:t>
                  </w:r>
                </w:p>
              </w:tc>
              <w:tc>
                <w:tcPr>
                  <w:tcW w:w="517" w:type="dxa"/>
                  <w:gridSpan w:val="2"/>
                  <w:tcBorders>
                    <w:top w:val="single" w:sz="8" w:space="0" w:color="000000"/>
                    <w:left w:val="single" w:sz="8" w:space="0" w:color="000000"/>
                    <w:bottom w:val="single" w:sz="8" w:space="0" w:color="000000"/>
                  </w:tcBorders>
                </w:tcPr>
                <w:p w14:paraId="43F4E3D3" w14:textId="77777777" w:rsidR="00A22891" w:rsidRPr="00A22891" w:rsidRDefault="00A22891" w:rsidP="00A22891">
                  <w:pPr>
                    <w:framePr w:hSpace="180" w:wrap="around" w:vAnchor="text" w:hAnchor="text" w:y="1"/>
                    <w:suppressOverlap/>
                    <w:jc w:val="center"/>
                    <w:rPr>
                      <w:rFonts w:ascii="Bookman Old Style" w:hAnsi="Bookman Old Style"/>
                      <w:sz w:val="20"/>
                      <w:szCs w:val="20"/>
                      <w:lang w:val="en-US"/>
                    </w:rPr>
                  </w:pPr>
                  <w:r w:rsidRPr="00A22891">
                    <w:rPr>
                      <w:rFonts w:ascii="Bookman Old Style" w:hAnsi="Bookman Old Style"/>
                      <w:sz w:val="20"/>
                      <w:szCs w:val="20"/>
                      <w:lang w:val="en-US"/>
                    </w:rPr>
                    <w:t>1.</w:t>
                  </w:r>
                </w:p>
              </w:tc>
              <w:tc>
                <w:tcPr>
                  <w:tcW w:w="4453" w:type="dxa"/>
                  <w:gridSpan w:val="4"/>
                  <w:tcBorders>
                    <w:top w:val="single" w:sz="8" w:space="0" w:color="000000"/>
                    <w:bottom w:val="single" w:sz="8" w:space="0" w:color="000000"/>
                    <w:right w:val="single" w:sz="8" w:space="0" w:color="000000"/>
                  </w:tcBorders>
                </w:tcPr>
                <w:p w14:paraId="24D4E142" w14:textId="77777777" w:rsidR="00A22891" w:rsidRPr="00A22891" w:rsidRDefault="00A22891" w:rsidP="00EB4FBC">
                  <w:pPr>
                    <w:framePr w:hSpace="180" w:wrap="around" w:vAnchor="text" w:hAnchor="text" w:y="1"/>
                    <w:spacing w:after="0" w:line="240" w:lineRule="auto"/>
                    <w:ind w:left="147" w:right="122"/>
                    <w:suppressOverlap/>
                    <w:jc w:val="both"/>
                    <w:rPr>
                      <w:rFonts w:ascii="Bookman Old Style" w:hAnsi="Bookman Old Style"/>
                      <w:sz w:val="20"/>
                      <w:szCs w:val="20"/>
                    </w:rPr>
                  </w:pPr>
                  <w:r w:rsidRPr="00A22891">
                    <w:rPr>
                      <w:rFonts w:ascii="Bookman Old Style" w:hAnsi="Bookman Old Style"/>
                      <w:sz w:val="20"/>
                      <w:szCs w:val="20"/>
                    </w:rPr>
                    <w:t>Instrumen</w:t>
                  </w:r>
                  <w:r w:rsidRPr="00A22891">
                    <w:rPr>
                      <w:rFonts w:ascii="Bookman Old Style" w:hAnsi="Bookman Old Style"/>
                      <w:spacing w:val="1"/>
                      <w:sz w:val="20"/>
                      <w:szCs w:val="20"/>
                    </w:rPr>
                    <w:t xml:space="preserve"> </w:t>
                  </w:r>
                  <w:r w:rsidRPr="00A22891">
                    <w:rPr>
                      <w:rFonts w:ascii="Bookman Old Style" w:hAnsi="Bookman Old Style"/>
                      <w:sz w:val="20"/>
                      <w:szCs w:val="20"/>
                    </w:rPr>
                    <w:t>liabilitas</w:t>
                  </w:r>
                  <w:r w:rsidRPr="00A22891">
                    <w:rPr>
                      <w:rFonts w:ascii="Bookman Old Style" w:hAnsi="Bookman Old Style"/>
                      <w:spacing w:val="-3"/>
                      <w:sz w:val="20"/>
                      <w:szCs w:val="20"/>
                    </w:rPr>
                    <w:t xml:space="preserve"> </w:t>
                  </w:r>
                  <w:r w:rsidRPr="00A22891">
                    <w:rPr>
                      <w:rFonts w:ascii="Bookman Old Style" w:hAnsi="Bookman Old Style"/>
                      <w:sz w:val="20"/>
                      <w:szCs w:val="20"/>
                    </w:rPr>
                    <w:t>dan</w:t>
                  </w:r>
                  <w:r w:rsidRPr="00A22891">
                    <w:rPr>
                      <w:rFonts w:ascii="Bookman Old Style" w:hAnsi="Bookman Old Style"/>
                      <w:spacing w:val="-4"/>
                      <w:sz w:val="20"/>
                      <w:szCs w:val="20"/>
                    </w:rPr>
                    <w:t xml:space="preserve"> </w:t>
                  </w:r>
                  <w:r w:rsidRPr="00A22891">
                    <w:rPr>
                      <w:rFonts w:ascii="Bookman Old Style" w:hAnsi="Bookman Old Style"/>
                      <w:sz w:val="20"/>
                      <w:szCs w:val="20"/>
                    </w:rPr>
                    <w:t>ekuitas</w:t>
                  </w:r>
                  <w:r w:rsidRPr="00A22891">
                    <w:rPr>
                      <w:rFonts w:ascii="Bookman Old Style" w:hAnsi="Bookman Old Style"/>
                      <w:spacing w:val="-1"/>
                      <w:sz w:val="20"/>
                      <w:szCs w:val="20"/>
                    </w:rPr>
                    <w:t xml:space="preserve"> </w:t>
                  </w:r>
                  <w:r w:rsidRPr="00A22891">
                    <w:rPr>
                      <w:rFonts w:ascii="Bookman Old Style" w:hAnsi="Bookman Old Style"/>
                      <w:sz w:val="20"/>
                      <w:szCs w:val="20"/>
                    </w:rPr>
                    <w:t>lainnya yang</w:t>
                  </w:r>
                  <w:r w:rsidRPr="00A22891">
                    <w:rPr>
                      <w:rFonts w:ascii="Bookman Old Style" w:hAnsi="Bookman Old Style"/>
                      <w:spacing w:val="-3"/>
                      <w:sz w:val="20"/>
                      <w:szCs w:val="20"/>
                    </w:rPr>
                    <w:t xml:space="preserve"> </w:t>
                  </w:r>
                  <w:r w:rsidRPr="00A22891">
                    <w:rPr>
                      <w:rFonts w:ascii="Bookman Old Style" w:hAnsi="Bookman Old Style"/>
                      <w:sz w:val="20"/>
                      <w:szCs w:val="20"/>
                    </w:rPr>
                    <w:t>tidak</w:t>
                  </w:r>
                  <w:r w:rsidRPr="00A22891">
                    <w:rPr>
                      <w:rFonts w:ascii="Bookman Old Style" w:hAnsi="Bookman Old Style"/>
                      <w:spacing w:val="-2"/>
                      <w:sz w:val="20"/>
                      <w:szCs w:val="20"/>
                    </w:rPr>
                    <w:t xml:space="preserve"> </w:t>
                  </w:r>
                  <w:r w:rsidRPr="00A22891">
                    <w:rPr>
                      <w:rFonts w:ascii="Bookman Old Style" w:hAnsi="Bookman Old Style"/>
                      <w:sz w:val="20"/>
                      <w:szCs w:val="20"/>
                    </w:rPr>
                    <w:t>masuk</w:t>
                  </w:r>
                  <w:r w:rsidRPr="00A22891">
                    <w:rPr>
                      <w:rFonts w:ascii="Bookman Old Style" w:hAnsi="Bookman Old Style"/>
                      <w:spacing w:val="-2"/>
                      <w:sz w:val="20"/>
                      <w:szCs w:val="20"/>
                    </w:rPr>
                    <w:t xml:space="preserve"> </w:t>
                  </w:r>
                  <w:r w:rsidRPr="00A22891">
                    <w:rPr>
                      <w:rFonts w:ascii="Bookman Old Style" w:hAnsi="Bookman Old Style"/>
                      <w:sz w:val="20"/>
                      <w:szCs w:val="20"/>
                    </w:rPr>
                    <w:t>kategori</w:t>
                  </w:r>
                  <w:r w:rsidRPr="00A22891">
                    <w:rPr>
                      <w:rFonts w:ascii="Bookman Old Style" w:hAnsi="Bookman Old Style"/>
                      <w:spacing w:val="-3"/>
                      <w:sz w:val="20"/>
                      <w:szCs w:val="20"/>
                    </w:rPr>
                    <w:t xml:space="preserve"> </w:t>
                  </w:r>
                  <w:r w:rsidRPr="00A22891">
                    <w:rPr>
                      <w:rFonts w:ascii="Bookman Old Style" w:hAnsi="Bookman Old Style"/>
                      <w:sz w:val="20"/>
                      <w:szCs w:val="20"/>
                    </w:rPr>
                    <w:t>di</w:t>
                  </w:r>
                  <w:r w:rsidRPr="00A22891">
                    <w:rPr>
                      <w:rFonts w:ascii="Bookman Old Style" w:hAnsi="Bookman Old Style"/>
                      <w:spacing w:val="-1"/>
                      <w:sz w:val="20"/>
                      <w:szCs w:val="20"/>
                    </w:rPr>
                    <w:t xml:space="preserve"> </w:t>
                  </w:r>
                  <w:r w:rsidRPr="00A22891">
                    <w:rPr>
                      <w:rFonts w:ascii="Bookman Old Style" w:hAnsi="Bookman Old Style"/>
                      <w:sz w:val="20"/>
                      <w:szCs w:val="20"/>
                    </w:rPr>
                    <w:t>atas.</w:t>
                  </w:r>
                </w:p>
              </w:tc>
              <w:tc>
                <w:tcPr>
                  <w:tcW w:w="408" w:type="dxa"/>
                  <w:tcBorders>
                    <w:top w:val="nil"/>
                    <w:bottom w:val="nil"/>
                  </w:tcBorders>
                  <w:shd w:val="clear" w:color="auto" w:fill="000000"/>
                </w:tcPr>
                <w:p w14:paraId="15D25F05" w14:textId="77777777" w:rsidR="00A22891" w:rsidRPr="00A22891" w:rsidRDefault="00A22891" w:rsidP="00EB4FBC">
                  <w:pPr>
                    <w:framePr w:hSpace="180" w:wrap="around" w:vAnchor="text" w:hAnchor="text" w:y="1"/>
                    <w:spacing w:after="0" w:line="240" w:lineRule="auto"/>
                    <w:suppressOverlap/>
                    <w:rPr>
                      <w:rFonts w:ascii="Bookman Old Style" w:hAnsi="Bookman Old Style"/>
                      <w:sz w:val="20"/>
                      <w:szCs w:val="20"/>
                    </w:rPr>
                  </w:pPr>
                </w:p>
              </w:tc>
              <w:tc>
                <w:tcPr>
                  <w:tcW w:w="2558" w:type="dxa"/>
                  <w:tcBorders>
                    <w:top w:val="nil"/>
                    <w:bottom w:val="nil"/>
                  </w:tcBorders>
                  <w:shd w:val="clear" w:color="auto" w:fill="000000"/>
                </w:tcPr>
                <w:p w14:paraId="42940594"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44021059" w14:textId="77777777" w:rsidTr="00EB4FBC">
              <w:trPr>
                <w:trHeight w:val="292"/>
              </w:trPr>
              <w:tc>
                <w:tcPr>
                  <w:tcW w:w="1276" w:type="dxa"/>
                  <w:vMerge/>
                  <w:tcBorders>
                    <w:left w:val="single" w:sz="8" w:space="0" w:color="000000"/>
                    <w:right w:val="single" w:sz="8" w:space="0" w:color="000000"/>
                  </w:tcBorders>
                  <w:shd w:val="clear" w:color="auto" w:fill="C4BC96"/>
                </w:tcPr>
                <w:p w14:paraId="71E7AE74"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517" w:type="dxa"/>
                  <w:gridSpan w:val="2"/>
                  <w:tcBorders>
                    <w:top w:val="single" w:sz="8" w:space="0" w:color="000000"/>
                    <w:left w:val="single" w:sz="8" w:space="0" w:color="000000"/>
                    <w:bottom w:val="single" w:sz="8" w:space="0" w:color="000000"/>
                  </w:tcBorders>
                </w:tcPr>
                <w:p w14:paraId="601C8C6D" w14:textId="77777777" w:rsidR="00A22891" w:rsidRPr="00A22891" w:rsidRDefault="00A22891" w:rsidP="00A22891">
                  <w:pPr>
                    <w:framePr w:hSpace="180" w:wrap="around" w:vAnchor="text" w:hAnchor="text" w:y="1"/>
                    <w:suppressOverlap/>
                    <w:jc w:val="center"/>
                    <w:rPr>
                      <w:rFonts w:ascii="Bookman Old Style" w:hAnsi="Bookman Old Style"/>
                      <w:sz w:val="20"/>
                      <w:szCs w:val="20"/>
                      <w:lang w:val="en-US"/>
                    </w:rPr>
                  </w:pPr>
                  <w:r w:rsidRPr="00A22891">
                    <w:rPr>
                      <w:rFonts w:ascii="Bookman Old Style" w:hAnsi="Bookman Old Style"/>
                      <w:sz w:val="20"/>
                      <w:szCs w:val="20"/>
                      <w:lang w:val="en-US"/>
                    </w:rPr>
                    <w:t>2.</w:t>
                  </w:r>
                </w:p>
              </w:tc>
              <w:tc>
                <w:tcPr>
                  <w:tcW w:w="4453" w:type="dxa"/>
                  <w:gridSpan w:val="4"/>
                  <w:tcBorders>
                    <w:top w:val="single" w:sz="8" w:space="0" w:color="000000"/>
                    <w:bottom w:val="single" w:sz="8" w:space="0" w:color="000000"/>
                    <w:right w:val="single" w:sz="8" w:space="0" w:color="000000"/>
                  </w:tcBorders>
                </w:tcPr>
                <w:p w14:paraId="42442E34" w14:textId="77777777" w:rsidR="00A22891" w:rsidRPr="00A22891" w:rsidRDefault="00A22891" w:rsidP="00EB4FBC">
                  <w:pPr>
                    <w:pStyle w:val="TableParagraph"/>
                    <w:framePr w:hSpace="180" w:wrap="around" w:vAnchor="text" w:hAnchor="text" w:y="1"/>
                    <w:ind w:left="111" w:right="122"/>
                    <w:suppressOverlap/>
                    <w:jc w:val="both"/>
                    <w:rPr>
                      <w:rFonts w:ascii="Bookman Old Style" w:hAnsi="Bookman Old Style"/>
                      <w:i/>
                      <w:sz w:val="20"/>
                      <w:szCs w:val="20"/>
                    </w:rPr>
                  </w:pPr>
                  <w:r w:rsidRPr="00A22891">
                    <w:rPr>
                      <w:rFonts w:ascii="Bookman Old Style" w:hAnsi="Bookman Old Style"/>
                      <w:sz w:val="20"/>
                      <w:szCs w:val="20"/>
                    </w:rPr>
                    <w:t>Seluruh</w:t>
                  </w:r>
                  <w:r w:rsidRPr="00A22891">
                    <w:rPr>
                      <w:rFonts w:ascii="Bookman Old Style" w:hAnsi="Bookman Old Style"/>
                      <w:spacing w:val="-2"/>
                      <w:sz w:val="20"/>
                      <w:szCs w:val="20"/>
                    </w:rPr>
                    <w:t xml:space="preserve"> </w:t>
                  </w:r>
                  <w:r w:rsidRPr="00A22891">
                    <w:rPr>
                      <w:rFonts w:ascii="Bookman Old Style" w:hAnsi="Bookman Old Style"/>
                      <w:sz w:val="20"/>
                      <w:szCs w:val="20"/>
                    </w:rPr>
                    <w:t>liabilitas</w:t>
                  </w:r>
                  <w:r w:rsidRPr="00A22891">
                    <w:rPr>
                      <w:rFonts w:ascii="Bookman Old Style" w:hAnsi="Bookman Old Style"/>
                      <w:spacing w:val="-3"/>
                      <w:sz w:val="20"/>
                      <w:szCs w:val="20"/>
                    </w:rPr>
                    <w:t xml:space="preserve"> </w:t>
                  </w:r>
                  <w:r w:rsidRPr="00A22891">
                    <w:rPr>
                      <w:rFonts w:ascii="Bookman Old Style" w:hAnsi="Bookman Old Style"/>
                      <w:sz w:val="20"/>
                      <w:szCs w:val="20"/>
                    </w:rPr>
                    <w:t>lainnya</w:t>
                  </w:r>
                  <w:r w:rsidRPr="00A22891">
                    <w:rPr>
                      <w:rFonts w:ascii="Bookman Old Style" w:hAnsi="Bookman Old Style"/>
                      <w:spacing w:val="-4"/>
                      <w:sz w:val="20"/>
                      <w:szCs w:val="20"/>
                    </w:rPr>
                    <w:t xml:space="preserve"> </w:t>
                  </w:r>
                  <w:r w:rsidRPr="00A22891">
                    <w:rPr>
                      <w:rFonts w:ascii="Bookman Old Style" w:hAnsi="Bookman Old Style"/>
                      <w:sz w:val="20"/>
                      <w:szCs w:val="20"/>
                    </w:rPr>
                    <w:t>tanpa</w:t>
                  </w:r>
                  <w:r w:rsidRPr="00A22891">
                    <w:rPr>
                      <w:rFonts w:ascii="Bookman Old Style" w:hAnsi="Bookman Old Style"/>
                      <w:spacing w:val="-3"/>
                      <w:sz w:val="20"/>
                      <w:szCs w:val="20"/>
                    </w:rPr>
                    <w:t xml:space="preserve"> </w:t>
                  </w:r>
                  <w:r w:rsidRPr="00A22891">
                    <w:rPr>
                      <w:rFonts w:ascii="Bookman Old Style" w:hAnsi="Bookman Old Style"/>
                      <w:sz w:val="20"/>
                      <w:szCs w:val="20"/>
                    </w:rPr>
                    <w:t>jangka</w:t>
                  </w:r>
                  <w:r w:rsidRPr="00A22891">
                    <w:rPr>
                      <w:rFonts w:ascii="Bookman Old Style" w:hAnsi="Bookman Old Style"/>
                      <w:spacing w:val="-2"/>
                      <w:sz w:val="20"/>
                      <w:szCs w:val="20"/>
                    </w:rPr>
                    <w:t xml:space="preserve"> </w:t>
                  </w:r>
                  <w:r w:rsidRPr="00A22891">
                    <w:rPr>
                      <w:rFonts w:ascii="Bookman Old Style" w:hAnsi="Bookman Old Style"/>
                      <w:sz w:val="20"/>
                      <w:szCs w:val="20"/>
                    </w:rPr>
                    <w:t>waktu,</w:t>
                  </w:r>
                  <w:r w:rsidRPr="00A22891">
                    <w:rPr>
                      <w:rFonts w:ascii="Bookman Old Style" w:hAnsi="Bookman Old Style"/>
                      <w:spacing w:val="-4"/>
                      <w:sz w:val="20"/>
                      <w:szCs w:val="20"/>
                    </w:rPr>
                    <w:t xml:space="preserve"> </w:t>
                  </w:r>
                  <w:r w:rsidRPr="00A22891">
                    <w:rPr>
                      <w:rFonts w:ascii="Bookman Old Style" w:hAnsi="Bookman Old Style"/>
                      <w:sz w:val="20"/>
                      <w:szCs w:val="20"/>
                    </w:rPr>
                    <w:t>termasuk</w:t>
                  </w:r>
                  <w:r w:rsidRPr="00A22891">
                    <w:rPr>
                      <w:rFonts w:ascii="Bookman Old Style" w:hAnsi="Bookman Old Style"/>
                      <w:spacing w:val="1"/>
                      <w:sz w:val="20"/>
                      <w:szCs w:val="20"/>
                    </w:rPr>
                    <w:t xml:space="preserve"> </w:t>
                  </w:r>
                  <w:r w:rsidRPr="00A22891">
                    <w:rPr>
                      <w:rFonts w:ascii="Bookman Old Style" w:hAnsi="Bookman Old Style"/>
                      <w:i/>
                      <w:sz w:val="20"/>
                      <w:szCs w:val="20"/>
                    </w:rPr>
                    <w:t>short</w:t>
                  </w:r>
                  <w:r w:rsidRPr="00A22891">
                    <w:rPr>
                      <w:rFonts w:ascii="Bookman Old Style" w:hAnsi="Bookman Old Style"/>
                      <w:i/>
                      <w:spacing w:val="-2"/>
                      <w:sz w:val="20"/>
                      <w:szCs w:val="20"/>
                    </w:rPr>
                    <w:t xml:space="preserve"> </w:t>
                  </w:r>
                  <w:r w:rsidRPr="00A22891">
                    <w:rPr>
                      <w:rFonts w:ascii="Bookman Old Style" w:hAnsi="Bookman Old Style"/>
                      <w:i/>
                      <w:sz w:val="20"/>
                      <w:szCs w:val="20"/>
                    </w:rPr>
                    <w:t>position</w:t>
                  </w:r>
                  <w:r w:rsidRPr="00A22891">
                    <w:rPr>
                      <w:rFonts w:ascii="Bookman Old Style" w:hAnsi="Bookman Old Style"/>
                      <w:i/>
                      <w:spacing w:val="-2"/>
                      <w:sz w:val="20"/>
                      <w:szCs w:val="20"/>
                    </w:rPr>
                    <w:t xml:space="preserve"> </w:t>
                  </w:r>
                  <w:r w:rsidRPr="00A22891">
                    <w:rPr>
                      <w:rFonts w:ascii="Bookman Old Style" w:hAnsi="Bookman Old Style"/>
                      <w:sz w:val="20"/>
                      <w:szCs w:val="20"/>
                    </w:rPr>
                    <w:t>dan</w:t>
                  </w:r>
                  <w:r w:rsidRPr="00A22891">
                    <w:rPr>
                      <w:rFonts w:ascii="Bookman Old Style" w:hAnsi="Bookman Old Style"/>
                      <w:spacing w:val="-3"/>
                      <w:sz w:val="20"/>
                      <w:szCs w:val="20"/>
                    </w:rPr>
                    <w:t xml:space="preserve"> </w:t>
                  </w:r>
                  <w:r w:rsidRPr="00A22891">
                    <w:rPr>
                      <w:rFonts w:ascii="Bookman Old Style" w:hAnsi="Bookman Old Style"/>
                      <w:i/>
                      <w:sz w:val="20"/>
                      <w:szCs w:val="20"/>
                    </w:rPr>
                    <w:t>open</w:t>
                  </w:r>
                  <w:r w:rsidRPr="00A22891">
                    <w:rPr>
                      <w:rFonts w:ascii="Bookman Old Style" w:hAnsi="Bookman Old Style"/>
                      <w:i/>
                      <w:sz w:val="20"/>
                      <w:szCs w:val="20"/>
                      <w:lang w:val="en-US"/>
                    </w:rPr>
                    <w:t xml:space="preserve"> </w:t>
                  </w:r>
                  <w:r w:rsidRPr="00A22891">
                    <w:rPr>
                      <w:rFonts w:ascii="Bookman Old Style" w:hAnsi="Bookman Old Style"/>
                      <w:i/>
                      <w:sz w:val="20"/>
                      <w:szCs w:val="20"/>
                    </w:rPr>
                    <w:t>maturity</w:t>
                  </w:r>
                  <w:r w:rsidRPr="00A22891">
                    <w:rPr>
                      <w:rFonts w:ascii="Bookman Old Style" w:hAnsi="Bookman Old Style"/>
                      <w:i/>
                      <w:spacing w:val="-3"/>
                      <w:sz w:val="20"/>
                      <w:szCs w:val="20"/>
                    </w:rPr>
                    <w:t xml:space="preserve"> </w:t>
                  </w:r>
                  <w:r w:rsidRPr="00A22891">
                    <w:rPr>
                      <w:rFonts w:ascii="Bookman Old Style" w:hAnsi="Bookman Old Style"/>
                      <w:i/>
                      <w:sz w:val="20"/>
                      <w:szCs w:val="20"/>
                    </w:rPr>
                    <w:t>position.</w:t>
                  </w:r>
                </w:p>
                <w:p w14:paraId="4CAD5D5A" w14:textId="77777777" w:rsidR="00A22891" w:rsidRPr="00A22891" w:rsidRDefault="00A22891" w:rsidP="00EB4FBC">
                  <w:pPr>
                    <w:framePr w:hSpace="180" w:wrap="around" w:vAnchor="text" w:hAnchor="text" w:y="1"/>
                    <w:spacing w:after="0" w:line="240" w:lineRule="auto"/>
                    <w:ind w:left="147" w:right="122"/>
                    <w:suppressOverlap/>
                    <w:jc w:val="both"/>
                    <w:rPr>
                      <w:rFonts w:ascii="Bookman Old Style" w:hAnsi="Bookman Old Style"/>
                      <w:sz w:val="20"/>
                      <w:szCs w:val="20"/>
                    </w:rPr>
                  </w:pPr>
                  <w:r w:rsidRPr="00A22891">
                    <w:rPr>
                      <w:rFonts w:ascii="Bookman Old Style" w:hAnsi="Bookman Old Style"/>
                      <w:sz w:val="20"/>
                      <w:szCs w:val="20"/>
                    </w:rPr>
                    <w:t xml:space="preserve">Contoh: giro dari nasabah korporasi yang tidak memenuhi syarat </w:t>
                  </w:r>
                  <w:r w:rsidRPr="00A22891">
                    <w:rPr>
                      <w:rFonts w:ascii="Bookman Old Style" w:hAnsi="Bookman Old Style"/>
                      <w:sz w:val="20"/>
                      <w:szCs w:val="20"/>
                      <w:lang w:val="en-US"/>
                    </w:rPr>
                    <w:t>Rekening</w:t>
                  </w:r>
                  <w:r w:rsidRPr="00A22891">
                    <w:rPr>
                      <w:rFonts w:ascii="Bookman Old Style" w:hAnsi="Bookman Old Style"/>
                      <w:spacing w:val="-52"/>
                      <w:sz w:val="20"/>
                      <w:szCs w:val="20"/>
                    </w:rPr>
                    <w:t xml:space="preserve"> </w:t>
                  </w:r>
                  <w:r w:rsidRPr="00A22891">
                    <w:rPr>
                      <w:rFonts w:ascii="Bookman Old Style" w:hAnsi="Bookman Old Style"/>
                      <w:sz w:val="20"/>
                      <w:szCs w:val="20"/>
                    </w:rPr>
                    <w:t>operasional</w:t>
                  </w:r>
                  <w:r w:rsidRPr="00A22891">
                    <w:rPr>
                      <w:rFonts w:ascii="Bookman Old Style" w:hAnsi="Bookman Old Style"/>
                      <w:spacing w:val="1"/>
                      <w:sz w:val="20"/>
                      <w:szCs w:val="20"/>
                    </w:rPr>
                    <w:t xml:space="preserve"> </w:t>
                  </w:r>
                  <w:r w:rsidRPr="00A22891">
                    <w:rPr>
                      <w:rFonts w:ascii="Bookman Old Style" w:hAnsi="Bookman Old Style"/>
                      <w:sz w:val="20"/>
                      <w:szCs w:val="20"/>
                    </w:rPr>
                    <w:t>sebagaimana dimaksud dalam</w:t>
                  </w:r>
                  <w:r w:rsidRPr="00A22891">
                    <w:rPr>
                      <w:rFonts w:ascii="Bookman Old Style" w:hAnsi="Bookman Old Style"/>
                      <w:spacing w:val="1"/>
                      <w:sz w:val="20"/>
                      <w:szCs w:val="20"/>
                    </w:rPr>
                    <w:t xml:space="preserve"> </w:t>
                  </w:r>
                  <w:r w:rsidRPr="00A22891">
                    <w:rPr>
                      <w:rFonts w:ascii="Bookman Old Style" w:hAnsi="Bookman Old Style"/>
                      <w:sz w:val="20"/>
                      <w:szCs w:val="20"/>
                      <w:lang w:val="en-US"/>
                    </w:rPr>
                    <w:t>Lampiran I POJK ini</w:t>
                  </w:r>
                  <w:r w:rsidRPr="00A22891">
                    <w:rPr>
                      <w:rFonts w:ascii="Bookman Old Style" w:hAnsi="Bookman Old Style"/>
                      <w:sz w:val="20"/>
                      <w:szCs w:val="20"/>
                    </w:rPr>
                    <w:t>.</w:t>
                  </w:r>
                </w:p>
              </w:tc>
              <w:tc>
                <w:tcPr>
                  <w:tcW w:w="408" w:type="dxa"/>
                  <w:tcBorders>
                    <w:top w:val="nil"/>
                    <w:bottom w:val="nil"/>
                  </w:tcBorders>
                  <w:shd w:val="clear" w:color="auto" w:fill="000000"/>
                </w:tcPr>
                <w:p w14:paraId="31E32515" w14:textId="77777777" w:rsidR="00A22891" w:rsidRPr="00A22891" w:rsidRDefault="00A22891" w:rsidP="00EB4FBC">
                  <w:pPr>
                    <w:framePr w:hSpace="180" w:wrap="around" w:vAnchor="text" w:hAnchor="text" w:y="1"/>
                    <w:spacing w:after="0" w:line="240" w:lineRule="auto"/>
                    <w:suppressOverlap/>
                    <w:rPr>
                      <w:rFonts w:ascii="Bookman Old Style" w:hAnsi="Bookman Old Style"/>
                      <w:sz w:val="20"/>
                      <w:szCs w:val="20"/>
                    </w:rPr>
                  </w:pPr>
                </w:p>
              </w:tc>
              <w:tc>
                <w:tcPr>
                  <w:tcW w:w="2558" w:type="dxa"/>
                  <w:tcBorders>
                    <w:top w:val="nil"/>
                    <w:bottom w:val="nil"/>
                  </w:tcBorders>
                  <w:shd w:val="clear" w:color="auto" w:fill="000000"/>
                </w:tcPr>
                <w:p w14:paraId="721252DE"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515EE188" w14:textId="77777777" w:rsidTr="00EB4FBC">
              <w:trPr>
                <w:trHeight w:val="292"/>
              </w:trPr>
              <w:tc>
                <w:tcPr>
                  <w:tcW w:w="1276" w:type="dxa"/>
                  <w:vMerge/>
                  <w:tcBorders>
                    <w:left w:val="single" w:sz="8" w:space="0" w:color="000000"/>
                    <w:right w:val="single" w:sz="8" w:space="0" w:color="000000"/>
                  </w:tcBorders>
                  <w:shd w:val="clear" w:color="auto" w:fill="C4BC96"/>
                </w:tcPr>
                <w:p w14:paraId="1E3A105C"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517" w:type="dxa"/>
                  <w:gridSpan w:val="2"/>
                  <w:tcBorders>
                    <w:top w:val="single" w:sz="8" w:space="0" w:color="000000"/>
                    <w:left w:val="single" w:sz="8" w:space="0" w:color="000000"/>
                    <w:bottom w:val="single" w:sz="8" w:space="0" w:color="000000"/>
                  </w:tcBorders>
                </w:tcPr>
                <w:p w14:paraId="34924DB9" w14:textId="77777777" w:rsidR="00A22891" w:rsidRPr="00A22891" w:rsidRDefault="00A22891" w:rsidP="00A22891">
                  <w:pPr>
                    <w:framePr w:hSpace="180" w:wrap="around" w:vAnchor="text" w:hAnchor="text" w:y="1"/>
                    <w:suppressOverlap/>
                    <w:jc w:val="center"/>
                    <w:rPr>
                      <w:rFonts w:ascii="Bookman Old Style" w:hAnsi="Bookman Old Style"/>
                      <w:sz w:val="20"/>
                      <w:szCs w:val="20"/>
                      <w:lang w:val="en-US"/>
                    </w:rPr>
                  </w:pPr>
                  <w:r w:rsidRPr="00A22891">
                    <w:rPr>
                      <w:rFonts w:ascii="Bookman Old Style" w:hAnsi="Bookman Old Style"/>
                      <w:sz w:val="20"/>
                      <w:szCs w:val="20"/>
                      <w:lang w:val="en-US"/>
                    </w:rPr>
                    <w:t>3.</w:t>
                  </w:r>
                </w:p>
              </w:tc>
              <w:tc>
                <w:tcPr>
                  <w:tcW w:w="4453" w:type="dxa"/>
                  <w:gridSpan w:val="4"/>
                  <w:tcBorders>
                    <w:top w:val="single" w:sz="8" w:space="0" w:color="000000"/>
                    <w:bottom w:val="single" w:sz="8" w:space="0" w:color="000000"/>
                    <w:right w:val="single" w:sz="8" w:space="0" w:color="000000"/>
                  </w:tcBorders>
                </w:tcPr>
                <w:p w14:paraId="6BBC83CD" w14:textId="77777777" w:rsidR="00A22891" w:rsidRPr="00A22891" w:rsidRDefault="00A22891" w:rsidP="00EB4FBC">
                  <w:pPr>
                    <w:framePr w:hSpace="180" w:wrap="around" w:vAnchor="text" w:hAnchor="text" w:y="1"/>
                    <w:spacing w:after="0" w:line="240" w:lineRule="auto"/>
                    <w:ind w:left="147" w:right="122"/>
                    <w:suppressOverlap/>
                    <w:jc w:val="both"/>
                    <w:rPr>
                      <w:rFonts w:ascii="Bookman Old Style" w:hAnsi="Bookman Old Style"/>
                      <w:sz w:val="20"/>
                      <w:szCs w:val="20"/>
                    </w:rPr>
                  </w:pPr>
                  <w:r w:rsidRPr="00A22891">
                    <w:rPr>
                      <w:rFonts w:ascii="Bookman Old Style" w:hAnsi="Bookman Old Style"/>
                      <w:sz w:val="20"/>
                      <w:szCs w:val="20"/>
                    </w:rPr>
                    <w:t>Utang</w:t>
                  </w:r>
                  <w:r w:rsidRPr="00A22891">
                    <w:rPr>
                      <w:rFonts w:ascii="Bookman Old Style" w:hAnsi="Bookman Old Style"/>
                      <w:spacing w:val="-4"/>
                      <w:sz w:val="20"/>
                      <w:szCs w:val="20"/>
                    </w:rPr>
                    <w:t xml:space="preserve"> </w:t>
                  </w:r>
                  <w:r w:rsidRPr="00A22891">
                    <w:rPr>
                      <w:rFonts w:ascii="Bookman Old Style" w:hAnsi="Bookman Old Style"/>
                      <w:sz w:val="20"/>
                      <w:szCs w:val="20"/>
                    </w:rPr>
                    <w:t>tanggal</w:t>
                  </w:r>
                  <w:r w:rsidRPr="00A22891">
                    <w:rPr>
                      <w:rFonts w:ascii="Bookman Old Style" w:hAnsi="Bookman Old Style"/>
                      <w:spacing w:val="-4"/>
                      <w:sz w:val="20"/>
                      <w:szCs w:val="20"/>
                    </w:rPr>
                    <w:t xml:space="preserve"> </w:t>
                  </w:r>
                  <w:r w:rsidRPr="00A22891">
                    <w:rPr>
                      <w:rFonts w:ascii="Bookman Old Style" w:hAnsi="Bookman Old Style"/>
                      <w:sz w:val="20"/>
                      <w:szCs w:val="20"/>
                    </w:rPr>
                    <w:t>perdagangan</w:t>
                  </w:r>
                  <w:r w:rsidRPr="00A22891">
                    <w:rPr>
                      <w:rFonts w:ascii="Bookman Old Style" w:hAnsi="Bookman Old Style"/>
                      <w:spacing w:val="-1"/>
                      <w:sz w:val="20"/>
                      <w:szCs w:val="20"/>
                    </w:rPr>
                    <w:t xml:space="preserve"> </w:t>
                  </w:r>
                  <w:r w:rsidRPr="00A22891">
                    <w:rPr>
                      <w:rFonts w:ascii="Bookman Old Style" w:hAnsi="Bookman Old Style"/>
                      <w:sz w:val="20"/>
                      <w:szCs w:val="20"/>
                    </w:rPr>
                    <w:t>(</w:t>
                  </w:r>
                  <w:r w:rsidRPr="00A22891">
                    <w:rPr>
                      <w:rFonts w:ascii="Bookman Old Style" w:hAnsi="Bookman Old Style"/>
                      <w:i/>
                      <w:sz w:val="20"/>
                      <w:szCs w:val="20"/>
                    </w:rPr>
                    <w:t>trade</w:t>
                  </w:r>
                  <w:r w:rsidRPr="00A22891">
                    <w:rPr>
                      <w:rFonts w:ascii="Bookman Old Style" w:hAnsi="Bookman Old Style"/>
                      <w:i/>
                      <w:spacing w:val="-1"/>
                      <w:sz w:val="20"/>
                      <w:szCs w:val="20"/>
                    </w:rPr>
                    <w:t xml:space="preserve"> </w:t>
                  </w:r>
                  <w:r w:rsidRPr="00A22891">
                    <w:rPr>
                      <w:rFonts w:ascii="Bookman Old Style" w:hAnsi="Bookman Old Style"/>
                      <w:i/>
                      <w:sz w:val="20"/>
                      <w:szCs w:val="20"/>
                    </w:rPr>
                    <w:t>date</w:t>
                  </w:r>
                  <w:r w:rsidRPr="00A22891">
                    <w:rPr>
                      <w:rFonts w:ascii="Bookman Old Style" w:hAnsi="Bookman Old Style"/>
                      <w:i/>
                      <w:spacing w:val="-2"/>
                      <w:sz w:val="20"/>
                      <w:szCs w:val="20"/>
                    </w:rPr>
                    <w:t xml:space="preserve"> </w:t>
                  </w:r>
                  <w:r w:rsidRPr="00A22891">
                    <w:rPr>
                      <w:rFonts w:ascii="Bookman Old Style" w:hAnsi="Bookman Old Style"/>
                      <w:i/>
                      <w:sz w:val="20"/>
                      <w:szCs w:val="20"/>
                    </w:rPr>
                    <w:t>payable</w:t>
                  </w:r>
                  <w:r w:rsidRPr="00A22891">
                    <w:rPr>
                      <w:rFonts w:ascii="Bookman Old Style" w:hAnsi="Bookman Old Style"/>
                      <w:sz w:val="20"/>
                      <w:szCs w:val="20"/>
                    </w:rPr>
                    <w:t>).</w:t>
                  </w:r>
                </w:p>
              </w:tc>
              <w:tc>
                <w:tcPr>
                  <w:tcW w:w="408" w:type="dxa"/>
                  <w:tcBorders>
                    <w:top w:val="nil"/>
                    <w:bottom w:val="nil"/>
                  </w:tcBorders>
                  <w:shd w:val="clear" w:color="auto" w:fill="000000"/>
                </w:tcPr>
                <w:p w14:paraId="3A194842" w14:textId="77777777" w:rsidR="00A22891" w:rsidRPr="00A22891" w:rsidRDefault="00A22891" w:rsidP="00EB4FBC">
                  <w:pPr>
                    <w:framePr w:hSpace="180" w:wrap="around" w:vAnchor="text" w:hAnchor="text" w:y="1"/>
                    <w:spacing w:after="0" w:line="240" w:lineRule="auto"/>
                    <w:suppressOverlap/>
                    <w:rPr>
                      <w:rFonts w:ascii="Bookman Old Style" w:hAnsi="Bookman Old Style"/>
                      <w:sz w:val="20"/>
                      <w:szCs w:val="20"/>
                    </w:rPr>
                  </w:pPr>
                </w:p>
              </w:tc>
              <w:tc>
                <w:tcPr>
                  <w:tcW w:w="2558" w:type="dxa"/>
                  <w:tcBorders>
                    <w:top w:val="nil"/>
                    <w:bottom w:val="nil"/>
                  </w:tcBorders>
                  <w:shd w:val="clear" w:color="auto" w:fill="000000"/>
                </w:tcPr>
                <w:p w14:paraId="76F5DE52"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1E34800E" w14:textId="77777777" w:rsidTr="00EB4FBC">
              <w:trPr>
                <w:trHeight w:val="292"/>
              </w:trPr>
              <w:tc>
                <w:tcPr>
                  <w:tcW w:w="1276" w:type="dxa"/>
                  <w:vMerge/>
                  <w:tcBorders>
                    <w:left w:val="single" w:sz="8" w:space="0" w:color="000000"/>
                    <w:right w:val="single" w:sz="8" w:space="0" w:color="000000"/>
                  </w:tcBorders>
                  <w:shd w:val="clear" w:color="auto" w:fill="C4BC96"/>
                </w:tcPr>
                <w:p w14:paraId="3FFEEE0E"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517" w:type="dxa"/>
                  <w:gridSpan w:val="2"/>
                  <w:tcBorders>
                    <w:top w:val="single" w:sz="8" w:space="0" w:color="000000"/>
                    <w:left w:val="single" w:sz="8" w:space="0" w:color="000000"/>
                    <w:bottom w:val="single" w:sz="4" w:space="0" w:color="auto"/>
                  </w:tcBorders>
                </w:tcPr>
                <w:p w14:paraId="31FF6C26" w14:textId="77777777" w:rsidR="00A22891" w:rsidRPr="00A22891" w:rsidRDefault="00A22891" w:rsidP="00A22891">
                  <w:pPr>
                    <w:framePr w:hSpace="180" w:wrap="around" w:vAnchor="text" w:hAnchor="text" w:y="1"/>
                    <w:suppressOverlap/>
                    <w:jc w:val="center"/>
                    <w:rPr>
                      <w:rFonts w:ascii="Bookman Old Style" w:hAnsi="Bookman Old Style"/>
                      <w:sz w:val="20"/>
                      <w:szCs w:val="20"/>
                      <w:lang w:val="en-US"/>
                    </w:rPr>
                  </w:pPr>
                  <w:r w:rsidRPr="00A22891">
                    <w:rPr>
                      <w:rFonts w:ascii="Bookman Old Style" w:hAnsi="Bookman Old Style"/>
                      <w:sz w:val="20"/>
                      <w:szCs w:val="20"/>
                      <w:lang w:val="en-US"/>
                    </w:rPr>
                    <w:t>4.</w:t>
                  </w:r>
                </w:p>
              </w:tc>
              <w:tc>
                <w:tcPr>
                  <w:tcW w:w="4453" w:type="dxa"/>
                  <w:gridSpan w:val="4"/>
                  <w:tcBorders>
                    <w:top w:val="single" w:sz="8" w:space="0" w:color="000000"/>
                    <w:bottom w:val="single" w:sz="4" w:space="0" w:color="auto"/>
                    <w:right w:val="single" w:sz="8" w:space="0" w:color="000000"/>
                  </w:tcBorders>
                </w:tcPr>
                <w:p w14:paraId="2EE4B836" w14:textId="77777777" w:rsidR="00A22891" w:rsidRPr="00A22891" w:rsidRDefault="00A22891" w:rsidP="00EB4FBC">
                  <w:pPr>
                    <w:framePr w:hSpace="180" w:wrap="around" w:vAnchor="text" w:hAnchor="text" w:y="1"/>
                    <w:spacing w:after="0" w:line="240" w:lineRule="auto"/>
                    <w:ind w:left="147" w:right="122"/>
                    <w:suppressOverlap/>
                    <w:jc w:val="both"/>
                    <w:rPr>
                      <w:rFonts w:ascii="Bookman Old Style" w:hAnsi="Bookman Old Style"/>
                      <w:sz w:val="20"/>
                      <w:szCs w:val="20"/>
                    </w:rPr>
                  </w:pPr>
                  <w:r w:rsidRPr="00A22891">
                    <w:rPr>
                      <w:rFonts w:ascii="Bookman Old Style" w:hAnsi="Bookman Old Style"/>
                      <w:sz w:val="20"/>
                      <w:szCs w:val="20"/>
                    </w:rPr>
                    <w:t xml:space="preserve">NSFR liabilitas </w:t>
                  </w:r>
                  <w:r w:rsidRPr="00A22891">
                    <w:rPr>
                      <w:rFonts w:ascii="Bookman Old Style" w:hAnsi="Bookman Old Style"/>
                      <w:i/>
                      <w:sz w:val="20"/>
                      <w:szCs w:val="20"/>
                    </w:rPr>
                    <w:t xml:space="preserve">hedging </w:t>
                  </w:r>
                  <w:r w:rsidRPr="00A22891">
                    <w:rPr>
                      <w:rFonts w:ascii="Bookman Old Style" w:hAnsi="Bookman Old Style"/>
                      <w:sz w:val="20"/>
                      <w:szCs w:val="20"/>
                    </w:rPr>
                    <w:t xml:space="preserve">syariah yang dikurangkan dengan NSFR aset </w:t>
                  </w:r>
                  <w:r w:rsidRPr="00A22891">
                    <w:rPr>
                      <w:rFonts w:ascii="Bookman Old Style" w:hAnsi="Bookman Old Style"/>
                      <w:i/>
                      <w:sz w:val="20"/>
                      <w:szCs w:val="20"/>
                    </w:rPr>
                    <w:t xml:space="preserve">hedging </w:t>
                  </w:r>
                  <w:r w:rsidRPr="00A22891">
                    <w:rPr>
                      <w:rFonts w:ascii="Bookman Old Style" w:hAnsi="Bookman Old Style"/>
                      <w:sz w:val="20"/>
                      <w:szCs w:val="20"/>
                    </w:rPr>
                    <w:t>syariah.</w:t>
                  </w:r>
                </w:p>
              </w:tc>
              <w:tc>
                <w:tcPr>
                  <w:tcW w:w="408" w:type="dxa"/>
                  <w:tcBorders>
                    <w:top w:val="nil"/>
                    <w:bottom w:val="nil"/>
                  </w:tcBorders>
                  <w:shd w:val="clear" w:color="auto" w:fill="000000"/>
                </w:tcPr>
                <w:p w14:paraId="177BB142"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2558" w:type="dxa"/>
                  <w:tcBorders>
                    <w:top w:val="nil"/>
                    <w:bottom w:val="nil"/>
                  </w:tcBorders>
                  <w:shd w:val="clear" w:color="auto" w:fill="000000"/>
                </w:tcPr>
                <w:p w14:paraId="7F4BE8F2"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r w:rsidR="00A22891" w:rsidRPr="00A22891" w14:paraId="29CAAD8F" w14:textId="77777777" w:rsidTr="00EB4FBC">
              <w:trPr>
                <w:trHeight w:val="292"/>
              </w:trPr>
              <w:tc>
                <w:tcPr>
                  <w:tcW w:w="1276" w:type="dxa"/>
                  <w:vMerge/>
                  <w:tcBorders>
                    <w:left w:val="single" w:sz="8" w:space="0" w:color="000000"/>
                    <w:bottom w:val="single" w:sz="8" w:space="0" w:color="000000"/>
                    <w:right w:val="single" w:sz="4" w:space="0" w:color="auto"/>
                  </w:tcBorders>
                  <w:shd w:val="clear" w:color="auto" w:fill="C4BC96"/>
                </w:tcPr>
                <w:p w14:paraId="5F21618A" w14:textId="77777777" w:rsidR="00A22891" w:rsidRPr="00A22891" w:rsidRDefault="00A22891" w:rsidP="00A22891">
                  <w:pPr>
                    <w:framePr w:hSpace="180" w:wrap="around" w:vAnchor="text" w:hAnchor="text" w:y="1"/>
                    <w:spacing w:line="272" w:lineRule="exact"/>
                    <w:ind w:left="227" w:right="205"/>
                    <w:suppressOverlap/>
                    <w:jc w:val="center"/>
                    <w:rPr>
                      <w:rFonts w:ascii="Bookman Old Style" w:hAnsi="Bookman Old Style"/>
                      <w:b/>
                      <w:sz w:val="20"/>
                      <w:szCs w:val="20"/>
                    </w:rPr>
                  </w:pPr>
                </w:p>
              </w:tc>
              <w:tc>
                <w:tcPr>
                  <w:tcW w:w="517" w:type="dxa"/>
                  <w:gridSpan w:val="2"/>
                  <w:tcBorders>
                    <w:top w:val="single" w:sz="4" w:space="0" w:color="auto"/>
                    <w:left w:val="single" w:sz="4" w:space="0" w:color="auto"/>
                    <w:bottom w:val="single" w:sz="4" w:space="0" w:color="auto"/>
                  </w:tcBorders>
                </w:tcPr>
                <w:p w14:paraId="1EA7DDC7" w14:textId="77777777" w:rsidR="00A22891" w:rsidRPr="00A22891" w:rsidRDefault="00A22891" w:rsidP="00A22891">
                  <w:pPr>
                    <w:framePr w:hSpace="180" w:wrap="around" w:vAnchor="text" w:hAnchor="text" w:y="1"/>
                    <w:suppressOverlap/>
                    <w:jc w:val="center"/>
                    <w:rPr>
                      <w:rFonts w:ascii="Bookman Old Style" w:hAnsi="Bookman Old Style"/>
                      <w:sz w:val="20"/>
                      <w:szCs w:val="20"/>
                      <w:lang w:val="en-US"/>
                    </w:rPr>
                  </w:pPr>
                  <w:r w:rsidRPr="00A22891">
                    <w:rPr>
                      <w:rFonts w:ascii="Bookman Old Style" w:hAnsi="Bookman Old Style"/>
                      <w:sz w:val="20"/>
                      <w:szCs w:val="20"/>
                      <w:lang w:val="en-US"/>
                    </w:rPr>
                    <w:t>5.</w:t>
                  </w:r>
                </w:p>
              </w:tc>
              <w:tc>
                <w:tcPr>
                  <w:tcW w:w="2355" w:type="dxa"/>
                  <w:gridSpan w:val="3"/>
                  <w:tcBorders>
                    <w:top w:val="single" w:sz="4" w:space="0" w:color="auto"/>
                    <w:bottom w:val="single" w:sz="4" w:space="0" w:color="auto"/>
                  </w:tcBorders>
                </w:tcPr>
                <w:p w14:paraId="28F3CB53" w14:textId="77777777" w:rsidR="00A22891" w:rsidRPr="00A22891"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A22891">
                    <w:rPr>
                      <w:rFonts w:ascii="Bookman Old Style" w:hAnsi="Bookman Old Style"/>
                      <w:sz w:val="20"/>
                      <w:szCs w:val="20"/>
                    </w:rPr>
                    <w:t>Pendanaan dari Bank</w:t>
                  </w:r>
                  <w:r w:rsidRPr="00A22891">
                    <w:rPr>
                      <w:rFonts w:ascii="Bookman Old Style" w:hAnsi="Bookman Old Style"/>
                      <w:sz w:val="20"/>
                      <w:szCs w:val="20"/>
                      <w:lang w:val="en-US"/>
                    </w:rPr>
                    <w:t xml:space="preserve"> </w:t>
                  </w:r>
                  <w:r w:rsidRPr="00A22891">
                    <w:rPr>
                      <w:rFonts w:ascii="Bookman Old Style" w:hAnsi="Bookman Old Style"/>
                      <w:sz w:val="20"/>
                      <w:szCs w:val="20"/>
                    </w:rPr>
                    <w:t>Indonesia dan bank</w:t>
                  </w:r>
                  <w:r w:rsidRPr="00A22891">
                    <w:rPr>
                      <w:rFonts w:ascii="Bookman Old Style" w:hAnsi="Bookman Old Style"/>
                      <w:sz w:val="20"/>
                      <w:szCs w:val="20"/>
                      <w:lang w:val="en-US"/>
                    </w:rPr>
                    <w:t xml:space="preserve"> </w:t>
                  </w:r>
                  <w:r w:rsidRPr="00A22891">
                    <w:rPr>
                      <w:rFonts w:ascii="Bookman Old Style" w:hAnsi="Bookman Old Style"/>
                      <w:sz w:val="20"/>
                      <w:szCs w:val="20"/>
                    </w:rPr>
                    <w:t>sentral negara lain, sert</w:t>
                  </w:r>
                  <w:r w:rsidRPr="00A22891">
                    <w:rPr>
                      <w:rFonts w:ascii="Bookman Old Style" w:hAnsi="Bookman Old Style"/>
                      <w:sz w:val="20"/>
                      <w:szCs w:val="20"/>
                      <w:lang w:val="en-US"/>
                    </w:rPr>
                    <w:t xml:space="preserve">a </w:t>
                  </w:r>
                  <w:r w:rsidRPr="00A22891">
                    <w:rPr>
                      <w:rFonts w:ascii="Bookman Old Style" w:hAnsi="Bookman Old Style"/>
                      <w:sz w:val="20"/>
                      <w:szCs w:val="20"/>
                    </w:rPr>
                    <w:t>lembaga keuangan.</w:t>
                  </w:r>
                </w:p>
              </w:tc>
              <w:tc>
                <w:tcPr>
                  <w:tcW w:w="2098" w:type="dxa"/>
                  <w:tcBorders>
                    <w:top w:val="single" w:sz="4" w:space="0" w:color="auto"/>
                    <w:bottom w:val="single" w:sz="4" w:space="0" w:color="auto"/>
                    <w:right w:val="single" w:sz="4" w:space="0" w:color="auto"/>
                  </w:tcBorders>
                  <w:shd w:val="clear" w:color="auto" w:fill="000000" w:themeFill="text1"/>
                </w:tcPr>
                <w:p w14:paraId="2BCBF330" w14:textId="77777777" w:rsidR="00A22891" w:rsidRPr="00A22891" w:rsidRDefault="00A22891" w:rsidP="00A22891">
                  <w:pPr>
                    <w:framePr w:hSpace="180" w:wrap="around" w:vAnchor="text" w:hAnchor="text" w:y="1"/>
                    <w:ind w:left="147"/>
                    <w:suppressOverlap/>
                    <w:rPr>
                      <w:rFonts w:ascii="Bookman Old Style" w:hAnsi="Bookman Old Style"/>
                      <w:sz w:val="20"/>
                      <w:szCs w:val="20"/>
                    </w:rPr>
                  </w:pPr>
                </w:p>
              </w:tc>
              <w:tc>
                <w:tcPr>
                  <w:tcW w:w="408" w:type="dxa"/>
                  <w:tcBorders>
                    <w:top w:val="nil"/>
                    <w:left w:val="single" w:sz="4" w:space="0" w:color="auto"/>
                  </w:tcBorders>
                  <w:shd w:val="clear" w:color="auto" w:fill="000000"/>
                </w:tcPr>
                <w:p w14:paraId="4A3D4F94" w14:textId="77777777" w:rsidR="00A22891" w:rsidRPr="00A22891" w:rsidRDefault="00A22891" w:rsidP="00A22891">
                  <w:pPr>
                    <w:framePr w:hSpace="180" w:wrap="around" w:vAnchor="text" w:hAnchor="text" w:y="1"/>
                    <w:suppressOverlap/>
                    <w:rPr>
                      <w:rFonts w:ascii="Bookman Old Style" w:hAnsi="Bookman Old Style"/>
                      <w:sz w:val="20"/>
                      <w:szCs w:val="20"/>
                    </w:rPr>
                  </w:pPr>
                </w:p>
              </w:tc>
              <w:tc>
                <w:tcPr>
                  <w:tcW w:w="2558" w:type="dxa"/>
                  <w:tcBorders>
                    <w:top w:val="nil"/>
                  </w:tcBorders>
                  <w:shd w:val="clear" w:color="auto" w:fill="000000"/>
                </w:tcPr>
                <w:p w14:paraId="2D22C41F" w14:textId="77777777" w:rsidR="00A22891" w:rsidRPr="00A22891" w:rsidRDefault="00A22891" w:rsidP="00A22891">
                  <w:pPr>
                    <w:framePr w:hSpace="180" w:wrap="around" w:vAnchor="text" w:hAnchor="text" w:y="1"/>
                    <w:suppressOverlap/>
                    <w:rPr>
                      <w:rFonts w:ascii="Bookman Old Style" w:hAnsi="Bookman Old Style"/>
                      <w:sz w:val="20"/>
                      <w:szCs w:val="20"/>
                    </w:rPr>
                  </w:pPr>
                </w:p>
              </w:tc>
            </w:tr>
          </w:tbl>
          <w:p w14:paraId="6DB0EA57" w14:textId="0A45686A" w:rsidR="00A22891" w:rsidRPr="00A22891" w:rsidRDefault="00A22891" w:rsidP="00A22891">
            <w:pPr>
              <w:rPr>
                <w:rFonts w:eastAsia="Times New Roman" w:cs="Arial"/>
                <w:sz w:val="24"/>
                <w:szCs w:val="24"/>
              </w:rPr>
            </w:pPr>
          </w:p>
        </w:tc>
        <w:tc>
          <w:tcPr>
            <w:tcW w:w="3686" w:type="dxa"/>
            <w:shd w:val="clear" w:color="auto" w:fill="auto"/>
            <w:vAlign w:val="center"/>
          </w:tcPr>
          <w:p w14:paraId="371B049E"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228CE25D"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64526A41" w14:textId="77777777" w:rsidTr="00A22891">
        <w:trPr>
          <w:trHeight w:val="564"/>
          <w:tblHeader/>
        </w:trPr>
        <w:tc>
          <w:tcPr>
            <w:tcW w:w="9634" w:type="dxa"/>
            <w:shd w:val="clear" w:color="auto" w:fill="FFF2CC" w:themeFill="accent4" w:themeFillTint="33"/>
            <w:vAlign w:val="center"/>
          </w:tcPr>
          <w:p w14:paraId="0E2C4EF1" w14:textId="0CD9A7C7" w:rsidR="00A22891" w:rsidRPr="00A22891" w:rsidRDefault="00A22891" w:rsidP="00A32F86">
            <w:pPr>
              <w:pStyle w:val="ListParagraph"/>
              <w:numPr>
                <w:ilvl w:val="5"/>
                <w:numId w:val="28"/>
              </w:numPr>
              <w:ind w:left="1134" w:hanging="567"/>
              <w:rPr>
                <w:rFonts w:ascii="Bookman Old Style" w:eastAsia="Times New Roman" w:hAnsi="Bookman Old Style" w:cs="Arial"/>
                <w:sz w:val="20"/>
                <w:szCs w:val="20"/>
              </w:rPr>
            </w:pPr>
            <w:r w:rsidRPr="00A22891">
              <w:rPr>
                <w:rFonts w:ascii="Bookman Old Style" w:eastAsia="Times New Roman" w:hAnsi="Bookman Old Style" w:cs="Arial"/>
                <w:sz w:val="20"/>
                <w:szCs w:val="20"/>
              </w:rPr>
              <w:lastRenderedPageBreak/>
              <w:t>Penetapan Faktor RSF untuk Aset Berdasarkan Sisa Jangka Waktu</w:t>
            </w:r>
          </w:p>
        </w:tc>
        <w:tc>
          <w:tcPr>
            <w:tcW w:w="3686" w:type="dxa"/>
            <w:shd w:val="clear" w:color="auto" w:fill="auto"/>
            <w:vAlign w:val="center"/>
          </w:tcPr>
          <w:p w14:paraId="54DD3E67"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46AFE0DD"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22B4CAED" w14:textId="77777777" w:rsidTr="006A283D">
        <w:trPr>
          <w:trHeight w:val="564"/>
          <w:tblHeader/>
        </w:trPr>
        <w:tc>
          <w:tcPr>
            <w:tcW w:w="9634" w:type="dxa"/>
            <w:shd w:val="clear" w:color="auto" w:fill="auto"/>
            <w:vAlign w:val="center"/>
          </w:tcPr>
          <w:p w14:paraId="45CA66FD" w14:textId="77777777" w:rsidR="00A22891" w:rsidRDefault="00A22891" w:rsidP="002F3310">
            <w:pPr>
              <w:pStyle w:val="ListParagraph"/>
              <w:spacing w:after="0" w:line="240" w:lineRule="auto"/>
              <w:ind w:left="160"/>
              <w:rPr>
                <w:rFonts w:eastAsia="Times New Roman" w:cs="Arial"/>
                <w:sz w:val="24"/>
                <w:szCs w:val="24"/>
              </w:rPr>
            </w:pPr>
          </w:p>
          <w:tbl>
            <w:tblPr>
              <w:tblW w:w="8800"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9"/>
              <w:gridCol w:w="470"/>
              <w:gridCol w:w="15"/>
              <w:gridCol w:w="2678"/>
              <w:gridCol w:w="385"/>
              <w:gridCol w:w="1599"/>
              <w:gridCol w:w="2694"/>
            </w:tblGrid>
            <w:tr w:rsidR="00A22891" w:rsidRPr="00EB4FBC" w14:paraId="5B1E78FB" w14:textId="77777777" w:rsidTr="007A2AAB">
              <w:trPr>
                <w:trHeight w:val="294"/>
                <w:tblHeader/>
              </w:trPr>
              <w:tc>
                <w:tcPr>
                  <w:tcW w:w="959" w:type="dxa"/>
                  <w:vMerge w:val="restart"/>
                  <w:shd w:val="clear" w:color="auto" w:fill="DDD9C4"/>
                </w:tcPr>
                <w:p w14:paraId="25E4C9F1"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r w:rsidRPr="00EB4FBC">
                    <w:rPr>
                      <w:rFonts w:ascii="Bookman Old Style" w:hAnsi="Bookman Old Style"/>
                      <w:b/>
                      <w:sz w:val="20"/>
                      <w:szCs w:val="20"/>
                    </w:rPr>
                    <w:lastRenderedPageBreak/>
                    <w:t>Faktor ASF</w:t>
                  </w:r>
                </w:p>
              </w:tc>
              <w:tc>
                <w:tcPr>
                  <w:tcW w:w="7841" w:type="dxa"/>
                  <w:gridSpan w:val="6"/>
                  <w:shd w:val="clear" w:color="auto" w:fill="DDD9C4"/>
                </w:tcPr>
                <w:p w14:paraId="5523D7E6"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r w:rsidRPr="00EB4FBC">
                    <w:rPr>
                      <w:rFonts w:ascii="Bookman Old Style" w:hAnsi="Bookman Old Style"/>
                      <w:b/>
                      <w:sz w:val="20"/>
                      <w:szCs w:val="20"/>
                    </w:rPr>
                    <w:t>Komponen Kategori RSF Berdasarkan Sisa Jangka Waktu</w:t>
                  </w:r>
                </w:p>
              </w:tc>
            </w:tr>
            <w:tr w:rsidR="00A22891" w:rsidRPr="00EB4FBC" w14:paraId="64E262CA" w14:textId="77777777" w:rsidTr="007A2AAB">
              <w:trPr>
                <w:trHeight w:val="291"/>
                <w:tblHeader/>
              </w:trPr>
              <w:tc>
                <w:tcPr>
                  <w:tcW w:w="959" w:type="dxa"/>
                  <w:vMerge/>
                  <w:tcBorders>
                    <w:top w:val="nil"/>
                  </w:tcBorders>
                  <w:shd w:val="clear" w:color="auto" w:fill="DDD9C4"/>
                </w:tcPr>
                <w:p w14:paraId="3B141AA3"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3163" w:type="dxa"/>
                  <w:gridSpan w:val="3"/>
                  <w:shd w:val="clear" w:color="auto" w:fill="DDD9C4"/>
                </w:tcPr>
                <w:p w14:paraId="0D4EB6CF" w14:textId="77777777" w:rsidR="00A22891" w:rsidRPr="00EB4FBC" w:rsidRDefault="00A22891" w:rsidP="00EB4FBC">
                  <w:pPr>
                    <w:pStyle w:val="TableParagraph"/>
                    <w:framePr w:hSpace="180" w:wrap="around" w:vAnchor="text" w:hAnchor="text" w:y="1"/>
                    <w:ind w:left="147" w:right="138"/>
                    <w:suppressOverlap/>
                    <w:jc w:val="center"/>
                    <w:rPr>
                      <w:rFonts w:ascii="Bookman Old Style" w:hAnsi="Bookman Old Style"/>
                      <w:b/>
                      <w:sz w:val="20"/>
                      <w:szCs w:val="20"/>
                    </w:rPr>
                  </w:pPr>
                  <w:r w:rsidRPr="00EB4FBC">
                    <w:rPr>
                      <w:rFonts w:ascii="Bookman Old Style" w:hAnsi="Bookman Old Style"/>
                      <w:b/>
                      <w:sz w:val="20"/>
                      <w:szCs w:val="20"/>
                    </w:rPr>
                    <w:t>&lt; 6 bulan</w:t>
                  </w:r>
                </w:p>
              </w:tc>
              <w:tc>
                <w:tcPr>
                  <w:tcW w:w="1984" w:type="dxa"/>
                  <w:gridSpan w:val="2"/>
                  <w:shd w:val="clear" w:color="auto" w:fill="DDD9C4"/>
                </w:tcPr>
                <w:p w14:paraId="1FC7E3A4" w14:textId="77777777" w:rsidR="00A22891" w:rsidRPr="00EB4FBC" w:rsidRDefault="00A22891" w:rsidP="00EB4FBC">
                  <w:pPr>
                    <w:pStyle w:val="TableParagraph"/>
                    <w:framePr w:hSpace="180" w:wrap="around" w:vAnchor="text" w:hAnchor="text" w:y="1"/>
                    <w:ind w:left="147" w:right="138"/>
                    <w:suppressOverlap/>
                    <w:jc w:val="center"/>
                    <w:rPr>
                      <w:rFonts w:ascii="Bookman Old Style" w:hAnsi="Bookman Old Style"/>
                      <w:b/>
                      <w:sz w:val="20"/>
                      <w:szCs w:val="20"/>
                    </w:rPr>
                  </w:pPr>
                  <w:r w:rsidRPr="00EB4FBC">
                    <w:rPr>
                      <w:rFonts w:ascii="Bookman Old Style" w:hAnsi="Bookman Old Style"/>
                      <w:b/>
                      <w:sz w:val="20"/>
                      <w:szCs w:val="20"/>
                    </w:rPr>
                    <w:t>6 bulan – 1 tahun</w:t>
                  </w:r>
                </w:p>
              </w:tc>
              <w:tc>
                <w:tcPr>
                  <w:tcW w:w="2694" w:type="dxa"/>
                  <w:shd w:val="clear" w:color="auto" w:fill="DDD9C4"/>
                </w:tcPr>
                <w:p w14:paraId="5274C625" w14:textId="77777777" w:rsidR="00A22891" w:rsidRPr="00EB4FBC" w:rsidRDefault="00A22891" w:rsidP="00EB4FBC">
                  <w:pPr>
                    <w:pStyle w:val="TableParagraph"/>
                    <w:framePr w:hSpace="180" w:wrap="around" w:vAnchor="text" w:hAnchor="text" w:y="1"/>
                    <w:ind w:left="147" w:right="138"/>
                    <w:suppressOverlap/>
                    <w:jc w:val="center"/>
                    <w:rPr>
                      <w:rFonts w:ascii="Bookman Old Style" w:hAnsi="Bookman Old Style"/>
                      <w:b/>
                      <w:sz w:val="20"/>
                      <w:szCs w:val="20"/>
                    </w:rPr>
                  </w:pPr>
                  <w:r w:rsidRPr="00EB4FBC">
                    <w:rPr>
                      <w:rFonts w:ascii="Bookman Old Style" w:hAnsi="Bookman Old Style"/>
                      <w:b/>
                      <w:sz w:val="20"/>
                      <w:szCs w:val="20"/>
                    </w:rPr>
                    <w:t>≥ 1 tahun</w:t>
                  </w:r>
                </w:p>
              </w:tc>
            </w:tr>
            <w:tr w:rsidR="00A22891" w:rsidRPr="00EB4FBC" w14:paraId="35CBB4DB" w14:textId="77777777" w:rsidTr="007A2AAB">
              <w:trPr>
                <w:trHeight w:val="871"/>
              </w:trPr>
              <w:tc>
                <w:tcPr>
                  <w:tcW w:w="959" w:type="dxa"/>
                  <w:vMerge w:val="restart"/>
                  <w:shd w:val="clear" w:color="auto" w:fill="DDD9C4"/>
                </w:tcPr>
                <w:p w14:paraId="5BF4C80E"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p w14:paraId="58ABB7C5"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p w14:paraId="4EB5F5FA"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p w14:paraId="35AA69DD"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r w:rsidRPr="00EB4FBC">
                    <w:rPr>
                      <w:rFonts w:ascii="Bookman Old Style" w:hAnsi="Bookman Old Style"/>
                      <w:b/>
                      <w:sz w:val="20"/>
                      <w:szCs w:val="20"/>
                    </w:rPr>
                    <w:t>0%</w:t>
                  </w:r>
                </w:p>
              </w:tc>
              <w:tc>
                <w:tcPr>
                  <w:tcW w:w="470" w:type="dxa"/>
                  <w:tcBorders>
                    <w:bottom w:val="nil"/>
                    <w:right w:val="nil"/>
                  </w:tcBorders>
                </w:tcPr>
                <w:p w14:paraId="65AC084B" w14:textId="77777777" w:rsidR="00A22891" w:rsidRPr="00EB4FBC" w:rsidRDefault="00A22891" w:rsidP="00EB4FBC">
                  <w:pPr>
                    <w:framePr w:hSpace="180" w:wrap="around" w:vAnchor="text" w:hAnchor="text" w:y="1"/>
                    <w:spacing w:after="0" w:line="240" w:lineRule="auto"/>
                    <w:ind w:left="50" w:right="138"/>
                    <w:suppressOverlap/>
                    <w:jc w:val="both"/>
                    <w:rPr>
                      <w:rFonts w:ascii="Bookman Old Style" w:hAnsi="Bookman Old Style"/>
                      <w:sz w:val="20"/>
                      <w:szCs w:val="20"/>
                    </w:rPr>
                  </w:pPr>
                  <w:r w:rsidRPr="00EB4FBC">
                    <w:rPr>
                      <w:rFonts w:ascii="Bookman Old Style" w:hAnsi="Bookman Old Style"/>
                      <w:sz w:val="20"/>
                      <w:szCs w:val="20"/>
                    </w:rPr>
                    <w:t>1.</w:t>
                  </w:r>
                </w:p>
              </w:tc>
              <w:tc>
                <w:tcPr>
                  <w:tcW w:w="2693" w:type="dxa"/>
                  <w:gridSpan w:val="2"/>
                  <w:tcBorders>
                    <w:left w:val="nil"/>
                    <w:bottom w:val="nil"/>
                    <w:right w:val="nil"/>
                  </w:tcBorders>
                </w:tcPr>
                <w:p w14:paraId="13C70A41"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rPr>
                    <w:t>Tagihan kepada Bank Indonesia (contoh: SBI) dan bank sentral negara lain.</w:t>
                  </w:r>
                </w:p>
              </w:tc>
              <w:tc>
                <w:tcPr>
                  <w:tcW w:w="4678" w:type="dxa"/>
                  <w:gridSpan w:val="3"/>
                  <w:tcBorders>
                    <w:top w:val="nil"/>
                    <w:left w:val="nil"/>
                    <w:bottom w:val="nil"/>
                    <w:right w:val="nil"/>
                  </w:tcBorders>
                  <w:shd w:val="clear" w:color="auto" w:fill="000000"/>
                </w:tcPr>
                <w:p w14:paraId="55E10D65"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r>
            <w:tr w:rsidR="00A22891" w:rsidRPr="00EB4FBC" w14:paraId="4C238136" w14:textId="77777777" w:rsidTr="007A2AAB">
              <w:trPr>
                <w:trHeight w:val="316"/>
              </w:trPr>
              <w:tc>
                <w:tcPr>
                  <w:tcW w:w="959" w:type="dxa"/>
                  <w:vMerge/>
                  <w:tcBorders>
                    <w:top w:val="nil"/>
                  </w:tcBorders>
                  <w:shd w:val="clear" w:color="auto" w:fill="DDD9C4"/>
                </w:tcPr>
                <w:p w14:paraId="62E6153D"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470" w:type="dxa"/>
                  <w:tcBorders>
                    <w:top w:val="nil"/>
                    <w:bottom w:val="nil"/>
                    <w:right w:val="nil"/>
                  </w:tcBorders>
                </w:tcPr>
                <w:p w14:paraId="2FC9C3A4" w14:textId="77777777" w:rsidR="00A22891" w:rsidRPr="00EB4FBC" w:rsidRDefault="00A22891" w:rsidP="00EB4FBC">
                  <w:pPr>
                    <w:pStyle w:val="TableParagraph"/>
                    <w:framePr w:hSpace="180" w:wrap="around" w:vAnchor="text" w:hAnchor="text" w:y="1"/>
                    <w:ind w:left="50" w:right="138"/>
                    <w:suppressOverlap/>
                    <w:jc w:val="both"/>
                    <w:rPr>
                      <w:rFonts w:ascii="Bookman Old Style" w:hAnsi="Bookman Old Style"/>
                      <w:sz w:val="20"/>
                      <w:szCs w:val="20"/>
                    </w:rPr>
                  </w:pPr>
                  <w:r w:rsidRPr="00EB4FBC">
                    <w:rPr>
                      <w:rFonts w:ascii="Bookman Old Style" w:hAnsi="Bookman Old Style"/>
                      <w:sz w:val="20"/>
                      <w:szCs w:val="20"/>
                    </w:rPr>
                    <w:t>2.</w:t>
                  </w:r>
                </w:p>
              </w:tc>
              <w:tc>
                <w:tcPr>
                  <w:tcW w:w="2693" w:type="dxa"/>
                  <w:gridSpan w:val="2"/>
                  <w:tcBorders>
                    <w:top w:val="nil"/>
                    <w:left w:val="nil"/>
                    <w:bottom w:val="nil"/>
                    <w:right w:val="nil"/>
                  </w:tcBorders>
                </w:tcPr>
                <w:p w14:paraId="6A63356E" w14:textId="77777777" w:rsidR="00A22891" w:rsidRPr="00EB4FBC" w:rsidRDefault="00A22891" w:rsidP="00EB4FBC">
                  <w:pPr>
                    <w:pStyle w:val="TableParagraph"/>
                    <w:framePr w:hSpace="180" w:wrap="around" w:vAnchor="text" w:hAnchor="text" w:y="1"/>
                    <w:ind w:left="147" w:right="138"/>
                    <w:suppressOverlap/>
                    <w:jc w:val="both"/>
                    <w:rPr>
                      <w:rFonts w:ascii="Bookman Old Style" w:hAnsi="Bookman Old Style"/>
                      <w:sz w:val="20"/>
                      <w:szCs w:val="20"/>
                    </w:rPr>
                  </w:pPr>
                  <w:r w:rsidRPr="00EB4FBC">
                    <w:rPr>
                      <w:rFonts w:ascii="Bookman Old Style" w:hAnsi="Bookman Old Style"/>
                      <w:sz w:val="20"/>
                      <w:szCs w:val="20"/>
                    </w:rPr>
                    <w:t>Kas dan setara kas.</w:t>
                  </w:r>
                </w:p>
              </w:tc>
              <w:tc>
                <w:tcPr>
                  <w:tcW w:w="1984" w:type="dxa"/>
                  <w:gridSpan w:val="2"/>
                  <w:tcBorders>
                    <w:top w:val="nil"/>
                    <w:left w:val="nil"/>
                    <w:bottom w:val="nil"/>
                    <w:right w:val="nil"/>
                  </w:tcBorders>
                </w:tcPr>
                <w:p w14:paraId="7B05A868" w14:textId="77777777" w:rsidR="00A22891" w:rsidRPr="00EB4FBC" w:rsidRDefault="00A22891" w:rsidP="00EB4FBC">
                  <w:pPr>
                    <w:pStyle w:val="TableParagraph"/>
                    <w:framePr w:hSpace="180" w:wrap="around" w:vAnchor="text" w:hAnchor="text" w:y="1"/>
                    <w:ind w:left="147" w:right="138"/>
                    <w:suppressOverlap/>
                    <w:jc w:val="both"/>
                    <w:rPr>
                      <w:rFonts w:ascii="Bookman Old Style" w:hAnsi="Bookman Old Style"/>
                      <w:sz w:val="20"/>
                      <w:szCs w:val="20"/>
                    </w:rPr>
                  </w:pPr>
                </w:p>
              </w:tc>
              <w:tc>
                <w:tcPr>
                  <w:tcW w:w="2694" w:type="dxa"/>
                  <w:tcBorders>
                    <w:top w:val="nil"/>
                    <w:left w:val="nil"/>
                    <w:bottom w:val="nil"/>
                  </w:tcBorders>
                </w:tcPr>
                <w:p w14:paraId="231A89C1" w14:textId="77777777" w:rsidR="00A22891" w:rsidRPr="00EB4FBC" w:rsidRDefault="00A22891" w:rsidP="00EB4FBC">
                  <w:pPr>
                    <w:pStyle w:val="TableParagraph"/>
                    <w:framePr w:hSpace="180" w:wrap="around" w:vAnchor="text" w:hAnchor="text" w:y="1"/>
                    <w:ind w:left="147" w:right="138"/>
                    <w:suppressOverlap/>
                    <w:jc w:val="both"/>
                    <w:rPr>
                      <w:rFonts w:ascii="Bookman Old Style" w:hAnsi="Bookman Old Style"/>
                      <w:sz w:val="20"/>
                      <w:szCs w:val="20"/>
                    </w:rPr>
                  </w:pPr>
                </w:p>
              </w:tc>
            </w:tr>
            <w:tr w:rsidR="00A22891" w:rsidRPr="00EB4FBC" w14:paraId="1638CF10" w14:textId="77777777" w:rsidTr="007A2AAB">
              <w:trPr>
                <w:trHeight w:val="293"/>
              </w:trPr>
              <w:tc>
                <w:tcPr>
                  <w:tcW w:w="959" w:type="dxa"/>
                  <w:vMerge/>
                  <w:tcBorders>
                    <w:top w:val="nil"/>
                  </w:tcBorders>
                  <w:shd w:val="clear" w:color="auto" w:fill="DDD9C4"/>
                </w:tcPr>
                <w:p w14:paraId="0920D521"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470" w:type="dxa"/>
                  <w:tcBorders>
                    <w:top w:val="nil"/>
                    <w:bottom w:val="nil"/>
                    <w:right w:val="nil"/>
                  </w:tcBorders>
                </w:tcPr>
                <w:p w14:paraId="4B9D04AA" w14:textId="77777777" w:rsidR="00A22891" w:rsidRPr="00EB4FBC" w:rsidRDefault="00A22891" w:rsidP="00EB4FBC">
                  <w:pPr>
                    <w:pStyle w:val="TableParagraph"/>
                    <w:framePr w:hSpace="180" w:wrap="around" w:vAnchor="text" w:hAnchor="text" w:y="1"/>
                    <w:ind w:left="50" w:right="138"/>
                    <w:suppressOverlap/>
                    <w:jc w:val="both"/>
                    <w:rPr>
                      <w:rFonts w:ascii="Bookman Old Style" w:hAnsi="Bookman Old Style"/>
                      <w:sz w:val="20"/>
                      <w:szCs w:val="20"/>
                    </w:rPr>
                  </w:pPr>
                  <w:r w:rsidRPr="00EB4FBC">
                    <w:rPr>
                      <w:rFonts w:ascii="Bookman Old Style" w:hAnsi="Bookman Old Style"/>
                      <w:sz w:val="20"/>
                      <w:szCs w:val="20"/>
                    </w:rPr>
                    <w:t>3.</w:t>
                  </w:r>
                </w:p>
              </w:tc>
              <w:tc>
                <w:tcPr>
                  <w:tcW w:w="4677" w:type="dxa"/>
                  <w:gridSpan w:val="4"/>
                  <w:tcBorders>
                    <w:top w:val="nil"/>
                    <w:left w:val="nil"/>
                    <w:bottom w:val="nil"/>
                    <w:right w:val="nil"/>
                  </w:tcBorders>
                </w:tcPr>
                <w:p w14:paraId="61C8D801" w14:textId="77777777" w:rsidR="00A22891" w:rsidRPr="00EB4FBC" w:rsidRDefault="00A22891" w:rsidP="00EB4FBC">
                  <w:pPr>
                    <w:pStyle w:val="TableParagraph"/>
                    <w:framePr w:hSpace="180" w:wrap="around" w:vAnchor="text" w:hAnchor="text" w:y="1"/>
                    <w:ind w:left="147" w:right="138"/>
                    <w:suppressOverlap/>
                    <w:jc w:val="both"/>
                    <w:rPr>
                      <w:rFonts w:ascii="Bookman Old Style" w:hAnsi="Bookman Old Style"/>
                      <w:sz w:val="20"/>
                      <w:szCs w:val="20"/>
                    </w:rPr>
                  </w:pPr>
                  <w:r w:rsidRPr="00EB4FBC">
                    <w:rPr>
                      <w:rFonts w:ascii="Bookman Old Style" w:hAnsi="Bookman Old Style"/>
                      <w:sz w:val="20"/>
                      <w:szCs w:val="20"/>
                    </w:rPr>
                    <w:t>Penempatan pada Bank Indonesia.</w:t>
                  </w:r>
                </w:p>
              </w:tc>
              <w:tc>
                <w:tcPr>
                  <w:tcW w:w="2694" w:type="dxa"/>
                  <w:tcBorders>
                    <w:top w:val="nil"/>
                    <w:left w:val="nil"/>
                    <w:bottom w:val="nil"/>
                  </w:tcBorders>
                </w:tcPr>
                <w:p w14:paraId="71138DEE" w14:textId="77777777" w:rsidR="00A22891" w:rsidRPr="00EB4FBC" w:rsidRDefault="00A22891" w:rsidP="00EB4FBC">
                  <w:pPr>
                    <w:pStyle w:val="TableParagraph"/>
                    <w:framePr w:hSpace="180" w:wrap="around" w:vAnchor="text" w:hAnchor="text" w:y="1"/>
                    <w:ind w:left="147" w:right="138"/>
                    <w:suppressOverlap/>
                    <w:jc w:val="both"/>
                    <w:rPr>
                      <w:rFonts w:ascii="Bookman Old Style" w:hAnsi="Bookman Old Style"/>
                      <w:sz w:val="20"/>
                      <w:szCs w:val="20"/>
                    </w:rPr>
                  </w:pPr>
                </w:p>
              </w:tc>
            </w:tr>
            <w:tr w:rsidR="00A22891" w:rsidRPr="00EB4FBC" w14:paraId="43D83804" w14:textId="77777777" w:rsidTr="00EB4FBC">
              <w:trPr>
                <w:trHeight w:val="675"/>
              </w:trPr>
              <w:tc>
                <w:tcPr>
                  <w:tcW w:w="959" w:type="dxa"/>
                  <w:vMerge/>
                  <w:tcBorders>
                    <w:top w:val="nil"/>
                  </w:tcBorders>
                  <w:shd w:val="clear" w:color="auto" w:fill="DDD9C4"/>
                </w:tcPr>
                <w:p w14:paraId="1C6C45FF"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470" w:type="dxa"/>
                  <w:tcBorders>
                    <w:top w:val="nil"/>
                    <w:right w:val="nil"/>
                  </w:tcBorders>
                </w:tcPr>
                <w:p w14:paraId="00C60F6C" w14:textId="77777777" w:rsidR="00A22891" w:rsidRPr="00EB4FBC" w:rsidRDefault="00A22891" w:rsidP="00EB4FBC">
                  <w:pPr>
                    <w:pStyle w:val="TableParagraph"/>
                    <w:framePr w:hSpace="180" w:wrap="around" w:vAnchor="text" w:hAnchor="text" w:y="1"/>
                    <w:ind w:left="50" w:right="138"/>
                    <w:suppressOverlap/>
                    <w:jc w:val="both"/>
                    <w:rPr>
                      <w:rFonts w:ascii="Bookman Old Style" w:hAnsi="Bookman Old Style"/>
                      <w:sz w:val="20"/>
                      <w:szCs w:val="20"/>
                    </w:rPr>
                  </w:pPr>
                  <w:r w:rsidRPr="00EB4FBC">
                    <w:rPr>
                      <w:rFonts w:ascii="Bookman Old Style" w:hAnsi="Bookman Old Style"/>
                      <w:sz w:val="20"/>
                      <w:szCs w:val="20"/>
                    </w:rPr>
                    <w:t>4.</w:t>
                  </w:r>
                </w:p>
              </w:tc>
              <w:tc>
                <w:tcPr>
                  <w:tcW w:w="7371" w:type="dxa"/>
                  <w:gridSpan w:val="5"/>
                  <w:tcBorders>
                    <w:top w:val="nil"/>
                    <w:left w:val="nil"/>
                  </w:tcBorders>
                </w:tcPr>
                <w:p w14:paraId="494A5629" w14:textId="77777777" w:rsidR="00A22891" w:rsidRPr="00EB4FBC" w:rsidRDefault="00A22891" w:rsidP="00EB4FBC">
                  <w:pPr>
                    <w:pStyle w:val="TableParagraph"/>
                    <w:framePr w:hSpace="180" w:wrap="around" w:vAnchor="text" w:hAnchor="text" w:y="1"/>
                    <w:ind w:left="147" w:right="138"/>
                    <w:suppressOverlap/>
                    <w:jc w:val="both"/>
                    <w:rPr>
                      <w:rFonts w:ascii="Bookman Old Style" w:hAnsi="Bookman Old Style"/>
                      <w:sz w:val="20"/>
                      <w:szCs w:val="20"/>
                    </w:rPr>
                  </w:pPr>
                  <w:r w:rsidRPr="00EB4FBC">
                    <w:rPr>
                      <w:rFonts w:ascii="Bookman Old Style" w:hAnsi="Bookman Old Style"/>
                      <w:sz w:val="20"/>
                      <w:szCs w:val="20"/>
                    </w:rPr>
                    <w:t>Piutang tanggal perdagangan (</w:t>
                  </w:r>
                  <w:r w:rsidRPr="00EB4FBC">
                    <w:rPr>
                      <w:rFonts w:ascii="Bookman Old Style" w:hAnsi="Bookman Old Style"/>
                      <w:i/>
                      <w:sz w:val="20"/>
                      <w:szCs w:val="20"/>
                    </w:rPr>
                    <w:t>trade date receivable</w:t>
                  </w:r>
                  <w:r w:rsidRPr="00EB4FBC">
                    <w:rPr>
                      <w:rFonts w:ascii="Bookman Old Style" w:hAnsi="Bookman Old Style"/>
                      <w:sz w:val="20"/>
                      <w:szCs w:val="20"/>
                    </w:rPr>
                    <w:t>) yang muncul dari penjualan</w:t>
                  </w:r>
                  <w:r w:rsidRPr="00EB4FBC">
                    <w:rPr>
                      <w:rFonts w:ascii="Bookman Old Style" w:hAnsi="Bookman Old Style"/>
                      <w:sz w:val="20"/>
                      <w:szCs w:val="20"/>
                      <w:lang w:val="en-US"/>
                    </w:rPr>
                    <w:t xml:space="preserve"> </w:t>
                  </w:r>
                  <w:r w:rsidRPr="00EB4FBC">
                    <w:rPr>
                      <w:rFonts w:ascii="Bookman Old Style" w:hAnsi="Bookman Old Style"/>
                      <w:sz w:val="20"/>
                      <w:szCs w:val="20"/>
                    </w:rPr>
                    <w:t>instrumen keuangan, mata uang asing, atau komoditas yang memenuhi persyaratan tertentu.</w:t>
                  </w:r>
                </w:p>
              </w:tc>
            </w:tr>
            <w:tr w:rsidR="00A22891" w:rsidRPr="00EB4FBC" w14:paraId="70D476F5" w14:textId="77777777" w:rsidTr="00EB4FBC">
              <w:trPr>
                <w:trHeight w:val="657"/>
              </w:trPr>
              <w:tc>
                <w:tcPr>
                  <w:tcW w:w="959" w:type="dxa"/>
                  <w:shd w:val="clear" w:color="auto" w:fill="DDD9C4"/>
                </w:tcPr>
                <w:p w14:paraId="58E9BD94"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p w14:paraId="1A1AC596"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r w:rsidRPr="00EB4FBC">
                    <w:rPr>
                      <w:rFonts w:ascii="Bookman Old Style" w:hAnsi="Bookman Old Style"/>
                      <w:b/>
                      <w:sz w:val="20"/>
                      <w:szCs w:val="20"/>
                    </w:rPr>
                    <w:t>5%</w:t>
                  </w:r>
                </w:p>
              </w:tc>
              <w:tc>
                <w:tcPr>
                  <w:tcW w:w="7841" w:type="dxa"/>
                  <w:gridSpan w:val="6"/>
                </w:tcPr>
                <w:p w14:paraId="101AD7C6" w14:textId="77777777" w:rsidR="00A22891" w:rsidRPr="00EB4FBC" w:rsidRDefault="00A22891" w:rsidP="00EB4FBC">
                  <w:pPr>
                    <w:framePr w:hSpace="180" w:wrap="around" w:vAnchor="text" w:hAnchor="text" w:y="1"/>
                    <w:spacing w:after="0" w:line="240" w:lineRule="auto"/>
                    <w:ind w:left="617" w:right="138"/>
                    <w:suppressOverlap/>
                    <w:jc w:val="both"/>
                    <w:rPr>
                      <w:rFonts w:ascii="Bookman Old Style" w:hAnsi="Bookman Old Style"/>
                      <w:sz w:val="20"/>
                      <w:szCs w:val="20"/>
                    </w:rPr>
                  </w:pPr>
                  <w:r w:rsidRPr="00EB4FBC">
                    <w:rPr>
                      <w:rFonts w:ascii="Bookman Old Style" w:hAnsi="Bookman Old Style"/>
                      <w:sz w:val="20"/>
                      <w:szCs w:val="20"/>
                    </w:rPr>
                    <w:t>HQLA Level 1 yang bebas dari segala klaim (</w:t>
                  </w:r>
                  <w:r w:rsidRPr="00EB4FBC">
                    <w:rPr>
                      <w:rFonts w:ascii="Bookman Old Style" w:hAnsi="Bookman Old Style"/>
                      <w:i/>
                      <w:sz w:val="20"/>
                      <w:szCs w:val="20"/>
                    </w:rPr>
                    <w:t>unencumbered</w:t>
                  </w:r>
                  <w:r w:rsidRPr="00EB4FBC">
                    <w:rPr>
                      <w:rFonts w:ascii="Bookman Old Style" w:hAnsi="Bookman Old Style"/>
                      <w:sz w:val="20"/>
                      <w:szCs w:val="20"/>
                    </w:rPr>
                    <w:t>), tidak termasuk aset yang mendapatkan faktor RSF 0% (termasuk SBI</w:t>
                  </w:r>
                  <w:r w:rsidRPr="00EB4FBC">
                    <w:rPr>
                      <w:rFonts w:ascii="Bookman Old Style" w:hAnsi="Bookman Old Style"/>
                      <w:sz w:val="20"/>
                      <w:szCs w:val="20"/>
                      <w:lang w:val="en-US"/>
                    </w:rPr>
                    <w:t>S</w:t>
                  </w:r>
                  <w:r w:rsidRPr="00EB4FBC">
                    <w:rPr>
                      <w:rFonts w:ascii="Bookman Old Style" w:hAnsi="Bookman Old Style"/>
                      <w:sz w:val="20"/>
                      <w:szCs w:val="20"/>
                    </w:rPr>
                    <w:t xml:space="preserve"> dengan sisa jangka waktu lebih besar dari 6 bulan).</w:t>
                  </w:r>
                </w:p>
              </w:tc>
            </w:tr>
            <w:tr w:rsidR="00A22891" w:rsidRPr="00EB4FBC" w14:paraId="4B2562A1" w14:textId="77777777" w:rsidTr="007A2AAB">
              <w:trPr>
                <w:trHeight w:val="1173"/>
              </w:trPr>
              <w:tc>
                <w:tcPr>
                  <w:tcW w:w="959" w:type="dxa"/>
                  <w:shd w:val="clear" w:color="auto" w:fill="DDD9C4"/>
                  <w:vAlign w:val="center"/>
                </w:tcPr>
                <w:p w14:paraId="21E47F67"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r w:rsidRPr="00EB4FBC">
                    <w:rPr>
                      <w:rFonts w:ascii="Bookman Old Style" w:hAnsi="Bookman Old Style"/>
                      <w:b/>
                      <w:sz w:val="20"/>
                      <w:szCs w:val="20"/>
                    </w:rPr>
                    <w:t>10%</w:t>
                  </w:r>
                </w:p>
              </w:tc>
              <w:tc>
                <w:tcPr>
                  <w:tcW w:w="3163" w:type="dxa"/>
                  <w:gridSpan w:val="3"/>
                </w:tcPr>
                <w:p w14:paraId="55F8698F" w14:textId="77777777" w:rsidR="00A22891" w:rsidRPr="00EB4FBC" w:rsidRDefault="00A22891" w:rsidP="00EB4FBC">
                  <w:pPr>
                    <w:framePr w:hSpace="180" w:wrap="around" w:vAnchor="text" w:hAnchor="text" w:y="1"/>
                    <w:spacing w:after="0" w:line="240" w:lineRule="auto"/>
                    <w:ind w:left="617" w:right="138"/>
                    <w:suppressOverlap/>
                    <w:jc w:val="both"/>
                    <w:rPr>
                      <w:rFonts w:ascii="Bookman Old Style" w:hAnsi="Bookman Old Style"/>
                      <w:sz w:val="20"/>
                      <w:szCs w:val="20"/>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 Dalam Perhatian Khusus (</w:t>
                  </w:r>
                  <w:r w:rsidRPr="00EB4FBC">
                    <w:rPr>
                      <w:rFonts w:ascii="Bookman Old Style" w:hAnsi="Bookman Old Style"/>
                      <w:i/>
                      <w:sz w:val="20"/>
                      <w:szCs w:val="20"/>
                    </w:rPr>
                    <w:t>performing</w:t>
                  </w:r>
                  <w:r w:rsidRPr="00EB4FBC">
                    <w:rPr>
                      <w:rFonts w:ascii="Bookman Old Style" w:hAnsi="Bookman Old Style"/>
                      <w:sz w:val="20"/>
                      <w:szCs w:val="20"/>
                    </w:rPr>
                    <w:t>) kepada</w:t>
                  </w:r>
                  <w:r w:rsidRPr="00EB4FBC">
                    <w:rPr>
                      <w:rFonts w:ascii="Bookman Old Style" w:hAnsi="Bookman Old Style"/>
                      <w:sz w:val="20"/>
                      <w:szCs w:val="20"/>
                      <w:lang w:val="en-US"/>
                    </w:rPr>
                    <w:t xml:space="preserve"> </w:t>
                  </w:r>
                  <w:r w:rsidRPr="00EB4FBC">
                    <w:rPr>
                      <w:rFonts w:ascii="Bookman Old Style" w:hAnsi="Bookman Old Style"/>
                      <w:sz w:val="20"/>
                      <w:szCs w:val="20"/>
                    </w:rPr>
                    <w:t>lembaga     keuangan</w:t>
                  </w:r>
                  <w:r w:rsidRPr="00EB4FBC">
                    <w:rPr>
                      <w:rFonts w:ascii="Bookman Old Style" w:hAnsi="Bookman Old Style"/>
                      <w:sz w:val="20"/>
                      <w:szCs w:val="20"/>
                      <w:lang w:val="en-US"/>
                    </w:rPr>
                    <w:t xml:space="preserve"> </w:t>
                  </w:r>
                  <w:r w:rsidRPr="00EB4FBC">
                    <w:rPr>
                      <w:rFonts w:ascii="Bookman Old Style" w:hAnsi="Bookman Old Style"/>
                      <w:sz w:val="20"/>
                      <w:szCs w:val="20"/>
                    </w:rPr>
                    <w:t>yang</w:t>
                  </w:r>
                  <w:r w:rsidRPr="00EB4FBC">
                    <w:rPr>
                      <w:rFonts w:ascii="Bookman Old Style" w:hAnsi="Bookman Old Style"/>
                      <w:sz w:val="20"/>
                      <w:szCs w:val="20"/>
                      <w:lang w:val="en-US"/>
                    </w:rPr>
                    <w:t xml:space="preserve"> </w:t>
                  </w:r>
                  <w:r w:rsidRPr="00EB4FBC">
                    <w:rPr>
                      <w:rFonts w:ascii="Bookman Old Style" w:hAnsi="Bookman Old Style"/>
                      <w:sz w:val="20"/>
                      <w:szCs w:val="20"/>
                    </w:rPr>
                    <w:t>bebas</w:t>
                  </w:r>
                  <w:r w:rsidRPr="00EB4FBC">
                    <w:rPr>
                      <w:rFonts w:ascii="Bookman Old Style" w:hAnsi="Bookman Old Style"/>
                      <w:sz w:val="20"/>
                      <w:szCs w:val="20"/>
                      <w:lang w:val="en-US"/>
                    </w:rPr>
                    <w:t xml:space="preserve"> </w:t>
                  </w:r>
                  <w:r w:rsidRPr="00EB4FBC">
                    <w:rPr>
                      <w:rFonts w:ascii="Bookman Old Style" w:hAnsi="Bookman Old Style"/>
                      <w:sz w:val="20"/>
                      <w:szCs w:val="20"/>
                    </w:rPr>
                    <w:t>dari segala</w:t>
                  </w:r>
                  <w:r w:rsidRPr="00EB4FBC">
                    <w:rPr>
                      <w:rFonts w:ascii="Bookman Old Style" w:hAnsi="Bookman Old Style"/>
                      <w:sz w:val="20"/>
                      <w:szCs w:val="20"/>
                      <w:lang w:val="en-US"/>
                    </w:rPr>
                    <w:t xml:space="preserve"> </w:t>
                  </w:r>
                  <w:r w:rsidRPr="00EB4FBC">
                    <w:rPr>
                      <w:rFonts w:ascii="Bookman Old Style" w:hAnsi="Bookman Old Style"/>
                      <w:sz w:val="20"/>
                      <w:szCs w:val="20"/>
                    </w:rPr>
                    <w:t>klaim (</w:t>
                  </w:r>
                  <w:r w:rsidRPr="00EB4FBC">
                    <w:rPr>
                      <w:rFonts w:ascii="Bookman Old Style" w:hAnsi="Bookman Old Style"/>
                      <w:i/>
                      <w:sz w:val="20"/>
                      <w:szCs w:val="20"/>
                    </w:rPr>
                    <w:t>unencumbered</w:t>
                  </w:r>
                  <w:r w:rsidRPr="00EB4FBC">
                    <w:rPr>
                      <w:rFonts w:ascii="Bookman Old Style" w:hAnsi="Bookman Old Style"/>
                      <w:sz w:val="20"/>
                      <w:szCs w:val="20"/>
                    </w:rPr>
                    <w:t>)</w:t>
                  </w:r>
                  <w:r w:rsidRPr="00EB4FBC">
                    <w:rPr>
                      <w:rFonts w:ascii="Bookman Old Style" w:hAnsi="Bookman Old Style"/>
                      <w:sz w:val="20"/>
                      <w:szCs w:val="20"/>
                      <w:lang w:val="en-US"/>
                    </w:rPr>
                    <w:t xml:space="preserve"> </w:t>
                  </w:r>
                  <w:r w:rsidRPr="00EB4FBC">
                    <w:rPr>
                      <w:rFonts w:ascii="Bookman Old Style" w:hAnsi="Bookman Old Style"/>
                      <w:sz w:val="20"/>
                      <w:szCs w:val="20"/>
                    </w:rPr>
                    <w:t>dan memenuhi</w:t>
                  </w:r>
                  <w:r w:rsidRPr="00EB4FBC">
                    <w:rPr>
                      <w:rFonts w:ascii="Bookman Old Style" w:hAnsi="Bookman Old Style"/>
                      <w:sz w:val="20"/>
                      <w:szCs w:val="20"/>
                      <w:lang w:val="en-US"/>
                    </w:rPr>
                    <w:t xml:space="preserve"> </w:t>
                  </w:r>
                  <w:r w:rsidRPr="00EB4FBC">
                    <w:rPr>
                      <w:rFonts w:ascii="Bookman Old Style" w:hAnsi="Bookman Old Style"/>
                      <w:sz w:val="20"/>
                      <w:szCs w:val="20"/>
                    </w:rPr>
                    <w:t>persyaratan</w:t>
                  </w:r>
                  <w:r w:rsidRPr="00EB4FBC">
                    <w:rPr>
                      <w:rFonts w:ascii="Bookman Old Style" w:hAnsi="Bookman Old Style"/>
                      <w:sz w:val="20"/>
                      <w:szCs w:val="20"/>
                      <w:lang w:val="en-US"/>
                    </w:rPr>
                    <w:t xml:space="preserve"> </w:t>
                  </w:r>
                  <w:r w:rsidRPr="00EB4FBC">
                    <w:rPr>
                      <w:rFonts w:ascii="Bookman Old Style" w:hAnsi="Bookman Old Style"/>
                      <w:sz w:val="20"/>
                      <w:szCs w:val="20"/>
                    </w:rPr>
                    <w:t>tertentu.</w:t>
                  </w:r>
                </w:p>
              </w:tc>
              <w:tc>
                <w:tcPr>
                  <w:tcW w:w="4678" w:type="dxa"/>
                  <w:gridSpan w:val="3"/>
                  <w:tcBorders>
                    <w:top w:val="nil"/>
                    <w:left w:val="nil"/>
                    <w:bottom w:val="nil"/>
                    <w:right w:val="nil"/>
                  </w:tcBorders>
                  <w:shd w:val="clear" w:color="auto" w:fill="000000"/>
                </w:tcPr>
                <w:p w14:paraId="35F6764E"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r>
            <w:tr w:rsidR="00A22891" w:rsidRPr="00EB4FBC" w14:paraId="51CC897D" w14:textId="77777777" w:rsidTr="007A2AAB">
              <w:trPr>
                <w:trHeight w:val="1173"/>
              </w:trPr>
              <w:tc>
                <w:tcPr>
                  <w:tcW w:w="959" w:type="dxa"/>
                  <w:vMerge w:val="restart"/>
                  <w:shd w:val="clear" w:color="auto" w:fill="DDD9C4"/>
                  <w:vAlign w:val="center"/>
                </w:tcPr>
                <w:p w14:paraId="7445A196"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r w:rsidRPr="00EB4FBC">
                    <w:rPr>
                      <w:rFonts w:ascii="Bookman Old Style" w:hAnsi="Bookman Old Style"/>
                      <w:b/>
                      <w:sz w:val="20"/>
                      <w:szCs w:val="20"/>
                      <w:lang w:val="en-US"/>
                    </w:rPr>
                    <w:t>15%</w:t>
                  </w:r>
                </w:p>
              </w:tc>
              <w:tc>
                <w:tcPr>
                  <w:tcW w:w="485" w:type="dxa"/>
                  <w:gridSpan w:val="2"/>
                  <w:tcBorders>
                    <w:bottom w:val="single" w:sz="8" w:space="0" w:color="000000"/>
                    <w:right w:val="nil"/>
                  </w:tcBorders>
                  <w:vAlign w:val="center"/>
                </w:tcPr>
                <w:p w14:paraId="2E54F54C" w14:textId="77777777" w:rsidR="00A22891" w:rsidRPr="00EB4FBC" w:rsidRDefault="00A22891" w:rsidP="00EB4FBC">
                  <w:pPr>
                    <w:framePr w:hSpace="180" w:wrap="around" w:vAnchor="text" w:hAnchor="text" w:y="1"/>
                    <w:spacing w:after="0" w:line="240" w:lineRule="auto"/>
                    <w:ind w:left="617" w:right="138"/>
                    <w:suppressOverlap/>
                    <w:jc w:val="center"/>
                    <w:rPr>
                      <w:rFonts w:ascii="Bookman Old Style" w:hAnsi="Bookman Old Style"/>
                      <w:sz w:val="20"/>
                      <w:szCs w:val="20"/>
                    </w:rPr>
                  </w:pPr>
                </w:p>
                <w:p w14:paraId="0C533D8E" w14:textId="77777777" w:rsidR="00A22891" w:rsidRPr="00EB4FBC" w:rsidRDefault="00A22891" w:rsidP="00EB4FBC">
                  <w:pPr>
                    <w:framePr w:hSpace="180" w:wrap="around" w:vAnchor="text" w:hAnchor="text" w:y="1"/>
                    <w:spacing w:after="0" w:line="240" w:lineRule="auto"/>
                    <w:ind w:right="8"/>
                    <w:suppressOverlap/>
                    <w:jc w:val="center"/>
                    <w:rPr>
                      <w:rFonts w:ascii="Bookman Old Style" w:hAnsi="Bookman Old Style"/>
                      <w:sz w:val="20"/>
                      <w:szCs w:val="20"/>
                      <w:lang w:val="en-US"/>
                    </w:rPr>
                  </w:pPr>
                  <w:r w:rsidRPr="00EB4FBC">
                    <w:rPr>
                      <w:rFonts w:ascii="Bookman Old Style" w:hAnsi="Bookman Old Style"/>
                      <w:sz w:val="20"/>
                      <w:szCs w:val="20"/>
                      <w:lang w:val="en-US"/>
                    </w:rPr>
                    <w:t>1.</w:t>
                  </w:r>
                </w:p>
              </w:tc>
              <w:tc>
                <w:tcPr>
                  <w:tcW w:w="2678" w:type="dxa"/>
                  <w:tcBorders>
                    <w:left w:val="nil"/>
                    <w:bottom w:val="single" w:sz="8" w:space="0" w:color="000000"/>
                  </w:tcBorders>
                </w:tcPr>
                <w:p w14:paraId="706D1500" w14:textId="77777777" w:rsidR="00A22891" w:rsidRPr="00EB4FBC" w:rsidRDefault="00A22891" w:rsidP="00EB4FBC">
                  <w:pPr>
                    <w:framePr w:hSpace="180" w:wrap="around" w:vAnchor="text" w:hAnchor="text" w:y="1"/>
                    <w:spacing w:after="0" w:line="240" w:lineRule="auto"/>
                    <w:ind w:left="133" w:right="138"/>
                    <w:suppressOverlap/>
                    <w:jc w:val="both"/>
                    <w:rPr>
                      <w:rFonts w:ascii="Bookman Old Style" w:hAnsi="Bookman Old Style"/>
                      <w:sz w:val="20"/>
                      <w:szCs w:val="20"/>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w:t>
                  </w:r>
                  <w:r w:rsidRPr="00EB4FBC">
                    <w:rPr>
                      <w:rFonts w:ascii="Bookman Old Style" w:hAnsi="Bookman Old Style"/>
                      <w:sz w:val="20"/>
                      <w:szCs w:val="20"/>
                      <w:lang w:val="en-US"/>
                    </w:rPr>
                    <w:t xml:space="preserve"> </w:t>
                  </w:r>
                  <w:r w:rsidRPr="00EB4FBC">
                    <w:rPr>
                      <w:rFonts w:ascii="Bookman Old Style" w:hAnsi="Bookman Old Style"/>
                      <w:sz w:val="20"/>
                      <w:szCs w:val="20"/>
                    </w:rPr>
                    <w:t>Dalam Perhatian Khusus</w:t>
                  </w:r>
                  <w:r w:rsidRPr="00EB4FBC">
                    <w:rPr>
                      <w:rFonts w:ascii="Bookman Old Style" w:hAnsi="Bookman Old Style"/>
                      <w:sz w:val="20"/>
                      <w:szCs w:val="20"/>
                      <w:lang w:val="en-US"/>
                    </w:rPr>
                    <w:t xml:space="preserve"> </w:t>
                  </w:r>
                  <w:r w:rsidRPr="00EB4FBC">
                    <w:rPr>
                      <w:rFonts w:ascii="Bookman Old Style" w:hAnsi="Bookman Old Style"/>
                      <w:sz w:val="20"/>
                      <w:szCs w:val="20"/>
                    </w:rPr>
                    <w:t>(</w:t>
                  </w:r>
                  <w:r w:rsidRPr="00EB4FBC">
                    <w:rPr>
                      <w:rFonts w:ascii="Bookman Old Style" w:hAnsi="Bookman Old Style"/>
                      <w:i/>
                      <w:sz w:val="20"/>
                      <w:szCs w:val="20"/>
                    </w:rPr>
                    <w:t>performing</w:t>
                  </w:r>
                  <w:r w:rsidRPr="00EB4FBC">
                    <w:rPr>
                      <w:rFonts w:ascii="Bookman Old Style" w:hAnsi="Bookman Old Style"/>
                      <w:sz w:val="20"/>
                      <w:szCs w:val="20"/>
                    </w:rPr>
                    <w:t>) lainnya kepada lembaga keuangan yang bebas dari segala</w:t>
                  </w:r>
                  <w:r w:rsidRPr="00EB4FBC">
                    <w:rPr>
                      <w:rFonts w:ascii="Bookman Old Style" w:hAnsi="Bookman Old Style"/>
                      <w:sz w:val="20"/>
                      <w:szCs w:val="20"/>
                      <w:lang w:val="en-US"/>
                    </w:rPr>
                    <w:t xml:space="preserve"> </w:t>
                  </w:r>
                  <w:r w:rsidRPr="00EB4FBC">
                    <w:rPr>
                      <w:rFonts w:ascii="Bookman Old Style" w:hAnsi="Bookman Old Style"/>
                      <w:sz w:val="20"/>
                      <w:szCs w:val="20"/>
                    </w:rPr>
                    <w:t>klaim (</w:t>
                  </w:r>
                  <w:r w:rsidRPr="00EB4FBC">
                    <w:rPr>
                      <w:rFonts w:ascii="Bookman Old Style" w:hAnsi="Bookman Old Style"/>
                      <w:i/>
                      <w:sz w:val="20"/>
                      <w:szCs w:val="20"/>
                    </w:rPr>
                    <w:t>unencumbered</w:t>
                  </w:r>
                  <w:r w:rsidRPr="00EB4FBC">
                    <w:rPr>
                      <w:rFonts w:ascii="Bookman Old Style" w:hAnsi="Bookman Old Style"/>
                      <w:sz w:val="20"/>
                      <w:szCs w:val="20"/>
                    </w:rPr>
                    <w:t>) dan tidak memenuhi</w:t>
                  </w:r>
                  <w:r w:rsidRPr="00EB4FBC">
                    <w:rPr>
                      <w:rFonts w:ascii="Bookman Old Style" w:hAnsi="Bookman Old Style"/>
                      <w:sz w:val="20"/>
                      <w:szCs w:val="20"/>
                      <w:lang w:val="en-US"/>
                    </w:rPr>
                    <w:t xml:space="preserve"> </w:t>
                  </w:r>
                  <w:r w:rsidRPr="00EB4FBC">
                    <w:rPr>
                      <w:rFonts w:ascii="Bookman Old Style" w:hAnsi="Bookman Old Style"/>
                      <w:sz w:val="20"/>
                      <w:szCs w:val="20"/>
                    </w:rPr>
                    <w:t>persyaratan pada aset yang dikenakan bobot faktor RSF 10%.</w:t>
                  </w:r>
                </w:p>
              </w:tc>
              <w:tc>
                <w:tcPr>
                  <w:tcW w:w="4678" w:type="dxa"/>
                  <w:gridSpan w:val="3"/>
                  <w:tcBorders>
                    <w:top w:val="nil"/>
                    <w:left w:val="nil"/>
                    <w:bottom w:val="nil"/>
                    <w:right w:val="nil"/>
                  </w:tcBorders>
                  <w:shd w:val="clear" w:color="auto" w:fill="000000"/>
                </w:tcPr>
                <w:p w14:paraId="23CB857B"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r>
            <w:tr w:rsidR="00A22891" w:rsidRPr="00EB4FBC" w14:paraId="336E8622" w14:textId="77777777" w:rsidTr="00EB4FBC">
              <w:trPr>
                <w:trHeight w:val="529"/>
              </w:trPr>
              <w:tc>
                <w:tcPr>
                  <w:tcW w:w="959" w:type="dxa"/>
                  <w:vMerge/>
                  <w:tcBorders>
                    <w:right w:val="single" w:sz="4" w:space="0" w:color="auto"/>
                  </w:tcBorders>
                  <w:shd w:val="clear" w:color="auto" w:fill="DDD9C4"/>
                </w:tcPr>
                <w:p w14:paraId="2EC35707"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485" w:type="dxa"/>
                  <w:gridSpan w:val="2"/>
                  <w:tcBorders>
                    <w:left w:val="single" w:sz="4" w:space="0" w:color="auto"/>
                    <w:right w:val="nil"/>
                  </w:tcBorders>
                </w:tcPr>
                <w:p w14:paraId="16EE807C" w14:textId="77777777" w:rsidR="00A22891" w:rsidRPr="00EB4FBC" w:rsidRDefault="00A22891" w:rsidP="00EB4FBC">
                  <w:pPr>
                    <w:framePr w:hSpace="180" w:wrap="around" w:vAnchor="text" w:hAnchor="text" w:y="1"/>
                    <w:spacing w:after="0" w:line="240" w:lineRule="auto"/>
                    <w:suppressOverlap/>
                    <w:jc w:val="center"/>
                    <w:rPr>
                      <w:rFonts w:ascii="Bookman Old Style" w:hAnsi="Bookman Old Style"/>
                      <w:sz w:val="20"/>
                      <w:szCs w:val="20"/>
                      <w:lang w:val="en-US"/>
                    </w:rPr>
                  </w:pPr>
                  <w:r w:rsidRPr="00EB4FBC">
                    <w:rPr>
                      <w:rFonts w:ascii="Bookman Old Style" w:hAnsi="Bookman Old Style"/>
                      <w:sz w:val="20"/>
                      <w:szCs w:val="20"/>
                      <w:lang w:val="en-US"/>
                    </w:rPr>
                    <w:t>2.</w:t>
                  </w:r>
                </w:p>
              </w:tc>
              <w:tc>
                <w:tcPr>
                  <w:tcW w:w="7356" w:type="dxa"/>
                  <w:gridSpan w:val="4"/>
                  <w:tcBorders>
                    <w:left w:val="nil"/>
                    <w:right w:val="single" w:sz="4" w:space="0" w:color="auto"/>
                  </w:tcBorders>
                </w:tcPr>
                <w:p w14:paraId="56C3DFD3"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rPr>
                    <w:t xml:space="preserve">HQLA Level 2A yang bebas dari segala klaim (unencumbered), sebagaimana dimaksud dalam </w:t>
                  </w:r>
                  <w:r w:rsidRPr="00EB4FBC">
                    <w:rPr>
                      <w:rFonts w:ascii="Bookman Old Style" w:hAnsi="Bookman Old Style"/>
                      <w:sz w:val="20"/>
                      <w:szCs w:val="20"/>
                      <w:lang w:val="en-US"/>
                    </w:rPr>
                    <w:t xml:space="preserve">Lampiran I </w:t>
                  </w:r>
                  <w:r w:rsidRPr="00EB4FBC">
                    <w:rPr>
                      <w:rFonts w:ascii="Bookman Old Style" w:hAnsi="Bookman Old Style"/>
                      <w:sz w:val="20"/>
                      <w:szCs w:val="20"/>
                    </w:rPr>
                    <w:t xml:space="preserve">POJK </w:t>
                  </w:r>
                  <w:r w:rsidRPr="00EB4FBC">
                    <w:rPr>
                      <w:rFonts w:ascii="Bookman Old Style" w:hAnsi="Bookman Old Style"/>
                      <w:sz w:val="20"/>
                      <w:szCs w:val="20"/>
                      <w:lang w:val="en-US"/>
                    </w:rPr>
                    <w:t>ini.</w:t>
                  </w:r>
                </w:p>
              </w:tc>
            </w:tr>
            <w:tr w:rsidR="00A22891" w:rsidRPr="00EB4FBC" w14:paraId="19B94A7B" w14:textId="77777777" w:rsidTr="00EB4FBC">
              <w:trPr>
                <w:trHeight w:val="551"/>
              </w:trPr>
              <w:tc>
                <w:tcPr>
                  <w:tcW w:w="959" w:type="dxa"/>
                  <w:vMerge w:val="restart"/>
                  <w:tcBorders>
                    <w:right w:val="single" w:sz="4" w:space="0" w:color="auto"/>
                  </w:tcBorders>
                  <w:shd w:val="clear" w:color="auto" w:fill="DDD9C4"/>
                  <w:vAlign w:val="center"/>
                </w:tcPr>
                <w:p w14:paraId="321C9015"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0CD04548"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2CFE91DB"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3D2E48F6"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33B1ED5E"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4BEC0D7C"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39CE1BD3"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330E35F6"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4338DCB5"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7777EA63"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4E67C19D"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7D7B825E"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0645444B"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2A599357"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49763CE2" w14:textId="77777777" w:rsidR="00A22891" w:rsidRPr="00EB4FBC" w:rsidRDefault="00A22891" w:rsidP="00EB4FBC">
                  <w:pPr>
                    <w:framePr w:hSpace="180" w:wrap="around" w:vAnchor="text" w:hAnchor="text" w:y="1"/>
                    <w:spacing w:after="0" w:line="240" w:lineRule="auto"/>
                    <w:ind w:right="138"/>
                    <w:suppressOverlap/>
                    <w:rPr>
                      <w:rFonts w:ascii="Bookman Old Style" w:hAnsi="Bookman Old Style"/>
                      <w:b/>
                      <w:sz w:val="20"/>
                      <w:szCs w:val="20"/>
                      <w:lang w:val="en-US"/>
                    </w:rPr>
                  </w:pPr>
                </w:p>
                <w:p w14:paraId="580A807E"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p w14:paraId="25F04C2C"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r w:rsidRPr="00EB4FBC">
                    <w:rPr>
                      <w:rFonts w:ascii="Bookman Old Style" w:hAnsi="Bookman Old Style"/>
                      <w:b/>
                      <w:sz w:val="20"/>
                      <w:szCs w:val="20"/>
                      <w:lang w:val="en-US"/>
                    </w:rPr>
                    <w:t>50%</w:t>
                  </w:r>
                </w:p>
              </w:tc>
              <w:tc>
                <w:tcPr>
                  <w:tcW w:w="485" w:type="dxa"/>
                  <w:gridSpan w:val="2"/>
                  <w:tcBorders>
                    <w:left w:val="single" w:sz="4" w:space="0" w:color="auto"/>
                    <w:right w:val="nil"/>
                  </w:tcBorders>
                  <w:vAlign w:val="center"/>
                </w:tcPr>
                <w:p w14:paraId="0EA70B21" w14:textId="77777777" w:rsidR="00A22891" w:rsidRPr="00EB4FBC" w:rsidRDefault="00A22891" w:rsidP="00EB4FBC">
                  <w:pPr>
                    <w:framePr w:hSpace="180" w:wrap="around" w:vAnchor="text" w:hAnchor="text" w:y="1"/>
                    <w:spacing w:after="0" w:line="240" w:lineRule="auto"/>
                    <w:suppressOverlap/>
                    <w:jc w:val="center"/>
                    <w:rPr>
                      <w:rFonts w:ascii="Bookman Old Style" w:hAnsi="Bookman Old Style"/>
                      <w:sz w:val="20"/>
                      <w:szCs w:val="20"/>
                      <w:lang w:val="en-US"/>
                    </w:rPr>
                  </w:pPr>
                  <w:r w:rsidRPr="00EB4FBC">
                    <w:rPr>
                      <w:rFonts w:ascii="Bookman Old Style" w:hAnsi="Bookman Old Style"/>
                      <w:sz w:val="20"/>
                      <w:szCs w:val="20"/>
                      <w:lang w:val="en-US"/>
                    </w:rPr>
                    <w:t>1.</w:t>
                  </w:r>
                </w:p>
              </w:tc>
              <w:tc>
                <w:tcPr>
                  <w:tcW w:w="7356" w:type="dxa"/>
                  <w:gridSpan w:val="4"/>
                  <w:tcBorders>
                    <w:left w:val="nil"/>
                    <w:right w:val="single" w:sz="4" w:space="0" w:color="auto"/>
                  </w:tcBorders>
                </w:tcPr>
                <w:p w14:paraId="3962ADFB"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rPr>
                    <w:t xml:space="preserve">HQLA level 2B yang bebas dari segala klaim (unencumbered), sebagaimana dimaksud dalam </w:t>
                  </w:r>
                  <w:r w:rsidRPr="00EB4FBC">
                    <w:rPr>
                      <w:rFonts w:ascii="Bookman Old Style" w:hAnsi="Bookman Old Style"/>
                      <w:sz w:val="20"/>
                      <w:szCs w:val="20"/>
                      <w:lang w:val="en-US"/>
                    </w:rPr>
                    <w:t xml:space="preserve">Lampiran I </w:t>
                  </w:r>
                  <w:r w:rsidRPr="00EB4FBC">
                    <w:rPr>
                      <w:rFonts w:ascii="Bookman Old Style" w:hAnsi="Bookman Old Style"/>
                      <w:sz w:val="20"/>
                      <w:szCs w:val="20"/>
                    </w:rPr>
                    <w:t xml:space="preserve">POJK </w:t>
                  </w:r>
                  <w:r w:rsidRPr="00EB4FBC">
                    <w:rPr>
                      <w:rFonts w:ascii="Bookman Old Style" w:hAnsi="Bookman Old Style"/>
                      <w:sz w:val="20"/>
                      <w:szCs w:val="20"/>
                      <w:lang w:val="en-US"/>
                    </w:rPr>
                    <w:t>ini.</w:t>
                  </w:r>
                  <w:r w:rsidRPr="00EB4FBC">
                    <w:rPr>
                      <w:rFonts w:ascii="Bookman Old Style" w:hAnsi="Bookman Old Style"/>
                      <w:sz w:val="20"/>
                      <w:szCs w:val="20"/>
                    </w:rPr>
                    <w:t>.</w:t>
                  </w:r>
                </w:p>
              </w:tc>
            </w:tr>
            <w:tr w:rsidR="00A22891" w:rsidRPr="00EB4FBC" w14:paraId="5915AC29" w14:textId="77777777" w:rsidTr="00EB4FBC">
              <w:trPr>
                <w:trHeight w:val="544"/>
              </w:trPr>
              <w:tc>
                <w:tcPr>
                  <w:tcW w:w="959" w:type="dxa"/>
                  <w:vMerge/>
                  <w:tcBorders>
                    <w:right w:val="single" w:sz="4" w:space="0" w:color="auto"/>
                  </w:tcBorders>
                  <w:shd w:val="clear" w:color="auto" w:fill="DDD9C4"/>
                </w:tcPr>
                <w:p w14:paraId="746B116B"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485" w:type="dxa"/>
                  <w:gridSpan w:val="2"/>
                  <w:tcBorders>
                    <w:left w:val="single" w:sz="4" w:space="0" w:color="auto"/>
                    <w:right w:val="nil"/>
                  </w:tcBorders>
                  <w:vAlign w:val="center"/>
                </w:tcPr>
                <w:p w14:paraId="4A8833AD" w14:textId="77777777" w:rsidR="00A22891" w:rsidRPr="00EB4FBC" w:rsidRDefault="00A22891" w:rsidP="00EB4FBC">
                  <w:pPr>
                    <w:framePr w:hSpace="180" w:wrap="around" w:vAnchor="text" w:hAnchor="text" w:y="1"/>
                    <w:spacing w:after="0" w:line="240" w:lineRule="auto"/>
                    <w:suppressOverlap/>
                    <w:jc w:val="center"/>
                    <w:rPr>
                      <w:rFonts w:ascii="Bookman Old Style" w:hAnsi="Bookman Old Style"/>
                      <w:sz w:val="20"/>
                      <w:szCs w:val="20"/>
                      <w:lang w:val="en-US"/>
                    </w:rPr>
                  </w:pPr>
                  <w:r w:rsidRPr="00EB4FBC">
                    <w:rPr>
                      <w:rFonts w:ascii="Bookman Old Style" w:hAnsi="Bookman Old Style"/>
                      <w:sz w:val="20"/>
                      <w:szCs w:val="20"/>
                      <w:lang w:val="en-US"/>
                    </w:rPr>
                    <w:t>2.</w:t>
                  </w:r>
                </w:p>
              </w:tc>
              <w:tc>
                <w:tcPr>
                  <w:tcW w:w="7356" w:type="dxa"/>
                  <w:gridSpan w:val="4"/>
                  <w:tcBorders>
                    <w:left w:val="nil"/>
                    <w:right w:val="single" w:sz="4" w:space="0" w:color="auto"/>
                  </w:tcBorders>
                </w:tcPr>
                <w:p w14:paraId="66334CC9"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lang w:val="en-US"/>
                    </w:rPr>
                    <w:t xml:space="preserve">Pendanaan </w:t>
                  </w:r>
                  <w:r w:rsidRPr="00EB4FBC">
                    <w:rPr>
                      <w:rFonts w:ascii="Bookman Old Style" w:hAnsi="Bookman Old Style"/>
                      <w:sz w:val="20"/>
                      <w:szCs w:val="20"/>
                    </w:rPr>
                    <w:t>pada bank lain</w:t>
                  </w:r>
                  <w:r w:rsidRPr="00EB4FBC">
                    <w:rPr>
                      <w:rFonts w:ascii="Bookman Old Style" w:hAnsi="Bookman Old Style"/>
                      <w:sz w:val="20"/>
                      <w:szCs w:val="20"/>
                      <w:lang w:val="en-US"/>
                    </w:rPr>
                    <w:t xml:space="preserve"> </w:t>
                  </w:r>
                  <w:r w:rsidRPr="00EB4FBC">
                    <w:rPr>
                      <w:rFonts w:ascii="Bookman Old Style" w:hAnsi="Bookman Old Style"/>
                      <w:sz w:val="20"/>
                      <w:szCs w:val="20"/>
                    </w:rPr>
                    <w:t xml:space="preserve">untuk tujuan operasional sebagaimana dimaksud dalam </w:t>
                  </w:r>
                  <w:r w:rsidRPr="00EB4FBC">
                    <w:rPr>
                      <w:rFonts w:ascii="Bookman Old Style" w:hAnsi="Bookman Old Style"/>
                      <w:sz w:val="20"/>
                      <w:szCs w:val="20"/>
                      <w:lang w:val="en-US"/>
                    </w:rPr>
                    <w:t xml:space="preserve">Lampiran I </w:t>
                  </w:r>
                  <w:r w:rsidRPr="00EB4FBC">
                    <w:rPr>
                      <w:rFonts w:ascii="Bookman Old Style" w:hAnsi="Bookman Old Style"/>
                      <w:sz w:val="20"/>
                      <w:szCs w:val="20"/>
                    </w:rPr>
                    <w:t>POJK LCR.</w:t>
                  </w:r>
                </w:p>
              </w:tc>
            </w:tr>
            <w:tr w:rsidR="00A22891" w:rsidRPr="00EB4FBC" w14:paraId="083D2E53" w14:textId="77777777" w:rsidTr="007A2AAB">
              <w:trPr>
                <w:trHeight w:val="1173"/>
              </w:trPr>
              <w:tc>
                <w:tcPr>
                  <w:tcW w:w="959" w:type="dxa"/>
                  <w:vMerge/>
                  <w:tcBorders>
                    <w:right w:val="single" w:sz="4" w:space="0" w:color="auto"/>
                  </w:tcBorders>
                  <w:shd w:val="clear" w:color="auto" w:fill="DDD9C4"/>
                </w:tcPr>
                <w:p w14:paraId="2F7A8560"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3163" w:type="dxa"/>
                  <w:gridSpan w:val="3"/>
                  <w:tcBorders>
                    <w:left w:val="single" w:sz="4" w:space="0" w:color="auto"/>
                  </w:tcBorders>
                  <w:shd w:val="clear" w:color="auto" w:fill="000000" w:themeFill="text1"/>
                </w:tcPr>
                <w:p w14:paraId="0A5B7D9C" w14:textId="77777777" w:rsidR="00A22891" w:rsidRPr="00EB4FBC" w:rsidRDefault="00A22891" w:rsidP="00EB4FBC">
                  <w:pPr>
                    <w:framePr w:hSpace="180" w:wrap="around" w:vAnchor="text" w:hAnchor="text" w:y="1"/>
                    <w:spacing w:after="0" w:line="240" w:lineRule="auto"/>
                    <w:ind w:right="138"/>
                    <w:suppressOverlap/>
                    <w:jc w:val="both"/>
                    <w:rPr>
                      <w:rFonts w:ascii="Bookman Old Style" w:hAnsi="Bookman Old Style"/>
                      <w:sz w:val="20"/>
                      <w:szCs w:val="20"/>
                    </w:rPr>
                  </w:pPr>
                </w:p>
                <w:p w14:paraId="72EE72F4" w14:textId="77777777" w:rsidR="00A22891" w:rsidRPr="00EB4FBC" w:rsidRDefault="00A22891" w:rsidP="00EB4FBC">
                  <w:pPr>
                    <w:framePr w:hSpace="180" w:wrap="around" w:vAnchor="text" w:hAnchor="text" w:y="1"/>
                    <w:spacing w:after="0" w:line="240" w:lineRule="auto"/>
                    <w:suppressOverlap/>
                    <w:rPr>
                      <w:rFonts w:ascii="Bookman Old Style" w:hAnsi="Bookman Old Style"/>
                      <w:sz w:val="20"/>
                      <w:szCs w:val="20"/>
                    </w:rPr>
                  </w:pPr>
                </w:p>
              </w:tc>
              <w:tc>
                <w:tcPr>
                  <w:tcW w:w="385" w:type="dxa"/>
                  <w:tcBorders>
                    <w:top w:val="nil"/>
                    <w:left w:val="nil"/>
                    <w:bottom w:val="single" w:sz="4" w:space="0" w:color="auto"/>
                    <w:right w:val="nil"/>
                  </w:tcBorders>
                  <w:shd w:val="clear" w:color="auto" w:fill="auto"/>
                </w:tcPr>
                <w:p w14:paraId="40BCFE11" w14:textId="77777777" w:rsidR="00A22891" w:rsidRPr="00EB4FBC" w:rsidRDefault="00A22891" w:rsidP="00EB4FBC">
                  <w:pPr>
                    <w:framePr w:hSpace="180" w:wrap="around" w:vAnchor="text" w:hAnchor="text" w:y="1"/>
                    <w:spacing w:after="0" w:line="240" w:lineRule="auto"/>
                    <w:ind w:left="2" w:right="138"/>
                    <w:suppressOverlap/>
                    <w:jc w:val="center"/>
                    <w:rPr>
                      <w:rFonts w:ascii="Bookman Old Style" w:hAnsi="Bookman Old Style"/>
                      <w:sz w:val="20"/>
                      <w:szCs w:val="20"/>
                      <w:lang w:val="en-US"/>
                    </w:rPr>
                  </w:pPr>
                  <w:r w:rsidRPr="00EB4FBC">
                    <w:rPr>
                      <w:rFonts w:ascii="Bookman Old Style" w:hAnsi="Bookman Old Style"/>
                      <w:sz w:val="20"/>
                      <w:szCs w:val="20"/>
                      <w:lang w:val="en-US"/>
                    </w:rPr>
                    <w:t>3.</w:t>
                  </w:r>
                </w:p>
              </w:tc>
              <w:tc>
                <w:tcPr>
                  <w:tcW w:w="1599" w:type="dxa"/>
                  <w:tcBorders>
                    <w:top w:val="nil"/>
                    <w:left w:val="nil"/>
                    <w:bottom w:val="single" w:sz="4" w:space="0" w:color="auto"/>
                    <w:right w:val="single" w:sz="4" w:space="0" w:color="auto"/>
                  </w:tcBorders>
                  <w:shd w:val="clear" w:color="auto" w:fill="auto"/>
                </w:tcPr>
                <w:p w14:paraId="2D6B9CBB"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 Dalam Perhatian Khusus (</w:t>
                  </w:r>
                  <w:r w:rsidRPr="00EB4FBC">
                    <w:rPr>
                      <w:rFonts w:ascii="Bookman Old Style" w:hAnsi="Bookman Old Style"/>
                      <w:i/>
                      <w:sz w:val="20"/>
                      <w:szCs w:val="20"/>
                    </w:rPr>
                    <w:t>performing</w:t>
                  </w:r>
                  <w:r w:rsidRPr="00EB4FBC">
                    <w:rPr>
                      <w:rFonts w:ascii="Bookman Old Style" w:hAnsi="Bookman Old Style"/>
                      <w:sz w:val="20"/>
                      <w:szCs w:val="20"/>
                    </w:rPr>
                    <w:t>) kepada Bank Indonesia dan bank sentral negara lain serta lembaga keuangan.</w:t>
                  </w:r>
                </w:p>
              </w:tc>
              <w:tc>
                <w:tcPr>
                  <w:tcW w:w="2694" w:type="dxa"/>
                  <w:tcBorders>
                    <w:top w:val="nil"/>
                    <w:left w:val="single" w:sz="4" w:space="0" w:color="auto"/>
                    <w:bottom w:val="nil"/>
                    <w:right w:val="nil"/>
                  </w:tcBorders>
                  <w:shd w:val="clear" w:color="auto" w:fill="000000" w:themeFill="text1"/>
                </w:tcPr>
                <w:p w14:paraId="14688183"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r>
            <w:tr w:rsidR="00A22891" w:rsidRPr="00EB4FBC" w14:paraId="3742342F" w14:textId="77777777" w:rsidTr="007A2AAB">
              <w:trPr>
                <w:trHeight w:val="1173"/>
              </w:trPr>
              <w:tc>
                <w:tcPr>
                  <w:tcW w:w="959" w:type="dxa"/>
                  <w:vMerge/>
                  <w:tcBorders>
                    <w:right w:val="single" w:sz="4" w:space="0" w:color="auto"/>
                  </w:tcBorders>
                  <w:shd w:val="clear" w:color="auto" w:fill="DDD9C4"/>
                </w:tcPr>
                <w:p w14:paraId="2E26CE51"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3163" w:type="dxa"/>
                  <w:gridSpan w:val="3"/>
                  <w:tcBorders>
                    <w:left w:val="single" w:sz="4" w:space="0" w:color="auto"/>
                  </w:tcBorders>
                  <w:shd w:val="clear" w:color="auto" w:fill="000000" w:themeFill="text1"/>
                </w:tcPr>
                <w:p w14:paraId="21C5BAB1" w14:textId="77777777" w:rsidR="00A22891" w:rsidRPr="00EB4FBC" w:rsidRDefault="00A22891" w:rsidP="00EB4FBC">
                  <w:pPr>
                    <w:framePr w:hSpace="180" w:wrap="around" w:vAnchor="text" w:hAnchor="text" w:y="1"/>
                    <w:spacing w:after="0" w:line="240" w:lineRule="auto"/>
                    <w:ind w:right="138"/>
                    <w:suppressOverlap/>
                    <w:jc w:val="both"/>
                    <w:rPr>
                      <w:rFonts w:ascii="Bookman Old Style" w:hAnsi="Bookman Old Style"/>
                      <w:sz w:val="20"/>
                      <w:szCs w:val="20"/>
                    </w:rPr>
                  </w:pPr>
                </w:p>
              </w:tc>
              <w:tc>
                <w:tcPr>
                  <w:tcW w:w="385" w:type="dxa"/>
                  <w:tcBorders>
                    <w:top w:val="single" w:sz="4" w:space="0" w:color="auto"/>
                    <w:left w:val="nil"/>
                    <w:bottom w:val="single" w:sz="4" w:space="0" w:color="auto"/>
                    <w:right w:val="nil"/>
                  </w:tcBorders>
                  <w:shd w:val="clear" w:color="auto" w:fill="auto"/>
                </w:tcPr>
                <w:p w14:paraId="3997D3CB" w14:textId="77777777" w:rsidR="00A22891" w:rsidRPr="00EB4FBC" w:rsidRDefault="00A22891" w:rsidP="00EB4FBC">
                  <w:pPr>
                    <w:framePr w:hSpace="180" w:wrap="around" w:vAnchor="text" w:hAnchor="text" w:y="1"/>
                    <w:spacing w:after="0" w:line="240" w:lineRule="auto"/>
                    <w:ind w:left="2" w:right="138"/>
                    <w:suppressOverlap/>
                    <w:jc w:val="center"/>
                    <w:rPr>
                      <w:rFonts w:ascii="Bookman Old Style" w:hAnsi="Bookman Old Style"/>
                      <w:sz w:val="20"/>
                      <w:szCs w:val="20"/>
                      <w:lang w:val="en-US"/>
                    </w:rPr>
                  </w:pPr>
                  <w:r w:rsidRPr="00EB4FBC">
                    <w:rPr>
                      <w:rFonts w:ascii="Bookman Old Style" w:hAnsi="Bookman Old Style"/>
                      <w:sz w:val="20"/>
                      <w:szCs w:val="20"/>
                      <w:lang w:val="en-US"/>
                    </w:rPr>
                    <w:t>4.</w:t>
                  </w:r>
                </w:p>
              </w:tc>
              <w:tc>
                <w:tcPr>
                  <w:tcW w:w="1599" w:type="dxa"/>
                  <w:tcBorders>
                    <w:top w:val="single" w:sz="4" w:space="0" w:color="auto"/>
                    <w:left w:val="nil"/>
                    <w:bottom w:val="single" w:sz="4" w:space="0" w:color="auto"/>
                    <w:right w:val="single" w:sz="4" w:space="0" w:color="auto"/>
                  </w:tcBorders>
                  <w:shd w:val="clear" w:color="auto" w:fill="auto"/>
                </w:tcPr>
                <w:p w14:paraId="10A4F521"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rPr>
                    <w:t>HQLA sebagaimana dimaksud dalam POJK LCR yang digunakan sebagai jaminan (</w:t>
                  </w:r>
                  <w:r w:rsidRPr="00EB4FBC">
                    <w:rPr>
                      <w:rFonts w:ascii="Bookman Old Style" w:hAnsi="Bookman Old Style"/>
                      <w:i/>
                      <w:sz w:val="20"/>
                      <w:szCs w:val="20"/>
                    </w:rPr>
                    <w:t>encumbered</w:t>
                  </w:r>
                  <w:r w:rsidRPr="00EB4FBC">
                    <w:rPr>
                      <w:rFonts w:ascii="Bookman Old Style" w:hAnsi="Bookman Old Style"/>
                      <w:sz w:val="20"/>
                      <w:szCs w:val="20"/>
                    </w:rPr>
                    <w:t>).</w:t>
                  </w:r>
                </w:p>
              </w:tc>
              <w:tc>
                <w:tcPr>
                  <w:tcW w:w="2694" w:type="dxa"/>
                  <w:tcBorders>
                    <w:top w:val="nil"/>
                    <w:left w:val="single" w:sz="4" w:space="0" w:color="auto"/>
                    <w:bottom w:val="nil"/>
                    <w:right w:val="nil"/>
                  </w:tcBorders>
                  <w:shd w:val="clear" w:color="auto" w:fill="000000" w:themeFill="text1"/>
                </w:tcPr>
                <w:p w14:paraId="235CB96C"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r>
            <w:tr w:rsidR="00A22891" w:rsidRPr="00EB4FBC" w14:paraId="5DEA391C" w14:textId="77777777" w:rsidTr="007A2AAB">
              <w:trPr>
                <w:trHeight w:val="1173"/>
              </w:trPr>
              <w:tc>
                <w:tcPr>
                  <w:tcW w:w="959" w:type="dxa"/>
                  <w:vMerge/>
                  <w:tcBorders>
                    <w:right w:val="single" w:sz="4" w:space="0" w:color="auto"/>
                  </w:tcBorders>
                  <w:shd w:val="clear" w:color="auto" w:fill="DDD9C4"/>
                </w:tcPr>
                <w:p w14:paraId="01D8C1A6"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470" w:type="dxa"/>
                  <w:tcBorders>
                    <w:left w:val="single" w:sz="4" w:space="0" w:color="auto"/>
                    <w:right w:val="nil"/>
                  </w:tcBorders>
                </w:tcPr>
                <w:p w14:paraId="7389B739" w14:textId="77777777" w:rsidR="00A22891" w:rsidRPr="00EB4FBC" w:rsidRDefault="00A22891" w:rsidP="00EB4FBC">
                  <w:pPr>
                    <w:framePr w:hSpace="180" w:wrap="around" w:vAnchor="text" w:hAnchor="text" w:y="1"/>
                    <w:spacing w:after="0" w:line="240" w:lineRule="auto"/>
                    <w:ind w:left="50" w:right="138"/>
                    <w:suppressOverlap/>
                    <w:jc w:val="center"/>
                    <w:rPr>
                      <w:rFonts w:ascii="Bookman Old Style" w:hAnsi="Bookman Old Style"/>
                      <w:sz w:val="20"/>
                      <w:szCs w:val="20"/>
                      <w:lang w:val="en-US"/>
                    </w:rPr>
                  </w:pPr>
                  <w:r w:rsidRPr="00EB4FBC">
                    <w:rPr>
                      <w:rFonts w:ascii="Bookman Old Style" w:hAnsi="Bookman Old Style"/>
                      <w:sz w:val="20"/>
                      <w:szCs w:val="20"/>
                      <w:lang w:val="en-US"/>
                    </w:rPr>
                    <w:t>5.</w:t>
                  </w:r>
                </w:p>
              </w:tc>
              <w:tc>
                <w:tcPr>
                  <w:tcW w:w="4677" w:type="dxa"/>
                  <w:gridSpan w:val="4"/>
                  <w:tcBorders>
                    <w:left w:val="nil"/>
                    <w:right w:val="single" w:sz="4" w:space="0" w:color="auto"/>
                  </w:tcBorders>
                </w:tcPr>
                <w:p w14:paraId="0546EF36"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r w:rsidRPr="00EB4FBC">
                    <w:rPr>
                      <w:rFonts w:ascii="Bookman Old Style" w:hAnsi="Bookman Old Style"/>
                      <w:sz w:val="20"/>
                      <w:szCs w:val="20"/>
                    </w:rPr>
                    <w:t xml:space="preserve">Seluruh non-HQLA yang tidak termasuk dalam kategori di atas. Contoh: </w:t>
                  </w:r>
                  <w:r w:rsidRPr="00EB4FBC">
                    <w:rPr>
                      <w:rFonts w:ascii="Bookman Old Style" w:hAnsi="Bookman Old Style"/>
                      <w:sz w:val="20"/>
                      <w:szCs w:val="20"/>
                      <w:lang w:val="en-US"/>
                    </w:rPr>
                    <w:t>Pembiayaan</w:t>
                  </w:r>
                  <w:r w:rsidRPr="00EB4FBC">
                    <w:rPr>
                      <w:rFonts w:ascii="Bookman Old Style" w:hAnsi="Bookman Old Style"/>
                      <w:sz w:val="20"/>
                      <w:szCs w:val="20"/>
                    </w:rPr>
                    <w:t xml:space="preserve"> kepada korporasi non-keuangan, nasabah perorangan dan nasabah usaha mikro dan usaha kecil, pemerintah dan entitas sektor publik.</w:t>
                  </w:r>
                </w:p>
              </w:tc>
              <w:tc>
                <w:tcPr>
                  <w:tcW w:w="2694" w:type="dxa"/>
                  <w:tcBorders>
                    <w:top w:val="nil"/>
                    <w:left w:val="single" w:sz="4" w:space="0" w:color="auto"/>
                    <w:bottom w:val="single" w:sz="4" w:space="0" w:color="auto"/>
                    <w:right w:val="nil"/>
                  </w:tcBorders>
                  <w:shd w:val="clear" w:color="auto" w:fill="000000" w:themeFill="text1"/>
                </w:tcPr>
                <w:p w14:paraId="0D53AB95"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r>
            <w:tr w:rsidR="00A22891" w:rsidRPr="00EB4FBC" w14:paraId="6A9B2388" w14:textId="77777777" w:rsidTr="007A2AAB">
              <w:trPr>
                <w:trHeight w:val="883"/>
              </w:trPr>
              <w:tc>
                <w:tcPr>
                  <w:tcW w:w="959" w:type="dxa"/>
                  <w:shd w:val="clear" w:color="auto" w:fill="DDD9C4"/>
                  <w:vAlign w:val="center"/>
                </w:tcPr>
                <w:p w14:paraId="7D9DDA09"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r w:rsidRPr="00EB4FBC">
                    <w:rPr>
                      <w:rFonts w:ascii="Bookman Old Style" w:hAnsi="Bookman Old Style"/>
                      <w:b/>
                      <w:sz w:val="20"/>
                      <w:szCs w:val="20"/>
                      <w:lang w:val="en-US"/>
                    </w:rPr>
                    <w:lastRenderedPageBreak/>
                    <w:t>65%</w:t>
                  </w:r>
                </w:p>
              </w:tc>
              <w:tc>
                <w:tcPr>
                  <w:tcW w:w="3163" w:type="dxa"/>
                  <w:gridSpan w:val="3"/>
                  <w:shd w:val="clear" w:color="auto" w:fill="000000" w:themeFill="text1"/>
                </w:tcPr>
                <w:p w14:paraId="2BC27692" w14:textId="77777777" w:rsidR="00A22891" w:rsidRPr="00EB4FBC" w:rsidRDefault="00A22891" w:rsidP="00EB4FBC">
                  <w:pPr>
                    <w:framePr w:hSpace="180" w:wrap="around" w:vAnchor="text" w:hAnchor="text" w:y="1"/>
                    <w:spacing w:after="0" w:line="240" w:lineRule="auto"/>
                    <w:ind w:right="138"/>
                    <w:suppressOverlap/>
                    <w:jc w:val="both"/>
                    <w:rPr>
                      <w:rFonts w:ascii="Bookman Old Style" w:hAnsi="Bookman Old Style"/>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000000" w:themeFill="text1"/>
                </w:tcPr>
                <w:p w14:paraId="5E4B76B6" w14:textId="77777777" w:rsidR="00A22891" w:rsidRPr="00EB4FBC" w:rsidRDefault="00A22891" w:rsidP="00EB4FBC">
                  <w:pPr>
                    <w:framePr w:hSpace="180" w:wrap="around" w:vAnchor="text" w:hAnchor="text" w:y="1"/>
                    <w:spacing w:after="0" w:line="240" w:lineRule="auto"/>
                    <w:ind w:left="147" w:right="138"/>
                    <w:suppressOverlap/>
                    <w:jc w:val="both"/>
                    <w:rPr>
                      <w:rFonts w:ascii="Bookman Old Style" w:hAnsi="Bookman Old Style"/>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15FC63" w14:textId="77777777" w:rsidR="00A22891" w:rsidRPr="00EB4FBC" w:rsidRDefault="00A22891" w:rsidP="00A32F86">
                  <w:pPr>
                    <w:pStyle w:val="ListParagraph"/>
                    <w:framePr w:hSpace="180" w:wrap="around" w:vAnchor="text" w:hAnchor="text" w:y="1"/>
                    <w:widowControl w:val="0"/>
                    <w:numPr>
                      <w:ilvl w:val="0"/>
                      <w:numId w:val="209"/>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 Dalam Perhatian Khusus (</w:t>
                  </w:r>
                  <w:r w:rsidRPr="00EB4FBC">
                    <w:rPr>
                      <w:rFonts w:ascii="Bookman Old Style" w:hAnsi="Bookman Old Style"/>
                      <w:i/>
                      <w:sz w:val="20"/>
                      <w:szCs w:val="20"/>
                    </w:rPr>
                    <w:t>performing</w:t>
                  </w:r>
                  <w:r w:rsidRPr="00EB4FBC">
                    <w:rPr>
                      <w:rFonts w:ascii="Bookman Old Style" w:hAnsi="Bookman Old Style"/>
                      <w:sz w:val="20"/>
                      <w:szCs w:val="20"/>
                    </w:rPr>
                    <w:t>) beragun rumah tinggal yang bebas dari segala klaim (</w:t>
                  </w:r>
                  <w:r w:rsidRPr="00EB4FBC">
                    <w:rPr>
                      <w:rFonts w:ascii="Bookman Old Style" w:hAnsi="Bookman Old Style"/>
                      <w:i/>
                      <w:sz w:val="20"/>
                      <w:szCs w:val="20"/>
                    </w:rPr>
                    <w:t>unencumbered</w:t>
                  </w:r>
                  <w:r w:rsidRPr="00EB4FBC">
                    <w:rPr>
                      <w:rFonts w:ascii="Bookman Old Style" w:hAnsi="Bookman Old Style"/>
                      <w:sz w:val="20"/>
                      <w:szCs w:val="20"/>
                    </w:rPr>
                    <w:t>) dan memenuhi kualifikasi untuk mendapat bobot risiko 35% atau kurang, sesuai SE OJK ATMR untuk Risiko Kredit.</w:t>
                  </w:r>
                </w:p>
                <w:p w14:paraId="36801464" w14:textId="77777777" w:rsidR="00A22891" w:rsidRPr="00EB4FBC" w:rsidRDefault="00A22891" w:rsidP="00A32F86">
                  <w:pPr>
                    <w:pStyle w:val="ListParagraph"/>
                    <w:framePr w:hSpace="180" w:wrap="around" w:vAnchor="text" w:hAnchor="text" w:y="1"/>
                    <w:widowControl w:val="0"/>
                    <w:numPr>
                      <w:ilvl w:val="0"/>
                      <w:numId w:val="209"/>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 Dalam Perhatian Khusus (</w:t>
                  </w:r>
                  <w:r w:rsidRPr="00EB4FBC">
                    <w:rPr>
                      <w:rFonts w:ascii="Bookman Old Style" w:hAnsi="Bookman Old Style"/>
                      <w:i/>
                      <w:sz w:val="20"/>
                      <w:szCs w:val="20"/>
                    </w:rPr>
                    <w:t>performing</w:t>
                  </w:r>
                  <w:r w:rsidRPr="00EB4FBC">
                    <w:rPr>
                      <w:rFonts w:ascii="Bookman Old Style" w:hAnsi="Bookman Old Style"/>
                      <w:sz w:val="20"/>
                      <w:szCs w:val="20"/>
                    </w:rPr>
                    <w:t>) lainnya yang bebas dari segala klaim (</w:t>
                  </w:r>
                  <w:r w:rsidRPr="00EB4FBC">
                    <w:rPr>
                      <w:rFonts w:ascii="Bookman Old Style" w:hAnsi="Bookman Old Style"/>
                      <w:i/>
                      <w:sz w:val="20"/>
                      <w:szCs w:val="20"/>
                    </w:rPr>
                    <w:t>unencumbered</w:t>
                  </w:r>
                  <w:r w:rsidRPr="00EB4FBC">
                    <w:rPr>
                      <w:rFonts w:ascii="Bookman Old Style" w:hAnsi="Bookman Old Style"/>
                      <w:sz w:val="20"/>
                      <w:szCs w:val="20"/>
                    </w:rPr>
                    <w:t>) dan tidak termasuk dalam kategori di atas, yang memenuhi kualifikasi untuk mendapat bobot risiko 35% atau kurang sesuai ketentuan SE OJK ATMR untuk Risiko Kredit (tidak termasuk kredit kepada lembaga keuangan).</w:t>
                  </w:r>
                </w:p>
              </w:tc>
            </w:tr>
            <w:tr w:rsidR="00A22891" w:rsidRPr="00EB4FBC" w14:paraId="04536E1F" w14:textId="77777777" w:rsidTr="007A2AAB">
              <w:trPr>
                <w:trHeight w:val="1173"/>
              </w:trPr>
              <w:tc>
                <w:tcPr>
                  <w:tcW w:w="959" w:type="dxa"/>
                  <w:vMerge w:val="restart"/>
                  <w:shd w:val="clear" w:color="auto" w:fill="DDD9C4"/>
                  <w:vAlign w:val="center"/>
                </w:tcPr>
                <w:p w14:paraId="5CAF0520"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r w:rsidRPr="00EB4FBC">
                    <w:rPr>
                      <w:rFonts w:ascii="Bookman Old Style" w:hAnsi="Bookman Old Style"/>
                      <w:b/>
                      <w:sz w:val="20"/>
                      <w:szCs w:val="20"/>
                      <w:lang w:val="en-US"/>
                    </w:rPr>
                    <w:t>85%</w:t>
                  </w:r>
                </w:p>
              </w:tc>
              <w:tc>
                <w:tcPr>
                  <w:tcW w:w="7841" w:type="dxa"/>
                  <w:gridSpan w:val="6"/>
                  <w:tcBorders>
                    <w:right w:val="single" w:sz="4" w:space="0" w:color="auto"/>
                  </w:tcBorders>
                </w:tcPr>
                <w:p w14:paraId="41648BF8" w14:textId="77777777" w:rsidR="00A22891" w:rsidRPr="00EB4FBC" w:rsidRDefault="00A22891" w:rsidP="00A32F86">
                  <w:pPr>
                    <w:pStyle w:val="ListParagraph"/>
                    <w:framePr w:hSpace="180" w:wrap="around" w:vAnchor="text" w:hAnchor="text" w:y="1"/>
                    <w:widowControl w:val="0"/>
                    <w:numPr>
                      <w:ilvl w:val="0"/>
                      <w:numId w:val="210"/>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Kas, surat berharga, dan aset lainnya yang dicatat sebagai margin awal (</w:t>
                  </w:r>
                  <w:r w:rsidRPr="00EB4FBC">
                    <w:rPr>
                      <w:rFonts w:ascii="Bookman Old Style" w:hAnsi="Bookman Old Style"/>
                      <w:i/>
                      <w:sz w:val="20"/>
                      <w:szCs w:val="20"/>
                    </w:rPr>
                    <w:t>initial margin</w:t>
                  </w:r>
                  <w:r w:rsidRPr="00EB4FBC">
                    <w:rPr>
                      <w:rFonts w:ascii="Bookman Old Style" w:hAnsi="Bookman Old Style"/>
                      <w:sz w:val="20"/>
                      <w:szCs w:val="20"/>
                    </w:rPr>
                    <w:t xml:space="preserve">) untuk kontrak </w:t>
                  </w:r>
                  <w:r w:rsidRPr="00EB4FBC">
                    <w:rPr>
                      <w:rFonts w:ascii="Bookman Old Style" w:hAnsi="Bookman Old Style"/>
                      <w:i/>
                      <w:sz w:val="20"/>
                      <w:szCs w:val="20"/>
                    </w:rPr>
                    <w:t xml:space="preserve">hedging </w:t>
                  </w:r>
                  <w:r w:rsidRPr="00EB4FBC">
                    <w:rPr>
                      <w:rFonts w:ascii="Bookman Old Style" w:hAnsi="Bookman Old Style"/>
                      <w:sz w:val="20"/>
                      <w:szCs w:val="20"/>
                    </w:rPr>
                    <w:t xml:space="preserve">syariah dan kas atau aset lain yang diserahkan sebagai </w:t>
                  </w:r>
                  <w:r w:rsidRPr="00EB4FBC">
                    <w:rPr>
                      <w:rFonts w:ascii="Bookman Old Style" w:hAnsi="Bookman Old Style"/>
                      <w:i/>
                      <w:sz w:val="20"/>
                      <w:szCs w:val="20"/>
                    </w:rPr>
                    <w:t>default fund pada central counterparty</w:t>
                  </w:r>
                  <w:r w:rsidRPr="00EB4FBC">
                    <w:rPr>
                      <w:rFonts w:ascii="Bookman Old Style" w:hAnsi="Bookman Old Style"/>
                      <w:sz w:val="20"/>
                      <w:szCs w:val="20"/>
                    </w:rPr>
                    <w:t xml:space="preserve"> (CCP).</w:t>
                  </w:r>
                </w:p>
                <w:p w14:paraId="495A7FC9" w14:textId="77777777" w:rsidR="00A22891" w:rsidRPr="00EB4FBC" w:rsidRDefault="00A22891" w:rsidP="00A32F86">
                  <w:pPr>
                    <w:pStyle w:val="ListParagraph"/>
                    <w:framePr w:hSpace="180" w:wrap="around" w:vAnchor="text" w:hAnchor="text" w:y="1"/>
                    <w:widowControl w:val="0"/>
                    <w:numPr>
                      <w:ilvl w:val="0"/>
                      <w:numId w:val="210"/>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 xml:space="preserve">Saham yang diperdagangkan dengan syarat tertentu. </w:t>
                  </w:r>
                </w:p>
                <w:p w14:paraId="2FE521EE" w14:textId="77777777" w:rsidR="00A22891" w:rsidRPr="00EB4FBC" w:rsidRDefault="00A22891" w:rsidP="00A32F86">
                  <w:pPr>
                    <w:pStyle w:val="ListParagraph"/>
                    <w:framePr w:hSpace="180" w:wrap="around" w:vAnchor="text" w:hAnchor="text" w:y="1"/>
                    <w:widowControl w:val="0"/>
                    <w:numPr>
                      <w:ilvl w:val="0"/>
                      <w:numId w:val="210"/>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Komoditas fisik yang diperdagangkan, termasuk emas.</w:t>
                  </w:r>
                </w:p>
              </w:tc>
            </w:tr>
            <w:tr w:rsidR="00A22891" w:rsidRPr="00EB4FBC" w14:paraId="3AB24D3E" w14:textId="77777777" w:rsidTr="007A2AAB">
              <w:trPr>
                <w:trHeight w:val="1173"/>
              </w:trPr>
              <w:tc>
                <w:tcPr>
                  <w:tcW w:w="959" w:type="dxa"/>
                  <w:vMerge/>
                  <w:tcBorders>
                    <w:bottom w:val="single" w:sz="4" w:space="0" w:color="auto"/>
                  </w:tcBorders>
                  <w:shd w:val="clear" w:color="auto" w:fill="DDD9C4"/>
                </w:tcPr>
                <w:p w14:paraId="0FB459C1"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rPr>
                  </w:pPr>
                </w:p>
              </w:tc>
              <w:tc>
                <w:tcPr>
                  <w:tcW w:w="3163" w:type="dxa"/>
                  <w:gridSpan w:val="3"/>
                  <w:tcBorders>
                    <w:bottom w:val="single" w:sz="4" w:space="0" w:color="auto"/>
                    <w:right w:val="single" w:sz="4" w:space="0" w:color="auto"/>
                  </w:tcBorders>
                  <w:shd w:val="clear" w:color="auto" w:fill="000000" w:themeFill="text1"/>
                </w:tcPr>
                <w:p w14:paraId="14E40753" w14:textId="77777777" w:rsidR="00A22891" w:rsidRPr="00EB4FBC" w:rsidRDefault="00A22891" w:rsidP="00EB4FBC">
                  <w:pPr>
                    <w:framePr w:hSpace="180" w:wrap="around" w:vAnchor="text" w:hAnchor="text" w:y="1"/>
                    <w:spacing w:after="0" w:line="240" w:lineRule="auto"/>
                    <w:ind w:right="138"/>
                    <w:suppressOverlap/>
                    <w:jc w:val="both"/>
                    <w:rPr>
                      <w:rFonts w:ascii="Bookman Old Style" w:hAnsi="Bookman Old Style"/>
                      <w:sz w:val="20"/>
                      <w:szCs w:val="20"/>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0AF9B633" w14:textId="77777777" w:rsidR="00A22891" w:rsidRPr="00EB4FBC" w:rsidRDefault="00A22891" w:rsidP="00A32F86">
                  <w:pPr>
                    <w:pStyle w:val="ListParagraph"/>
                    <w:framePr w:hSpace="180" w:wrap="around" w:vAnchor="text" w:hAnchor="text" w:y="1"/>
                    <w:widowControl w:val="0"/>
                    <w:numPr>
                      <w:ilvl w:val="0"/>
                      <w:numId w:val="210"/>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 Dalam Perhatian Khusus (</w:t>
                  </w:r>
                  <w:r w:rsidRPr="00EB4FBC">
                    <w:rPr>
                      <w:rFonts w:ascii="Bookman Old Style" w:hAnsi="Bookman Old Style"/>
                      <w:i/>
                      <w:sz w:val="20"/>
                      <w:szCs w:val="20"/>
                    </w:rPr>
                    <w:t>performing</w:t>
                  </w:r>
                  <w:r w:rsidRPr="00EB4FBC">
                    <w:rPr>
                      <w:rFonts w:ascii="Bookman Old Style" w:hAnsi="Bookman Old Style"/>
                      <w:sz w:val="20"/>
                      <w:szCs w:val="20"/>
                    </w:rPr>
                    <w:t>) lainnya yang bebas dari segala klaim (</w:t>
                  </w:r>
                  <w:r w:rsidRPr="00EB4FBC">
                    <w:rPr>
                      <w:rFonts w:ascii="Bookman Old Style" w:hAnsi="Bookman Old Style"/>
                      <w:i/>
                      <w:sz w:val="20"/>
                      <w:szCs w:val="20"/>
                    </w:rPr>
                    <w:t>unencumbered</w:t>
                  </w:r>
                  <w:r w:rsidRPr="00EB4FBC">
                    <w:rPr>
                      <w:rFonts w:ascii="Bookman Old Style" w:hAnsi="Bookman Old Style"/>
                      <w:sz w:val="20"/>
                      <w:szCs w:val="20"/>
                    </w:rPr>
                    <w:t xml:space="preserve">) dan tidak memenuhi kualifikasi untuk mendapatkan bobot risiko 35% atau kurang sesuai ketentuan OJK </w:t>
                  </w:r>
                  <w:r w:rsidRPr="00EB4FBC">
                    <w:rPr>
                      <w:rFonts w:ascii="Bookman Old Style" w:hAnsi="Bookman Old Style"/>
                      <w:sz w:val="20"/>
                      <w:szCs w:val="20"/>
                      <w:lang w:val="en-US"/>
                    </w:rPr>
                    <w:t xml:space="preserve">mengenai </w:t>
                  </w:r>
                  <w:r w:rsidRPr="00EB4FBC">
                    <w:rPr>
                      <w:rFonts w:ascii="Bookman Old Style" w:hAnsi="Bookman Old Style"/>
                      <w:sz w:val="20"/>
                      <w:szCs w:val="20"/>
                    </w:rPr>
                    <w:t xml:space="preserve">ATMR untuk risiko kredit, namun tidak termasuk </w:t>
                  </w:r>
                  <w:r w:rsidRPr="00EB4FBC">
                    <w:rPr>
                      <w:rFonts w:ascii="Bookman Old Style" w:hAnsi="Bookman Old Style"/>
                      <w:sz w:val="20"/>
                      <w:szCs w:val="20"/>
                      <w:lang w:val="en-US"/>
                    </w:rPr>
                    <w:t>pembiayaan</w:t>
                  </w:r>
                  <w:r w:rsidRPr="00EB4FBC">
                    <w:rPr>
                      <w:rFonts w:ascii="Bookman Old Style" w:hAnsi="Bookman Old Style"/>
                      <w:sz w:val="20"/>
                      <w:szCs w:val="20"/>
                    </w:rPr>
                    <w:t xml:space="preserve"> kepada lembaga keuangan.</w:t>
                  </w:r>
                </w:p>
                <w:p w14:paraId="28CF7B1A" w14:textId="77777777" w:rsidR="00A22891" w:rsidRPr="00EB4FBC" w:rsidRDefault="00A22891" w:rsidP="00A32F86">
                  <w:pPr>
                    <w:pStyle w:val="ListParagraph"/>
                    <w:framePr w:hSpace="180" w:wrap="around" w:vAnchor="text" w:hAnchor="text" w:y="1"/>
                    <w:widowControl w:val="0"/>
                    <w:numPr>
                      <w:ilvl w:val="0"/>
                      <w:numId w:val="210"/>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Surat Berharga yang bebas dari segala klaim (</w:t>
                  </w:r>
                  <w:r w:rsidRPr="00EB4FBC">
                    <w:rPr>
                      <w:rFonts w:ascii="Bookman Old Style" w:hAnsi="Bookman Old Style"/>
                      <w:i/>
                      <w:sz w:val="20"/>
                      <w:szCs w:val="20"/>
                    </w:rPr>
                    <w:t>unencumbered</w:t>
                  </w:r>
                  <w:r w:rsidRPr="00EB4FBC">
                    <w:rPr>
                      <w:rFonts w:ascii="Bookman Old Style" w:hAnsi="Bookman Old Style"/>
                      <w:sz w:val="20"/>
                      <w:szCs w:val="20"/>
                    </w:rPr>
                    <w:t>), tidak gagal bayar, dan tidak masuk sebagai HQLA.</w:t>
                  </w:r>
                </w:p>
              </w:tc>
            </w:tr>
            <w:tr w:rsidR="00A22891" w:rsidRPr="00EB4FBC" w14:paraId="03FE68DA" w14:textId="77777777" w:rsidTr="007A2AAB">
              <w:trPr>
                <w:trHeight w:val="1173"/>
              </w:trPr>
              <w:tc>
                <w:tcPr>
                  <w:tcW w:w="959" w:type="dxa"/>
                  <w:vMerge w:val="restart"/>
                  <w:tcBorders>
                    <w:top w:val="single" w:sz="4" w:space="0" w:color="auto"/>
                    <w:left w:val="single" w:sz="4" w:space="0" w:color="auto"/>
                    <w:right w:val="single" w:sz="4" w:space="0" w:color="auto"/>
                  </w:tcBorders>
                  <w:shd w:val="clear" w:color="auto" w:fill="DDD9C4"/>
                  <w:vAlign w:val="center"/>
                </w:tcPr>
                <w:p w14:paraId="654A1139"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r w:rsidRPr="00EB4FBC">
                    <w:rPr>
                      <w:rFonts w:ascii="Bookman Old Style" w:hAnsi="Bookman Old Style"/>
                      <w:b/>
                      <w:sz w:val="20"/>
                      <w:szCs w:val="20"/>
                      <w:lang w:val="en-US"/>
                    </w:rPr>
                    <w:t>100%</w:t>
                  </w:r>
                </w:p>
              </w:tc>
              <w:tc>
                <w:tcPr>
                  <w:tcW w:w="316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5839F68" w14:textId="77777777" w:rsidR="00A22891" w:rsidRPr="00EB4FBC" w:rsidRDefault="00A22891" w:rsidP="00EB4FBC">
                  <w:pPr>
                    <w:framePr w:hSpace="180" w:wrap="around" w:vAnchor="text" w:hAnchor="text" w:y="1"/>
                    <w:spacing w:after="0" w:line="240" w:lineRule="auto"/>
                    <w:ind w:right="138"/>
                    <w:suppressOverlap/>
                    <w:jc w:val="both"/>
                    <w:rPr>
                      <w:rFonts w:ascii="Bookman Old Style" w:hAnsi="Bookman Old Style"/>
                      <w:sz w:val="20"/>
                      <w:szCs w:val="20"/>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0587419C" w14:textId="77777777" w:rsidR="00A22891" w:rsidRPr="00EB4FBC" w:rsidRDefault="00A22891" w:rsidP="00A32F86">
                  <w:pPr>
                    <w:pStyle w:val="ListParagraph"/>
                    <w:framePr w:hSpace="180" w:wrap="around" w:vAnchor="text" w:hAnchor="text" w:y="1"/>
                    <w:widowControl w:val="0"/>
                    <w:numPr>
                      <w:ilvl w:val="0"/>
                      <w:numId w:val="211"/>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Seluruh aset yang tidak bebas dari segala klaim (</w:t>
                  </w:r>
                  <w:r w:rsidRPr="00EB4FBC">
                    <w:rPr>
                      <w:rFonts w:ascii="Bookman Old Style" w:hAnsi="Bookman Old Style"/>
                      <w:i/>
                      <w:sz w:val="20"/>
                      <w:szCs w:val="20"/>
                    </w:rPr>
                    <w:t>encumbered</w:t>
                  </w:r>
                  <w:r w:rsidRPr="00EB4FBC">
                    <w:rPr>
                      <w:rFonts w:ascii="Bookman Old Style" w:hAnsi="Bookman Old Style"/>
                      <w:sz w:val="20"/>
                      <w:szCs w:val="20"/>
                    </w:rPr>
                    <w:t>).</w:t>
                  </w:r>
                </w:p>
                <w:p w14:paraId="30ECB592" w14:textId="77777777" w:rsidR="00A22891" w:rsidRPr="00EB4FBC" w:rsidRDefault="00A22891" w:rsidP="00A32F86">
                  <w:pPr>
                    <w:pStyle w:val="ListParagraph"/>
                    <w:framePr w:hSpace="180" w:wrap="around" w:vAnchor="text" w:hAnchor="text" w:y="1"/>
                    <w:widowControl w:val="0"/>
                    <w:numPr>
                      <w:ilvl w:val="0"/>
                      <w:numId w:val="211"/>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lang w:val="en-US"/>
                    </w:rPr>
                    <w:t>Pembiayaan</w:t>
                  </w:r>
                  <w:r w:rsidRPr="00EB4FBC">
                    <w:rPr>
                      <w:rFonts w:ascii="Bookman Old Style" w:hAnsi="Bookman Old Style"/>
                      <w:sz w:val="20"/>
                      <w:szCs w:val="20"/>
                    </w:rPr>
                    <w:t xml:space="preserve"> kategori Lancar atau Dalam Perhatian Khusus (</w:t>
                  </w:r>
                  <w:r w:rsidRPr="00EB4FBC">
                    <w:rPr>
                      <w:rFonts w:ascii="Bookman Old Style" w:hAnsi="Bookman Old Style"/>
                      <w:i/>
                      <w:sz w:val="20"/>
                      <w:szCs w:val="20"/>
                    </w:rPr>
                    <w:t>performing</w:t>
                  </w:r>
                  <w:r w:rsidRPr="00EB4FBC">
                    <w:rPr>
                      <w:rFonts w:ascii="Bookman Old Style" w:hAnsi="Bookman Old Style"/>
                      <w:sz w:val="20"/>
                      <w:szCs w:val="20"/>
                    </w:rPr>
                    <w:t>) kepada lembaga keuangan.</w:t>
                  </w:r>
                </w:p>
              </w:tc>
            </w:tr>
            <w:tr w:rsidR="00A22891" w:rsidRPr="00EB4FBC" w14:paraId="71657E11" w14:textId="77777777" w:rsidTr="007A2AAB">
              <w:trPr>
                <w:trHeight w:val="1173"/>
              </w:trPr>
              <w:tc>
                <w:tcPr>
                  <w:tcW w:w="959" w:type="dxa"/>
                  <w:vMerge/>
                  <w:tcBorders>
                    <w:left w:val="single" w:sz="4" w:space="0" w:color="auto"/>
                    <w:bottom w:val="single" w:sz="4" w:space="0" w:color="auto"/>
                    <w:right w:val="single" w:sz="4" w:space="0" w:color="auto"/>
                  </w:tcBorders>
                  <w:shd w:val="clear" w:color="auto" w:fill="DDD9C4"/>
                  <w:vAlign w:val="center"/>
                </w:tcPr>
                <w:p w14:paraId="52091942" w14:textId="77777777" w:rsidR="00A22891" w:rsidRPr="00EB4FBC" w:rsidRDefault="00A22891" w:rsidP="00EB4FBC">
                  <w:pPr>
                    <w:framePr w:hSpace="180" w:wrap="around" w:vAnchor="text" w:hAnchor="text" w:y="1"/>
                    <w:spacing w:after="0" w:line="240" w:lineRule="auto"/>
                    <w:ind w:left="147" w:right="138"/>
                    <w:suppressOverlap/>
                    <w:jc w:val="center"/>
                    <w:rPr>
                      <w:rFonts w:ascii="Bookman Old Style" w:hAnsi="Bookman Old Style"/>
                      <w:b/>
                      <w:sz w:val="20"/>
                      <w:szCs w:val="20"/>
                      <w:lang w:val="en-US"/>
                    </w:rPr>
                  </w:pPr>
                </w:p>
              </w:tc>
              <w:tc>
                <w:tcPr>
                  <w:tcW w:w="7841" w:type="dxa"/>
                  <w:gridSpan w:val="6"/>
                  <w:tcBorders>
                    <w:top w:val="single" w:sz="4" w:space="0" w:color="auto"/>
                    <w:left w:val="single" w:sz="4" w:space="0" w:color="auto"/>
                    <w:bottom w:val="single" w:sz="4" w:space="0" w:color="auto"/>
                    <w:right w:val="single" w:sz="4" w:space="0" w:color="auto"/>
                  </w:tcBorders>
                </w:tcPr>
                <w:p w14:paraId="421ADD4E" w14:textId="77777777" w:rsidR="00A22891" w:rsidRPr="00EB4FBC" w:rsidRDefault="00A22891" w:rsidP="00A32F86">
                  <w:pPr>
                    <w:pStyle w:val="ListParagraph"/>
                    <w:framePr w:hSpace="180" w:wrap="around" w:vAnchor="text" w:hAnchor="text" w:y="1"/>
                    <w:widowControl w:val="0"/>
                    <w:numPr>
                      <w:ilvl w:val="0"/>
                      <w:numId w:val="211"/>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Aset lainnya yang tidak termasuk dalam kategori diatas, termasuk pinjaman kategori Kurang Lancar, Diragukan, Macet (</w:t>
                  </w:r>
                  <w:r w:rsidRPr="00EB4FBC">
                    <w:rPr>
                      <w:rFonts w:ascii="Bookman Old Style" w:hAnsi="Bookman Old Style"/>
                      <w:i/>
                      <w:sz w:val="20"/>
                      <w:szCs w:val="20"/>
                    </w:rPr>
                    <w:t xml:space="preserve">non-performing </w:t>
                  </w:r>
                  <w:r w:rsidRPr="00EB4FBC">
                    <w:rPr>
                      <w:rFonts w:ascii="Bookman Old Style" w:hAnsi="Bookman Old Style"/>
                      <w:i/>
                      <w:sz w:val="20"/>
                      <w:szCs w:val="20"/>
                      <w:lang w:val="en-US"/>
                    </w:rPr>
                    <w:t>financing</w:t>
                  </w:r>
                  <w:r w:rsidRPr="00EB4FBC">
                    <w:rPr>
                      <w:rFonts w:ascii="Bookman Old Style" w:hAnsi="Bookman Old Style"/>
                      <w:sz w:val="20"/>
                      <w:szCs w:val="20"/>
                    </w:rPr>
                    <w:t>), saham yang tidak diperdagangkan di bursa, aset tetap, faktor pengurang modal, dan surat berharga</w:t>
                  </w:r>
                  <w:r w:rsidRPr="00EB4FBC">
                    <w:rPr>
                      <w:rFonts w:ascii="Bookman Old Style" w:hAnsi="Bookman Old Style"/>
                      <w:sz w:val="20"/>
                      <w:szCs w:val="20"/>
                      <w:lang w:val="en-US"/>
                    </w:rPr>
                    <w:t xml:space="preserve"> syariah</w:t>
                  </w:r>
                  <w:r w:rsidRPr="00EB4FBC">
                    <w:rPr>
                      <w:rFonts w:ascii="Bookman Old Style" w:hAnsi="Bookman Old Style"/>
                      <w:sz w:val="20"/>
                      <w:szCs w:val="20"/>
                    </w:rPr>
                    <w:t xml:space="preserve"> yang gagal bayar. </w:t>
                  </w:r>
                </w:p>
                <w:p w14:paraId="1BA8DB7F" w14:textId="77777777" w:rsidR="00A22891" w:rsidRPr="00EB4FBC" w:rsidRDefault="00A22891" w:rsidP="00A32F86">
                  <w:pPr>
                    <w:pStyle w:val="ListParagraph"/>
                    <w:framePr w:hSpace="180" w:wrap="around" w:vAnchor="text" w:hAnchor="text" w:y="1"/>
                    <w:widowControl w:val="0"/>
                    <w:numPr>
                      <w:ilvl w:val="0"/>
                      <w:numId w:val="211"/>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 xml:space="preserve">NSFR aset </w:t>
                  </w:r>
                  <w:r w:rsidRPr="00EB4FBC">
                    <w:rPr>
                      <w:rFonts w:ascii="Bookman Old Style" w:hAnsi="Bookman Old Style"/>
                      <w:i/>
                      <w:sz w:val="20"/>
                      <w:szCs w:val="20"/>
                    </w:rPr>
                    <w:t xml:space="preserve">hedging </w:t>
                  </w:r>
                  <w:r w:rsidRPr="00EB4FBC">
                    <w:rPr>
                      <w:rFonts w:ascii="Bookman Old Style" w:hAnsi="Bookman Old Style"/>
                      <w:sz w:val="20"/>
                      <w:szCs w:val="20"/>
                    </w:rPr>
                    <w:t xml:space="preserve">syariah, apabila nilai NSFR aset </w:t>
                  </w:r>
                  <w:r w:rsidRPr="00EB4FBC">
                    <w:rPr>
                      <w:rFonts w:ascii="Bookman Old Style" w:hAnsi="Bookman Old Style"/>
                      <w:i/>
                      <w:sz w:val="20"/>
                      <w:szCs w:val="20"/>
                    </w:rPr>
                    <w:t xml:space="preserve">hedging </w:t>
                  </w:r>
                  <w:r w:rsidRPr="00EB4FBC">
                    <w:rPr>
                      <w:rFonts w:ascii="Bookman Old Style" w:hAnsi="Bookman Old Style"/>
                      <w:sz w:val="20"/>
                      <w:szCs w:val="20"/>
                    </w:rPr>
                    <w:t xml:space="preserve">syariah lebih besar dibandingkan dengan NSFR liabilitas </w:t>
                  </w:r>
                  <w:r w:rsidRPr="00EB4FBC">
                    <w:rPr>
                      <w:rFonts w:ascii="Bookman Old Style" w:hAnsi="Bookman Old Style"/>
                      <w:i/>
                      <w:sz w:val="20"/>
                      <w:szCs w:val="20"/>
                    </w:rPr>
                    <w:t xml:space="preserve">hedging </w:t>
                  </w:r>
                  <w:r w:rsidRPr="00EB4FBC">
                    <w:rPr>
                      <w:rFonts w:ascii="Bookman Old Style" w:hAnsi="Bookman Old Style"/>
                      <w:sz w:val="20"/>
                      <w:szCs w:val="20"/>
                    </w:rPr>
                    <w:t xml:space="preserve">syariah. </w:t>
                  </w:r>
                </w:p>
                <w:p w14:paraId="37F948AA" w14:textId="77777777" w:rsidR="00A22891" w:rsidRPr="00EB4FBC" w:rsidRDefault="00A22891" w:rsidP="00A32F86">
                  <w:pPr>
                    <w:pStyle w:val="ListParagraph"/>
                    <w:framePr w:hSpace="180" w:wrap="around" w:vAnchor="text" w:hAnchor="text" w:y="1"/>
                    <w:widowControl w:val="0"/>
                    <w:numPr>
                      <w:ilvl w:val="0"/>
                      <w:numId w:val="211"/>
                    </w:numPr>
                    <w:autoSpaceDE w:val="0"/>
                    <w:autoSpaceDN w:val="0"/>
                    <w:spacing w:after="0" w:line="240" w:lineRule="auto"/>
                    <w:ind w:right="138"/>
                    <w:suppressOverlap/>
                    <w:jc w:val="both"/>
                    <w:rPr>
                      <w:rFonts w:ascii="Bookman Old Style" w:hAnsi="Bookman Old Style"/>
                      <w:sz w:val="20"/>
                      <w:szCs w:val="20"/>
                      <w:lang w:val="en-US"/>
                    </w:rPr>
                  </w:pPr>
                  <w:r w:rsidRPr="00EB4FBC">
                    <w:rPr>
                      <w:rFonts w:ascii="Bookman Old Style" w:hAnsi="Bookman Old Style"/>
                      <w:sz w:val="20"/>
                      <w:szCs w:val="20"/>
                    </w:rPr>
                    <w:t xml:space="preserve">20% dari liabilitas </w:t>
                  </w:r>
                  <w:r w:rsidRPr="00EB4FBC">
                    <w:rPr>
                      <w:rFonts w:ascii="Bookman Old Style" w:hAnsi="Bookman Old Style"/>
                      <w:i/>
                      <w:sz w:val="20"/>
                      <w:szCs w:val="20"/>
                    </w:rPr>
                    <w:t xml:space="preserve">hedging </w:t>
                  </w:r>
                  <w:r w:rsidRPr="00EB4FBC">
                    <w:rPr>
                      <w:rFonts w:ascii="Bookman Old Style" w:hAnsi="Bookman Old Style"/>
                      <w:sz w:val="20"/>
                      <w:szCs w:val="20"/>
                    </w:rPr>
                    <w:t>syariah (</w:t>
                  </w:r>
                  <w:r w:rsidRPr="00EB4FBC">
                    <w:rPr>
                      <w:rFonts w:ascii="Bookman Old Style" w:hAnsi="Bookman Old Style"/>
                      <w:i/>
                      <w:sz w:val="20"/>
                      <w:szCs w:val="20"/>
                    </w:rPr>
                    <w:t>replacement cost</w:t>
                  </w:r>
                  <w:r w:rsidRPr="00EB4FBC">
                    <w:rPr>
                      <w:rFonts w:ascii="Bookman Old Style" w:hAnsi="Bookman Old Style"/>
                      <w:sz w:val="20"/>
                      <w:szCs w:val="20"/>
                    </w:rPr>
                    <w:t xml:space="preserve"> dengan nilai negatif) sebelum dikurangi </w:t>
                  </w:r>
                  <w:r w:rsidRPr="00EB4FBC">
                    <w:rPr>
                      <w:rFonts w:ascii="Bookman Old Style" w:hAnsi="Bookman Old Style"/>
                      <w:i/>
                      <w:sz w:val="20"/>
                      <w:szCs w:val="20"/>
                    </w:rPr>
                    <w:t>variation margin</w:t>
                  </w:r>
                  <w:r w:rsidRPr="00EB4FBC">
                    <w:rPr>
                      <w:rFonts w:ascii="Bookman Old Style" w:hAnsi="Bookman Old Style"/>
                      <w:sz w:val="20"/>
                      <w:szCs w:val="20"/>
                    </w:rPr>
                    <w:t>.</w:t>
                  </w:r>
                </w:p>
              </w:tc>
            </w:tr>
          </w:tbl>
          <w:p w14:paraId="010EB820" w14:textId="50FAEFB2" w:rsidR="00A22891" w:rsidRPr="00E971A9" w:rsidRDefault="00A22891" w:rsidP="002F3310">
            <w:pPr>
              <w:pStyle w:val="ListParagraph"/>
              <w:spacing w:after="0" w:line="240" w:lineRule="auto"/>
              <w:ind w:left="160"/>
              <w:rPr>
                <w:rFonts w:eastAsia="Times New Roman" w:cs="Arial"/>
                <w:sz w:val="24"/>
                <w:szCs w:val="24"/>
              </w:rPr>
            </w:pPr>
          </w:p>
        </w:tc>
        <w:tc>
          <w:tcPr>
            <w:tcW w:w="3686" w:type="dxa"/>
            <w:shd w:val="clear" w:color="auto" w:fill="auto"/>
            <w:vAlign w:val="center"/>
          </w:tcPr>
          <w:p w14:paraId="2CBA49FD"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01B548C1"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A22891" w:rsidRPr="006A283D" w14:paraId="6B630670" w14:textId="77777777" w:rsidTr="006A283D">
        <w:trPr>
          <w:trHeight w:val="564"/>
          <w:tblHeader/>
        </w:trPr>
        <w:tc>
          <w:tcPr>
            <w:tcW w:w="9634" w:type="dxa"/>
            <w:shd w:val="clear" w:color="auto" w:fill="auto"/>
            <w:vAlign w:val="center"/>
          </w:tcPr>
          <w:p w14:paraId="23E9075C" w14:textId="77777777" w:rsidR="002F3310" w:rsidRPr="00EB4FBC" w:rsidRDefault="002F3310" w:rsidP="002F3310">
            <w:pPr>
              <w:spacing w:after="0" w:line="240" w:lineRule="auto"/>
              <w:ind w:left="4536"/>
              <w:rPr>
                <w:rFonts w:ascii="Bookman Old Style" w:eastAsia="Times New Roman" w:hAnsi="Bookman Old Style" w:cs="Arial"/>
                <w:sz w:val="20"/>
                <w:szCs w:val="20"/>
              </w:rPr>
            </w:pPr>
            <w:r w:rsidRPr="00EB4FBC">
              <w:rPr>
                <w:rFonts w:ascii="Bookman Old Style" w:eastAsia="Times New Roman" w:hAnsi="Bookman Old Style" w:cs="Arial"/>
                <w:sz w:val="20"/>
                <w:szCs w:val="20"/>
              </w:rPr>
              <w:lastRenderedPageBreak/>
              <w:t>Ditetapkan di Jakarta</w:t>
            </w:r>
          </w:p>
          <w:p w14:paraId="3DCC2ABD" w14:textId="77777777" w:rsidR="002F3310" w:rsidRPr="00EB4FBC" w:rsidRDefault="002F3310" w:rsidP="002F3310">
            <w:pPr>
              <w:spacing w:after="0" w:line="240" w:lineRule="auto"/>
              <w:ind w:left="4536"/>
              <w:rPr>
                <w:rFonts w:ascii="Bookman Old Style" w:eastAsia="Times New Roman" w:hAnsi="Bookman Old Style" w:cs="Arial"/>
                <w:sz w:val="20"/>
                <w:szCs w:val="20"/>
              </w:rPr>
            </w:pPr>
            <w:r w:rsidRPr="00EB4FBC">
              <w:rPr>
                <w:rFonts w:ascii="Bookman Old Style" w:eastAsia="Times New Roman" w:hAnsi="Bookman Old Style" w:cs="Arial"/>
                <w:sz w:val="20"/>
                <w:szCs w:val="20"/>
              </w:rPr>
              <w:t xml:space="preserve">pada tanggal </w:t>
            </w:r>
          </w:p>
          <w:p w14:paraId="5C907817" w14:textId="77777777" w:rsidR="002F3310" w:rsidRPr="00EB4FBC" w:rsidRDefault="002F3310" w:rsidP="002F3310">
            <w:pPr>
              <w:spacing w:after="0" w:line="240" w:lineRule="auto"/>
              <w:ind w:left="4536"/>
              <w:rPr>
                <w:rFonts w:ascii="Bookman Old Style" w:eastAsia="Times New Roman" w:hAnsi="Bookman Old Style" w:cs="Arial"/>
                <w:sz w:val="20"/>
                <w:szCs w:val="20"/>
              </w:rPr>
            </w:pPr>
          </w:p>
          <w:p w14:paraId="2D5BE59F" w14:textId="77777777" w:rsidR="002F3310" w:rsidRPr="00EB4FBC" w:rsidRDefault="002F3310" w:rsidP="002F3310">
            <w:pPr>
              <w:spacing w:after="0" w:line="240" w:lineRule="auto"/>
              <w:ind w:left="4536"/>
              <w:rPr>
                <w:rFonts w:ascii="Bookman Old Style" w:eastAsia="Times New Roman" w:hAnsi="Bookman Old Style" w:cs="Arial"/>
                <w:sz w:val="20"/>
                <w:szCs w:val="20"/>
                <w:lang w:val="en-US"/>
              </w:rPr>
            </w:pPr>
            <w:r w:rsidRPr="00EB4FBC">
              <w:rPr>
                <w:rFonts w:ascii="Bookman Old Style" w:eastAsia="Times New Roman" w:hAnsi="Bookman Old Style" w:cs="Arial"/>
                <w:sz w:val="20"/>
                <w:szCs w:val="20"/>
                <w:lang w:val="en-US"/>
              </w:rPr>
              <w:t>KETUA DEWAN KOMISIONER</w:t>
            </w:r>
          </w:p>
          <w:p w14:paraId="3984C161" w14:textId="77777777" w:rsidR="002F3310" w:rsidRPr="00EB4FBC" w:rsidRDefault="002F3310" w:rsidP="002F3310">
            <w:pPr>
              <w:spacing w:after="0" w:line="240" w:lineRule="auto"/>
              <w:ind w:left="4536"/>
              <w:rPr>
                <w:rFonts w:ascii="Bookman Old Style" w:eastAsia="Times New Roman" w:hAnsi="Bookman Old Style" w:cs="Arial"/>
                <w:sz w:val="20"/>
                <w:szCs w:val="20"/>
              </w:rPr>
            </w:pPr>
            <w:r w:rsidRPr="00EB4FBC">
              <w:rPr>
                <w:rFonts w:ascii="Bookman Old Style" w:eastAsia="Times New Roman" w:hAnsi="Bookman Old Style" w:cs="Arial"/>
                <w:sz w:val="20"/>
                <w:szCs w:val="20"/>
              </w:rPr>
              <w:t>OTORITAS JASA KEUANGAN</w:t>
            </w:r>
          </w:p>
          <w:p w14:paraId="34FB7E0E" w14:textId="77777777" w:rsidR="002F3310" w:rsidRPr="00EB4FBC" w:rsidRDefault="002F3310" w:rsidP="002F3310">
            <w:pPr>
              <w:spacing w:after="0" w:line="240" w:lineRule="auto"/>
              <w:ind w:left="4536"/>
              <w:rPr>
                <w:rFonts w:ascii="Bookman Old Style" w:eastAsia="Times New Roman" w:hAnsi="Bookman Old Style" w:cs="Arial"/>
                <w:sz w:val="20"/>
                <w:szCs w:val="20"/>
              </w:rPr>
            </w:pPr>
            <w:r w:rsidRPr="00EB4FBC">
              <w:rPr>
                <w:rFonts w:ascii="Bookman Old Style" w:eastAsia="Times New Roman" w:hAnsi="Bookman Old Style" w:cs="Arial"/>
                <w:sz w:val="20"/>
                <w:szCs w:val="20"/>
              </w:rPr>
              <w:t>REPUBLIK INDONESIA,</w:t>
            </w:r>
          </w:p>
          <w:p w14:paraId="2F1FB46E" w14:textId="77777777" w:rsidR="002F3310" w:rsidRPr="00EB4FBC" w:rsidRDefault="002F3310" w:rsidP="002F3310">
            <w:pPr>
              <w:spacing w:after="0" w:line="240" w:lineRule="auto"/>
              <w:ind w:left="4536"/>
              <w:rPr>
                <w:rFonts w:ascii="Bookman Old Style" w:eastAsia="Times New Roman" w:hAnsi="Bookman Old Style" w:cs="Arial"/>
                <w:sz w:val="20"/>
                <w:szCs w:val="20"/>
              </w:rPr>
            </w:pPr>
          </w:p>
          <w:p w14:paraId="6E59B587" w14:textId="77777777" w:rsidR="002F3310" w:rsidRPr="00EB4FBC" w:rsidRDefault="002F3310" w:rsidP="002F3310">
            <w:pPr>
              <w:spacing w:after="0" w:line="240" w:lineRule="auto"/>
              <w:ind w:left="4536"/>
              <w:rPr>
                <w:rFonts w:ascii="Bookman Old Style" w:eastAsia="Times New Roman" w:hAnsi="Bookman Old Style" w:cs="Arial"/>
                <w:sz w:val="20"/>
                <w:szCs w:val="20"/>
              </w:rPr>
            </w:pPr>
          </w:p>
          <w:p w14:paraId="0295E685" w14:textId="77777777" w:rsidR="002F3310" w:rsidRPr="00EB4FBC" w:rsidRDefault="002F3310" w:rsidP="002F3310">
            <w:pPr>
              <w:spacing w:after="0" w:line="240" w:lineRule="auto"/>
              <w:ind w:left="4536"/>
              <w:rPr>
                <w:rFonts w:ascii="Bookman Old Style" w:eastAsia="Times New Roman" w:hAnsi="Bookman Old Style" w:cs="Arial"/>
                <w:sz w:val="20"/>
                <w:szCs w:val="20"/>
              </w:rPr>
            </w:pPr>
          </w:p>
          <w:p w14:paraId="4BB93423" w14:textId="77777777" w:rsidR="002F3310" w:rsidRPr="00EB4FBC" w:rsidRDefault="002F3310" w:rsidP="002F3310">
            <w:pPr>
              <w:spacing w:after="0" w:line="240" w:lineRule="auto"/>
              <w:ind w:left="4536"/>
              <w:rPr>
                <w:rFonts w:ascii="Bookman Old Style" w:eastAsia="Times New Roman" w:hAnsi="Bookman Old Style" w:cs="Arial"/>
                <w:sz w:val="20"/>
                <w:szCs w:val="20"/>
              </w:rPr>
            </w:pPr>
          </w:p>
          <w:p w14:paraId="6F5AB7E4" w14:textId="1B1208EC" w:rsidR="00A22891" w:rsidRPr="00E971A9" w:rsidRDefault="002F3310" w:rsidP="002F3310">
            <w:pPr>
              <w:pStyle w:val="ListParagraph"/>
              <w:spacing w:after="0" w:line="240" w:lineRule="auto"/>
              <w:ind w:left="4554"/>
              <w:rPr>
                <w:rFonts w:eastAsia="Times New Roman" w:cs="Arial"/>
                <w:sz w:val="24"/>
                <w:szCs w:val="24"/>
              </w:rPr>
            </w:pPr>
            <w:r w:rsidRPr="00EB4FBC">
              <w:rPr>
                <w:rFonts w:ascii="Bookman Old Style" w:eastAsia="Times New Roman" w:hAnsi="Bookman Old Style" w:cs="Arial"/>
                <w:sz w:val="20"/>
                <w:szCs w:val="20"/>
                <w:lang w:val="en-US"/>
              </w:rPr>
              <w:t>MAHENDRA SIREGAR</w:t>
            </w:r>
          </w:p>
        </w:tc>
        <w:tc>
          <w:tcPr>
            <w:tcW w:w="3686" w:type="dxa"/>
            <w:shd w:val="clear" w:color="auto" w:fill="auto"/>
            <w:vAlign w:val="center"/>
          </w:tcPr>
          <w:p w14:paraId="064DA0DD"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shd w:val="clear" w:color="auto" w:fill="auto"/>
            <w:vAlign w:val="center"/>
          </w:tcPr>
          <w:p w14:paraId="6B20FBA6" w14:textId="77777777" w:rsidR="00A22891" w:rsidRPr="006A283D" w:rsidRDefault="00A22891" w:rsidP="004C0299">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bl>
    <w:p w14:paraId="3F841AC3" w14:textId="47E890B6" w:rsidR="00B03AEA" w:rsidRDefault="00B03AEA" w:rsidP="006A283D">
      <w:pPr>
        <w:tabs>
          <w:tab w:val="left" w:pos="1256"/>
        </w:tabs>
        <w:spacing w:after="0" w:line="240" w:lineRule="auto"/>
        <w:rPr>
          <w:rFonts w:ascii="Bookman Old Style" w:eastAsia="Bookman Old Style" w:hAnsi="Bookman Old Style" w:cs="Bookman Old Style"/>
          <w:sz w:val="20"/>
          <w:szCs w:val="20"/>
        </w:rPr>
      </w:pPr>
    </w:p>
    <w:p w14:paraId="400465B1" w14:textId="77777777" w:rsidR="00A22891" w:rsidRDefault="00A22891" w:rsidP="006A283D">
      <w:pPr>
        <w:tabs>
          <w:tab w:val="left" w:pos="1256"/>
        </w:tabs>
        <w:spacing w:after="0" w:line="240" w:lineRule="auto"/>
        <w:rPr>
          <w:rFonts w:ascii="Bookman Old Style" w:eastAsia="Bookman Old Style" w:hAnsi="Bookman Old Style" w:cs="Bookman Old Style"/>
          <w:sz w:val="20"/>
          <w:szCs w:val="20"/>
        </w:rPr>
      </w:pPr>
    </w:p>
    <w:p w14:paraId="06110159" w14:textId="7391E4E9" w:rsidR="00B03AEA" w:rsidRDefault="00B03AEA" w:rsidP="006A283D">
      <w:pPr>
        <w:tabs>
          <w:tab w:val="left" w:pos="1256"/>
        </w:tabs>
        <w:spacing w:after="0" w:line="240" w:lineRule="auto"/>
        <w:rPr>
          <w:rFonts w:ascii="Bookman Old Style" w:eastAsia="Bookman Old Style" w:hAnsi="Bookman Old Style" w:cs="Bookman Old Style"/>
          <w:sz w:val="20"/>
          <w:szCs w:val="20"/>
        </w:rPr>
      </w:pPr>
    </w:p>
    <w:tbl>
      <w:tblPr>
        <w:tblpPr w:leftFromText="180" w:rightFromText="180" w:vertAnchor="text" w:tblpY="1"/>
        <w:tblOverlap w:val="never"/>
        <w:tblW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25"/>
        <w:gridCol w:w="5953"/>
        <w:gridCol w:w="3969"/>
      </w:tblGrid>
      <w:tr w:rsidR="00EB4FBC" w:rsidRPr="00B03AEA" w14:paraId="2C63B7D7" w14:textId="77777777" w:rsidTr="008262B9">
        <w:trPr>
          <w:trHeight w:val="564"/>
          <w:tblHeader/>
        </w:trPr>
        <w:tc>
          <w:tcPr>
            <w:tcW w:w="7225" w:type="dxa"/>
            <w:shd w:val="clear" w:color="auto" w:fill="FFFF00"/>
            <w:vAlign w:val="center"/>
          </w:tcPr>
          <w:p w14:paraId="23DE82DC"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B03AEA">
              <w:rPr>
                <w:rFonts w:ascii="Bookman Old Style" w:eastAsia="Bookman Old Style" w:hAnsi="Bookman Old Style" w:cs="Bookman Old Style"/>
                <w:b/>
                <w:bCs/>
                <w:color w:val="000000" w:themeColor="text1"/>
                <w:sz w:val="20"/>
                <w:szCs w:val="20"/>
                <w:lang w:val="en-US"/>
              </w:rPr>
              <w:lastRenderedPageBreak/>
              <w:t>DRAF PERATURAN</w:t>
            </w:r>
          </w:p>
        </w:tc>
        <w:tc>
          <w:tcPr>
            <w:tcW w:w="5953" w:type="dxa"/>
            <w:vMerge w:val="restart"/>
            <w:shd w:val="clear" w:color="auto" w:fill="FFFF00"/>
            <w:vAlign w:val="center"/>
          </w:tcPr>
          <w:p w14:paraId="2A4F0A7D"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TANGGAPAN</w:t>
            </w:r>
          </w:p>
        </w:tc>
        <w:tc>
          <w:tcPr>
            <w:tcW w:w="3969" w:type="dxa"/>
            <w:vMerge w:val="restart"/>
            <w:shd w:val="clear" w:color="auto" w:fill="FFFF00"/>
            <w:vAlign w:val="center"/>
          </w:tcPr>
          <w:p w14:paraId="35522BB6"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B03AEA">
              <w:rPr>
                <w:rFonts w:ascii="Bookman Old Style" w:eastAsia="Bookman Old Style" w:hAnsi="Bookman Old Style" w:cs="Bookman Old Style"/>
                <w:b/>
                <w:bCs/>
                <w:color w:val="000000" w:themeColor="text1"/>
                <w:sz w:val="20"/>
                <w:szCs w:val="20"/>
              </w:rPr>
              <w:t>USULAN PERUBAHAN</w:t>
            </w:r>
          </w:p>
        </w:tc>
      </w:tr>
      <w:tr w:rsidR="00EB4FBC" w:rsidRPr="00B03AEA" w14:paraId="4837869D" w14:textId="77777777" w:rsidTr="008262B9">
        <w:trPr>
          <w:trHeight w:val="564"/>
          <w:tblHeader/>
        </w:trPr>
        <w:tc>
          <w:tcPr>
            <w:tcW w:w="7225" w:type="dxa"/>
            <w:shd w:val="clear" w:color="auto" w:fill="FFFF00"/>
            <w:vAlign w:val="center"/>
          </w:tcPr>
          <w:p w14:paraId="08907AF7" w14:textId="50A66BF2" w:rsidR="00EB4FBC" w:rsidRPr="00E4190C"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E4190C">
              <w:rPr>
                <w:rFonts w:ascii="Bookman Old Style" w:eastAsia="Bookman Old Style" w:hAnsi="Bookman Old Style" w:cs="Bookman Old Style"/>
                <w:b/>
                <w:bCs/>
                <w:color w:val="000000" w:themeColor="text1"/>
                <w:sz w:val="20"/>
                <w:szCs w:val="20"/>
                <w:lang w:val="en-US"/>
              </w:rPr>
              <w:t>LAMPIRAN V</w:t>
            </w:r>
          </w:p>
          <w:p w14:paraId="29CA10A0" w14:textId="77777777" w:rsidR="00EB4FBC" w:rsidRPr="00E4190C"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E4190C">
              <w:rPr>
                <w:rFonts w:ascii="Bookman Old Style" w:eastAsia="Bookman Old Style" w:hAnsi="Bookman Old Style" w:cs="Bookman Old Style"/>
                <w:color w:val="000000" w:themeColor="text1"/>
                <w:sz w:val="20"/>
                <w:szCs w:val="20"/>
              </w:rPr>
              <w:t>RANCANGAN</w:t>
            </w:r>
          </w:p>
          <w:p w14:paraId="47EC9B1F" w14:textId="77777777" w:rsidR="00EB4FBC" w:rsidRPr="00E4190C"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E4190C">
              <w:rPr>
                <w:rFonts w:ascii="Bookman Old Style" w:eastAsia="Bookman Old Style" w:hAnsi="Bookman Old Style" w:cs="Bookman Old Style"/>
                <w:color w:val="000000" w:themeColor="text1"/>
                <w:sz w:val="20"/>
                <w:szCs w:val="20"/>
              </w:rPr>
              <w:t>PERATURAN OTORITAS JASA KEUANGAN</w:t>
            </w:r>
          </w:p>
          <w:p w14:paraId="5B07DBA9" w14:textId="77777777" w:rsidR="00EB4FBC" w:rsidRPr="00E4190C" w:rsidRDefault="00EB4FBC" w:rsidP="007A2AAB">
            <w:pPr>
              <w:spacing w:after="0" w:line="240" w:lineRule="auto"/>
              <w:jc w:val="center"/>
              <w:rPr>
                <w:rFonts w:ascii="Bookman Old Style" w:hAnsi="Bookman Old Style"/>
                <w:color w:val="000000" w:themeColor="text1"/>
                <w:sz w:val="20"/>
                <w:szCs w:val="20"/>
              </w:rPr>
            </w:pPr>
            <w:r w:rsidRPr="00E4190C">
              <w:rPr>
                <w:rFonts w:ascii="Bookman Old Style" w:hAnsi="Bookman Old Style"/>
                <w:color w:val="000000" w:themeColor="text1"/>
                <w:sz w:val="20"/>
                <w:szCs w:val="20"/>
              </w:rPr>
              <w:t xml:space="preserve">REPUBLIK </w:t>
            </w:r>
            <w:r w:rsidRPr="00E4190C">
              <w:rPr>
                <w:rFonts w:ascii="Bookman Old Style" w:eastAsia="Bookman Old Style" w:hAnsi="Bookman Old Style" w:cs="Bookman Old Style"/>
                <w:color w:val="000000" w:themeColor="text1"/>
                <w:sz w:val="20"/>
                <w:szCs w:val="20"/>
              </w:rPr>
              <w:t>INDONESIA</w:t>
            </w:r>
          </w:p>
          <w:p w14:paraId="5782D5B5" w14:textId="77777777" w:rsidR="00EB4FBC" w:rsidRPr="00E4190C"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p>
          <w:p w14:paraId="514D6F7F" w14:textId="77777777" w:rsidR="00EB4FBC" w:rsidRPr="00E4190C"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E4190C">
              <w:rPr>
                <w:rFonts w:ascii="Bookman Old Style" w:eastAsia="Bookman Old Style" w:hAnsi="Bookman Old Style" w:cs="Bookman Old Style"/>
                <w:color w:val="000000" w:themeColor="text1"/>
                <w:sz w:val="20"/>
                <w:szCs w:val="20"/>
              </w:rPr>
              <w:t>NOMOR ... TAHUN 2024</w:t>
            </w:r>
          </w:p>
          <w:p w14:paraId="22BB46D0" w14:textId="77777777" w:rsidR="00EB4FBC" w:rsidRPr="00E4190C" w:rsidRDefault="00EB4FBC" w:rsidP="007A2AAB">
            <w:pPr>
              <w:spacing w:after="0" w:line="240" w:lineRule="auto"/>
              <w:jc w:val="center"/>
              <w:rPr>
                <w:rFonts w:ascii="Bookman Old Style" w:eastAsia="Bookman Old Style" w:hAnsi="Bookman Old Style" w:cs="Bookman Old Style"/>
                <w:color w:val="000000" w:themeColor="text1"/>
                <w:sz w:val="20"/>
                <w:szCs w:val="20"/>
              </w:rPr>
            </w:pPr>
            <w:r w:rsidRPr="00E4190C">
              <w:rPr>
                <w:rFonts w:ascii="Bookman Old Style" w:eastAsia="Bookman Old Style" w:hAnsi="Bookman Old Style" w:cs="Bookman Old Style"/>
                <w:color w:val="000000" w:themeColor="text1"/>
                <w:sz w:val="20"/>
                <w:szCs w:val="20"/>
              </w:rPr>
              <w:t>TENTANG</w:t>
            </w:r>
          </w:p>
          <w:p w14:paraId="05984DB7" w14:textId="77777777" w:rsidR="00EB4FBC" w:rsidRPr="00E4190C" w:rsidRDefault="00EB4FBC" w:rsidP="007A2AAB">
            <w:pPr>
              <w:spacing w:after="0" w:line="240" w:lineRule="auto"/>
              <w:jc w:val="center"/>
              <w:rPr>
                <w:rFonts w:ascii="Bookman Old Style" w:hAnsi="Bookman Old Style"/>
                <w:color w:val="000000" w:themeColor="text1"/>
                <w:sz w:val="20"/>
                <w:szCs w:val="20"/>
                <w:lang w:val="sv-SE"/>
              </w:rPr>
            </w:pPr>
            <w:r w:rsidRPr="00E4190C">
              <w:rPr>
                <w:rFonts w:ascii="Bookman Old Style" w:hAnsi="Bookman Old Style"/>
                <w:color w:val="000000" w:themeColor="text1"/>
                <w:sz w:val="20"/>
                <w:szCs w:val="20"/>
                <w:lang w:val="sv-SE"/>
              </w:rPr>
              <w:t xml:space="preserve">KEWAJIBAN PEMENUHAN </w:t>
            </w:r>
          </w:p>
          <w:p w14:paraId="3EEA2924" w14:textId="77777777" w:rsidR="00EB4FBC" w:rsidRPr="00E4190C" w:rsidRDefault="00EB4FBC" w:rsidP="007A2AAB">
            <w:pPr>
              <w:spacing w:after="0" w:line="240" w:lineRule="auto"/>
              <w:jc w:val="center"/>
              <w:rPr>
                <w:rFonts w:ascii="Bookman Old Style" w:hAnsi="Bookman Old Style"/>
                <w:color w:val="000000" w:themeColor="text1"/>
                <w:sz w:val="20"/>
                <w:szCs w:val="20"/>
                <w:lang w:val="sv-SE"/>
              </w:rPr>
            </w:pPr>
            <w:r w:rsidRPr="00E4190C">
              <w:rPr>
                <w:rFonts w:ascii="Bookman Old Style" w:hAnsi="Bookman Old Style"/>
                <w:color w:val="000000" w:themeColor="text1"/>
                <w:sz w:val="20"/>
                <w:szCs w:val="20"/>
                <w:lang w:val="sv-SE"/>
              </w:rPr>
              <w:t>RASIO KECUKUPAN LIKUIDITAS (</w:t>
            </w:r>
            <w:r w:rsidRPr="00E4190C">
              <w:rPr>
                <w:rFonts w:ascii="Bookman Old Style" w:hAnsi="Bookman Old Style"/>
                <w:i/>
                <w:color w:val="000000" w:themeColor="text1"/>
                <w:sz w:val="20"/>
                <w:szCs w:val="20"/>
                <w:lang w:val="sv-SE"/>
              </w:rPr>
              <w:t>LIQUIDITY COVERAGE RATIO</w:t>
            </w:r>
            <w:r w:rsidRPr="00E4190C">
              <w:rPr>
                <w:rFonts w:ascii="Bookman Old Style" w:hAnsi="Bookman Old Style"/>
                <w:color w:val="000000" w:themeColor="text1"/>
                <w:sz w:val="20"/>
                <w:szCs w:val="20"/>
                <w:lang w:val="sv-SE"/>
              </w:rPr>
              <w:t xml:space="preserve">) DAN </w:t>
            </w:r>
          </w:p>
          <w:p w14:paraId="383924BE" w14:textId="77777777" w:rsidR="00EB4FBC" w:rsidRPr="00E4190C" w:rsidRDefault="00EB4FBC" w:rsidP="007A2AAB">
            <w:pPr>
              <w:spacing w:after="0" w:line="240" w:lineRule="auto"/>
              <w:jc w:val="center"/>
              <w:rPr>
                <w:rFonts w:ascii="Bookman Old Style" w:hAnsi="Bookman Old Style"/>
                <w:color w:val="000000" w:themeColor="text1"/>
                <w:sz w:val="20"/>
                <w:szCs w:val="20"/>
                <w:lang w:val="sv-SE"/>
              </w:rPr>
            </w:pPr>
            <w:r w:rsidRPr="00E4190C">
              <w:rPr>
                <w:rFonts w:ascii="Bookman Old Style" w:hAnsi="Bookman Old Style"/>
                <w:color w:val="000000" w:themeColor="text1"/>
                <w:sz w:val="20"/>
                <w:szCs w:val="20"/>
                <w:lang w:val="sv-SE"/>
              </w:rPr>
              <w:t>RASIO PENDANAAN STABIL BERSIH (</w:t>
            </w:r>
            <w:r w:rsidRPr="00E4190C">
              <w:rPr>
                <w:rFonts w:ascii="Bookman Old Style" w:hAnsi="Bookman Old Style"/>
                <w:i/>
                <w:color w:val="000000" w:themeColor="text1"/>
                <w:sz w:val="20"/>
                <w:szCs w:val="20"/>
                <w:lang w:val="sv-SE"/>
              </w:rPr>
              <w:t>NET STABLE FUNDING RATIO)</w:t>
            </w:r>
            <w:r w:rsidRPr="00E4190C">
              <w:rPr>
                <w:rFonts w:ascii="Bookman Old Style" w:hAnsi="Bookman Old Style"/>
                <w:color w:val="000000" w:themeColor="text1"/>
                <w:sz w:val="20"/>
                <w:szCs w:val="20"/>
                <w:lang w:val="sv-SE"/>
              </w:rPr>
              <w:t xml:space="preserve"> </w:t>
            </w:r>
          </w:p>
          <w:p w14:paraId="03435EA0" w14:textId="77777777" w:rsidR="00EB4FBC" w:rsidRPr="00E4190C"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E4190C">
              <w:rPr>
                <w:rFonts w:ascii="Bookman Old Style" w:hAnsi="Bookman Old Style"/>
                <w:color w:val="000000" w:themeColor="text1"/>
                <w:sz w:val="20"/>
                <w:szCs w:val="20"/>
                <w:lang w:val="sv-SE"/>
              </w:rPr>
              <w:t>BAGI BANK UMUM SYARIAH DAN UNIT USAHA SYARIAH</w:t>
            </w:r>
          </w:p>
        </w:tc>
        <w:tc>
          <w:tcPr>
            <w:tcW w:w="5953" w:type="dxa"/>
            <w:vMerge/>
            <w:shd w:val="clear" w:color="auto" w:fill="FFFF00"/>
            <w:vAlign w:val="center"/>
          </w:tcPr>
          <w:p w14:paraId="4A91CC2F"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969" w:type="dxa"/>
            <w:vMerge/>
            <w:shd w:val="clear" w:color="auto" w:fill="FFFF00"/>
            <w:vAlign w:val="center"/>
          </w:tcPr>
          <w:p w14:paraId="5652F96C"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EB4FBC" w:rsidRPr="00B03AEA" w14:paraId="42CA59B6" w14:textId="77777777" w:rsidTr="008262B9">
        <w:trPr>
          <w:trHeight w:val="564"/>
          <w:tblHeader/>
        </w:trPr>
        <w:tc>
          <w:tcPr>
            <w:tcW w:w="7225" w:type="dxa"/>
            <w:shd w:val="clear" w:color="auto" w:fill="auto"/>
            <w:vAlign w:val="center"/>
          </w:tcPr>
          <w:p w14:paraId="0C02B855" w14:textId="4DE38B1C" w:rsidR="00EB4FBC" w:rsidRPr="00E4190C" w:rsidRDefault="00E4190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E4190C">
              <w:rPr>
                <w:rFonts w:ascii="Bookman Old Style" w:hAnsi="Bookman Old Style"/>
                <w:sz w:val="20"/>
                <w:szCs w:val="20"/>
              </w:rPr>
              <w:t>KERTAS</w:t>
            </w:r>
            <w:r w:rsidRPr="00E4190C">
              <w:rPr>
                <w:rFonts w:ascii="Bookman Old Style" w:hAnsi="Bookman Old Style"/>
                <w:spacing w:val="-5"/>
                <w:sz w:val="20"/>
                <w:szCs w:val="20"/>
              </w:rPr>
              <w:t xml:space="preserve"> </w:t>
            </w:r>
            <w:r w:rsidRPr="00E4190C">
              <w:rPr>
                <w:rFonts w:ascii="Bookman Old Style" w:hAnsi="Bookman Old Style"/>
                <w:sz w:val="20"/>
                <w:szCs w:val="20"/>
              </w:rPr>
              <w:t>KERJA</w:t>
            </w:r>
            <w:r w:rsidRPr="00E4190C">
              <w:rPr>
                <w:rFonts w:ascii="Bookman Old Style" w:hAnsi="Bookman Old Style"/>
                <w:spacing w:val="-4"/>
                <w:sz w:val="20"/>
                <w:szCs w:val="20"/>
              </w:rPr>
              <w:t xml:space="preserve"> </w:t>
            </w:r>
            <w:r w:rsidRPr="00E4190C">
              <w:rPr>
                <w:rFonts w:ascii="Bookman Old Style" w:hAnsi="Bookman Old Style"/>
                <w:sz w:val="20"/>
                <w:szCs w:val="20"/>
              </w:rPr>
              <w:t>NSFR</w:t>
            </w:r>
          </w:p>
        </w:tc>
        <w:tc>
          <w:tcPr>
            <w:tcW w:w="5953" w:type="dxa"/>
            <w:vMerge w:val="restart"/>
            <w:shd w:val="clear" w:color="auto" w:fill="auto"/>
            <w:vAlign w:val="center"/>
          </w:tcPr>
          <w:p w14:paraId="5F664116" w14:textId="77777777" w:rsidR="00EB4FBC"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sidRPr="00623B56">
              <w:rPr>
                <w:rFonts w:ascii="Bookman Old Style" w:eastAsia="Bookman Old Style" w:hAnsi="Bookman Old Style" w:cs="Bookman Old Style"/>
                <w:b/>
                <w:bCs/>
                <w:i/>
                <w:color w:val="000000" w:themeColor="text1"/>
                <w:sz w:val="20"/>
                <w:szCs w:val="20"/>
                <w:lang w:val="en-US"/>
              </w:rPr>
              <w:t xml:space="preserve">(Isi </w:t>
            </w:r>
            <w:r>
              <w:rPr>
                <w:rFonts w:ascii="Bookman Old Style" w:eastAsia="Bookman Old Style" w:hAnsi="Bookman Old Style" w:cs="Bookman Old Style"/>
                <w:b/>
                <w:bCs/>
                <w:i/>
                <w:color w:val="000000" w:themeColor="text1"/>
                <w:sz w:val="20"/>
                <w:szCs w:val="20"/>
                <w:lang w:val="en-US"/>
              </w:rPr>
              <w:t>t</w:t>
            </w:r>
            <w:r w:rsidRPr="00623B56">
              <w:rPr>
                <w:rFonts w:ascii="Bookman Old Style" w:eastAsia="Bookman Old Style" w:hAnsi="Bookman Old Style" w:cs="Bookman Old Style"/>
                <w:b/>
                <w:bCs/>
                <w:i/>
                <w:color w:val="000000" w:themeColor="text1"/>
                <w:sz w:val="20"/>
                <w:szCs w:val="20"/>
                <w:lang w:val="en-US"/>
              </w:rPr>
              <w:t>anggapan</w:t>
            </w:r>
            <w:r>
              <w:rPr>
                <w:rFonts w:ascii="Bookman Old Style" w:eastAsia="Bookman Old Style" w:hAnsi="Bookman Old Style" w:cs="Bookman Old Style"/>
                <w:b/>
                <w:bCs/>
                <w:i/>
                <w:color w:val="000000" w:themeColor="text1"/>
                <w:sz w:val="20"/>
                <w:szCs w:val="20"/>
                <w:lang w:val="en-US"/>
              </w:rPr>
              <w:t xml:space="preserve"> atas </w:t>
            </w:r>
          </w:p>
          <w:p w14:paraId="70DBC946" w14:textId="0A5BA4C1" w:rsidR="00EB4FBC" w:rsidRPr="00623B56"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Pr>
                <w:rFonts w:ascii="Bookman Old Style" w:eastAsia="Bookman Old Style" w:hAnsi="Bookman Old Style" w:cs="Bookman Old Style"/>
                <w:b/>
                <w:bCs/>
                <w:i/>
                <w:color w:val="000000" w:themeColor="text1"/>
                <w:sz w:val="20"/>
                <w:szCs w:val="20"/>
                <w:lang w:val="en-US"/>
              </w:rPr>
              <w:t>Lampiran V</w:t>
            </w:r>
            <w:r w:rsidRPr="00623B56">
              <w:rPr>
                <w:rFonts w:ascii="Bookman Old Style" w:eastAsia="Bookman Old Style" w:hAnsi="Bookman Old Style" w:cs="Bookman Old Style"/>
                <w:b/>
                <w:bCs/>
                <w:i/>
                <w:color w:val="000000" w:themeColor="text1"/>
                <w:sz w:val="20"/>
                <w:szCs w:val="20"/>
                <w:lang w:val="en-US"/>
              </w:rPr>
              <w:t xml:space="preserve"> Disini)</w:t>
            </w:r>
          </w:p>
        </w:tc>
        <w:tc>
          <w:tcPr>
            <w:tcW w:w="3969" w:type="dxa"/>
            <w:vMerge w:val="restart"/>
            <w:shd w:val="clear" w:color="auto" w:fill="auto"/>
            <w:vAlign w:val="center"/>
          </w:tcPr>
          <w:p w14:paraId="3AC56BEE" w14:textId="165B58B9"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623B56">
              <w:rPr>
                <w:rFonts w:ascii="Bookman Old Style" w:eastAsia="Bookman Old Style" w:hAnsi="Bookman Old Style" w:cs="Bookman Old Style"/>
                <w:b/>
                <w:bCs/>
                <w:i/>
                <w:color w:val="000000" w:themeColor="text1"/>
                <w:sz w:val="20"/>
                <w:szCs w:val="20"/>
                <w:lang w:val="en-US"/>
              </w:rPr>
              <w:t xml:space="preserve">(Isi </w:t>
            </w:r>
            <w:r>
              <w:rPr>
                <w:rFonts w:ascii="Bookman Old Style" w:eastAsia="Bookman Old Style" w:hAnsi="Bookman Old Style" w:cs="Bookman Old Style"/>
                <w:b/>
                <w:bCs/>
                <w:i/>
                <w:color w:val="000000" w:themeColor="text1"/>
                <w:sz w:val="20"/>
                <w:szCs w:val="20"/>
                <w:lang w:val="en-US"/>
              </w:rPr>
              <w:t>usulan perubahan atas Lampiran V disini</w:t>
            </w:r>
            <w:r w:rsidRPr="00623B56">
              <w:rPr>
                <w:rFonts w:ascii="Bookman Old Style" w:eastAsia="Bookman Old Style" w:hAnsi="Bookman Old Style" w:cs="Bookman Old Style"/>
                <w:b/>
                <w:bCs/>
                <w:i/>
                <w:color w:val="000000" w:themeColor="text1"/>
                <w:sz w:val="20"/>
                <w:szCs w:val="20"/>
                <w:lang w:val="en-US"/>
              </w:rPr>
              <w:t>)</w:t>
            </w:r>
          </w:p>
        </w:tc>
      </w:tr>
      <w:tr w:rsidR="00EB4FBC" w:rsidRPr="00B03AEA" w14:paraId="3CD89F91" w14:textId="77777777" w:rsidTr="008262B9">
        <w:trPr>
          <w:trHeight w:val="564"/>
          <w:tblHeader/>
        </w:trPr>
        <w:tc>
          <w:tcPr>
            <w:tcW w:w="7225" w:type="dxa"/>
            <w:shd w:val="clear" w:color="auto" w:fill="auto"/>
            <w:vAlign w:val="center"/>
          </w:tcPr>
          <w:p w14:paraId="67E06332" w14:textId="33F43DF9" w:rsidR="00EB4FBC" w:rsidRPr="00E4190C" w:rsidRDefault="00EB4FBC" w:rsidP="007A2AAB">
            <w:pPr>
              <w:pStyle w:val="BodyText"/>
              <w:ind w:right="-1"/>
              <w:rPr>
                <w:rFonts w:ascii="Bookman Old Style" w:hAnsi="Bookman Old Style"/>
                <w:sz w:val="20"/>
                <w:szCs w:val="20"/>
                <w:lang w:val="sv-SE"/>
              </w:rPr>
            </w:pPr>
            <w:r w:rsidRPr="00E4190C">
              <w:rPr>
                <w:rFonts w:ascii="Bookman Old Style" w:hAnsi="Bookman Old Style"/>
                <w:sz w:val="20"/>
                <w:szCs w:val="20"/>
                <w:lang w:val="sv-SE"/>
              </w:rPr>
              <w:t>Nama Bank</w:t>
            </w:r>
            <w:r w:rsidRPr="00E4190C">
              <w:rPr>
                <w:rFonts w:ascii="Bookman Old Style" w:hAnsi="Bookman Old Style"/>
                <w:sz w:val="20"/>
                <w:szCs w:val="20"/>
                <w:lang w:val="sv-SE"/>
              </w:rPr>
              <w:tab/>
            </w:r>
            <w:r w:rsidRPr="00E4190C">
              <w:rPr>
                <w:rFonts w:ascii="Bookman Old Style" w:hAnsi="Bookman Old Style"/>
                <w:sz w:val="20"/>
                <w:szCs w:val="20"/>
                <w:lang w:val="sv-SE"/>
              </w:rPr>
              <w:tab/>
              <w:t>:</w:t>
            </w:r>
            <w:r w:rsidR="00E4190C" w:rsidRPr="00E4190C">
              <w:rPr>
                <w:rFonts w:ascii="Bookman Old Style" w:hAnsi="Bookman Old Style"/>
                <w:sz w:val="20"/>
                <w:szCs w:val="20"/>
                <w:lang w:val="sv-SE"/>
              </w:rPr>
              <w:t xml:space="preserve"> </w:t>
            </w:r>
            <w:r w:rsidR="00E4190C" w:rsidRPr="00E4190C">
              <w:rPr>
                <w:rFonts w:ascii="Bookman Old Style" w:hAnsi="Bookman Old Style"/>
                <w:sz w:val="20"/>
                <w:szCs w:val="20"/>
              </w:rPr>
              <w:t xml:space="preserve"> PT</w:t>
            </w:r>
            <w:r w:rsidR="00E4190C" w:rsidRPr="00E4190C">
              <w:rPr>
                <w:rFonts w:ascii="Bookman Old Style" w:hAnsi="Bookman Old Style"/>
                <w:spacing w:val="-1"/>
                <w:sz w:val="20"/>
                <w:szCs w:val="20"/>
              </w:rPr>
              <w:t xml:space="preserve"> </w:t>
            </w:r>
            <w:r w:rsidR="00E4190C" w:rsidRPr="00E4190C">
              <w:rPr>
                <w:rFonts w:ascii="Bookman Old Style" w:hAnsi="Bookman Old Style"/>
                <w:sz w:val="20"/>
                <w:szCs w:val="20"/>
              </w:rPr>
              <w:t>Bank….</w:t>
            </w:r>
            <w:r w:rsidR="00E4190C" w:rsidRPr="00E4190C">
              <w:rPr>
                <w:rFonts w:ascii="Bookman Old Style" w:hAnsi="Bookman Old Style"/>
                <w:sz w:val="20"/>
                <w:szCs w:val="20"/>
              </w:rPr>
              <w:tab/>
            </w:r>
            <w:r w:rsidR="00E4190C" w:rsidRPr="00E4190C">
              <w:rPr>
                <w:rFonts w:ascii="Bookman Old Style" w:hAnsi="Bookman Old Style"/>
                <w:spacing w:val="-1"/>
                <w:sz w:val="20"/>
                <w:szCs w:val="20"/>
              </w:rPr>
              <w:t>(individu/konsolidasi)*</w:t>
            </w:r>
          </w:p>
          <w:p w14:paraId="264A6B54" w14:textId="2713E51F" w:rsidR="00EB4FBC" w:rsidRPr="00E4190C" w:rsidRDefault="00E4190C" w:rsidP="007A2AAB">
            <w:pPr>
              <w:pStyle w:val="BodyText"/>
              <w:ind w:right="-1"/>
              <w:rPr>
                <w:rFonts w:ascii="Bookman Old Style" w:hAnsi="Bookman Old Style"/>
                <w:sz w:val="20"/>
                <w:szCs w:val="20"/>
                <w:lang w:val="sv-SE"/>
              </w:rPr>
            </w:pPr>
            <w:r w:rsidRPr="00E4190C">
              <w:rPr>
                <w:rFonts w:ascii="Bookman Old Style" w:hAnsi="Bookman Old Style"/>
                <w:sz w:val="20"/>
                <w:szCs w:val="20"/>
                <w:lang w:val="sv-SE"/>
              </w:rPr>
              <w:t>Posisi</w:t>
            </w:r>
            <w:r w:rsidR="00EB4FBC" w:rsidRPr="00E4190C">
              <w:rPr>
                <w:rFonts w:ascii="Bookman Old Style" w:hAnsi="Bookman Old Style"/>
                <w:sz w:val="20"/>
                <w:szCs w:val="20"/>
                <w:lang w:val="sv-SE"/>
              </w:rPr>
              <w:t xml:space="preserve"> Laporan</w:t>
            </w:r>
            <w:r w:rsidR="00EB4FBC" w:rsidRPr="00E4190C">
              <w:rPr>
                <w:rFonts w:ascii="Bookman Old Style" w:hAnsi="Bookman Old Style"/>
                <w:sz w:val="20"/>
                <w:szCs w:val="20"/>
                <w:lang w:val="sv-SE"/>
              </w:rPr>
              <w:tab/>
              <w:t>:</w:t>
            </w:r>
            <w:r w:rsidRPr="00E4190C">
              <w:rPr>
                <w:rFonts w:ascii="Bookman Old Style" w:hAnsi="Bookman Old Style"/>
                <w:sz w:val="20"/>
                <w:szCs w:val="20"/>
                <w:lang w:val="sv-SE"/>
              </w:rPr>
              <w:t xml:space="preserve"> </w:t>
            </w:r>
            <w:r w:rsidRPr="00E4190C">
              <w:rPr>
                <w:rFonts w:ascii="Bookman Old Style" w:hAnsi="Bookman Old Style"/>
                <w:sz w:val="20"/>
                <w:szCs w:val="20"/>
              </w:rPr>
              <w:t xml:space="preserve"> Bulan/Tahun</w:t>
            </w:r>
          </w:p>
          <w:p w14:paraId="10043A27" w14:textId="77777777" w:rsidR="00EB4FBC" w:rsidRPr="00E4190C" w:rsidRDefault="00EB4FBC" w:rsidP="007A2AAB">
            <w:pPr>
              <w:pStyle w:val="BodyText"/>
              <w:ind w:right="-1"/>
              <w:rPr>
                <w:rFonts w:ascii="Bookman Old Style" w:hAnsi="Bookman Old Style"/>
                <w:sz w:val="20"/>
                <w:szCs w:val="20"/>
                <w:lang w:val="sv-SE"/>
              </w:rPr>
            </w:pPr>
          </w:p>
          <w:p w14:paraId="0D37AC55" w14:textId="77777777" w:rsidR="00EB4FBC" w:rsidRPr="00E4190C" w:rsidRDefault="00EB4FBC" w:rsidP="007A2AAB">
            <w:pPr>
              <w:pStyle w:val="BodyText"/>
              <w:ind w:right="-1"/>
              <w:rPr>
                <w:rFonts w:ascii="Bookman Old Style" w:hAnsi="Bookman Old Style"/>
                <w:sz w:val="20"/>
                <w:szCs w:val="20"/>
                <w:lang w:val="sv-SE"/>
              </w:rPr>
            </w:pPr>
          </w:p>
        </w:tc>
        <w:tc>
          <w:tcPr>
            <w:tcW w:w="5953" w:type="dxa"/>
            <w:vMerge/>
            <w:shd w:val="clear" w:color="auto" w:fill="auto"/>
            <w:vAlign w:val="center"/>
          </w:tcPr>
          <w:p w14:paraId="2BDAFB44"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969" w:type="dxa"/>
            <w:vMerge/>
            <w:shd w:val="clear" w:color="auto" w:fill="auto"/>
            <w:vAlign w:val="center"/>
          </w:tcPr>
          <w:p w14:paraId="0AE63700" w14:textId="77777777" w:rsidR="00EB4FBC" w:rsidRPr="00B03AEA"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bl>
    <w:p w14:paraId="3F07A8AB" w14:textId="0E382320"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tbl>
      <w:tblPr>
        <w:tblW w:w="17009"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7371"/>
        <w:gridCol w:w="837"/>
        <w:gridCol w:w="969"/>
        <w:gridCol w:w="931"/>
        <w:gridCol w:w="775"/>
        <w:gridCol w:w="932"/>
        <w:gridCol w:w="775"/>
        <w:gridCol w:w="929"/>
        <w:gridCol w:w="798"/>
        <w:gridCol w:w="1842"/>
      </w:tblGrid>
      <w:tr w:rsidR="007A2AAB" w:rsidRPr="009A4BC4" w14:paraId="1907E4F1" w14:textId="77777777" w:rsidTr="008262B9">
        <w:trPr>
          <w:trHeight w:val="812"/>
          <w:tblHeader/>
        </w:trPr>
        <w:tc>
          <w:tcPr>
            <w:tcW w:w="8221" w:type="dxa"/>
            <w:gridSpan w:val="2"/>
            <w:vMerge w:val="restart"/>
            <w:shd w:val="clear" w:color="auto" w:fill="808080"/>
          </w:tcPr>
          <w:p w14:paraId="3639C46A" w14:textId="77777777" w:rsidR="007A2AAB" w:rsidRPr="009A4BC4" w:rsidRDefault="007A2AAB" w:rsidP="009A4BC4">
            <w:pPr>
              <w:pStyle w:val="TableParagraph"/>
              <w:rPr>
                <w:rFonts w:ascii="Bookman Old Style" w:hAnsi="Bookman Old Style"/>
                <w:sz w:val="20"/>
                <w:szCs w:val="20"/>
              </w:rPr>
            </w:pPr>
          </w:p>
          <w:p w14:paraId="6130F212" w14:textId="77777777" w:rsidR="007A2AAB" w:rsidRPr="009A4BC4" w:rsidRDefault="007A2AAB" w:rsidP="009A4BC4">
            <w:pPr>
              <w:pStyle w:val="TableParagraph"/>
              <w:rPr>
                <w:rFonts w:ascii="Bookman Old Style" w:hAnsi="Bookman Old Style"/>
                <w:sz w:val="20"/>
                <w:szCs w:val="20"/>
              </w:rPr>
            </w:pPr>
          </w:p>
          <w:p w14:paraId="2DC37508" w14:textId="77777777" w:rsidR="007A2AAB" w:rsidRPr="009A4BC4" w:rsidRDefault="007A2AAB" w:rsidP="009A4BC4">
            <w:pPr>
              <w:pStyle w:val="TableParagraph"/>
              <w:ind w:left="2828" w:right="2817"/>
              <w:jc w:val="center"/>
              <w:rPr>
                <w:rFonts w:ascii="Bookman Old Style" w:hAnsi="Bookman Old Style"/>
                <w:b/>
                <w:sz w:val="20"/>
                <w:szCs w:val="20"/>
              </w:rPr>
            </w:pPr>
            <w:r w:rsidRPr="009A4BC4">
              <w:rPr>
                <w:rFonts w:ascii="Bookman Old Style" w:hAnsi="Bookman Old Style"/>
                <w:b/>
                <w:sz w:val="20"/>
                <w:szCs w:val="20"/>
              </w:rPr>
              <w:t>Komponen</w:t>
            </w:r>
            <w:r w:rsidRPr="009A4BC4">
              <w:rPr>
                <w:rFonts w:ascii="Bookman Old Style" w:hAnsi="Bookman Old Style"/>
                <w:b/>
                <w:spacing w:val="-4"/>
                <w:sz w:val="20"/>
                <w:szCs w:val="20"/>
              </w:rPr>
              <w:t xml:space="preserve"> </w:t>
            </w:r>
            <w:r w:rsidRPr="009A4BC4">
              <w:rPr>
                <w:rFonts w:ascii="Bookman Old Style" w:hAnsi="Bookman Old Style"/>
                <w:b/>
                <w:sz w:val="20"/>
                <w:szCs w:val="20"/>
              </w:rPr>
              <w:t>ASF</w:t>
            </w:r>
          </w:p>
        </w:tc>
        <w:tc>
          <w:tcPr>
            <w:tcW w:w="6946" w:type="dxa"/>
            <w:gridSpan w:val="8"/>
            <w:shd w:val="clear" w:color="auto" w:fill="808080"/>
            <w:vAlign w:val="center"/>
          </w:tcPr>
          <w:p w14:paraId="3E6D7B3D" w14:textId="77777777" w:rsidR="007A2AAB" w:rsidRPr="009A4BC4" w:rsidRDefault="007A2AAB" w:rsidP="009A4BC4">
            <w:pPr>
              <w:pStyle w:val="TableParagraph"/>
              <w:ind w:left="1755" w:right="1734"/>
              <w:jc w:val="center"/>
              <w:rPr>
                <w:rFonts w:ascii="Bookman Old Style" w:hAnsi="Bookman Old Style"/>
                <w:b/>
                <w:sz w:val="20"/>
                <w:szCs w:val="20"/>
              </w:rPr>
            </w:pPr>
            <w:r w:rsidRPr="009A4BC4">
              <w:rPr>
                <w:rFonts w:ascii="Bookman Old Style" w:hAnsi="Bookman Old Style"/>
                <w:b/>
                <w:sz w:val="20"/>
                <w:szCs w:val="20"/>
              </w:rPr>
              <w:t>Nilai</w:t>
            </w:r>
            <w:r w:rsidRPr="009A4BC4">
              <w:rPr>
                <w:rFonts w:ascii="Bookman Old Style" w:hAnsi="Bookman Old Style"/>
                <w:b/>
                <w:spacing w:val="-4"/>
                <w:sz w:val="20"/>
                <w:szCs w:val="20"/>
              </w:rPr>
              <w:t xml:space="preserve"> </w:t>
            </w:r>
            <w:r w:rsidRPr="009A4BC4">
              <w:rPr>
                <w:rFonts w:ascii="Bookman Old Style" w:hAnsi="Bookman Old Style"/>
                <w:b/>
                <w:sz w:val="20"/>
                <w:szCs w:val="20"/>
              </w:rPr>
              <w:t>Tercatat</w:t>
            </w:r>
            <w:r w:rsidRPr="009A4BC4">
              <w:rPr>
                <w:rFonts w:ascii="Bookman Old Style" w:hAnsi="Bookman Old Style"/>
                <w:b/>
                <w:spacing w:val="-2"/>
                <w:sz w:val="20"/>
                <w:szCs w:val="20"/>
              </w:rPr>
              <w:t xml:space="preserve"> </w:t>
            </w:r>
            <w:r w:rsidRPr="009A4BC4">
              <w:rPr>
                <w:rFonts w:ascii="Bookman Old Style" w:hAnsi="Bookman Old Style"/>
                <w:b/>
                <w:sz w:val="20"/>
                <w:szCs w:val="20"/>
              </w:rPr>
              <w:t>Berdasarkan</w:t>
            </w:r>
            <w:r w:rsidRPr="009A4BC4">
              <w:rPr>
                <w:rFonts w:ascii="Bookman Old Style" w:hAnsi="Bookman Old Style"/>
                <w:b/>
                <w:spacing w:val="-3"/>
                <w:sz w:val="20"/>
                <w:szCs w:val="20"/>
              </w:rPr>
              <w:t xml:space="preserve"> </w:t>
            </w:r>
            <w:r w:rsidRPr="009A4BC4">
              <w:rPr>
                <w:rFonts w:ascii="Bookman Old Style" w:hAnsi="Bookman Old Style"/>
                <w:b/>
                <w:sz w:val="20"/>
                <w:szCs w:val="20"/>
              </w:rPr>
              <w:t>Sisa</w:t>
            </w:r>
            <w:r w:rsidRPr="009A4BC4">
              <w:rPr>
                <w:rFonts w:ascii="Bookman Old Style" w:hAnsi="Bookman Old Style"/>
                <w:b/>
                <w:spacing w:val="-2"/>
                <w:sz w:val="20"/>
                <w:szCs w:val="20"/>
              </w:rPr>
              <w:t xml:space="preserve"> </w:t>
            </w:r>
            <w:r w:rsidRPr="009A4BC4">
              <w:rPr>
                <w:rFonts w:ascii="Bookman Old Style" w:hAnsi="Bookman Old Style"/>
                <w:b/>
                <w:sz w:val="20"/>
                <w:szCs w:val="20"/>
              </w:rPr>
              <w:t>Jangka</w:t>
            </w:r>
            <w:r w:rsidRPr="009A4BC4">
              <w:rPr>
                <w:rFonts w:ascii="Bookman Old Style" w:hAnsi="Bookman Old Style"/>
                <w:b/>
                <w:spacing w:val="-2"/>
                <w:sz w:val="20"/>
                <w:szCs w:val="20"/>
              </w:rPr>
              <w:t xml:space="preserve"> </w:t>
            </w:r>
            <w:r w:rsidRPr="009A4BC4">
              <w:rPr>
                <w:rFonts w:ascii="Bookman Old Style" w:hAnsi="Bookman Old Style"/>
                <w:b/>
                <w:sz w:val="20"/>
                <w:szCs w:val="20"/>
              </w:rPr>
              <w:t>Waktu</w:t>
            </w:r>
          </w:p>
          <w:p w14:paraId="091DAA01" w14:textId="77777777" w:rsidR="007A2AAB" w:rsidRPr="009A4BC4" w:rsidRDefault="007A2AAB" w:rsidP="009A4BC4">
            <w:pPr>
              <w:pStyle w:val="TableParagraph"/>
              <w:ind w:left="1750" w:right="1734"/>
              <w:jc w:val="center"/>
              <w:rPr>
                <w:rFonts w:ascii="Bookman Old Style" w:hAnsi="Bookman Old Style"/>
                <w:b/>
                <w:sz w:val="20"/>
                <w:szCs w:val="20"/>
              </w:rPr>
            </w:pPr>
            <w:r w:rsidRPr="009A4BC4">
              <w:rPr>
                <w:rFonts w:ascii="Bookman Old Style" w:hAnsi="Bookman Old Style"/>
                <w:b/>
                <w:sz w:val="20"/>
                <w:szCs w:val="20"/>
              </w:rPr>
              <w:t>(Dalam</w:t>
            </w:r>
            <w:r w:rsidRPr="009A4BC4">
              <w:rPr>
                <w:rFonts w:ascii="Bookman Old Style" w:hAnsi="Bookman Old Style"/>
                <w:b/>
                <w:spacing w:val="-3"/>
                <w:sz w:val="20"/>
                <w:szCs w:val="20"/>
              </w:rPr>
              <w:t xml:space="preserve"> </w:t>
            </w:r>
            <w:r w:rsidRPr="009A4BC4">
              <w:rPr>
                <w:rFonts w:ascii="Bookman Old Style" w:hAnsi="Bookman Old Style"/>
                <w:b/>
                <w:sz w:val="20"/>
                <w:szCs w:val="20"/>
              </w:rPr>
              <w:t>Juta</w:t>
            </w:r>
            <w:r w:rsidRPr="009A4BC4">
              <w:rPr>
                <w:rFonts w:ascii="Bookman Old Style" w:hAnsi="Bookman Old Style"/>
                <w:b/>
                <w:spacing w:val="-3"/>
                <w:sz w:val="20"/>
                <w:szCs w:val="20"/>
              </w:rPr>
              <w:t xml:space="preserve"> </w:t>
            </w:r>
            <w:r w:rsidRPr="009A4BC4">
              <w:rPr>
                <w:rFonts w:ascii="Bookman Old Style" w:hAnsi="Bookman Old Style"/>
                <w:b/>
                <w:sz w:val="20"/>
                <w:szCs w:val="20"/>
              </w:rPr>
              <w:t>Rupiah)</w:t>
            </w:r>
          </w:p>
        </w:tc>
        <w:tc>
          <w:tcPr>
            <w:tcW w:w="1842" w:type="dxa"/>
            <w:vMerge w:val="restart"/>
            <w:tcBorders>
              <w:bottom w:val="single" w:sz="8" w:space="0" w:color="BEBEBE"/>
              <w:right w:val="single" w:sz="4" w:space="0" w:color="000000"/>
            </w:tcBorders>
            <w:shd w:val="clear" w:color="auto" w:fill="808080"/>
          </w:tcPr>
          <w:p w14:paraId="520FAFD8" w14:textId="77777777" w:rsidR="007A2AAB" w:rsidRPr="009A4BC4" w:rsidRDefault="007A2AAB" w:rsidP="009A4BC4">
            <w:pPr>
              <w:pStyle w:val="TableParagraph"/>
              <w:rPr>
                <w:rFonts w:ascii="Bookman Old Style" w:hAnsi="Bookman Old Style"/>
                <w:sz w:val="20"/>
                <w:szCs w:val="20"/>
              </w:rPr>
            </w:pPr>
          </w:p>
          <w:p w14:paraId="3ED9D63F" w14:textId="77777777" w:rsidR="007A2AAB" w:rsidRPr="009A4BC4" w:rsidRDefault="007A2AAB" w:rsidP="009A4BC4">
            <w:pPr>
              <w:pStyle w:val="TableParagraph"/>
              <w:rPr>
                <w:rFonts w:ascii="Bookman Old Style" w:hAnsi="Bookman Old Style"/>
                <w:sz w:val="20"/>
                <w:szCs w:val="20"/>
              </w:rPr>
            </w:pPr>
          </w:p>
          <w:p w14:paraId="45FD147D" w14:textId="77777777" w:rsidR="007A2AAB" w:rsidRPr="009A4BC4" w:rsidRDefault="007A2AAB" w:rsidP="009A4BC4">
            <w:pPr>
              <w:pStyle w:val="TableParagraph"/>
              <w:ind w:left="426" w:right="388" w:firstLine="50"/>
              <w:rPr>
                <w:rFonts w:ascii="Bookman Old Style" w:hAnsi="Bookman Old Style"/>
                <w:b/>
                <w:sz w:val="20"/>
                <w:szCs w:val="20"/>
              </w:rPr>
            </w:pPr>
            <w:r w:rsidRPr="009A4BC4">
              <w:rPr>
                <w:rFonts w:ascii="Bookman Old Style" w:hAnsi="Bookman Old Style"/>
                <w:b/>
                <w:sz w:val="20"/>
                <w:szCs w:val="20"/>
              </w:rPr>
              <w:t>Total Nilai</w:t>
            </w:r>
            <w:r w:rsidRPr="009A4BC4">
              <w:rPr>
                <w:rFonts w:ascii="Bookman Old Style" w:hAnsi="Bookman Old Style"/>
                <w:b/>
                <w:spacing w:val="1"/>
                <w:sz w:val="20"/>
                <w:szCs w:val="20"/>
              </w:rPr>
              <w:t xml:space="preserve"> </w:t>
            </w:r>
            <w:r w:rsidRPr="009A4BC4">
              <w:rPr>
                <w:rFonts w:ascii="Bookman Old Style" w:hAnsi="Bookman Old Style"/>
                <w:b/>
                <w:sz w:val="20"/>
                <w:szCs w:val="20"/>
              </w:rPr>
              <w:t>Tertimbang</w:t>
            </w:r>
          </w:p>
        </w:tc>
      </w:tr>
      <w:tr w:rsidR="007A2AAB" w:rsidRPr="009A4BC4" w14:paraId="6B246E22" w14:textId="77777777" w:rsidTr="008262B9">
        <w:trPr>
          <w:trHeight w:val="438"/>
          <w:tblHeader/>
        </w:trPr>
        <w:tc>
          <w:tcPr>
            <w:tcW w:w="8221" w:type="dxa"/>
            <w:gridSpan w:val="2"/>
            <w:vMerge/>
            <w:tcBorders>
              <w:top w:val="nil"/>
            </w:tcBorders>
            <w:shd w:val="clear" w:color="auto" w:fill="808080"/>
          </w:tcPr>
          <w:p w14:paraId="5EE6A9BF" w14:textId="77777777" w:rsidR="007A2AAB" w:rsidRPr="009A4BC4" w:rsidRDefault="007A2AAB" w:rsidP="009A4BC4">
            <w:pPr>
              <w:spacing w:after="0" w:line="240" w:lineRule="auto"/>
              <w:rPr>
                <w:rFonts w:ascii="Bookman Old Style" w:hAnsi="Bookman Old Style"/>
                <w:sz w:val="20"/>
                <w:szCs w:val="20"/>
              </w:rPr>
            </w:pPr>
          </w:p>
        </w:tc>
        <w:tc>
          <w:tcPr>
            <w:tcW w:w="1806" w:type="dxa"/>
            <w:gridSpan w:val="2"/>
            <w:shd w:val="clear" w:color="auto" w:fill="808080"/>
          </w:tcPr>
          <w:p w14:paraId="520AE711" w14:textId="77777777" w:rsidR="007A2AAB" w:rsidRPr="009A4BC4" w:rsidRDefault="007A2AAB" w:rsidP="009A4BC4">
            <w:pPr>
              <w:pStyle w:val="TableParagraph"/>
              <w:ind w:left="129"/>
              <w:jc w:val="center"/>
              <w:rPr>
                <w:rFonts w:ascii="Bookman Old Style" w:hAnsi="Bookman Old Style"/>
                <w:b/>
                <w:sz w:val="20"/>
                <w:szCs w:val="20"/>
              </w:rPr>
            </w:pPr>
            <w:r w:rsidRPr="009A4BC4">
              <w:rPr>
                <w:rFonts w:ascii="Bookman Old Style" w:hAnsi="Bookman Old Style"/>
                <w:b/>
                <w:sz w:val="20"/>
                <w:szCs w:val="20"/>
              </w:rPr>
              <w:t>Tanpa</w:t>
            </w:r>
            <w:r w:rsidRPr="009A4BC4">
              <w:rPr>
                <w:rFonts w:ascii="Bookman Old Style" w:hAnsi="Bookman Old Style"/>
                <w:b/>
                <w:spacing w:val="-3"/>
                <w:sz w:val="20"/>
                <w:szCs w:val="20"/>
              </w:rPr>
              <w:t xml:space="preserve"> </w:t>
            </w:r>
            <w:r w:rsidRPr="009A4BC4">
              <w:rPr>
                <w:rFonts w:ascii="Bookman Old Style" w:hAnsi="Bookman Old Style"/>
                <w:b/>
                <w:sz w:val="20"/>
                <w:szCs w:val="20"/>
              </w:rPr>
              <w:t>Jangka</w:t>
            </w:r>
            <w:r w:rsidRPr="009A4BC4">
              <w:rPr>
                <w:rFonts w:ascii="Bookman Old Style" w:hAnsi="Bookman Old Style"/>
                <w:b/>
                <w:spacing w:val="-3"/>
                <w:sz w:val="20"/>
                <w:szCs w:val="20"/>
              </w:rPr>
              <w:t xml:space="preserve"> </w:t>
            </w:r>
            <w:r w:rsidRPr="009A4BC4">
              <w:rPr>
                <w:rFonts w:ascii="Bookman Old Style" w:hAnsi="Bookman Old Style"/>
                <w:b/>
                <w:sz w:val="20"/>
                <w:szCs w:val="20"/>
              </w:rPr>
              <w:t>Waktu</w:t>
            </w:r>
          </w:p>
        </w:tc>
        <w:tc>
          <w:tcPr>
            <w:tcW w:w="1706" w:type="dxa"/>
            <w:gridSpan w:val="2"/>
            <w:shd w:val="clear" w:color="auto" w:fill="808080"/>
          </w:tcPr>
          <w:p w14:paraId="074F597C" w14:textId="77777777" w:rsidR="007A2AAB" w:rsidRPr="009A4BC4" w:rsidRDefault="007A2AAB" w:rsidP="009A4BC4">
            <w:pPr>
              <w:pStyle w:val="TableParagraph"/>
              <w:ind w:left="179"/>
              <w:rPr>
                <w:rFonts w:ascii="Bookman Old Style" w:hAnsi="Bookman Old Style"/>
                <w:b/>
                <w:sz w:val="20"/>
                <w:szCs w:val="20"/>
              </w:rPr>
            </w:pPr>
            <w:r w:rsidRPr="009A4BC4">
              <w:rPr>
                <w:rFonts w:ascii="Bookman Old Style" w:hAnsi="Bookman Old Style"/>
                <w:b/>
                <w:sz w:val="20"/>
                <w:szCs w:val="20"/>
              </w:rPr>
              <w:t>&lt;</w:t>
            </w:r>
            <w:r w:rsidRPr="009A4BC4">
              <w:rPr>
                <w:rFonts w:ascii="Bookman Old Style" w:hAnsi="Bookman Old Style"/>
                <w:b/>
                <w:spacing w:val="-2"/>
                <w:sz w:val="20"/>
                <w:szCs w:val="20"/>
              </w:rPr>
              <w:t xml:space="preserve"> </w:t>
            </w:r>
            <w:r w:rsidRPr="009A4BC4">
              <w:rPr>
                <w:rFonts w:ascii="Bookman Old Style" w:hAnsi="Bookman Old Style"/>
                <w:b/>
                <w:sz w:val="20"/>
                <w:szCs w:val="20"/>
              </w:rPr>
              <w:t>6</w:t>
            </w:r>
            <w:r w:rsidRPr="009A4BC4">
              <w:rPr>
                <w:rFonts w:ascii="Bookman Old Style" w:hAnsi="Bookman Old Style"/>
                <w:b/>
                <w:spacing w:val="39"/>
                <w:sz w:val="20"/>
                <w:szCs w:val="20"/>
              </w:rPr>
              <w:t xml:space="preserve"> </w:t>
            </w:r>
            <w:r w:rsidRPr="009A4BC4">
              <w:rPr>
                <w:rFonts w:ascii="Bookman Old Style" w:hAnsi="Bookman Old Style"/>
                <w:b/>
                <w:sz w:val="20"/>
                <w:szCs w:val="20"/>
              </w:rPr>
              <w:t>bulan</w:t>
            </w:r>
          </w:p>
        </w:tc>
        <w:tc>
          <w:tcPr>
            <w:tcW w:w="1707" w:type="dxa"/>
            <w:gridSpan w:val="2"/>
            <w:shd w:val="clear" w:color="auto" w:fill="808080"/>
          </w:tcPr>
          <w:p w14:paraId="0A28A984" w14:textId="77777777" w:rsidR="007A2AAB" w:rsidRPr="009A4BC4" w:rsidRDefault="007A2AAB" w:rsidP="009A4BC4">
            <w:pPr>
              <w:pStyle w:val="TableParagraph"/>
              <w:ind w:left="295" w:right="271"/>
              <w:jc w:val="center"/>
              <w:rPr>
                <w:rFonts w:ascii="Bookman Old Style" w:hAnsi="Bookman Old Style"/>
                <w:b/>
                <w:sz w:val="20"/>
                <w:szCs w:val="20"/>
              </w:rPr>
            </w:pPr>
            <w:r w:rsidRPr="009A4BC4">
              <w:rPr>
                <w:rFonts w:ascii="Bookman Old Style" w:hAnsi="Bookman Old Style"/>
                <w:b/>
                <w:sz w:val="20"/>
                <w:szCs w:val="20"/>
              </w:rPr>
              <w:t>≥</w:t>
            </w:r>
            <w:r w:rsidRPr="009A4BC4">
              <w:rPr>
                <w:rFonts w:ascii="Bookman Old Style" w:hAnsi="Bookman Old Style"/>
                <w:b/>
                <w:spacing w:val="-2"/>
                <w:sz w:val="20"/>
                <w:szCs w:val="20"/>
              </w:rPr>
              <w:t xml:space="preserve"> </w:t>
            </w:r>
            <w:r w:rsidRPr="009A4BC4">
              <w:rPr>
                <w:rFonts w:ascii="Bookman Old Style" w:hAnsi="Bookman Old Style"/>
                <w:b/>
                <w:sz w:val="20"/>
                <w:szCs w:val="20"/>
              </w:rPr>
              <w:t>6</w:t>
            </w:r>
            <w:r w:rsidRPr="009A4BC4">
              <w:rPr>
                <w:rFonts w:ascii="Bookman Old Style" w:hAnsi="Bookman Old Style"/>
                <w:b/>
                <w:spacing w:val="40"/>
                <w:sz w:val="20"/>
                <w:szCs w:val="20"/>
              </w:rPr>
              <w:t xml:space="preserve"> </w:t>
            </w:r>
            <w:r w:rsidRPr="009A4BC4">
              <w:rPr>
                <w:rFonts w:ascii="Bookman Old Style" w:hAnsi="Bookman Old Style"/>
                <w:b/>
                <w:sz w:val="20"/>
                <w:szCs w:val="20"/>
              </w:rPr>
              <w:t>bulan</w:t>
            </w:r>
            <w:r w:rsidRPr="009A4BC4">
              <w:rPr>
                <w:rFonts w:ascii="Bookman Old Style" w:hAnsi="Bookman Old Style"/>
                <w:b/>
                <w:spacing w:val="-1"/>
                <w:sz w:val="20"/>
                <w:szCs w:val="20"/>
              </w:rPr>
              <w:t xml:space="preserve"> </w:t>
            </w:r>
            <w:r w:rsidRPr="009A4BC4">
              <w:rPr>
                <w:rFonts w:ascii="Bookman Old Style" w:hAnsi="Bookman Old Style"/>
                <w:b/>
                <w:sz w:val="20"/>
                <w:szCs w:val="20"/>
              </w:rPr>
              <w:t>-</w:t>
            </w:r>
            <w:r w:rsidRPr="009A4BC4">
              <w:rPr>
                <w:rFonts w:ascii="Bookman Old Style" w:hAnsi="Bookman Old Style"/>
                <w:b/>
                <w:spacing w:val="1"/>
                <w:sz w:val="20"/>
                <w:szCs w:val="20"/>
              </w:rPr>
              <w:t xml:space="preserve"> </w:t>
            </w:r>
            <w:r w:rsidRPr="009A4BC4">
              <w:rPr>
                <w:rFonts w:ascii="Bookman Old Style" w:hAnsi="Bookman Old Style"/>
                <w:b/>
                <w:sz w:val="20"/>
                <w:szCs w:val="20"/>
              </w:rPr>
              <w:t>&lt;</w:t>
            </w:r>
            <w:r w:rsidRPr="009A4BC4">
              <w:rPr>
                <w:rFonts w:ascii="Bookman Old Style" w:hAnsi="Bookman Old Style"/>
                <w:b/>
                <w:spacing w:val="-1"/>
                <w:sz w:val="20"/>
                <w:szCs w:val="20"/>
              </w:rPr>
              <w:t xml:space="preserve"> </w:t>
            </w:r>
            <w:r w:rsidRPr="009A4BC4">
              <w:rPr>
                <w:rFonts w:ascii="Bookman Old Style" w:hAnsi="Bookman Old Style"/>
                <w:b/>
                <w:sz w:val="20"/>
                <w:szCs w:val="20"/>
              </w:rPr>
              <w:t>1</w:t>
            </w:r>
          </w:p>
          <w:p w14:paraId="54FBDAA9" w14:textId="77777777" w:rsidR="007A2AAB" w:rsidRPr="009A4BC4" w:rsidRDefault="007A2AAB" w:rsidP="009A4BC4">
            <w:pPr>
              <w:pStyle w:val="TableParagraph"/>
              <w:ind w:left="290" w:right="271"/>
              <w:jc w:val="center"/>
              <w:rPr>
                <w:rFonts w:ascii="Bookman Old Style" w:hAnsi="Bookman Old Style"/>
                <w:b/>
                <w:sz w:val="20"/>
                <w:szCs w:val="20"/>
              </w:rPr>
            </w:pPr>
            <w:r w:rsidRPr="009A4BC4">
              <w:rPr>
                <w:rFonts w:ascii="Bookman Old Style" w:hAnsi="Bookman Old Style"/>
                <w:b/>
                <w:sz w:val="20"/>
                <w:szCs w:val="20"/>
              </w:rPr>
              <w:t>tahun</w:t>
            </w:r>
          </w:p>
        </w:tc>
        <w:tc>
          <w:tcPr>
            <w:tcW w:w="1727" w:type="dxa"/>
            <w:gridSpan w:val="2"/>
            <w:shd w:val="clear" w:color="auto" w:fill="808080"/>
          </w:tcPr>
          <w:p w14:paraId="5D005797" w14:textId="77777777" w:rsidR="007A2AAB" w:rsidRPr="009A4BC4" w:rsidRDefault="007A2AAB" w:rsidP="009A4BC4">
            <w:pPr>
              <w:pStyle w:val="TableParagraph"/>
              <w:ind w:left="166"/>
              <w:rPr>
                <w:rFonts w:ascii="Bookman Old Style" w:hAnsi="Bookman Old Style"/>
                <w:b/>
                <w:sz w:val="20"/>
                <w:szCs w:val="20"/>
              </w:rPr>
            </w:pPr>
            <w:r w:rsidRPr="009A4BC4">
              <w:rPr>
                <w:rFonts w:ascii="Bookman Old Style" w:hAnsi="Bookman Old Style"/>
                <w:b/>
                <w:sz w:val="20"/>
                <w:szCs w:val="20"/>
              </w:rPr>
              <w:t>≥</w:t>
            </w:r>
            <w:r w:rsidRPr="009A4BC4">
              <w:rPr>
                <w:rFonts w:ascii="Bookman Old Style" w:hAnsi="Bookman Old Style"/>
                <w:b/>
                <w:spacing w:val="-2"/>
                <w:sz w:val="20"/>
                <w:szCs w:val="20"/>
              </w:rPr>
              <w:t xml:space="preserve"> </w:t>
            </w:r>
            <w:r w:rsidRPr="009A4BC4">
              <w:rPr>
                <w:rFonts w:ascii="Bookman Old Style" w:hAnsi="Bookman Old Style"/>
                <w:b/>
                <w:sz w:val="20"/>
                <w:szCs w:val="20"/>
              </w:rPr>
              <w:t>1</w:t>
            </w:r>
            <w:r w:rsidRPr="009A4BC4">
              <w:rPr>
                <w:rFonts w:ascii="Bookman Old Style" w:hAnsi="Bookman Old Style"/>
                <w:b/>
                <w:spacing w:val="-1"/>
                <w:sz w:val="20"/>
                <w:szCs w:val="20"/>
              </w:rPr>
              <w:t xml:space="preserve"> </w:t>
            </w:r>
            <w:r w:rsidRPr="009A4BC4">
              <w:rPr>
                <w:rFonts w:ascii="Bookman Old Style" w:hAnsi="Bookman Old Style"/>
                <w:b/>
                <w:sz w:val="20"/>
                <w:szCs w:val="20"/>
              </w:rPr>
              <w:t>tahun</w:t>
            </w:r>
          </w:p>
        </w:tc>
        <w:tc>
          <w:tcPr>
            <w:tcW w:w="1842" w:type="dxa"/>
            <w:vMerge/>
            <w:tcBorders>
              <w:top w:val="nil"/>
              <w:bottom w:val="single" w:sz="8" w:space="0" w:color="BEBEBE"/>
              <w:right w:val="single" w:sz="4" w:space="0" w:color="000000"/>
            </w:tcBorders>
            <w:shd w:val="clear" w:color="auto" w:fill="808080"/>
          </w:tcPr>
          <w:p w14:paraId="712D1FA8" w14:textId="77777777" w:rsidR="007A2AAB" w:rsidRPr="009A4BC4" w:rsidRDefault="007A2AAB" w:rsidP="009A4BC4">
            <w:pPr>
              <w:spacing w:after="0" w:line="240" w:lineRule="auto"/>
              <w:rPr>
                <w:rFonts w:ascii="Bookman Old Style" w:hAnsi="Bookman Old Style"/>
                <w:sz w:val="20"/>
                <w:szCs w:val="20"/>
              </w:rPr>
            </w:pPr>
          </w:p>
        </w:tc>
      </w:tr>
      <w:tr w:rsidR="007A2AAB" w:rsidRPr="009A4BC4" w14:paraId="3F4BE919" w14:textId="77777777" w:rsidTr="008262B9">
        <w:trPr>
          <w:trHeight w:val="440"/>
          <w:tblHeader/>
        </w:trPr>
        <w:tc>
          <w:tcPr>
            <w:tcW w:w="8221" w:type="dxa"/>
            <w:gridSpan w:val="2"/>
            <w:vMerge/>
            <w:tcBorders>
              <w:top w:val="nil"/>
            </w:tcBorders>
            <w:shd w:val="clear" w:color="auto" w:fill="808080"/>
          </w:tcPr>
          <w:p w14:paraId="6FA2032A" w14:textId="77777777" w:rsidR="007A2AAB" w:rsidRPr="009A4BC4" w:rsidRDefault="007A2AAB" w:rsidP="009A4BC4">
            <w:pPr>
              <w:spacing w:after="0" w:line="240" w:lineRule="auto"/>
              <w:rPr>
                <w:rFonts w:ascii="Bookman Old Style" w:hAnsi="Bookman Old Style"/>
                <w:sz w:val="20"/>
                <w:szCs w:val="20"/>
              </w:rPr>
            </w:pPr>
          </w:p>
        </w:tc>
        <w:tc>
          <w:tcPr>
            <w:tcW w:w="837" w:type="dxa"/>
            <w:shd w:val="clear" w:color="auto" w:fill="808080"/>
          </w:tcPr>
          <w:p w14:paraId="356042FE" w14:textId="77777777" w:rsidR="007A2AAB" w:rsidRPr="009A4BC4" w:rsidRDefault="007A2AAB" w:rsidP="009A4BC4">
            <w:pPr>
              <w:pStyle w:val="TableParagraph"/>
              <w:ind w:left="88" w:right="67"/>
              <w:jc w:val="center"/>
              <w:rPr>
                <w:rFonts w:ascii="Bookman Old Style" w:hAnsi="Bookman Old Style"/>
                <w:b/>
                <w:sz w:val="20"/>
                <w:szCs w:val="20"/>
              </w:rPr>
            </w:pPr>
            <w:r w:rsidRPr="009A4BC4">
              <w:rPr>
                <w:rFonts w:ascii="Bookman Old Style" w:hAnsi="Bookman Old Style"/>
                <w:b/>
                <w:sz w:val="20"/>
                <w:szCs w:val="20"/>
              </w:rPr>
              <w:t>Nilai</w:t>
            </w:r>
          </w:p>
          <w:p w14:paraId="48F6D0EE" w14:textId="77777777" w:rsidR="007A2AAB" w:rsidRPr="009A4BC4" w:rsidRDefault="007A2AAB" w:rsidP="009A4BC4">
            <w:pPr>
              <w:pStyle w:val="TableParagraph"/>
              <w:ind w:left="88" w:right="67"/>
              <w:jc w:val="center"/>
              <w:rPr>
                <w:rFonts w:ascii="Bookman Old Style" w:hAnsi="Bookman Old Style"/>
                <w:b/>
                <w:sz w:val="20"/>
                <w:szCs w:val="20"/>
              </w:rPr>
            </w:pPr>
            <w:r w:rsidRPr="009A4BC4">
              <w:rPr>
                <w:rFonts w:ascii="Bookman Old Style" w:hAnsi="Bookman Old Style"/>
                <w:b/>
                <w:sz w:val="20"/>
                <w:szCs w:val="20"/>
              </w:rPr>
              <w:t>Tercatat</w:t>
            </w:r>
          </w:p>
        </w:tc>
        <w:tc>
          <w:tcPr>
            <w:tcW w:w="969" w:type="dxa"/>
            <w:shd w:val="clear" w:color="auto" w:fill="808080"/>
          </w:tcPr>
          <w:p w14:paraId="3FBA1F51" w14:textId="77777777" w:rsidR="007A2AAB" w:rsidRPr="009A4BC4" w:rsidRDefault="007A2AAB" w:rsidP="009A4BC4">
            <w:pPr>
              <w:pStyle w:val="TableParagraph"/>
              <w:ind w:left="224" w:right="203"/>
              <w:jc w:val="center"/>
              <w:rPr>
                <w:rFonts w:ascii="Bookman Old Style" w:hAnsi="Bookman Old Style"/>
                <w:b/>
                <w:sz w:val="20"/>
                <w:szCs w:val="20"/>
              </w:rPr>
            </w:pPr>
            <w:r w:rsidRPr="009A4BC4">
              <w:rPr>
                <w:rFonts w:ascii="Bookman Old Style" w:hAnsi="Bookman Old Style"/>
                <w:b/>
                <w:sz w:val="20"/>
                <w:szCs w:val="20"/>
              </w:rPr>
              <w:t>Faktor</w:t>
            </w:r>
          </w:p>
          <w:p w14:paraId="62502CA2" w14:textId="77777777" w:rsidR="007A2AAB" w:rsidRPr="009A4BC4" w:rsidRDefault="007A2AAB" w:rsidP="009A4BC4">
            <w:pPr>
              <w:pStyle w:val="TableParagraph"/>
              <w:ind w:left="220" w:right="203"/>
              <w:jc w:val="center"/>
              <w:rPr>
                <w:rFonts w:ascii="Bookman Old Style" w:hAnsi="Bookman Old Style"/>
                <w:b/>
                <w:sz w:val="20"/>
                <w:szCs w:val="20"/>
              </w:rPr>
            </w:pPr>
            <w:r w:rsidRPr="009A4BC4">
              <w:rPr>
                <w:rFonts w:ascii="Bookman Old Style" w:hAnsi="Bookman Old Style"/>
                <w:b/>
                <w:sz w:val="20"/>
                <w:szCs w:val="20"/>
              </w:rPr>
              <w:t>ASF</w:t>
            </w:r>
          </w:p>
        </w:tc>
        <w:tc>
          <w:tcPr>
            <w:tcW w:w="931" w:type="dxa"/>
            <w:shd w:val="clear" w:color="auto" w:fill="808080"/>
          </w:tcPr>
          <w:p w14:paraId="38CD2442" w14:textId="77777777" w:rsidR="007A2AAB" w:rsidRPr="009A4BC4" w:rsidRDefault="007A2AAB" w:rsidP="009A4BC4">
            <w:pPr>
              <w:pStyle w:val="TableParagraph"/>
              <w:ind w:left="134" w:right="113"/>
              <w:jc w:val="center"/>
              <w:rPr>
                <w:rFonts w:ascii="Bookman Old Style" w:hAnsi="Bookman Old Style"/>
                <w:b/>
                <w:sz w:val="20"/>
                <w:szCs w:val="20"/>
              </w:rPr>
            </w:pPr>
            <w:r w:rsidRPr="009A4BC4">
              <w:rPr>
                <w:rFonts w:ascii="Bookman Old Style" w:hAnsi="Bookman Old Style"/>
                <w:b/>
                <w:sz w:val="20"/>
                <w:szCs w:val="20"/>
              </w:rPr>
              <w:t>Nilai</w:t>
            </w:r>
          </w:p>
          <w:p w14:paraId="30F4D6E9" w14:textId="77777777" w:rsidR="007A2AAB" w:rsidRPr="009A4BC4" w:rsidRDefault="007A2AAB" w:rsidP="009A4BC4">
            <w:pPr>
              <w:pStyle w:val="TableParagraph"/>
              <w:ind w:left="134" w:right="114"/>
              <w:jc w:val="center"/>
              <w:rPr>
                <w:rFonts w:ascii="Bookman Old Style" w:hAnsi="Bookman Old Style"/>
                <w:b/>
                <w:sz w:val="20"/>
                <w:szCs w:val="20"/>
              </w:rPr>
            </w:pPr>
            <w:r w:rsidRPr="009A4BC4">
              <w:rPr>
                <w:rFonts w:ascii="Bookman Old Style" w:hAnsi="Bookman Old Style"/>
                <w:b/>
                <w:sz w:val="20"/>
                <w:szCs w:val="20"/>
              </w:rPr>
              <w:t>Tercatat</w:t>
            </w:r>
          </w:p>
        </w:tc>
        <w:tc>
          <w:tcPr>
            <w:tcW w:w="775" w:type="dxa"/>
            <w:shd w:val="clear" w:color="auto" w:fill="808080"/>
          </w:tcPr>
          <w:p w14:paraId="3BE587CE" w14:textId="77777777" w:rsidR="007A2AAB" w:rsidRPr="009A4BC4" w:rsidRDefault="007A2AAB" w:rsidP="009A4BC4">
            <w:pPr>
              <w:pStyle w:val="TableParagraph"/>
              <w:ind w:left="124" w:right="104"/>
              <w:jc w:val="center"/>
              <w:rPr>
                <w:rFonts w:ascii="Bookman Old Style" w:hAnsi="Bookman Old Style"/>
                <w:b/>
                <w:sz w:val="20"/>
                <w:szCs w:val="20"/>
              </w:rPr>
            </w:pPr>
            <w:r w:rsidRPr="009A4BC4">
              <w:rPr>
                <w:rFonts w:ascii="Bookman Old Style" w:hAnsi="Bookman Old Style"/>
                <w:b/>
                <w:sz w:val="20"/>
                <w:szCs w:val="20"/>
              </w:rPr>
              <w:t>Faktor</w:t>
            </w:r>
          </w:p>
          <w:p w14:paraId="6F97B789" w14:textId="77777777" w:rsidR="007A2AAB" w:rsidRPr="009A4BC4" w:rsidRDefault="007A2AAB" w:rsidP="009A4BC4">
            <w:pPr>
              <w:pStyle w:val="TableParagraph"/>
              <w:ind w:left="124" w:right="104"/>
              <w:jc w:val="center"/>
              <w:rPr>
                <w:rFonts w:ascii="Bookman Old Style" w:hAnsi="Bookman Old Style"/>
                <w:b/>
                <w:sz w:val="20"/>
                <w:szCs w:val="20"/>
              </w:rPr>
            </w:pPr>
            <w:r w:rsidRPr="009A4BC4">
              <w:rPr>
                <w:rFonts w:ascii="Bookman Old Style" w:hAnsi="Bookman Old Style"/>
                <w:b/>
                <w:sz w:val="20"/>
                <w:szCs w:val="20"/>
              </w:rPr>
              <w:t>ASF</w:t>
            </w:r>
          </w:p>
        </w:tc>
        <w:tc>
          <w:tcPr>
            <w:tcW w:w="932" w:type="dxa"/>
            <w:shd w:val="clear" w:color="auto" w:fill="808080"/>
          </w:tcPr>
          <w:p w14:paraId="2A68EA79" w14:textId="77777777" w:rsidR="007A2AAB" w:rsidRPr="009A4BC4" w:rsidRDefault="007A2AAB" w:rsidP="009A4BC4">
            <w:pPr>
              <w:pStyle w:val="TableParagraph"/>
              <w:ind w:left="135" w:right="113"/>
              <w:jc w:val="center"/>
              <w:rPr>
                <w:rFonts w:ascii="Bookman Old Style" w:hAnsi="Bookman Old Style"/>
                <w:b/>
                <w:sz w:val="20"/>
                <w:szCs w:val="20"/>
              </w:rPr>
            </w:pPr>
            <w:r w:rsidRPr="009A4BC4">
              <w:rPr>
                <w:rFonts w:ascii="Bookman Old Style" w:hAnsi="Bookman Old Style"/>
                <w:b/>
                <w:sz w:val="20"/>
                <w:szCs w:val="20"/>
              </w:rPr>
              <w:t>Nilai</w:t>
            </w:r>
          </w:p>
          <w:p w14:paraId="15F7E66C" w14:textId="77777777" w:rsidR="007A2AAB" w:rsidRPr="009A4BC4" w:rsidRDefault="007A2AAB" w:rsidP="009A4BC4">
            <w:pPr>
              <w:pStyle w:val="TableParagraph"/>
              <w:ind w:left="135" w:right="115"/>
              <w:jc w:val="center"/>
              <w:rPr>
                <w:rFonts w:ascii="Bookman Old Style" w:hAnsi="Bookman Old Style"/>
                <w:b/>
                <w:sz w:val="20"/>
                <w:szCs w:val="20"/>
              </w:rPr>
            </w:pPr>
            <w:r w:rsidRPr="009A4BC4">
              <w:rPr>
                <w:rFonts w:ascii="Bookman Old Style" w:hAnsi="Bookman Old Style"/>
                <w:b/>
                <w:sz w:val="20"/>
                <w:szCs w:val="20"/>
              </w:rPr>
              <w:t>Tercatat</w:t>
            </w:r>
          </w:p>
        </w:tc>
        <w:tc>
          <w:tcPr>
            <w:tcW w:w="775" w:type="dxa"/>
            <w:shd w:val="clear" w:color="auto" w:fill="808080"/>
          </w:tcPr>
          <w:p w14:paraId="624F7521" w14:textId="77777777" w:rsidR="007A2AAB" w:rsidRPr="009A4BC4" w:rsidRDefault="007A2AAB" w:rsidP="009A4BC4">
            <w:pPr>
              <w:pStyle w:val="TableParagraph"/>
              <w:ind w:left="121" w:right="106"/>
              <w:jc w:val="center"/>
              <w:rPr>
                <w:rFonts w:ascii="Bookman Old Style" w:hAnsi="Bookman Old Style"/>
                <w:b/>
                <w:sz w:val="20"/>
                <w:szCs w:val="20"/>
              </w:rPr>
            </w:pPr>
            <w:r w:rsidRPr="009A4BC4">
              <w:rPr>
                <w:rFonts w:ascii="Bookman Old Style" w:hAnsi="Bookman Old Style"/>
                <w:b/>
                <w:sz w:val="20"/>
                <w:szCs w:val="20"/>
              </w:rPr>
              <w:t>Faktor</w:t>
            </w:r>
          </w:p>
          <w:p w14:paraId="1D4D6029" w14:textId="77777777" w:rsidR="007A2AAB" w:rsidRPr="009A4BC4" w:rsidRDefault="007A2AAB" w:rsidP="009A4BC4">
            <w:pPr>
              <w:pStyle w:val="TableParagraph"/>
              <w:ind w:left="122" w:right="106"/>
              <w:jc w:val="center"/>
              <w:rPr>
                <w:rFonts w:ascii="Bookman Old Style" w:hAnsi="Bookman Old Style"/>
                <w:b/>
                <w:sz w:val="20"/>
                <w:szCs w:val="20"/>
              </w:rPr>
            </w:pPr>
            <w:r w:rsidRPr="009A4BC4">
              <w:rPr>
                <w:rFonts w:ascii="Bookman Old Style" w:hAnsi="Bookman Old Style"/>
                <w:b/>
                <w:sz w:val="20"/>
                <w:szCs w:val="20"/>
              </w:rPr>
              <w:t>ASF</w:t>
            </w:r>
          </w:p>
        </w:tc>
        <w:tc>
          <w:tcPr>
            <w:tcW w:w="929" w:type="dxa"/>
            <w:shd w:val="clear" w:color="auto" w:fill="808080"/>
          </w:tcPr>
          <w:p w14:paraId="3C6ED152" w14:textId="77777777" w:rsidR="007A2AAB" w:rsidRPr="009A4BC4" w:rsidRDefault="007A2AAB" w:rsidP="009A4BC4">
            <w:pPr>
              <w:pStyle w:val="TableParagraph"/>
              <w:ind w:left="132" w:right="113"/>
              <w:jc w:val="center"/>
              <w:rPr>
                <w:rFonts w:ascii="Bookman Old Style" w:hAnsi="Bookman Old Style"/>
                <w:b/>
                <w:sz w:val="20"/>
                <w:szCs w:val="20"/>
              </w:rPr>
            </w:pPr>
            <w:r w:rsidRPr="009A4BC4">
              <w:rPr>
                <w:rFonts w:ascii="Bookman Old Style" w:hAnsi="Bookman Old Style"/>
                <w:b/>
                <w:sz w:val="20"/>
                <w:szCs w:val="20"/>
              </w:rPr>
              <w:t>Nilai</w:t>
            </w:r>
          </w:p>
          <w:p w14:paraId="02611B1F" w14:textId="77777777" w:rsidR="007A2AAB" w:rsidRPr="009A4BC4" w:rsidRDefault="007A2AAB" w:rsidP="009A4BC4">
            <w:pPr>
              <w:pStyle w:val="TableParagraph"/>
              <w:ind w:left="132" w:right="114"/>
              <w:jc w:val="center"/>
              <w:rPr>
                <w:rFonts w:ascii="Bookman Old Style" w:hAnsi="Bookman Old Style"/>
                <w:b/>
                <w:sz w:val="20"/>
                <w:szCs w:val="20"/>
              </w:rPr>
            </w:pPr>
            <w:r w:rsidRPr="009A4BC4">
              <w:rPr>
                <w:rFonts w:ascii="Bookman Old Style" w:hAnsi="Bookman Old Style"/>
                <w:b/>
                <w:sz w:val="20"/>
                <w:szCs w:val="20"/>
              </w:rPr>
              <w:t>Tercatat</w:t>
            </w:r>
          </w:p>
        </w:tc>
        <w:tc>
          <w:tcPr>
            <w:tcW w:w="798" w:type="dxa"/>
            <w:shd w:val="clear" w:color="auto" w:fill="808080"/>
          </w:tcPr>
          <w:p w14:paraId="625A300D" w14:textId="77777777" w:rsidR="007A2AAB" w:rsidRPr="009A4BC4" w:rsidRDefault="007A2AAB" w:rsidP="009A4BC4">
            <w:pPr>
              <w:pStyle w:val="TableParagraph"/>
              <w:ind w:left="131" w:right="112"/>
              <w:jc w:val="center"/>
              <w:rPr>
                <w:rFonts w:ascii="Bookman Old Style" w:hAnsi="Bookman Old Style"/>
                <w:b/>
                <w:sz w:val="20"/>
                <w:szCs w:val="20"/>
              </w:rPr>
            </w:pPr>
            <w:r w:rsidRPr="009A4BC4">
              <w:rPr>
                <w:rFonts w:ascii="Bookman Old Style" w:hAnsi="Bookman Old Style"/>
                <w:b/>
                <w:sz w:val="20"/>
                <w:szCs w:val="20"/>
              </w:rPr>
              <w:t>Faktor</w:t>
            </w:r>
          </w:p>
          <w:p w14:paraId="38F260FB" w14:textId="77777777" w:rsidR="007A2AAB" w:rsidRPr="009A4BC4" w:rsidRDefault="007A2AAB" w:rsidP="009A4BC4">
            <w:pPr>
              <w:pStyle w:val="TableParagraph"/>
              <w:ind w:left="131" w:right="111"/>
              <w:jc w:val="center"/>
              <w:rPr>
                <w:rFonts w:ascii="Bookman Old Style" w:hAnsi="Bookman Old Style"/>
                <w:b/>
                <w:sz w:val="20"/>
                <w:szCs w:val="20"/>
              </w:rPr>
            </w:pPr>
            <w:r w:rsidRPr="009A4BC4">
              <w:rPr>
                <w:rFonts w:ascii="Bookman Old Style" w:hAnsi="Bookman Old Style"/>
                <w:b/>
                <w:sz w:val="20"/>
                <w:szCs w:val="20"/>
              </w:rPr>
              <w:t>ASF</w:t>
            </w:r>
          </w:p>
        </w:tc>
        <w:tc>
          <w:tcPr>
            <w:tcW w:w="1842" w:type="dxa"/>
            <w:vMerge/>
            <w:tcBorders>
              <w:top w:val="nil"/>
              <w:bottom w:val="single" w:sz="8" w:space="0" w:color="BEBEBE"/>
              <w:right w:val="single" w:sz="4" w:space="0" w:color="000000"/>
            </w:tcBorders>
            <w:shd w:val="clear" w:color="auto" w:fill="808080"/>
          </w:tcPr>
          <w:p w14:paraId="457F4A23" w14:textId="77777777" w:rsidR="007A2AAB" w:rsidRPr="009A4BC4" w:rsidRDefault="007A2AAB" w:rsidP="009A4BC4">
            <w:pPr>
              <w:spacing w:after="0" w:line="240" w:lineRule="auto"/>
              <w:rPr>
                <w:rFonts w:ascii="Bookman Old Style" w:hAnsi="Bookman Old Style"/>
                <w:sz w:val="20"/>
                <w:szCs w:val="20"/>
              </w:rPr>
            </w:pPr>
          </w:p>
        </w:tc>
      </w:tr>
      <w:tr w:rsidR="007A2AAB" w:rsidRPr="009A4BC4" w14:paraId="727BBB1B" w14:textId="77777777" w:rsidTr="008262B9">
        <w:trPr>
          <w:trHeight w:val="244"/>
        </w:trPr>
        <w:tc>
          <w:tcPr>
            <w:tcW w:w="850" w:type="dxa"/>
            <w:tcBorders>
              <w:left w:val="single" w:sz="4" w:space="0" w:color="000000"/>
              <w:bottom w:val="single" w:sz="4" w:space="0" w:color="000000"/>
            </w:tcBorders>
            <w:shd w:val="clear" w:color="auto" w:fill="BEBEBE"/>
          </w:tcPr>
          <w:p w14:paraId="5E3A2964"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1</w:t>
            </w:r>
          </w:p>
        </w:tc>
        <w:tc>
          <w:tcPr>
            <w:tcW w:w="7371" w:type="dxa"/>
            <w:shd w:val="clear" w:color="auto" w:fill="BEBEBE"/>
          </w:tcPr>
          <w:p w14:paraId="7852BBD7"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Modal:</w:t>
            </w:r>
          </w:p>
        </w:tc>
        <w:tc>
          <w:tcPr>
            <w:tcW w:w="837" w:type="dxa"/>
            <w:shd w:val="clear" w:color="auto" w:fill="BEBEBE"/>
          </w:tcPr>
          <w:p w14:paraId="18FD1122"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BEBEBE"/>
          </w:tcPr>
          <w:p w14:paraId="3F86F9BA" w14:textId="77777777" w:rsidR="007A2AAB" w:rsidRPr="009A4BC4" w:rsidRDefault="007A2AAB" w:rsidP="009A4BC4">
            <w:pPr>
              <w:pStyle w:val="TableParagraph"/>
              <w:rPr>
                <w:rFonts w:ascii="Bookman Old Style" w:hAnsi="Bookman Old Style"/>
                <w:sz w:val="20"/>
                <w:szCs w:val="20"/>
              </w:rPr>
            </w:pPr>
          </w:p>
        </w:tc>
        <w:tc>
          <w:tcPr>
            <w:tcW w:w="931" w:type="dxa"/>
            <w:shd w:val="clear" w:color="auto" w:fill="BEBEBE"/>
          </w:tcPr>
          <w:p w14:paraId="38272D23"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BEBEBE"/>
          </w:tcPr>
          <w:p w14:paraId="51FB6604" w14:textId="77777777" w:rsidR="007A2AAB" w:rsidRPr="009A4BC4" w:rsidRDefault="007A2AAB" w:rsidP="009A4BC4">
            <w:pPr>
              <w:pStyle w:val="TableParagraph"/>
              <w:rPr>
                <w:rFonts w:ascii="Bookman Old Style" w:hAnsi="Bookman Old Style"/>
                <w:sz w:val="20"/>
                <w:szCs w:val="20"/>
              </w:rPr>
            </w:pPr>
          </w:p>
        </w:tc>
        <w:tc>
          <w:tcPr>
            <w:tcW w:w="932" w:type="dxa"/>
            <w:shd w:val="clear" w:color="auto" w:fill="BEBEBE"/>
          </w:tcPr>
          <w:p w14:paraId="34857A2D"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BEBEBE"/>
          </w:tcPr>
          <w:p w14:paraId="7FACD833" w14:textId="77777777" w:rsidR="007A2AAB" w:rsidRPr="009A4BC4" w:rsidRDefault="007A2AAB" w:rsidP="009A4BC4">
            <w:pPr>
              <w:pStyle w:val="TableParagraph"/>
              <w:rPr>
                <w:rFonts w:ascii="Bookman Old Style" w:hAnsi="Bookman Old Style"/>
                <w:sz w:val="20"/>
                <w:szCs w:val="20"/>
              </w:rPr>
            </w:pPr>
          </w:p>
        </w:tc>
        <w:tc>
          <w:tcPr>
            <w:tcW w:w="929" w:type="dxa"/>
            <w:shd w:val="clear" w:color="auto" w:fill="BEBEBE"/>
          </w:tcPr>
          <w:p w14:paraId="24EF2426"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BEBEBE"/>
          </w:tcPr>
          <w:p w14:paraId="054A96F5" w14:textId="77777777" w:rsidR="007A2AAB" w:rsidRPr="009A4BC4" w:rsidRDefault="007A2AAB" w:rsidP="009A4BC4">
            <w:pPr>
              <w:pStyle w:val="TableParagraph"/>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BEBEBE"/>
          </w:tcPr>
          <w:p w14:paraId="198DDD9E" w14:textId="77777777" w:rsidR="007A2AAB" w:rsidRPr="009A4BC4" w:rsidRDefault="007A2AAB" w:rsidP="009A4BC4">
            <w:pPr>
              <w:pStyle w:val="TableParagraph"/>
              <w:rPr>
                <w:rFonts w:ascii="Bookman Old Style" w:hAnsi="Bookman Old Style"/>
                <w:sz w:val="20"/>
                <w:szCs w:val="20"/>
              </w:rPr>
            </w:pPr>
          </w:p>
        </w:tc>
      </w:tr>
      <w:tr w:rsidR="007A2AAB" w:rsidRPr="009A4BC4" w14:paraId="6E1D8E08" w14:textId="77777777" w:rsidTr="008262B9">
        <w:trPr>
          <w:trHeight w:val="244"/>
        </w:trPr>
        <w:tc>
          <w:tcPr>
            <w:tcW w:w="850" w:type="dxa"/>
            <w:tcBorders>
              <w:top w:val="single" w:sz="4" w:space="0" w:color="000000"/>
              <w:left w:val="single" w:sz="4" w:space="0" w:color="000000"/>
              <w:bottom w:val="single" w:sz="4" w:space="0" w:color="000000"/>
            </w:tcBorders>
          </w:tcPr>
          <w:p w14:paraId="0FC5EA4E"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w:t>
            </w:r>
          </w:p>
        </w:tc>
        <w:tc>
          <w:tcPr>
            <w:tcW w:w="7371" w:type="dxa"/>
          </w:tcPr>
          <w:p w14:paraId="36BA709A"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Modal</w:t>
            </w:r>
            <w:r w:rsidRPr="009A4BC4">
              <w:rPr>
                <w:rFonts w:ascii="Bookman Old Style" w:hAnsi="Bookman Old Style"/>
                <w:spacing w:val="-3"/>
                <w:sz w:val="20"/>
                <w:szCs w:val="20"/>
              </w:rPr>
              <w:t xml:space="preserve"> </w:t>
            </w:r>
            <w:r w:rsidRPr="009A4BC4">
              <w:rPr>
                <w:rFonts w:ascii="Bookman Old Style" w:hAnsi="Bookman Old Style"/>
                <w:sz w:val="20"/>
                <w:szCs w:val="20"/>
              </w:rPr>
              <w:t>bagi</w:t>
            </w:r>
            <w:r w:rsidRPr="009A4BC4">
              <w:rPr>
                <w:rFonts w:ascii="Bookman Old Style" w:hAnsi="Bookman Old Style"/>
                <w:spacing w:val="-2"/>
                <w:sz w:val="20"/>
                <w:szCs w:val="20"/>
              </w:rPr>
              <w:t xml:space="preserve"> </w:t>
            </w:r>
            <w:r w:rsidRPr="009A4BC4">
              <w:rPr>
                <w:rFonts w:ascii="Bookman Old Style" w:hAnsi="Bookman Old Style"/>
                <w:sz w:val="20"/>
                <w:szCs w:val="20"/>
              </w:rPr>
              <w:t>Bank</w:t>
            </w:r>
            <w:r w:rsidRPr="009A4BC4">
              <w:rPr>
                <w:rFonts w:ascii="Bookman Old Style" w:hAnsi="Bookman Old Style"/>
                <w:spacing w:val="-2"/>
                <w:sz w:val="20"/>
                <w:szCs w:val="20"/>
              </w:rPr>
              <w:t xml:space="preserve"> </w:t>
            </w:r>
            <w:r w:rsidRPr="009A4BC4">
              <w:rPr>
                <w:rFonts w:ascii="Bookman Old Style" w:hAnsi="Bookman Old Style"/>
                <w:sz w:val="20"/>
                <w:szCs w:val="20"/>
              </w:rPr>
              <w:t>Umum</w:t>
            </w:r>
            <w:r w:rsidRPr="009A4BC4">
              <w:rPr>
                <w:rFonts w:ascii="Bookman Old Style" w:hAnsi="Bookman Old Style"/>
                <w:spacing w:val="-3"/>
                <w:sz w:val="20"/>
                <w:szCs w:val="20"/>
              </w:rPr>
              <w:t xml:space="preserve"> </w:t>
            </w:r>
            <w:r w:rsidRPr="009A4BC4">
              <w:rPr>
                <w:rFonts w:ascii="Bookman Old Style" w:hAnsi="Bookman Old Style"/>
                <w:sz w:val="20"/>
                <w:szCs w:val="20"/>
              </w:rPr>
              <w:t>berkantor</w:t>
            </w:r>
            <w:r w:rsidRPr="009A4BC4">
              <w:rPr>
                <w:rFonts w:ascii="Bookman Old Style" w:hAnsi="Bookman Old Style"/>
                <w:spacing w:val="-2"/>
                <w:sz w:val="20"/>
                <w:szCs w:val="20"/>
              </w:rPr>
              <w:t xml:space="preserve"> </w:t>
            </w:r>
            <w:r w:rsidRPr="009A4BC4">
              <w:rPr>
                <w:rFonts w:ascii="Bookman Old Style" w:hAnsi="Bookman Old Style"/>
                <w:sz w:val="20"/>
                <w:szCs w:val="20"/>
              </w:rPr>
              <w:t>pusat</w:t>
            </w:r>
            <w:r w:rsidRPr="009A4BC4">
              <w:rPr>
                <w:rFonts w:ascii="Bookman Old Style" w:hAnsi="Bookman Old Style"/>
                <w:spacing w:val="-2"/>
                <w:sz w:val="20"/>
                <w:szCs w:val="20"/>
              </w:rPr>
              <w:t xml:space="preserve"> </w:t>
            </w:r>
            <w:r w:rsidRPr="009A4BC4">
              <w:rPr>
                <w:rFonts w:ascii="Bookman Old Style" w:hAnsi="Bookman Old Style"/>
                <w:sz w:val="20"/>
                <w:szCs w:val="20"/>
              </w:rPr>
              <w:t>di</w:t>
            </w:r>
            <w:r w:rsidRPr="009A4BC4">
              <w:rPr>
                <w:rFonts w:ascii="Bookman Old Style" w:hAnsi="Bookman Old Style"/>
                <w:spacing w:val="-2"/>
                <w:sz w:val="20"/>
                <w:szCs w:val="20"/>
              </w:rPr>
              <w:t xml:space="preserve"> </w:t>
            </w:r>
            <w:r w:rsidRPr="009A4BC4">
              <w:rPr>
                <w:rFonts w:ascii="Bookman Old Style" w:hAnsi="Bookman Old Style"/>
                <w:sz w:val="20"/>
                <w:szCs w:val="20"/>
              </w:rPr>
              <w:t>indonesia</w:t>
            </w:r>
            <w:r w:rsidRPr="009A4BC4">
              <w:rPr>
                <w:rFonts w:ascii="Bookman Old Style" w:hAnsi="Bookman Old Style"/>
                <w:spacing w:val="-2"/>
                <w:sz w:val="20"/>
                <w:szCs w:val="20"/>
              </w:rPr>
              <w:t xml:space="preserve"> </w:t>
            </w:r>
            <w:r w:rsidRPr="009A4BC4">
              <w:rPr>
                <w:rFonts w:ascii="Bookman Old Style" w:hAnsi="Bookman Old Style"/>
                <w:sz w:val="20"/>
                <w:szCs w:val="20"/>
              </w:rPr>
              <w:t>:</w:t>
            </w:r>
          </w:p>
        </w:tc>
        <w:tc>
          <w:tcPr>
            <w:tcW w:w="837" w:type="dxa"/>
          </w:tcPr>
          <w:p w14:paraId="297E9B9D" w14:textId="77777777" w:rsidR="007A2AAB" w:rsidRPr="009A4BC4" w:rsidRDefault="007A2AAB" w:rsidP="009A4BC4">
            <w:pPr>
              <w:pStyle w:val="TableParagraph"/>
              <w:rPr>
                <w:rFonts w:ascii="Bookman Old Style" w:hAnsi="Bookman Old Style"/>
                <w:sz w:val="20"/>
                <w:szCs w:val="20"/>
              </w:rPr>
            </w:pPr>
          </w:p>
        </w:tc>
        <w:tc>
          <w:tcPr>
            <w:tcW w:w="969" w:type="dxa"/>
          </w:tcPr>
          <w:p w14:paraId="79249D70" w14:textId="77777777" w:rsidR="007A2AAB" w:rsidRPr="009A4BC4" w:rsidRDefault="007A2AAB" w:rsidP="009A4BC4">
            <w:pPr>
              <w:pStyle w:val="TableParagraph"/>
              <w:rPr>
                <w:rFonts w:ascii="Bookman Old Style" w:hAnsi="Bookman Old Style"/>
                <w:sz w:val="20"/>
                <w:szCs w:val="20"/>
              </w:rPr>
            </w:pPr>
          </w:p>
        </w:tc>
        <w:tc>
          <w:tcPr>
            <w:tcW w:w="931" w:type="dxa"/>
          </w:tcPr>
          <w:p w14:paraId="0CB8D5DD" w14:textId="77777777" w:rsidR="007A2AAB" w:rsidRPr="009A4BC4" w:rsidRDefault="007A2AAB" w:rsidP="009A4BC4">
            <w:pPr>
              <w:pStyle w:val="TableParagraph"/>
              <w:rPr>
                <w:rFonts w:ascii="Bookman Old Style" w:hAnsi="Bookman Old Style"/>
                <w:sz w:val="20"/>
                <w:szCs w:val="20"/>
              </w:rPr>
            </w:pPr>
          </w:p>
        </w:tc>
        <w:tc>
          <w:tcPr>
            <w:tcW w:w="775" w:type="dxa"/>
          </w:tcPr>
          <w:p w14:paraId="29F142A6" w14:textId="77777777" w:rsidR="007A2AAB" w:rsidRPr="009A4BC4" w:rsidRDefault="007A2AAB" w:rsidP="009A4BC4">
            <w:pPr>
              <w:pStyle w:val="TableParagraph"/>
              <w:rPr>
                <w:rFonts w:ascii="Bookman Old Style" w:hAnsi="Bookman Old Style"/>
                <w:sz w:val="20"/>
                <w:szCs w:val="20"/>
              </w:rPr>
            </w:pPr>
          </w:p>
        </w:tc>
        <w:tc>
          <w:tcPr>
            <w:tcW w:w="932" w:type="dxa"/>
          </w:tcPr>
          <w:p w14:paraId="27969919" w14:textId="77777777" w:rsidR="007A2AAB" w:rsidRPr="009A4BC4" w:rsidRDefault="007A2AAB" w:rsidP="009A4BC4">
            <w:pPr>
              <w:pStyle w:val="TableParagraph"/>
              <w:rPr>
                <w:rFonts w:ascii="Bookman Old Style" w:hAnsi="Bookman Old Style"/>
                <w:sz w:val="20"/>
                <w:szCs w:val="20"/>
              </w:rPr>
            </w:pPr>
          </w:p>
        </w:tc>
        <w:tc>
          <w:tcPr>
            <w:tcW w:w="775" w:type="dxa"/>
          </w:tcPr>
          <w:p w14:paraId="577C0FCC" w14:textId="77777777" w:rsidR="007A2AAB" w:rsidRPr="009A4BC4" w:rsidRDefault="007A2AAB" w:rsidP="009A4BC4">
            <w:pPr>
              <w:pStyle w:val="TableParagraph"/>
              <w:rPr>
                <w:rFonts w:ascii="Bookman Old Style" w:hAnsi="Bookman Old Style"/>
                <w:sz w:val="20"/>
                <w:szCs w:val="20"/>
              </w:rPr>
            </w:pPr>
          </w:p>
        </w:tc>
        <w:tc>
          <w:tcPr>
            <w:tcW w:w="929" w:type="dxa"/>
          </w:tcPr>
          <w:p w14:paraId="4D76FC65"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8BD8F1F" w14:textId="77777777" w:rsidR="007A2AAB" w:rsidRPr="009A4BC4" w:rsidRDefault="007A2AAB" w:rsidP="009A4BC4">
            <w:pPr>
              <w:pStyle w:val="TableParagraph"/>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B288FB2" w14:textId="77777777" w:rsidR="007A2AAB" w:rsidRPr="009A4BC4" w:rsidRDefault="007A2AAB" w:rsidP="009A4BC4">
            <w:pPr>
              <w:pStyle w:val="TableParagraph"/>
              <w:rPr>
                <w:rFonts w:ascii="Bookman Old Style" w:hAnsi="Bookman Old Style"/>
                <w:sz w:val="20"/>
                <w:szCs w:val="20"/>
              </w:rPr>
            </w:pPr>
          </w:p>
        </w:tc>
      </w:tr>
      <w:tr w:rsidR="007A2AAB" w:rsidRPr="009A4BC4" w14:paraId="0D876622" w14:textId="77777777" w:rsidTr="008262B9">
        <w:trPr>
          <w:trHeight w:val="243"/>
        </w:trPr>
        <w:tc>
          <w:tcPr>
            <w:tcW w:w="850" w:type="dxa"/>
            <w:tcBorders>
              <w:top w:val="single" w:sz="4" w:space="0" w:color="000000"/>
              <w:left w:val="single" w:sz="4" w:space="0" w:color="000000"/>
              <w:bottom w:val="single" w:sz="4" w:space="0" w:color="000000"/>
            </w:tcBorders>
          </w:tcPr>
          <w:p w14:paraId="7EDEB819"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1.1.1</w:t>
            </w:r>
          </w:p>
        </w:tc>
        <w:tc>
          <w:tcPr>
            <w:tcW w:w="7371" w:type="dxa"/>
          </w:tcPr>
          <w:p w14:paraId="41498633" w14:textId="77777777" w:rsidR="007A2AAB" w:rsidRPr="009A4BC4" w:rsidRDefault="007A2AAB" w:rsidP="009A4BC4">
            <w:pPr>
              <w:pStyle w:val="TableParagraph"/>
              <w:ind w:left="518"/>
              <w:rPr>
                <w:rFonts w:ascii="Bookman Old Style" w:hAnsi="Bookman Old Style"/>
                <w:sz w:val="20"/>
                <w:szCs w:val="20"/>
              </w:rPr>
            </w:pPr>
            <w:r w:rsidRPr="009A4BC4">
              <w:rPr>
                <w:rFonts w:ascii="Bookman Old Style" w:hAnsi="Bookman Old Style"/>
                <w:sz w:val="20"/>
                <w:szCs w:val="20"/>
              </w:rPr>
              <w:t>Modal</w:t>
            </w:r>
            <w:r w:rsidRPr="009A4BC4">
              <w:rPr>
                <w:rFonts w:ascii="Bookman Old Style" w:hAnsi="Bookman Old Style"/>
                <w:spacing w:val="-3"/>
                <w:sz w:val="20"/>
                <w:szCs w:val="20"/>
              </w:rPr>
              <w:t xml:space="preserve"> </w:t>
            </w:r>
            <w:r w:rsidRPr="009A4BC4">
              <w:rPr>
                <w:rFonts w:ascii="Bookman Old Style" w:hAnsi="Bookman Old Style"/>
                <w:sz w:val="20"/>
                <w:szCs w:val="20"/>
              </w:rPr>
              <w:t>inti</w:t>
            </w:r>
            <w:r w:rsidRPr="009A4BC4">
              <w:rPr>
                <w:rFonts w:ascii="Bookman Old Style" w:hAnsi="Bookman Old Style"/>
                <w:spacing w:val="-3"/>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Tier</w:t>
            </w:r>
            <w:r w:rsidRPr="009A4BC4">
              <w:rPr>
                <w:rFonts w:ascii="Bookman Old Style" w:hAnsi="Bookman Old Style"/>
                <w:i/>
                <w:spacing w:val="-3"/>
                <w:sz w:val="20"/>
                <w:szCs w:val="20"/>
              </w:rPr>
              <w:t xml:space="preserve"> </w:t>
            </w:r>
            <w:r w:rsidRPr="009A4BC4">
              <w:rPr>
                <w:rFonts w:ascii="Bookman Old Style" w:hAnsi="Bookman Old Style"/>
                <w:sz w:val="20"/>
                <w:szCs w:val="20"/>
              </w:rPr>
              <w:t>1)</w:t>
            </w:r>
          </w:p>
        </w:tc>
        <w:tc>
          <w:tcPr>
            <w:tcW w:w="837" w:type="dxa"/>
          </w:tcPr>
          <w:p w14:paraId="3CAE3AC1" w14:textId="77777777" w:rsidR="007A2AAB" w:rsidRPr="009A4BC4" w:rsidRDefault="007A2AAB" w:rsidP="009A4BC4">
            <w:pPr>
              <w:pStyle w:val="TableParagraph"/>
              <w:rPr>
                <w:rFonts w:ascii="Bookman Old Style" w:hAnsi="Bookman Old Style"/>
                <w:sz w:val="20"/>
                <w:szCs w:val="20"/>
              </w:rPr>
            </w:pPr>
          </w:p>
        </w:tc>
        <w:tc>
          <w:tcPr>
            <w:tcW w:w="969" w:type="dxa"/>
          </w:tcPr>
          <w:p w14:paraId="0310CAFE"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100%</w:t>
            </w:r>
          </w:p>
        </w:tc>
        <w:tc>
          <w:tcPr>
            <w:tcW w:w="931" w:type="dxa"/>
          </w:tcPr>
          <w:p w14:paraId="364833B0" w14:textId="77777777" w:rsidR="007A2AAB" w:rsidRPr="009A4BC4" w:rsidRDefault="007A2AAB" w:rsidP="009A4BC4">
            <w:pPr>
              <w:pStyle w:val="TableParagraph"/>
              <w:rPr>
                <w:rFonts w:ascii="Bookman Old Style" w:hAnsi="Bookman Old Style"/>
                <w:sz w:val="20"/>
                <w:szCs w:val="20"/>
              </w:rPr>
            </w:pPr>
          </w:p>
        </w:tc>
        <w:tc>
          <w:tcPr>
            <w:tcW w:w="775" w:type="dxa"/>
          </w:tcPr>
          <w:p w14:paraId="0AF3B060"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932" w:type="dxa"/>
          </w:tcPr>
          <w:p w14:paraId="41C1F74A" w14:textId="77777777" w:rsidR="007A2AAB" w:rsidRPr="009A4BC4" w:rsidRDefault="007A2AAB" w:rsidP="009A4BC4">
            <w:pPr>
              <w:pStyle w:val="TableParagraph"/>
              <w:rPr>
                <w:rFonts w:ascii="Bookman Old Style" w:hAnsi="Bookman Old Style"/>
                <w:sz w:val="20"/>
                <w:szCs w:val="20"/>
              </w:rPr>
            </w:pPr>
          </w:p>
        </w:tc>
        <w:tc>
          <w:tcPr>
            <w:tcW w:w="775" w:type="dxa"/>
          </w:tcPr>
          <w:p w14:paraId="4938B65D"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n.a</w:t>
            </w:r>
          </w:p>
        </w:tc>
        <w:tc>
          <w:tcPr>
            <w:tcW w:w="929" w:type="dxa"/>
          </w:tcPr>
          <w:p w14:paraId="1FB8D784"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1130B29B"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1842" w:type="dxa"/>
            <w:tcBorders>
              <w:top w:val="single" w:sz="4" w:space="0" w:color="000000"/>
              <w:left w:val="single" w:sz="4" w:space="0" w:color="000000"/>
              <w:bottom w:val="single" w:sz="4" w:space="0" w:color="000000"/>
              <w:right w:val="single" w:sz="4" w:space="0" w:color="000000"/>
            </w:tcBorders>
          </w:tcPr>
          <w:p w14:paraId="14409B02" w14:textId="77777777" w:rsidR="007A2AAB" w:rsidRPr="009A4BC4" w:rsidRDefault="007A2AAB" w:rsidP="009A4BC4">
            <w:pPr>
              <w:pStyle w:val="TableParagraph"/>
              <w:rPr>
                <w:rFonts w:ascii="Bookman Old Style" w:hAnsi="Bookman Old Style"/>
                <w:sz w:val="20"/>
                <w:szCs w:val="20"/>
              </w:rPr>
            </w:pPr>
          </w:p>
        </w:tc>
      </w:tr>
      <w:tr w:rsidR="007A2AAB" w:rsidRPr="009A4BC4" w14:paraId="5DCCC0E0" w14:textId="77777777" w:rsidTr="008262B9">
        <w:trPr>
          <w:trHeight w:val="291"/>
        </w:trPr>
        <w:tc>
          <w:tcPr>
            <w:tcW w:w="850" w:type="dxa"/>
            <w:tcBorders>
              <w:top w:val="single" w:sz="4" w:space="0" w:color="000000"/>
              <w:left w:val="single" w:sz="4" w:space="0" w:color="000000"/>
              <w:bottom w:val="single" w:sz="4" w:space="0" w:color="000000"/>
            </w:tcBorders>
          </w:tcPr>
          <w:p w14:paraId="1E65E7FE"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1.1.2</w:t>
            </w:r>
          </w:p>
        </w:tc>
        <w:tc>
          <w:tcPr>
            <w:tcW w:w="7371" w:type="dxa"/>
          </w:tcPr>
          <w:p w14:paraId="4681B33F" w14:textId="77777777" w:rsidR="007A2AAB" w:rsidRPr="009A4BC4" w:rsidRDefault="007A2AAB" w:rsidP="009A4BC4">
            <w:pPr>
              <w:pStyle w:val="TableParagraph"/>
              <w:ind w:left="518"/>
              <w:rPr>
                <w:rFonts w:ascii="Bookman Old Style" w:hAnsi="Bookman Old Style"/>
                <w:sz w:val="20"/>
                <w:szCs w:val="20"/>
              </w:rPr>
            </w:pPr>
            <w:r w:rsidRPr="009A4BC4">
              <w:rPr>
                <w:rFonts w:ascii="Bookman Old Style" w:hAnsi="Bookman Old Style"/>
                <w:sz w:val="20"/>
                <w:szCs w:val="20"/>
              </w:rPr>
              <w:t>Modal</w:t>
            </w:r>
            <w:r w:rsidRPr="009A4BC4">
              <w:rPr>
                <w:rFonts w:ascii="Bookman Old Style" w:hAnsi="Bookman Old Style"/>
                <w:spacing w:val="-4"/>
                <w:sz w:val="20"/>
                <w:szCs w:val="20"/>
              </w:rPr>
              <w:t xml:space="preserve"> </w:t>
            </w:r>
            <w:r w:rsidRPr="009A4BC4">
              <w:rPr>
                <w:rFonts w:ascii="Bookman Old Style" w:hAnsi="Bookman Old Style"/>
                <w:sz w:val="20"/>
                <w:szCs w:val="20"/>
              </w:rPr>
              <w:t>pelengkap</w:t>
            </w:r>
            <w:r w:rsidRPr="009A4BC4">
              <w:rPr>
                <w:rFonts w:ascii="Bookman Old Style" w:hAnsi="Bookman Old Style"/>
                <w:spacing w:val="-3"/>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Tier</w:t>
            </w:r>
            <w:r w:rsidRPr="009A4BC4">
              <w:rPr>
                <w:rFonts w:ascii="Bookman Old Style" w:hAnsi="Bookman Old Style"/>
                <w:i/>
                <w:spacing w:val="-4"/>
                <w:sz w:val="20"/>
                <w:szCs w:val="20"/>
              </w:rPr>
              <w:t xml:space="preserve"> </w:t>
            </w:r>
            <w:r w:rsidRPr="009A4BC4">
              <w:rPr>
                <w:rFonts w:ascii="Bookman Old Style" w:hAnsi="Bookman Old Style"/>
                <w:sz w:val="20"/>
                <w:szCs w:val="20"/>
              </w:rPr>
              <w:t>2)</w:t>
            </w:r>
          </w:p>
        </w:tc>
        <w:tc>
          <w:tcPr>
            <w:tcW w:w="837" w:type="dxa"/>
          </w:tcPr>
          <w:p w14:paraId="78C645A9" w14:textId="77777777" w:rsidR="007A2AAB" w:rsidRPr="009A4BC4" w:rsidRDefault="007A2AAB" w:rsidP="009A4BC4">
            <w:pPr>
              <w:pStyle w:val="TableParagraph"/>
              <w:rPr>
                <w:rFonts w:ascii="Bookman Old Style" w:hAnsi="Bookman Old Style"/>
                <w:sz w:val="20"/>
                <w:szCs w:val="20"/>
              </w:rPr>
            </w:pPr>
          </w:p>
        </w:tc>
        <w:tc>
          <w:tcPr>
            <w:tcW w:w="969" w:type="dxa"/>
          </w:tcPr>
          <w:p w14:paraId="696B5310"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100%</w:t>
            </w:r>
          </w:p>
        </w:tc>
        <w:tc>
          <w:tcPr>
            <w:tcW w:w="931" w:type="dxa"/>
          </w:tcPr>
          <w:p w14:paraId="555E7197" w14:textId="77777777" w:rsidR="007A2AAB" w:rsidRPr="009A4BC4" w:rsidRDefault="007A2AAB" w:rsidP="009A4BC4">
            <w:pPr>
              <w:pStyle w:val="TableParagraph"/>
              <w:rPr>
                <w:rFonts w:ascii="Bookman Old Style" w:hAnsi="Bookman Old Style"/>
                <w:sz w:val="20"/>
                <w:szCs w:val="20"/>
              </w:rPr>
            </w:pPr>
          </w:p>
        </w:tc>
        <w:tc>
          <w:tcPr>
            <w:tcW w:w="775" w:type="dxa"/>
          </w:tcPr>
          <w:p w14:paraId="23389376"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4C7DD508" w14:textId="77777777" w:rsidR="007A2AAB" w:rsidRPr="009A4BC4" w:rsidRDefault="007A2AAB" w:rsidP="009A4BC4">
            <w:pPr>
              <w:pStyle w:val="TableParagraph"/>
              <w:rPr>
                <w:rFonts w:ascii="Bookman Old Style" w:hAnsi="Bookman Old Style"/>
                <w:sz w:val="20"/>
                <w:szCs w:val="20"/>
              </w:rPr>
            </w:pPr>
          </w:p>
        </w:tc>
        <w:tc>
          <w:tcPr>
            <w:tcW w:w="775" w:type="dxa"/>
          </w:tcPr>
          <w:p w14:paraId="12627278"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0%</w:t>
            </w:r>
          </w:p>
        </w:tc>
        <w:tc>
          <w:tcPr>
            <w:tcW w:w="929" w:type="dxa"/>
          </w:tcPr>
          <w:p w14:paraId="65CE21E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2FF7C9F4" w14:textId="77777777" w:rsidR="007A2AAB" w:rsidRPr="009A4BC4" w:rsidRDefault="007A2AAB" w:rsidP="009A4BC4">
            <w:pPr>
              <w:pStyle w:val="TableParagraph"/>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500B551B" w14:textId="77777777" w:rsidR="007A2AAB" w:rsidRPr="009A4BC4" w:rsidRDefault="007A2AAB" w:rsidP="009A4BC4">
            <w:pPr>
              <w:pStyle w:val="TableParagraph"/>
              <w:rPr>
                <w:rFonts w:ascii="Bookman Old Style" w:hAnsi="Bookman Old Style"/>
                <w:sz w:val="20"/>
                <w:szCs w:val="20"/>
              </w:rPr>
            </w:pPr>
          </w:p>
        </w:tc>
      </w:tr>
      <w:tr w:rsidR="007A2AAB" w:rsidRPr="009A4BC4" w14:paraId="03345BD4" w14:textId="77777777" w:rsidTr="008262B9">
        <w:trPr>
          <w:trHeight w:val="244"/>
        </w:trPr>
        <w:tc>
          <w:tcPr>
            <w:tcW w:w="850" w:type="dxa"/>
            <w:tcBorders>
              <w:top w:val="single" w:sz="4" w:space="0" w:color="000000"/>
              <w:left w:val="single" w:sz="4" w:space="0" w:color="000000"/>
              <w:bottom w:val="single" w:sz="4" w:space="0" w:color="000000"/>
            </w:tcBorders>
          </w:tcPr>
          <w:p w14:paraId="131049F0" w14:textId="77777777" w:rsidR="007A2AAB" w:rsidRPr="009A4BC4" w:rsidRDefault="007A2AAB" w:rsidP="009A4BC4">
            <w:pPr>
              <w:pStyle w:val="TableParagraph"/>
              <w:ind w:left="107"/>
              <w:rPr>
                <w:rFonts w:ascii="Bookman Old Style" w:hAnsi="Bookman Old Style"/>
                <w:sz w:val="20"/>
                <w:szCs w:val="20"/>
                <w:lang w:val="en-US"/>
              </w:rPr>
            </w:pPr>
            <w:r w:rsidRPr="009A4BC4">
              <w:rPr>
                <w:rFonts w:ascii="Bookman Old Style" w:hAnsi="Bookman Old Style"/>
                <w:sz w:val="20"/>
                <w:szCs w:val="20"/>
              </w:rPr>
              <w:t>1.</w:t>
            </w:r>
            <w:r w:rsidRPr="009A4BC4">
              <w:rPr>
                <w:rFonts w:ascii="Bookman Old Style" w:hAnsi="Bookman Old Style"/>
                <w:sz w:val="20"/>
                <w:szCs w:val="20"/>
                <w:lang w:val="en-US"/>
              </w:rPr>
              <w:t>2</w:t>
            </w:r>
          </w:p>
        </w:tc>
        <w:tc>
          <w:tcPr>
            <w:tcW w:w="7371" w:type="dxa"/>
          </w:tcPr>
          <w:p w14:paraId="72F139A0"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Instrumen</w:t>
            </w:r>
            <w:r w:rsidRPr="009A4BC4">
              <w:rPr>
                <w:rFonts w:ascii="Bookman Old Style" w:hAnsi="Bookman Old Style"/>
                <w:spacing w:val="-3"/>
                <w:sz w:val="20"/>
                <w:szCs w:val="20"/>
              </w:rPr>
              <w:t xml:space="preserve"> </w:t>
            </w:r>
            <w:r w:rsidRPr="009A4BC4">
              <w:rPr>
                <w:rFonts w:ascii="Bookman Old Style" w:hAnsi="Bookman Old Style"/>
                <w:sz w:val="20"/>
                <w:szCs w:val="20"/>
              </w:rPr>
              <w:t>modal</w:t>
            </w:r>
            <w:r w:rsidRPr="009A4BC4">
              <w:rPr>
                <w:rFonts w:ascii="Bookman Old Style" w:hAnsi="Bookman Old Style"/>
                <w:spacing w:val="-2"/>
                <w:sz w:val="20"/>
                <w:szCs w:val="20"/>
              </w:rPr>
              <w:t xml:space="preserve"> </w:t>
            </w:r>
            <w:r w:rsidRPr="009A4BC4">
              <w:rPr>
                <w:rFonts w:ascii="Bookman Old Style" w:hAnsi="Bookman Old Style"/>
                <w:sz w:val="20"/>
                <w:szCs w:val="20"/>
              </w:rPr>
              <w:t>lainnya</w:t>
            </w:r>
          </w:p>
        </w:tc>
        <w:tc>
          <w:tcPr>
            <w:tcW w:w="837" w:type="dxa"/>
          </w:tcPr>
          <w:p w14:paraId="2B3CAD3B" w14:textId="77777777" w:rsidR="007A2AAB" w:rsidRPr="009A4BC4" w:rsidRDefault="007A2AAB" w:rsidP="009A4BC4">
            <w:pPr>
              <w:pStyle w:val="TableParagraph"/>
              <w:rPr>
                <w:rFonts w:ascii="Bookman Old Style" w:hAnsi="Bookman Old Style"/>
                <w:sz w:val="20"/>
                <w:szCs w:val="20"/>
              </w:rPr>
            </w:pPr>
          </w:p>
        </w:tc>
        <w:tc>
          <w:tcPr>
            <w:tcW w:w="969" w:type="dxa"/>
          </w:tcPr>
          <w:p w14:paraId="51CE7EE2"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100%</w:t>
            </w:r>
          </w:p>
        </w:tc>
        <w:tc>
          <w:tcPr>
            <w:tcW w:w="931" w:type="dxa"/>
          </w:tcPr>
          <w:p w14:paraId="79E684C1" w14:textId="77777777" w:rsidR="007A2AAB" w:rsidRPr="009A4BC4" w:rsidRDefault="007A2AAB" w:rsidP="009A4BC4">
            <w:pPr>
              <w:pStyle w:val="TableParagraph"/>
              <w:rPr>
                <w:rFonts w:ascii="Bookman Old Style" w:hAnsi="Bookman Old Style"/>
                <w:sz w:val="20"/>
                <w:szCs w:val="20"/>
              </w:rPr>
            </w:pPr>
          </w:p>
        </w:tc>
        <w:tc>
          <w:tcPr>
            <w:tcW w:w="775" w:type="dxa"/>
          </w:tcPr>
          <w:p w14:paraId="1B7FEC75"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159F003A" w14:textId="77777777" w:rsidR="007A2AAB" w:rsidRPr="009A4BC4" w:rsidRDefault="007A2AAB" w:rsidP="009A4BC4">
            <w:pPr>
              <w:pStyle w:val="TableParagraph"/>
              <w:rPr>
                <w:rFonts w:ascii="Bookman Old Style" w:hAnsi="Bookman Old Style"/>
                <w:sz w:val="20"/>
                <w:szCs w:val="20"/>
              </w:rPr>
            </w:pPr>
          </w:p>
        </w:tc>
        <w:tc>
          <w:tcPr>
            <w:tcW w:w="775" w:type="dxa"/>
          </w:tcPr>
          <w:p w14:paraId="0FD85BA2"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0%</w:t>
            </w:r>
          </w:p>
        </w:tc>
        <w:tc>
          <w:tcPr>
            <w:tcW w:w="929" w:type="dxa"/>
          </w:tcPr>
          <w:p w14:paraId="7A400FEB"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06AFA1D0" w14:textId="77777777" w:rsidR="007A2AAB" w:rsidRPr="009A4BC4" w:rsidRDefault="007A2AAB" w:rsidP="009A4BC4">
            <w:pPr>
              <w:pStyle w:val="TableParagraph"/>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1ADF4A5C" w14:textId="77777777" w:rsidR="007A2AAB" w:rsidRPr="009A4BC4" w:rsidRDefault="007A2AAB" w:rsidP="009A4BC4">
            <w:pPr>
              <w:pStyle w:val="TableParagraph"/>
              <w:rPr>
                <w:rFonts w:ascii="Bookman Old Style" w:hAnsi="Bookman Old Style"/>
                <w:sz w:val="20"/>
                <w:szCs w:val="20"/>
              </w:rPr>
            </w:pPr>
          </w:p>
        </w:tc>
      </w:tr>
      <w:tr w:rsidR="007A2AAB" w:rsidRPr="009A4BC4" w14:paraId="77DA0A4A" w14:textId="77777777" w:rsidTr="008262B9">
        <w:trPr>
          <w:trHeight w:val="243"/>
        </w:trPr>
        <w:tc>
          <w:tcPr>
            <w:tcW w:w="850" w:type="dxa"/>
            <w:tcBorders>
              <w:top w:val="single" w:sz="4" w:space="0" w:color="000000"/>
              <w:left w:val="single" w:sz="4" w:space="0" w:color="000000"/>
              <w:bottom w:val="single" w:sz="4" w:space="0" w:color="000000"/>
            </w:tcBorders>
            <w:shd w:val="clear" w:color="auto" w:fill="BEBEBE"/>
          </w:tcPr>
          <w:p w14:paraId="0AB39488"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2</w:t>
            </w:r>
          </w:p>
        </w:tc>
        <w:tc>
          <w:tcPr>
            <w:tcW w:w="7371" w:type="dxa"/>
            <w:shd w:val="clear" w:color="auto" w:fill="BEBEBE"/>
          </w:tcPr>
          <w:p w14:paraId="2655E7F2" w14:textId="77777777" w:rsidR="007A2AAB" w:rsidRPr="009A4BC4" w:rsidRDefault="007A2AAB" w:rsidP="009A4BC4">
            <w:pPr>
              <w:pStyle w:val="TableParagraph"/>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berasal</w:t>
            </w:r>
            <w:r w:rsidRPr="009A4BC4">
              <w:rPr>
                <w:rFonts w:ascii="Bookman Old Style" w:hAnsi="Bookman Old Style"/>
                <w:spacing w:val="-2"/>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nasabah</w:t>
            </w:r>
            <w:r w:rsidRPr="009A4BC4">
              <w:rPr>
                <w:rFonts w:ascii="Bookman Old Style" w:hAnsi="Bookman Old Style"/>
                <w:spacing w:val="-1"/>
                <w:sz w:val="20"/>
                <w:szCs w:val="20"/>
              </w:rPr>
              <w:t xml:space="preserve"> </w:t>
            </w:r>
            <w:r w:rsidRPr="009A4BC4">
              <w:rPr>
                <w:rFonts w:ascii="Bookman Old Style" w:hAnsi="Bookman Old Style"/>
                <w:sz w:val="20"/>
                <w:szCs w:val="20"/>
              </w:rPr>
              <w:t>perorangan:</w:t>
            </w:r>
          </w:p>
        </w:tc>
        <w:tc>
          <w:tcPr>
            <w:tcW w:w="837" w:type="dxa"/>
            <w:shd w:val="clear" w:color="auto" w:fill="BEBEBE"/>
          </w:tcPr>
          <w:p w14:paraId="48B004C6"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BEBEBE"/>
          </w:tcPr>
          <w:p w14:paraId="23B3F0AB" w14:textId="77777777" w:rsidR="007A2AAB" w:rsidRPr="009A4BC4" w:rsidRDefault="007A2AAB" w:rsidP="009A4BC4">
            <w:pPr>
              <w:pStyle w:val="TableParagraph"/>
              <w:rPr>
                <w:rFonts w:ascii="Bookman Old Style" w:hAnsi="Bookman Old Style"/>
                <w:sz w:val="20"/>
                <w:szCs w:val="20"/>
              </w:rPr>
            </w:pPr>
          </w:p>
        </w:tc>
        <w:tc>
          <w:tcPr>
            <w:tcW w:w="931" w:type="dxa"/>
            <w:shd w:val="clear" w:color="auto" w:fill="BEBEBE"/>
          </w:tcPr>
          <w:p w14:paraId="49248BEA"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BEBEBE"/>
          </w:tcPr>
          <w:p w14:paraId="1A1867E7" w14:textId="77777777" w:rsidR="007A2AAB" w:rsidRPr="009A4BC4" w:rsidRDefault="007A2AAB" w:rsidP="009A4BC4">
            <w:pPr>
              <w:pStyle w:val="TableParagraph"/>
              <w:rPr>
                <w:rFonts w:ascii="Bookman Old Style" w:hAnsi="Bookman Old Style"/>
                <w:sz w:val="20"/>
                <w:szCs w:val="20"/>
              </w:rPr>
            </w:pPr>
          </w:p>
        </w:tc>
        <w:tc>
          <w:tcPr>
            <w:tcW w:w="932" w:type="dxa"/>
            <w:shd w:val="clear" w:color="auto" w:fill="BEBEBE"/>
          </w:tcPr>
          <w:p w14:paraId="3556BEDE"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BEBEBE"/>
          </w:tcPr>
          <w:p w14:paraId="5BE51C18" w14:textId="77777777" w:rsidR="007A2AAB" w:rsidRPr="009A4BC4" w:rsidRDefault="007A2AAB" w:rsidP="009A4BC4">
            <w:pPr>
              <w:pStyle w:val="TableParagraph"/>
              <w:rPr>
                <w:rFonts w:ascii="Bookman Old Style" w:hAnsi="Bookman Old Style"/>
                <w:sz w:val="20"/>
                <w:szCs w:val="20"/>
              </w:rPr>
            </w:pPr>
          </w:p>
        </w:tc>
        <w:tc>
          <w:tcPr>
            <w:tcW w:w="929" w:type="dxa"/>
            <w:shd w:val="clear" w:color="auto" w:fill="BEBEBE"/>
          </w:tcPr>
          <w:p w14:paraId="7F73AF9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BEBEBE"/>
          </w:tcPr>
          <w:p w14:paraId="14232844" w14:textId="77777777" w:rsidR="007A2AAB" w:rsidRPr="009A4BC4" w:rsidRDefault="007A2AAB" w:rsidP="009A4BC4">
            <w:pPr>
              <w:pStyle w:val="TableParagraph"/>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BEBEBE"/>
          </w:tcPr>
          <w:p w14:paraId="23CC8369" w14:textId="77777777" w:rsidR="007A2AAB" w:rsidRPr="009A4BC4" w:rsidRDefault="007A2AAB" w:rsidP="009A4BC4">
            <w:pPr>
              <w:pStyle w:val="TableParagraph"/>
              <w:rPr>
                <w:rFonts w:ascii="Bookman Old Style" w:hAnsi="Bookman Old Style"/>
                <w:sz w:val="20"/>
                <w:szCs w:val="20"/>
              </w:rPr>
            </w:pPr>
          </w:p>
        </w:tc>
      </w:tr>
      <w:tr w:rsidR="007A2AAB" w:rsidRPr="009A4BC4" w14:paraId="15905E9A" w14:textId="77777777" w:rsidTr="008262B9">
        <w:trPr>
          <w:trHeight w:val="243"/>
        </w:trPr>
        <w:tc>
          <w:tcPr>
            <w:tcW w:w="850" w:type="dxa"/>
            <w:tcBorders>
              <w:top w:val="single" w:sz="4" w:space="0" w:color="000000"/>
              <w:left w:val="single" w:sz="4" w:space="0" w:color="000000"/>
              <w:bottom w:val="single" w:sz="4" w:space="0" w:color="000000"/>
            </w:tcBorders>
          </w:tcPr>
          <w:p w14:paraId="02C9AD1A"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2.1</w:t>
            </w:r>
          </w:p>
        </w:tc>
        <w:tc>
          <w:tcPr>
            <w:tcW w:w="7371" w:type="dxa"/>
          </w:tcPr>
          <w:p w14:paraId="0E02676F" w14:textId="77777777" w:rsidR="007A2AAB" w:rsidRPr="009A4BC4" w:rsidRDefault="007A2AAB" w:rsidP="009A4BC4">
            <w:pPr>
              <w:pStyle w:val="TableParagraph"/>
              <w:ind w:left="561"/>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4"/>
                <w:sz w:val="20"/>
                <w:szCs w:val="20"/>
              </w:rPr>
              <w:t xml:space="preserve"> </w:t>
            </w:r>
            <w:r w:rsidRPr="009A4BC4">
              <w:rPr>
                <w:rFonts w:ascii="Bookman Old Style" w:hAnsi="Bookman Old Style"/>
                <w:sz w:val="20"/>
                <w:szCs w:val="20"/>
              </w:rPr>
              <w:t>stabil</w:t>
            </w:r>
          </w:p>
        </w:tc>
        <w:tc>
          <w:tcPr>
            <w:tcW w:w="837" w:type="dxa"/>
          </w:tcPr>
          <w:p w14:paraId="0D46CE85" w14:textId="77777777" w:rsidR="007A2AAB" w:rsidRPr="009A4BC4" w:rsidRDefault="007A2AAB" w:rsidP="009A4BC4">
            <w:pPr>
              <w:pStyle w:val="TableParagraph"/>
              <w:rPr>
                <w:rFonts w:ascii="Bookman Old Style" w:hAnsi="Bookman Old Style"/>
                <w:sz w:val="20"/>
                <w:szCs w:val="20"/>
              </w:rPr>
            </w:pPr>
          </w:p>
        </w:tc>
        <w:tc>
          <w:tcPr>
            <w:tcW w:w="969" w:type="dxa"/>
          </w:tcPr>
          <w:p w14:paraId="706D697A" w14:textId="77777777" w:rsidR="007A2AAB" w:rsidRPr="009A4BC4" w:rsidRDefault="007A2AAB" w:rsidP="009A4BC4">
            <w:pPr>
              <w:pStyle w:val="TableParagraph"/>
              <w:rPr>
                <w:rFonts w:ascii="Bookman Old Style" w:hAnsi="Bookman Old Style"/>
                <w:sz w:val="20"/>
                <w:szCs w:val="20"/>
              </w:rPr>
            </w:pPr>
          </w:p>
        </w:tc>
        <w:tc>
          <w:tcPr>
            <w:tcW w:w="931" w:type="dxa"/>
          </w:tcPr>
          <w:p w14:paraId="3074711F" w14:textId="77777777" w:rsidR="007A2AAB" w:rsidRPr="009A4BC4" w:rsidRDefault="007A2AAB" w:rsidP="009A4BC4">
            <w:pPr>
              <w:pStyle w:val="TableParagraph"/>
              <w:rPr>
                <w:rFonts w:ascii="Bookman Old Style" w:hAnsi="Bookman Old Style"/>
                <w:sz w:val="20"/>
                <w:szCs w:val="20"/>
              </w:rPr>
            </w:pPr>
          </w:p>
        </w:tc>
        <w:tc>
          <w:tcPr>
            <w:tcW w:w="775" w:type="dxa"/>
          </w:tcPr>
          <w:p w14:paraId="7E247937" w14:textId="77777777" w:rsidR="007A2AAB" w:rsidRPr="009A4BC4" w:rsidRDefault="007A2AAB" w:rsidP="009A4BC4">
            <w:pPr>
              <w:pStyle w:val="TableParagraph"/>
              <w:rPr>
                <w:rFonts w:ascii="Bookman Old Style" w:hAnsi="Bookman Old Style"/>
                <w:sz w:val="20"/>
                <w:szCs w:val="20"/>
              </w:rPr>
            </w:pPr>
          </w:p>
        </w:tc>
        <w:tc>
          <w:tcPr>
            <w:tcW w:w="932" w:type="dxa"/>
          </w:tcPr>
          <w:p w14:paraId="584B33B5" w14:textId="77777777" w:rsidR="007A2AAB" w:rsidRPr="009A4BC4" w:rsidRDefault="007A2AAB" w:rsidP="009A4BC4">
            <w:pPr>
              <w:pStyle w:val="TableParagraph"/>
              <w:rPr>
                <w:rFonts w:ascii="Bookman Old Style" w:hAnsi="Bookman Old Style"/>
                <w:sz w:val="20"/>
                <w:szCs w:val="20"/>
              </w:rPr>
            </w:pPr>
          </w:p>
        </w:tc>
        <w:tc>
          <w:tcPr>
            <w:tcW w:w="775" w:type="dxa"/>
          </w:tcPr>
          <w:p w14:paraId="580B82FD" w14:textId="77777777" w:rsidR="007A2AAB" w:rsidRPr="009A4BC4" w:rsidRDefault="007A2AAB" w:rsidP="009A4BC4">
            <w:pPr>
              <w:pStyle w:val="TableParagraph"/>
              <w:rPr>
                <w:rFonts w:ascii="Bookman Old Style" w:hAnsi="Bookman Old Style"/>
                <w:sz w:val="20"/>
                <w:szCs w:val="20"/>
              </w:rPr>
            </w:pPr>
          </w:p>
        </w:tc>
        <w:tc>
          <w:tcPr>
            <w:tcW w:w="929" w:type="dxa"/>
          </w:tcPr>
          <w:p w14:paraId="4CAD14C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2701F8B8" w14:textId="77777777" w:rsidR="007A2AAB" w:rsidRPr="009A4BC4" w:rsidRDefault="007A2AAB" w:rsidP="009A4BC4">
            <w:pPr>
              <w:pStyle w:val="TableParagraph"/>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1AF8510" w14:textId="77777777" w:rsidR="007A2AAB" w:rsidRPr="009A4BC4" w:rsidRDefault="007A2AAB" w:rsidP="009A4BC4">
            <w:pPr>
              <w:pStyle w:val="TableParagraph"/>
              <w:rPr>
                <w:rFonts w:ascii="Bookman Old Style" w:hAnsi="Bookman Old Style"/>
                <w:sz w:val="20"/>
                <w:szCs w:val="20"/>
              </w:rPr>
            </w:pPr>
          </w:p>
        </w:tc>
      </w:tr>
      <w:tr w:rsidR="007A2AAB" w:rsidRPr="009A4BC4" w14:paraId="3384D874" w14:textId="77777777" w:rsidTr="008262B9">
        <w:trPr>
          <w:trHeight w:val="244"/>
        </w:trPr>
        <w:tc>
          <w:tcPr>
            <w:tcW w:w="850" w:type="dxa"/>
            <w:tcBorders>
              <w:top w:val="single" w:sz="4" w:space="0" w:color="000000"/>
              <w:left w:val="single" w:sz="4" w:space="0" w:color="000000"/>
              <w:bottom w:val="single" w:sz="4" w:space="0" w:color="000000"/>
            </w:tcBorders>
          </w:tcPr>
          <w:p w14:paraId="5E89FEBA"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lastRenderedPageBreak/>
              <w:t>2.1.1</w:t>
            </w:r>
          </w:p>
        </w:tc>
        <w:tc>
          <w:tcPr>
            <w:tcW w:w="7371" w:type="dxa"/>
          </w:tcPr>
          <w:p w14:paraId="6EFE1C08"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2"/>
                <w:sz w:val="20"/>
                <w:szCs w:val="20"/>
              </w:rPr>
              <w:t xml:space="preserve"> </w:t>
            </w:r>
            <w:r w:rsidRPr="009A4BC4">
              <w:rPr>
                <w:rFonts w:ascii="Bookman Old Style" w:hAnsi="Bookman Old Style"/>
                <w:sz w:val="20"/>
                <w:szCs w:val="20"/>
              </w:rPr>
              <w:t>tanpa</w:t>
            </w:r>
            <w:r w:rsidRPr="009A4BC4">
              <w:rPr>
                <w:rFonts w:ascii="Bookman Old Style" w:hAnsi="Bookman Old Style"/>
                <w:spacing w:val="-5"/>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(contoh:</w:t>
            </w:r>
            <w:r w:rsidRPr="009A4BC4">
              <w:rPr>
                <w:rFonts w:ascii="Bookman Old Style" w:hAnsi="Bookman Old Style"/>
                <w:spacing w:val="-4"/>
                <w:sz w:val="20"/>
                <w:szCs w:val="20"/>
              </w:rPr>
              <w:t xml:space="preserve"> </w:t>
            </w:r>
            <w:r w:rsidRPr="009A4BC4">
              <w:rPr>
                <w:rFonts w:ascii="Bookman Old Style" w:hAnsi="Bookman Old Style"/>
                <w:sz w:val="20"/>
                <w:szCs w:val="20"/>
              </w:rPr>
              <w:t>giro,</w:t>
            </w:r>
            <w:r w:rsidRPr="009A4BC4">
              <w:rPr>
                <w:rFonts w:ascii="Bookman Old Style" w:hAnsi="Bookman Old Style"/>
                <w:spacing w:val="-3"/>
                <w:sz w:val="20"/>
                <w:szCs w:val="20"/>
              </w:rPr>
              <w:t xml:space="preserve"> </w:t>
            </w:r>
            <w:r w:rsidRPr="009A4BC4">
              <w:rPr>
                <w:rFonts w:ascii="Bookman Old Style" w:hAnsi="Bookman Old Style"/>
                <w:sz w:val="20"/>
                <w:szCs w:val="20"/>
              </w:rPr>
              <w:t>tabungan)</w:t>
            </w:r>
          </w:p>
        </w:tc>
        <w:tc>
          <w:tcPr>
            <w:tcW w:w="837" w:type="dxa"/>
          </w:tcPr>
          <w:p w14:paraId="25863F6A" w14:textId="77777777" w:rsidR="007A2AAB" w:rsidRPr="009A4BC4" w:rsidRDefault="007A2AAB" w:rsidP="009A4BC4">
            <w:pPr>
              <w:pStyle w:val="TableParagraph"/>
              <w:rPr>
                <w:rFonts w:ascii="Bookman Old Style" w:hAnsi="Bookman Old Style"/>
                <w:sz w:val="20"/>
                <w:szCs w:val="20"/>
              </w:rPr>
            </w:pPr>
          </w:p>
        </w:tc>
        <w:tc>
          <w:tcPr>
            <w:tcW w:w="969" w:type="dxa"/>
          </w:tcPr>
          <w:p w14:paraId="2A3B9D8D"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95%</w:t>
            </w:r>
          </w:p>
        </w:tc>
        <w:tc>
          <w:tcPr>
            <w:tcW w:w="931" w:type="dxa"/>
          </w:tcPr>
          <w:p w14:paraId="4C17EE1B" w14:textId="77777777" w:rsidR="007A2AAB" w:rsidRPr="009A4BC4" w:rsidRDefault="007A2AAB" w:rsidP="009A4BC4">
            <w:pPr>
              <w:pStyle w:val="TableParagraph"/>
              <w:rPr>
                <w:rFonts w:ascii="Bookman Old Style" w:hAnsi="Bookman Old Style"/>
                <w:sz w:val="20"/>
                <w:szCs w:val="20"/>
              </w:rPr>
            </w:pPr>
          </w:p>
        </w:tc>
        <w:tc>
          <w:tcPr>
            <w:tcW w:w="775" w:type="dxa"/>
          </w:tcPr>
          <w:p w14:paraId="4D167160"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932" w:type="dxa"/>
          </w:tcPr>
          <w:p w14:paraId="71085B78" w14:textId="77777777" w:rsidR="007A2AAB" w:rsidRPr="009A4BC4" w:rsidRDefault="007A2AAB" w:rsidP="009A4BC4">
            <w:pPr>
              <w:pStyle w:val="TableParagraph"/>
              <w:rPr>
                <w:rFonts w:ascii="Bookman Old Style" w:hAnsi="Bookman Old Style"/>
                <w:sz w:val="20"/>
                <w:szCs w:val="20"/>
              </w:rPr>
            </w:pPr>
          </w:p>
        </w:tc>
        <w:tc>
          <w:tcPr>
            <w:tcW w:w="775" w:type="dxa"/>
          </w:tcPr>
          <w:p w14:paraId="68AA0480"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n.a</w:t>
            </w:r>
          </w:p>
        </w:tc>
        <w:tc>
          <w:tcPr>
            <w:tcW w:w="929" w:type="dxa"/>
          </w:tcPr>
          <w:p w14:paraId="5D7B90B8"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86BC419"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1842" w:type="dxa"/>
            <w:tcBorders>
              <w:top w:val="single" w:sz="4" w:space="0" w:color="000000"/>
              <w:left w:val="single" w:sz="4" w:space="0" w:color="000000"/>
              <w:bottom w:val="single" w:sz="4" w:space="0" w:color="000000"/>
              <w:right w:val="single" w:sz="4" w:space="0" w:color="000000"/>
            </w:tcBorders>
          </w:tcPr>
          <w:p w14:paraId="094EEA72" w14:textId="77777777" w:rsidR="007A2AAB" w:rsidRPr="009A4BC4" w:rsidRDefault="007A2AAB" w:rsidP="009A4BC4">
            <w:pPr>
              <w:pStyle w:val="TableParagraph"/>
              <w:rPr>
                <w:rFonts w:ascii="Bookman Old Style" w:hAnsi="Bookman Old Style"/>
                <w:sz w:val="20"/>
                <w:szCs w:val="20"/>
              </w:rPr>
            </w:pPr>
          </w:p>
        </w:tc>
      </w:tr>
      <w:tr w:rsidR="007A2AAB" w:rsidRPr="009A4BC4" w14:paraId="109DE537" w14:textId="77777777" w:rsidTr="008262B9">
        <w:trPr>
          <w:trHeight w:val="244"/>
        </w:trPr>
        <w:tc>
          <w:tcPr>
            <w:tcW w:w="850" w:type="dxa"/>
            <w:tcBorders>
              <w:top w:val="single" w:sz="4" w:space="0" w:color="000000"/>
              <w:left w:val="single" w:sz="4" w:space="0" w:color="000000"/>
              <w:bottom w:val="single" w:sz="4" w:space="0" w:color="000000"/>
            </w:tcBorders>
          </w:tcPr>
          <w:p w14:paraId="0A70A718"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2.1.2</w:t>
            </w:r>
          </w:p>
        </w:tc>
        <w:tc>
          <w:tcPr>
            <w:tcW w:w="7371" w:type="dxa"/>
          </w:tcPr>
          <w:p w14:paraId="1EC70C1A"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3"/>
                <w:sz w:val="20"/>
                <w:szCs w:val="20"/>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3"/>
                <w:sz w:val="20"/>
                <w:szCs w:val="20"/>
              </w:rPr>
              <w:t xml:space="preserve"> </w:t>
            </w:r>
            <w:r w:rsidRPr="009A4BC4">
              <w:rPr>
                <w:rFonts w:ascii="Bookman Old Style" w:hAnsi="Bookman Old Style"/>
                <w:sz w:val="20"/>
                <w:szCs w:val="20"/>
              </w:rPr>
              <w:t>(contoh:</w:t>
            </w:r>
            <w:r w:rsidRPr="009A4BC4">
              <w:rPr>
                <w:rFonts w:ascii="Bookman Old Style" w:hAnsi="Bookman Old Style"/>
                <w:spacing w:val="-5"/>
                <w:sz w:val="20"/>
                <w:szCs w:val="20"/>
              </w:rPr>
              <w:t xml:space="preserve"> </w:t>
            </w:r>
            <w:r w:rsidRPr="009A4BC4">
              <w:rPr>
                <w:rFonts w:ascii="Bookman Old Style" w:hAnsi="Bookman Old Style"/>
                <w:sz w:val="20"/>
                <w:szCs w:val="20"/>
              </w:rPr>
              <w:t>Deposito)</w:t>
            </w:r>
          </w:p>
        </w:tc>
        <w:tc>
          <w:tcPr>
            <w:tcW w:w="837" w:type="dxa"/>
          </w:tcPr>
          <w:p w14:paraId="552806C1" w14:textId="77777777" w:rsidR="007A2AAB" w:rsidRPr="009A4BC4" w:rsidRDefault="007A2AAB" w:rsidP="009A4BC4">
            <w:pPr>
              <w:pStyle w:val="TableParagraph"/>
              <w:rPr>
                <w:rFonts w:ascii="Bookman Old Style" w:hAnsi="Bookman Old Style"/>
                <w:sz w:val="20"/>
                <w:szCs w:val="20"/>
              </w:rPr>
            </w:pPr>
          </w:p>
        </w:tc>
        <w:tc>
          <w:tcPr>
            <w:tcW w:w="969" w:type="dxa"/>
          </w:tcPr>
          <w:p w14:paraId="7B97F4A0"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n.a</w:t>
            </w:r>
          </w:p>
        </w:tc>
        <w:tc>
          <w:tcPr>
            <w:tcW w:w="931" w:type="dxa"/>
          </w:tcPr>
          <w:p w14:paraId="0F908827" w14:textId="77777777" w:rsidR="007A2AAB" w:rsidRPr="009A4BC4" w:rsidRDefault="007A2AAB" w:rsidP="009A4BC4">
            <w:pPr>
              <w:pStyle w:val="TableParagraph"/>
              <w:rPr>
                <w:rFonts w:ascii="Bookman Old Style" w:hAnsi="Bookman Old Style"/>
                <w:sz w:val="20"/>
                <w:szCs w:val="20"/>
              </w:rPr>
            </w:pPr>
          </w:p>
        </w:tc>
        <w:tc>
          <w:tcPr>
            <w:tcW w:w="775" w:type="dxa"/>
          </w:tcPr>
          <w:p w14:paraId="36C3F48B"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95%</w:t>
            </w:r>
          </w:p>
        </w:tc>
        <w:tc>
          <w:tcPr>
            <w:tcW w:w="932" w:type="dxa"/>
          </w:tcPr>
          <w:p w14:paraId="16895110" w14:textId="77777777" w:rsidR="007A2AAB" w:rsidRPr="009A4BC4" w:rsidRDefault="007A2AAB" w:rsidP="009A4BC4">
            <w:pPr>
              <w:pStyle w:val="TableParagraph"/>
              <w:rPr>
                <w:rFonts w:ascii="Bookman Old Style" w:hAnsi="Bookman Old Style"/>
                <w:sz w:val="20"/>
                <w:szCs w:val="20"/>
              </w:rPr>
            </w:pPr>
          </w:p>
        </w:tc>
        <w:tc>
          <w:tcPr>
            <w:tcW w:w="775" w:type="dxa"/>
          </w:tcPr>
          <w:p w14:paraId="2CF7A11D"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95%</w:t>
            </w:r>
          </w:p>
        </w:tc>
        <w:tc>
          <w:tcPr>
            <w:tcW w:w="929" w:type="dxa"/>
          </w:tcPr>
          <w:p w14:paraId="32ECA842"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3BFFB3D5"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5BA2D3A2" w14:textId="77777777" w:rsidR="007A2AAB" w:rsidRPr="009A4BC4" w:rsidRDefault="007A2AAB" w:rsidP="009A4BC4">
            <w:pPr>
              <w:pStyle w:val="TableParagraph"/>
              <w:rPr>
                <w:rFonts w:ascii="Bookman Old Style" w:hAnsi="Bookman Old Style"/>
                <w:sz w:val="20"/>
                <w:szCs w:val="20"/>
              </w:rPr>
            </w:pPr>
          </w:p>
        </w:tc>
      </w:tr>
      <w:tr w:rsidR="007A2AAB" w:rsidRPr="009A4BC4" w14:paraId="7CF6CB8E" w14:textId="77777777" w:rsidTr="008262B9">
        <w:trPr>
          <w:trHeight w:val="244"/>
        </w:trPr>
        <w:tc>
          <w:tcPr>
            <w:tcW w:w="850" w:type="dxa"/>
            <w:tcBorders>
              <w:top w:val="single" w:sz="4" w:space="0" w:color="000000"/>
              <w:left w:val="single" w:sz="4" w:space="0" w:color="000000"/>
              <w:bottom w:val="single" w:sz="4" w:space="0" w:color="000000"/>
            </w:tcBorders>
          </w:tcPr>
          <w:p w14:paraId="146F3005"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w:t>
            </w:r>
          </w:p>
        </w:tc>
        <w:tc>
          <w:tcPr>
            <w:tcW w:w="7371" w:type="dxa"/>
          </w:tcPr>
          <w:p w14:paraId="0891FCC5"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2"/>
                <w:sz w:val="20"/>
                <w:szCs w:val="20"/>
              </w:rPr>
              <w:t xml:space="preserve"> </w:t>
            </w:r>
            <w:r w:rsidRPr="009A4BC4">
              <w:rPr>
                <w:rFonts w:ascii="Bookman Old Style" w:hAnsi="Bookman Old Style"/>
                <w:sz w:val="20"/>
                <w:szCs w:val="20"/>
              </w:rPr>
              <w:t>kurang</w:t>
            </w:r>
            <w:r w:rsidRPr="009A4BC4">
              <w:rPr>
                <w:rFonts w:ascii="Bookman Old Style" w:hAnsi="Bookman Old Style"/>
                <w:spacing w:val="-3"/>
                <w:sz w:val="20"/>
                <w:szCs w:val="20"/>
              </w:rPr>
              <w:t xml:space="preserve"> </w:t>
            </w:r>
            <w:r w:rsidRPr="009A4BC4">
              <w:rPr>
                <w:rFonts w:ascii="Bookman Old Style" w:hAnsi="Bookman Old Style"/>
                <w:sz w:val="20"/>
                <w:szCs w:val="20"/>
              </w:rPr>
              <w:t>stabil</w:t>
            </w:r>
          </w:p>
        </w:tc>
        <w:tc>
          <w:tcPr>
            <w:tcW w:w="837" w:type="dxa"/>
          </w:tcPr>
          <w:p w14:paraId="639AD9F2" w14:textId="77777777" w:rsidR="007A2AAB" w:rsidRPr="009A4BC4" w:rsidRDefault="007A2AAB" w:rsidP="009A4BC4">
            <w:pPr>
              <w:pStyle w:val="TableParagraph"/>
              <w:rPr>
                <w:rFonts w:ascii="Bookman Old Style" w:hAnsi="Bookman Old Style"/>
                <w:sz w:val="20"/>
                <w:szCs w:val="20"/>
              </w:rPr>
            </w:pPr>
          </w:p>
        </w:tc>
        <w:tc>
          <w:tcPr>
            <w:tcW w:w="969" w:type="dxa"/>
          </w:tcPr>
          <w:p w14:paraId="46A80496" w14:textId="77777777" w:rsidR="007A2AAB" w:rsidRPr="009A4BC4" w:rsidRDefault="007A2AAB" w:rsidP="009A4BC4">
            <w:pPr>
              <w:pStyle w:val="TableParagraph"/>
              <w:ind w:left="108"/>
              <w:rPr>
                <w:rFonts w:ascii="Bookman Old Style" w:hAnsi="Bookman Old Style"/>
                <w:sz w:val="20"/>
                <w:szCs w:val="20"/>
              </w:rPr>
            </w:pPr>
          </w:p>
        </w:tc>
        <w:tc>
          <w:tcPr>
            <w:tcW w:w="931" w:type="dxa"/>
          </w:tcPr>
          <w:p w14:paraId="36C4C902" w14:textId="77777777" w:rsidR="007A2AAB" w:rsidRPr="009A4BC4" w:rsidRDefault="007A2AAB" w:rsidP="009A4BC4">
            <w:pPr>
              <w:pStyle w:val="TableParagraph"/>
              <w:rPr>
                <w:rFonts w:ascii="Bookman Old Style" w:hAnsi="Bookman Old Style"/>
                <w:sz w:val="20"/>
                <w:szCs w:val="20"/>
              </w:rPr>
            </w:pPr>
          </w:p>
        </w:tc>
        <w:tc>
          <w:tcPr>
            <w:tcW w:w="775" w:type="dxa"/>
          </w:tcPr>
          <w:p w14:paraId="36601563" w14:textId="77777777" w:rsidR="007A2AAB" w:rsidRPr="009A4BC4" w:rsidRDefault="007A2AAB" w:rsidP="009A4BC4">
            <w:pPr>
              <w:pStyle w:val="TableParagraph"/>
              <w:ind w:left="109"/>
              <w:rPr>
                <w:rFonts w:ascii="Bookman Old Style" w:hAnsi="Bookman Old Style"/>
                <w:sz w:val="20"/>
                <w:szCs w:val="20"/>
              </w:rPr>
            </w:pPr>
          </w:p>
        </w:tc>
        <w:tc>
          <w:tcPr>
            <w:tcW w:w="932" w:type="dxa"/>
          </w:tcPr>
          <w:p w14:paraId="1F2151A1" w14:textId="77777777" w:rsidR="007A2AAB" w:rsidRPr="009A4BC4" w:rsidRDefault="007A2AAB" w:rsidP="009A4BC4">
            <w:pPr>
              <w:pStyle w:val="TableParagraph"/>
              <w:rPr>
                <w:rFonts w:ascii="Bookman Old Style" w:hAnsi="Bookman Old Style"/>
                <w:sz w:val="20"/>
                <w:szCs w:val="20"/>
              </w:rPr>
            </w:pPr>
          </w:p>
        </w:tc>
        <w:tc>
          <w:tcPr>
            <w:tcW w:w="775" w:type="dxa"/>
          </w:tcPr>
          <w:p w14:paraId="5C455F15" w14:textId="77777777" w:rsidR="007A2AAB" w:rsidRPr="009A4BC4" w:rsidRDefault="007A2AAB" w:rsidP="009A4BC4">
            <w:pPr>
              <w:pStyle w:val="TableParagraph"/>
              <w:ind w:left="107"/>
              <w:rPr>
                <w:rFonts w:ascii="Bookman Old Style" w:hAnsi="Bookman Old Style"/>
                <w:sz w:val="20"/>
                <w:szCs w:val="20"/>
              </w:rPr>
            </w:pPr>
          </w:p>
        </w:tc>
        <w:tc>
          <w:tcPr>
            <w:tcW w:w="929" w:type="dxa"/>
          </w:tcPr>
          <w:p w14:paraId="6C5DA16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5F0631DA"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0BB36A04" w14:textId="77777777" w:rsidR="007A2AAB" w:rsidRPr="009A4BC4" w:rsidRDefault="007A2AAB" w:rsidP="009A4BC4">
            <w:pPr>
              <w:pStyle w:val="TableParagraph"/>
              <w:rPr>
                <w:rFonts w:ascii="Bookman Old Style" w:hAnsi="Bookman Old Style"/>
                <w:sz w:val="20"/>
                <w:szCs w:val="20"/>
              </w:rPr>
            </w:pPr>
          </w:p>
        </w:tc>
      </w:tr>
      <w:tr w:rsidR="007A2AAB" w:rsidRPr="009A4BC4" w14:paraId="5B4170EF" w14:textId="77777777" w:rsidTr="008262B9">
        <w:trPr>
          <w:trHeight w:val="244"/>
        </w:trPr>
        <w:tc>
          <w:tcPr>
            <w:tcW w:w="850" w:type="dxa"/>
            <w:tcBorders>
              <w:top w:val="single" w:sz="4" w:space="0" w:color="000000"/>
              <w:left w:val="single" w:sz="4" w:space="0" w:color="000000"/>
              <w:bottom w:val="single" w:sz="4" w:space="0" w:color="000000"/>
            </w:tcBorders>
          </w:tcPr>
          <w:p w14:paraId="22EBF7F4"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2.2.1</w:t>
            </w:r>
          </w:p>
        </w:tc>
        <w:tc>
          <w:tcPr>
            <w:tcW w:w="7371" w:type="dxa"/>
          </w:tcPr>
          <w:p w14:paraId="51941EBC"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2"/>
                <w:sz w:val="20"/>
                <w:szCs w:val="20"/>
              </w:rPr>
              <w:t xml:space="preserve"> </w:t>
            </w:r>
            <w:r w:rsidRPr="009A4BC4">
              <w:rPr>
                <w:rFonts w:ascii="Bookman Old Style" w:hAnsi="Bookman Old Style"/>
                <w:sz w:val="20"/>
                <w:szCs w:val="20"/>
              </w:rPr>
              <w:t>tanpa</w:t>
            </w:r>
            <w:r w:rsidRPr="009A4BC4">
              <w:rPr>
                <w:rFonts w:ascii="Bookman Old Style" w:hAnsi="Bookman Old Style"/>
                <w:spacing w:val="-5"/>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(contoh:</w:t>
            </w:r>
            <w:r w:rsidRPr="009A4BC4">
              <w:rPr>
                <w:rFonts w:ascii="Bookman Old Style" w:hAnsi="Bookman Old Style"/>
                <w:spacing w:val="-4"/>
                <w:sz w:val="20"/>
                <w:szCs w:val="20"/>
              </w:rPr>
              <w:t xml:space="preserve"> </w:t>
            </w:r>
            <w:r w:rsidRPr="009A4BC4">
              <w:rPr>
                <w:rFonts w:ascii="Bookman Old Style" w:hAnsi="Bookman Old Style"/>
                <w:sz w:val="20"/>
                <w:szCs w:val="20"/>
              </w:rPr>
              <w:t>giro,</w:t>
            </w:r>
            <w:r w:rsidRPr="009A4BC4">
              <w:rPr>
                <w:rFonts w:ascii="Bookman Old Style" w:hAnsi="Bookman Old Style"/>
                <w:spacing w:val="-3"/>
                <w:sz w:val="20"/>
                <w:szCs w:val="20"/>
              </w:rPr>
              <w:t xml:space="preserve"> </w:t>
            </w:r>
            <w:r w:rsidRPr="009A4BC4">
              <w:rPr>
                <w:rFonts w:ascii="Bookman Old Style" w:hAnsi="Bookman Old Style"/>
                <w:sz w:val="20"/>
                <w:szCs w:val="20"/>
              </w:rPr>
              <w:t>tabungan)</w:t>
            </w:r>
          </w:p>
        </w:tc>
        <w:tc>
          <w:tcPr>
            <w:tcW w:w="837" w:type="dxa"/>
          </w:tcPr>
          <w:p w14:paraId="3A6BFCFF" w14:textId="77777777" w:rsidR="007A2AAB" w:rsidRPr="009A4BC4" w:rsidRDefault="007A2AAB" w:rsidP="009A4BC4">
            <w:pPr>
              <w:pStyle w:val="TableParagraph"/>
              <w:rPr>
                <w:rFonts w:ascii="Bookman Old Style" w:hAnsi="Bookman Old Style"/>
                <w:sz w:val="20"/>
                <w:szCs w:val="20"/>
              </w:rPr>
            </w:pPr>
          </w:p>
        </w:tc>
        <w:tc>
          <w:tcPr>
            <w:tcW w:w="969" w:type="dxa"/>
          </w:tcPr>
          <w:p w14:paraId="5BD58F49"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90%</w:t>
            </w:r>
          </w:p>
        </w:tc>
        <w:tc>
          <w:tcPr>
            <w:tcW w:w="931" w:type="dxa"/>
          </w:tcPr>
          <w:p w14:paraId="2AE6DCC1" w14:textId="77777777" w:rsidR="007A2AAB" w:rsidRPr="009A4BC4" w:rsidRDefault="007A2AAB" w:rsidP="009A4BC4">
            <w:pPr>
              <w:pStyle w:val="TableParagraph"/>
              <w:rPr>
                <w:rFonts w:ascii="Bookman Old Style" w:hAnsi="Bookman Old Style"/>
                <w:sz w:val="20"/>
                <w:szCs w:val="20"/>
              </w:rPr>
            </w:pPr>
          </w:p>
        </w:tc>
        <w:tc>
          <w:tcPr>
            <w:tcW w:w="775" w:type="dxa"/>
          </w:tcPr>
          <w:p w14:paraId="75AFADE7"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932" w:type="dxa"/>
          </w:tcPr>
          <w:p w14:paraId="6FAF764B" w14:textId="77777777" w:rsidR="007A2AAB" w:rsidRPr="009A4BC4" w:rsidRDefault="007A2AAB" w:rsidP="009A4BC4">
            <w:pPr>
              <w:pStyle w:val="TableParagraph"/>
              <w:rPr>
                <w:rFonts w:ascii="Bookman Old Style" w:hAnsi="Bookman Old Style"/>
                <w:sz w:val="20"/>
                <w:szCs w:val="20"/>
              </w:rPr>
            </w:pPr>
          </w:p>
        </w:tc>
        <w:tc>
          <w:tcPr>
            <w:tcW w:w="775" w:type="dxa"/>
          </w:tcPr>
          <w:p w14:paraId="395A135B"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n.a</w:t>
            </w:r>
          </w:p>
        </w:tc>
        <w:tc>
          <w:tcPr>
            <w:tcW w:w="929" w:type="dxa"/>
          </w:tcPr>
          <w:p w14:paraId="4FA56A7E"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17F334D9"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1842" w:type="dxa"/>
            <w:tcBorders>
              <w:top w:val="single" w:sz="4" w:space="0" w:color="000000"/>
              <w:left w:val="single" w:sz="4" w:space="0" w:color="000000"/>
              <w:bottom w:val="single" w:sz="4" w:space="0" w:color="000000"/>
              <w:right w:val="single" w:sz="4" w:space="0" w:color="000000"/>
            </w:tcBorders>
          </w:tcPr>
          <w:p w14:paraId="683F30D6" w14:textId="77777777" w:rsidR="007A2AAB" w:rsidRPr="009A4BC4" w:rsidRDefault="007A2AAB" w:rsidP="009A4BC4">
            <w:pPr>
              <w:pStyle w:val="TableParagraph"/>
              <w:rPr>
                <w:rFonts w:ascii="Bookman Old Style" w:hAnsi="Bookman Old Style"/>
                <w:sz w:val="20"/>
                <w:szCs w:val="20"/>
              </w:rPr>
            </w:pPr>
          </w:p>
        </w:tc>
      </w:tr>
      <w:tr w:rsidR="007A2AAB" w:rsidRPr="009A4BC4" w14:paraId="16A3D720" w14:textId="77777777" w:rsidTr="008262B9">
        <w:trPr>
          <w:trHeight w:val="244"/>
        </w:trPr>
        <w:tc>
          <w:tcPr>
            <w:tcW w:w="850" w:type="dxa"/>
            <w:tcBorders>
              <w:top w:val="single" w:sz="4" w:space="0" w:color="000000"/>
              <w:left w:val="single" w:sz="4" w:space="0" w:color="000000"/>
              <w:bottom w:val="single" w:sz="4" w:space="0" w:color="000000"/>
            </w:tcBorders>
          </w:tcPr>
          <w:p w14:paraId="78966FF1"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2.2.2</w:t>
            </w:r>
          </w:p>
        </w:tc>
        <w:tc>
          <w:tcPr>
            <w:tcW w:w="7371" w:type="dxa"/>
          </w:tcPr>
          <w:p w14:paraId="3E5158B4"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3"/>
                <w:sz w:val="20"/>
                <w:szCs w:val="20"/>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3"/>
                <w:sz w:val="20"/>
                <w:szCs w:val="20"/>
              </w:rPr>
              <w:t xml:space="preserve"> </w:t>
            </w:r>
            <w:r w:rsidRPr="009A4BC4">
              <w:rPr>
                <w:rFonts w:ascii="Bookman Old Style" w:hAnsi="Bookman Old Style"/>
                <w:sz w:val="20"/>
                <w:szCs w:val="20"/>
              </w:rPr>
              <w:t>(contoh:</w:t>
            </w:r>
            <w:r w:rsidRPr="009A4BC4">
              <w:rPr>
                <w:rFonts w:ascii="Bookman Old Style" w:hAnsi="Bookman Old Style"/>
                <w:spacing w:val="-5"/>
                <w:sz w:val="20"/>
                <w:szCs w:val="20"/>
              </w:rPr>
              <w:t xml:space="preserve"> </w:t>
            </w:r>
            <w:r w:rsidRPr="009A4BC4">
              <w:rPr>
                <w:rFonts w:ascii="Bookman Old Style" w:hAnsi="Bookman Old Style"/>
                <w:sz w:val="20"/>
                <w:szCs w:val="20"/>
              </w:rPr>
              <w:t>Deposito)</w:t>
            </w:r>
          </w:p>
        </w:tc>
        <w:tc>
          <w:tcPr>
            <w:tcW w:w="837" w:type="dxa"/>
          </w:tcPr>
          <w:p w14:paraId="51C4B773" w14:textId="77777777" w:rsidR="007A2AAB" w:rsidRPr="009A4BC4" w:rsidRDefault="007A2AAB" w:rsidP="009A4BC4">
            <w:pPr>
              <w:pStyle w:val="TableParagraph"/>
              <w:rPr>
                <w:rFonts w:ascii="Bookman Old Style" w:hAnsi="Bookman Old Style"/>
                <w:sz w:val="20"/>
                <w:szCs w:val="20"/>
              </w:rPr>
            </w:pPr>
          </w:p>
        </w:tc>
        <w:tc>
          <w:tcPr>
            <w:tcW w:w="969" w:type="dxa"/>
          </w:tcPr>
          <w:p w14:paraId="02BE8A40"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n.a</w:t>
            </w:r>
          </w:p>
        </w:tc>
        <w:tc>
          <w:tcPr>
            <w:tcW w:w="931" w:type="dxa"/>
          </w:tcPr>
          <w:p w14:paraId="62CA7A10" w14:textId="77777777" w:rsidR="007A2AAB" w:rsidRPr="009A4BC4" w:rsidRDefault="007A2AAB" w:rsidP="009A4BC4">
            <w:pPr>
              <w:pStyle w:val="TableParagraph"/>
              <w:rPr>
                <w:rFonts w:ascii="Bookman Old Style" w:hAnsi="Bookman Old Style"/>
                <w:sz w:val="20"/>
                <w:szCs w:val="20"/>
              </w:rPr>
            </w:pPr>
          </w:p>
        </w:tc>
        <w:tc>
          <w:tcPr>
            <w:tcW w:w="775" w:type="dxa"/>
          </w:tcPr>
          <w:p w14:paraId="0CB9963A"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90%</w:t>
            </w:r>
          </w:p>
        </w:tc>
        <w:tc>
          <w:tcPr>
            <w:tcW w:w="932" w:type="dxa"/>
          </w:tcPr>
          <w:p w14:paraId="46C4F474" w14:textId="77777777" w:rsidR="007A2AAB" w:rsidRPr="009A4BC4" w:rsidRDefault="007A2AAB" w:rsidP="009A4BC4">
            <w:pPr>
              <w:pStyle w:val="TableParagraph"/>
              <w:rPr>
                <w:rFonts w:ascii="Bookman Old Style" w:hAnsi="Bookman Old Style"/>
                <w:sz w:val="20"/>
                <w:szCs w:val="20"/>
              </w:rPr>
            </w:pPr>
          </w:p>
        </w:tc>
        <w:tc>
          <w:tcPr>
            <w:tcW w:w="775" w:type="dxa"/>
          </w:tcPr>
          <w:p w14:paraId="0CE2E7A0"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90%</w:t>
            </w:r>
          </w:p>
        </w:tc>
        <w:tc>
          <w:tcPr>
            <w:tcW w:w="929" w:type="dxa"/>
          </w:tcPr>
          <w:p w14:paraId="77DCA4A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6A5E8CB"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05E0A843" w14:textId="77777777" w:rsidR="007A2AAB" w:rsidRPr="009A4BC4" w:rsidRDefault="007A2AAB" w:rsidP="009A4BC4">
            <w:pPr>
              <w:pStyle w:val="TableParagraph"/>
              <w:rPr>
                <w:rFonts w:ascii="Bookman Old Style" w:hAnsi="Bookman Old Style"/>
                <w:sz w:val="20"/>
                <w:szCs w:val="20"/>
              </w:rPr>
            </w:pPr>
          </w:p>
        </w:tc>
      </w:tr>
      <w:tr w:rsidR="007A2AAB" w:rsidRPr="009A4BC4" w14:paraId="26923E4F" w14:textId="77777777" w:rsidTr="008262B9">
        <w:trPr>
          <w:trHeight w:val="244"/>
        </w:trPr>
        <w:tc>
          <w:tcPr>
            <w:tcW w:w="850" w:type="dxa"/>
            <w:tcBorders>
              <w:top w:val="single" w:sz="4" w:space="0" w:color="000000"/>
              <w:left w:val="single" w:sz="4" w:space="0" w:color="000000"/>
              <w:bottom w:val="single" w:sz="4" w:space="0" w:color="000000"/>
            </w:tcBorders>
          </w:tcPr>
          <w:p w14:paraId="2680B6BA"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2.3</w:t>
            </w:r>
          </w:p>
        </w:tc>
        <w:tc>
          <w:tcPr>
            <w:tcW w:w="7371" w:type="dxa"/>
          </w:tcPr>
          <w:p w14:paraId="32EEB7B7"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 kurang stabil dari nasabah DCR tanpa perataan bagi hasil</w:t>
            </w:r>
          </w:p>
        </w:tc>
        <w:tc>
          <w:tcPr>
            <w:tcW w:w="837" w:type="dxa"/>
          </w:tcPr>
          <w:p w14:paraId="0B0ABF86" w14:textId="77777777" w:rsidR="007A2AAB" w:rsidRPr="009A4BC4" w:rsidRDefault="007A2AAB" w:rsidP="009A4BC4">
            <w:pPr>
              <w:pStyle w:val="TableParagraph"/>
              <w:rPr>
                <w:rFonts w:ascii="Bookman Old Style" w:hAnsi="Bookman Old Style"/>
                <w:sz w:val="20"/>
                <w:szCs w:val="20"/>
              </w:rPr>
            </w:pPr>
          </w:p>
        </w:tc>
        <w:tc>
          <w:tcPr>
            <w:tcW w:w="969" w:type="dxa"/>
          </w:tcPr>
          <w:p w14:paraId="36623B91"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n.a</w:t>
            </w:r>
          </w:p>
        </w:tc>
        <w:tc>
          <w:tcPr>
            <w:tcW w:w="931" w:type="dxa"/>
          </w:tcPr>
          <w:p w14:paraId="7193F2E1" w14:textId="77777777" w:rsidR="007A2AAB" w:rsidRPr="009A4BC4" w:rsidRDefault="007A2AAB" w:rsidP="009A4BC4">
            <w:pPr>
              <w:pStyle w:val="TableParagraph"/>
              <w:rPr>
                <w:rFonts w:ascii="Bookman Old Style" w:hAnsi="Bookman Old Style"/>
                <w:sz w:val="20"/>
                <w:szCs w:val="20"/>
              </w:rPr>
            </w:pPr>
          </w:p>
        </w:tc>
        <w:tc>
          <w:tcPr>
            <w:tcW w:w="775" w:type="dxa"/>
          </w:tcPr>
          <w:p w14:paraId="53D98D56"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90%</w:t>
            </w:r>
          </w:p>
        </w:tc>
        <w:tc>
          <w:tcPr>
            <w:tcW w:w="932" w:type="dxa"/>
          </w:tcPr>
          <w:p w14:paraId="5C0FEFC9" w14:textId="77777777" w:rsidR="007A2AAB" w:rsidRPr="009A4BC4" w:rsidRDefault="007A2AAB" w:rsidP="009A4BC4">
            <w:pPr>
              <w:pStyle w:val="TableParagraph"/>
              <w:rPr>
                <w:rFonts w:ascii="Bookman Old Style" w:hAnsi="Bookman Old Style"/>
                <w:sz w:val="20"/>
                <w:szCs w:val="20"/>
              </w:rPr>
            </w:pPr>
          </w:p>
        </w:tc>
        <w:tc>
          <w:tcPr>
            <w:tcW w:w="775" w:type="dxa"/>
          </w:tcPr>
          <w:p w14:paraId="6A6EE029"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90%</w:t>
            </w:r>
          </w:p>
        </w:tc>
        <w:tc>
          <w:tcPr>
            <w:tcW w:w="929" w:type="dxa"/>
          </w:tcPr>
          <w:p w14:paraId="3A9A858C"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550220FA"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4DB7FDD9" w14:textId="77777777" w:rsidR="007A2AAB" w:rsidRPr="009A4BC4" w:rsidRDefault="007A2AAB" w:rsidP="009A4BC4">
            <w:pPr>
              <w:pStyle w:val="TableParagraph"/>
              <w:rPr>
                <w:rFonts w:ascii="Bookman Old Style" w:hAnsi="Bookman Old Style"/>
                <w:sz w:val="20"/>
                <w:szCs w:val="20"/>
              </w:rPr>
            </w:pPr>
          </w:p>
        </w:tc>
      </w:tr>
      <w:tr w:rsidR="007A2AAB" w:rsidRPr="009A4BC4" w14:paraId="22431334" w14:textId="77777777" w:rsidTr="008262B9">
        <w:trPr>
          <w:trHeight w:val="244"/>
        </w:trPr>
        <w:tc>
          <w:tcPr>
            <w:tcW w:w="850" w:type="dxa"/>
            <w:tcBorders>
              <w:top w:val="single" w:sz="4" w:space="0" w:color="000000"/>
              <w:left w:val="single" w:sz="4" w:space="0" w:color="000000"/>
              <w:bottom w:val="single" w:sz="4" w:space="0" w:color="000000"/>
            </w:tcBorders>
            <w:shd w:val="clear" w:color="auto" w:fill="AEAAAA" w:themeFill="background2" w:themeFillShade="BF"/>
          </w:tcPr>
          <w:p w14:paraId="536D1352"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3</w:t>
            </w:r>
          </w:p>
        </w:tc>
        <w:tc>
          <w:tcPr>
            <w:tcW w:w="7371" w:type="dxa"/>
            <w:shd w:val="clear" w:color="auto" w:fill="AEAAAA" w:themeFill="background2" w:themeFillShade="BF"/>
          </w:tcPr>
          <w:p w14:paraId="1A8B1A97"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berasal</w:t>
            </w:r>
            <w:r w:rsidRPr="009A4BC4">
              <w:rPr>
                <w:rFonts w:ascii="Bookman Old Style" w:hAnsi="Bookman Old Style"/>
                <w:spacing w:val="-2"/>
                <w:sz w:val="20"/>
                <w:szCs w:val="20"/>
              </w:rPr>
              <w:t xml:space="preserve"> </w:t>
            </w:r>
            <w:r w:rsidRPr="009A4BC4">
              <w:rPr>
                <w:rFonts w:ascii="Bookman Old Style" w:hAnsi="Bookman Old Style"/>
                <w:sz w:val="20"/>
                <w:szCs w:val="20"/>
              </w:rPr>
              <w:t>dari</w:t>
            </w:r>
            <w:r w:rsidRPr="009A4BC4">
              <w:rPr>
                <w:rFonts w:ascii="Bookman Old Style" w:hAnsi="Bookman Old Style"/>
                <w:spacing w:val="-4"/>
                <w:sz w:val="20"/>
                <w:szCs w:val="20"/>
              </w:rPr>
              <w:t xml:space="preserve"> </w:t>
            </w:r>
            <w:r w:rsidRPr="009A4BC4">
              <w:rPr>
                <w:rFonts w:ascii="Bookman Old Style" w:hAnsi="Bookman Old Style"/>
                <w:sz w:val="20"/>
                <w:szCs w:val="20"/>
              </w:rPr>
              <w:t>nasabah</w:t>
            </w:r>
            <w:r w:rsidRPr="009A4BC4">
              <w:rPr>
                <w:rFonts w:ascii="Bookman Old Style" w:hAnsi="Bookman Old Style"/>
                <w:spacing w:val="-1"/>
                <w:sz w:val="20"/>
                <w:szCs w:val="20"/>
              </w:rPr>
              <w:t xml:space="preserve"> </w:t>
            </w:r>
            <w:r w:rsidRPr="009A4BC4">
              <w:rPr>
                <w:rFonts w:ascii="Bookman Old Style" w:hAnsi="Bookman Old Style"/>
                <w:sz w:val="20"/>
                <w:szCs w:val="20"/>
              </w:rPr>
              <w:t>usaha</w:t>
            </w:r>
            <w:r w:rsidRPr="009A4BC4">
              <w:rPr>
                <w:rFonts w:ascii="Bookman Old Style" w:hAnsi="Bookman Old Style"/>
                <w:spacing w:val="-2"/>
                <w:sz w:val="20"/>
                <w:szCs w:val="20"/>
              </w:rPr>
              <w:t xml:space="preserve"> </w:t>
            </w:r>
            <w:r w:rsidRPr="009A4BC4">
              <w:rPr>
                <w:rFonts w:ascii="Bookman Old Style" w:hAnsi="Bookman Old Style"/>
                <w:sz w:val="20"/>
                <w:szCs w:val="20"/>
              </w:rPr>
              <w:t>mikro</w:t>
            </w:r>
            <w:r w:rsidRPr="009A4BC4">
              <w:rPr>
                <w:rFonts w:ascii="Bookman Old Style" w:hAnsi="Bookman Old Style"/>
                <w:spacing w:val="-2"/>
                <w:sz w:val="20"/>
                <w:szCs w:val="20"/>
              </w:rPr>
              <w:t xml:space="preserve"> </w:t>
            </w:r>
            <w:r w:rsidRPr="009A4BC4">
              <w:rPr>
                <w:rFonts w:ascii="Bookman Old Style" w:hAnsi="Bookman Old Style"/>
                <w:sz w:val="20"/>
                <w:szCs w:val="20"/>
              </w:rPr>
              <w:t>dan</w:t>
            </w:r>
            <w:r w:rsidRPr="009A4BC4">
              <w:rPr>
                <w:rFonts w:ascii="Bookman Old Style" w:hAnsi="Bookman Old Style"/>
                <w:spacing w:val="-1"/>
                <w:sz w:val="20"/>
                <w:szCs w:val="20"/>
              </w:rPr>
              <w:t xml:space="preserve"> </w:t>
            </w:r>
            <w:r w:rsidRPr="009A4BC4">
              <w:rPr>
                <w:rFonts w:ascii="Bookman Old Style" w:hAnsi="Bookman Old Style"/>
                <w:sz w:val="20"/>
                <w:szCs w:val="20"/>
              </w:rPr>
              <w:t>usaha</w:t>
            </w:r>
            <w:r w:rsidRPr="009A4BC4">
              <w:rPr>
                <w:rFonts w:ascii="Bookman Old Style" w:hAnsi="Bookman Old Style"/>
                <w:spacing w:val="-2"/>
                <w:sz w:val="20"/>
                <w:szCs w:val="20"/>
              </w:rPr>
              <w:t xml:space="preserve"> </w:t>
            </w:r>
            <w:r w:rsidRPr="009A4BC4">
              <w:rPr>
                <w:rFonts w:ascii="Bookman Old Style" w:hAnsi="Bookman Old Style"/>
                <w:sz w:val="20"/>
                <w:szCs w:val="20"/>
              </w:rPr>
              <w:t>kecil:</w:t>
            </w:r>
          </w:p>
        </w:tc>
        <w:tc>
          <w:tcPr>
            <w:tcW w:w="837" w:type="dxa"/>
            <w:shd w:val="clear" w:color="auto" w:fill="AEAAAA" w:themeFill="background2" w:themeFillShade="BF"/>
          </w:tcPr>
          <w:p w14:paraId="6587D89D"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AEAAAA" w:themeFill="background2" w:themeFillShade="BF"/>
          </w:tcPr>
          <w:p w14:paraId="278DDCFF" w14:textId="77777777" w:rsidR="007A2AAB" w:rsidRPr="009A4BC4" w:rsidRDefault="007A2AAB" w:rsidP="009A4BC4">
            <w:pPr>
              <w:pStyle w:val="TableParagraph"/>
              <w:ind w:left="108"/>
              <w:rPr>
                <w:rFonts w:ascii="Bookman Old Style" w:hAnsi="Bookman Old Style"/>
                <w:sz w:val="20"/>
                <w:szCs w:val="20"/>
              </w:rPr>
            </w:pPr>
          </w:p>
        </w:tc>
        <w:tc>
          <w:tcPr>
            <w:tcW w:w="931" w:type="dxa"/>
            <w:shd w:val="clear" w:color="auto" w:fill="AEAAAA" w:themeFill="background2" w:themeFillShade="BF"/>
          </w:tcPr>
          <w:p w14:paraId="0863F3F0"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AEAAAA" w:themeFill="background2" w:themeFillShade="BF"/>
          </w:tcPr>
          <w:p w14:paraId="7D91F4BB" w14:textId="77777777" w:rsidR="007A2AAB" w:rsidRPr="009A4BC4" w:rsidRDefault="007A2AAB" w:rsidP="009A4BC4">
            <w:pPr>
              <w:pStyle w:val="TableParagraph"/>
              <w:ind w:left="109"/>
              <w:rPr>
                <w:rFonts w:ascii="Bookman Old Style" w:hAnsi="Bookman Old Style"/>
                <w:sz w:val="20"/>
                <w:szCs w:val="20"/>
              </w:rPr>
            </w:pPr>
          </w:p>
        </w:tc>
        <w:tc>
          <w:tcPr>
            <w:tcW w:w="932" w:type="dxa"/>
            <w:shd w:val="clear" w:color="auto" w:fill="AEAAAA" w:themeFill="background2" w:themeFillShade="BF"/>
          </w:tcPr>
          <w:p w14:paraId="6366B320"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AEAAAA" w:themeFill="background2" w:themeFillShade="BF"/>
          </w:tcPr>
          <w:p w14:paraId="75F2C2F1" w14:textId="77777777" w:rsidR="007A2AAB" w:rsidRPr="009A4BC4" w:rsidRDefault="007A2AAB" w:rsidP="009A4BC4">
            <w:pPr>
              <w:pStyle w:val="TableParagraph"/>
              <w:ind w:left="107"/>
              <w:rPr>
                <w:rFonts w:ascii="Bookman Old Style" w:hAnsi="Bookman Old Style"/>
                <w:sz w:val="20"/>
                <w:szCs w:val="20"/>
              </w:rPr>
            </w:pPr>
          </w:p>
        </w:tc>
        <w:tc>
          <w:tcPr>
            <w:tcW w:w="929" w:type="dxa"/>
            <w:shd w:val="clear" w:color="auto" w:fill="AEAAAA" w:themeFill="background2" w:themeFillShade="BF"/>
          </w:tcPr>
          <w:p w14:paraId="7D2D7C1A"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AEAAAA" w:themeFill="background2" w:themeFillShade="BF"/>
          </w:tcPr>
          <w:p w14:paraId="54FEE8A8"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2304E92" w14:textId="77777777" w:rsidR="007A2AAB" w:rsidRPr="009A4BC4" w:rsidRDefault="007A2AAB" w:rsidP="009A4BC4">
            <w:pPr>
              <w:pStyle w:val="TableParagraph"/>
              <w:rPr>
                <w:rFonts w:ascii="Bookman Old Style" w:hAnsi="Bookman Old Style"/>
                <w:sz w:val="20"/>
                <w:szCs w:val="20"/>
              </w:rPr>
            </w:pPr>
          </w:p>
        </w:tc>
      </w:tr>
      <w:tr w:rsidR="007A2AAB" w:rsidRPr="009A4BC4" w14:paraId="6888A1C3" w14:textId="77777777" w:rsidTr="008262B9">
        <w:trPr>
          <w:trHeight w:val="244"/>
        </w:trPr>
        <w:tc>
          <w:tcPr>
            <w:tcW w:w="850" w:type="dxa"/>
            <w:tcBorders>
              <w:top w:val="single" w:sz="4" w:space="0" w:color="000000"/>
              <w:left w:val="single" w:sz="4" w:space="0" w:color="000000"/>
              <w:bottom w:val="single" w:sz="4" w:space="0" w:color="000000"/>
            </w:tcBorders>
          </w:tcPr>
          <w:p w14:paraId="02447568"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w:t>
            </w:r>
          </w:p>
        </w:tc>
        <w:tc>
          <w:tcPr>
            <w:tcW w:w="7371" w:type="dxa"/>
          </w:tcPr>
          <w:p w14:paraId="1758BD26"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3"/>
                <w:sz w:val="20"/>
                <w:szCs w:val="20"/>
              </w:rPr>
              <w:t xml:space="preserve"> </w:t>
            </w:r>
            <w:r w:rsidRPr="009A4BC4">
              <w:rPr>
                <w:rFonts w:ascii="Bookman Old Style" w:hAnsi="Bookman Old Style"/>
                <w:sz w:val="20"/>
                <w:szCs w:val="20"/>
              </w:rPr>
              <w:t>stabil</w:t>
            </w:r>
          </w:p>
        </w:tc>
        <w:tc>
          <w:tcPr>
            <w:tcW w:w="837" w:type="dxa"/>
          </w:tcPr>
          <w:p w14:paraId="425D0E48" w14:textId="77777777" w:rsidR="007A2AAB" w:rsidRPr="009A4BC4" w:rsidRDefault="007A2AAB" w:rsidP="009A4BC4">
            <w:pPr>
              <w:pStyle w:val="TableParagraph"/>
              <w:rPr>
                <w:rFonts w:ascii="Bookman Old Style" w:hAnsi="Bookman Old Style"/>
                <w:sz w:val="20"/>
                <w:szCs w:val="20"/>
              </w:rPr>
            </w:pPr>
          </w:p>
        </w:tc>
        <w:tc>
          <w:tcPr>
            <w:tcW w:w="969" w:type="dxa"/>
          </w:tcPr>
          <w:p w14:paraId="06F9C8D6" w14:textId="77777777" w:rsidR="007A2AAB" w:rsidRPr="009A4BC4" w:rsidRDefault="007A2AAB" w:rsidP="009A4BC4">
            <w:pPr>
              <w:pStyle w:val="TableParagraph"/>
              <w:ind w:left="108"/>
              <w:rPr>
                <w:rFonts w:ascii="Bookman Old Style" w:hAnsi="Bookman Old Style"/>
                <w:sz w:val="20"/>
                <w:szCs w:val="20"/>
              </w:rPr>
            </w:pPr>
          </w:p>
        </w:tc>
        <w:tc>
          <w:tcPr>
            <w:tcW w:w="931" w:type="dxa"/>
          </w:tcPr>
          <w:p w14:paraId="379A63B4" w14:textId="77777777" w:rsidR="007A2AAB" w:rsidRPr="009A4BC4" w:rsidRDefault="007A2AAB" w:rsidP="009A4BC4">
            <w:pPr>
              <w:pStyle w:val="TableParagraph"/>
              <w:rPr>
                <w:rFonts w:ascii="Bookman Old Style" w:hAnsi="Bookman Old Style"/>
                <w:sz w:val="20"/>
                <w:szCs w:val="20"/>
              </w:rPr>
            </w:pPr>
          </w:p>
        </w:tc>
        <w:tc>
          <w:tcPr>
            <w:tcW w:w="775" w:type="dxa"/>
          </w:tcPr>
          <w:p w14:paraId="38EFBF71" w14:textId="77777777" w:rsidR="007A2AAB" w:rsidRPr="009A4BC4" w:rsidRDefault="007A2AAB" w:rsidP="009A4BC4">
            <w:pPr>
              <w:pStyle w:val="TableParagraph"/>
              <w:ind w:left="109"/>
              <w:rPr>
                <w:rFonts w:ascii="Bookman Old Style" w:hAnsi="Bookman Old Style"/>
                <w:sz w:val="20"/>
                <w:szCs w:val="20"/>
              </w:rPr>
            </w:pPr>
          </w:p>
        </w:tc>
        <w:tc>
          <w:tcPr>
            <w:tcW w:w="932" w:type="dxa"/>
          </w:tcPr>
          <w:p w14:paraId="60901DBA" w14:textId="77777777" w:rsidR="007A2AAB" w:rsidRPr="009A4BC4" w:rsidRDefault="007A2AAB" w:rsidP="009A4BC4">
            <w:pPr>
              <w:pStyle w:val="TableParagraph"/>
              <w:rPr>
                <w:rFonts w:ascii="Bookman Old Style" w:hAnsi="Bookman Old Style"/>
                <w:sz w:val="20"/>
                <w:szCs w:val="20"/>
              </w:rPr>
            </w:pPr>
          </w:p>
        </w:tc>
        <w:tc>
          <w:tcPr>
            <w:tcW w:w="775" w:type="dxa"/>
          </w:tcPr>
          <w:p w14:paraId="13D153F2" w14:textId="77777777" w:rsidR="007A2AAB" w:rsidRPr="009A4BC4" w:rsidRDefault="007A2AAB" w:rsidP="009A4BC4">
            <w:pPr>
              <w:pStyle w:val="TableParagraph"/>
              <w:ind w:left="107"/>
              <w:rPr>
                <w:rFonts w:ascii="Bookman Old Style" w:hAnsi="Bookman Old Style"/>
                <w:sz w:val="20"/>
                <w:szCs w:val="20"/>
              </w:rPr>
            </w:pPr>
          </w:p>
        </w:tc>
        <w:tc>
          <w:tcPr>
            <w:tcW w:w="929" w:type="dxa"/>
          </w:tcPr>
          <w:p w14:paraId="608E298D"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48DD00BB"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6171DF19" w14:textId="77777777" w:rsidR="007A2AAB" w:rsidRPr="009A4BC4" w:rsidRDefault="007A2AAB" w:rsidP="009A4BC4">
            <w:pPr>
              <w:pStyle w:val="TableParagraph"/>
              <w:rPr>
                <w:rFonts w:ascii="Bookman Old Style" w:hAnsi="Bookman Old Style"/>
                <w:sz w:val="20"/>
                <w:szCs w:val="20"/>
              </w:rPr>
            </w:pPr>
          </w:p>
        </w:tc>
      </w:tr>
      <w:tr w:rsidR="007A2AAB" w:rsidRPr="009A4BC4" w14:paraId="6A364FEB" w14:textId="77777777" w:rsidTr="008262B9">
        <w:trPr>
          <w:trHeight w:val="244"/>
        </w:trPr>
        <w:tc>
          <w:tcPr>
            <w:tcW w:w="850" w:type="dxa"/>
            <w:tcBorders>
              <w:top w:val="single" w:sz="4" w:space="0" w:color="000000"/>
              <w:left w:val="single" w:sz="4" w:space="0" w:color="000000"/>
              <w:bottom w:val="single" w:sz="4" w:space="0" w:color="000000"/>
            </w:tcBorders>
          </w:tcPr>
          <w:p w14:paraId="5CB2B451"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w:t>
            </w:r>
          </w:p>
        </w:tc>
        <w:tc>
          <w:tcPr>
            <w:tcW w:w="7371" w:type="dxa"/>
          </w:tcPr>
          <w:p w14:paraId="4EBC78A4"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5"/>
                <w:sz w:val="20"/>
                <w:szCs w:val="20"/>
              </w:rPr>
              <w:t xml:space="preserve"> </w:t>
            </w:r>
            <w:r w:rsidRPr="009A4BC4">
              <w:rPr>
                <w:rFonts w:ascii="Bookman Old Style" w:hAnsi="Bookman Old Style"/>
                <w:sz w:val="20"/>
                <w:szCs w:val="20"/>
              </w:rPr>
              <w:t>tanpa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(contoh:</w:t>
            </w:r>
            <w:r w:rsidRPr="009A4BC4">
              <w:rPr>
                <w:rFonts w:ascii="Bookman Old Style" w:hAnsi="Bookman Old Style"/>
                <w:spacing w:val="-3"/>
                <w:sz w:val="20"/>
                <w:szCs w:val="20"/>
              </w:rPr>
              <w:t xml:space="preserve"> </w:t>
            </w:r>
            <w:r w:rsidRPr="009A4BC4">
              <w:rPr>
                <w:rFonts w:ascii="Bookman Old Style" w:hAnsi="Bookman Old Style"/>
                <w:sz w:val="20"/>
                <w:szCs w:val="20"/>
              </w:rPr>
              <w:t>giro,</w:t>
            </w:r>
            <w:r w:rsidRPr="009A4BC4">
              <w:rPr>
                <w:rFonts w:ascii="Bookman Old Style" w:hAnsi="Bookman Old Style"/>
                <w:spacing w:val="-2"/>
                <w:sz w:val="20"/>
                <w:szCs w:val="20"/>
              </w:rPr>
              <w:t xml:space="preserve"> </w:t>
            </w:r>
            <w:r w:rsidRPr="009A4BC4">
              <w:rPr>
                <w:rFonts w:ascii="Bookman Old Style" w:hAnsi="Bookman Old Style"/>
                <w:sz w:val="20"/>
                <w:szCs w:val="20"/>
              </w:rPr>
              <w:t>tabungan)</w:t>
            </w:r>
          </w:p>
        </w:tc>
        <w:tc>
          <w:tcPr>
            <w:tcW w:w="837" w:type="dxa"/>
          </w:tcPr>
          <w:p w14:paraId="2F6D1707" w14:textId="77777777" w:rsidR="007A2AAB" w:rsidRPr="009A4BC4" w:rsidRDefault="007A2AAB" w:rsidP="009A4BC4">
            <w:pPr>
              <w:pStyle w:val="TableParagraph"/>
              <w:rPr>
                <w:rFonts w:ascii="Bookman Old Style" w:hAnsi="Bookman Old Style"/>
                <w:sz w:val="20"/>
                <w:szCs w:val="20"/>
              </w:rPr>
            </w:pPr>
          </w:p>
        </w:tc>
        <w:tc>
          <w:tcPr>
            <w:tcW w:w="969" w:type="dxa"/>
          </w:tcPr>
          <w:p w14:paraId="07192D28"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95%</w:t>
            </w:r>
          </w:p>
        </w:tc>
        <w:tc>
          <w:tcPr>
            <w:tcW w:w="931" w:type="dxa"/>
          </w:tcPr>
          <w:p w14:paraId="6BE60130" w14:textId="77777777" w:rsidR="007A2AAB" w:rsidRPr="009A4BC4" w:rsidRDefault="007A2AAB" w:rsidP="009A4BC4">
            <w:pPr>
              <w:pStyle w:val="TableParagraph"/>
              <w:rPr>
                <w:rFonts w:ascii="Bookman Old Style" w:hAnsi="Bookman Old Style"/>
                <w:sz w:val="20"/>
                <w:szCs w:val="20"/>
              </w:rPr>
            </w:pPr>
          </w:p>
        </w:tc>
        <w:tc>
          <w:tcPr>
            <w:tcW w:w="775" w:type="dxa"/>
          </w:tcPr>
          <w:p w14:paraId="71C88E56"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932" w:type="dxa"/>
          </w:tcPr>
          <w:p w14:paraId="36097BD8" w14:textId="77777777" w:rsidR="007A2AAB" w:rsidRPr="009A4BC4" w:rsidRDefault="007A2AAB" w:rsidP="009A4BC4">
            <w:pPr>
              <w:pStyle w:val="TableParagraph"/>
              <w:rPr>
                <w:rFonts w:ascii="Bookman Old Style" w:hAnsi="Bookman Old Style"/>
                <w:sz w:val="20"/>
                <w:szCs w:val="20"/>
              </w:rPr>
            </w:pPr>
          </w:p>
        </w:tc>
        <w:tc>
          <w:tcPr>
            <w:tcW w:w="775" w:type="dxa"/>
          </w:tcPr>
          <w:p w14:paraId="24E0D806"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n.a</w:t>
            </w:r>
          </w:p>
        </w:tc>
        <w:tc>
          <w:tcPr>
            <w:tcW w:w="929" w:type="dxa"/>
          </w:tcPr>
          <w:p w14:paraId="60CC2DC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14041B35"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1842" w:type="dxa"/>
            <w:tcBorders>
              <w:top w:val="single" w:sz="4" w:space="0" w:color="000000"/>
              <w:left w:val="single" w:sz="4" w:space="0" w:color="000000"/>
              <w:bottom w:val="single" w:sz="4" w:space="0" w:color="000000"/>
              <w:right w:val="single" w:sz="4" w:space="0" w:color="000000"/>
            </w:tcBorders>
          </w:tcPr>
          <w:p w14:paraId="7C948EC6" w14:textId="77777777" w:rsidR="007A2AAB" w:rsidRPr="009A4BC4" w:rsidRDefault="007A2AAB" w:rsidP="009A4BC4">
            <w:pPr>
              <w:pStyle w:val="TableParagraph"/>
              <w:rPr>
                <w:rFonts w:ascii="Bookman Old Style" w:hAnsi="Bookman Old Style"/>
                <w:sz w:val="20"/>
                <w:szCs w:val="20"/>
              </w:rPr>
            </w:pPr>
          </w:p>
        </w:tc>
      </w:tr>
      <w:tr w:rsidR="007A2AAB" w:rsidRPr="009A4BC4" w14:paraId="5FB1DF93" w14:textId="77777777" w:rsidTr="008262B9">
        <w:trPr>
          <w:trHeight w:val="244"/>
        </w:trPr>
        <w:tc>
          <w:tcPr>
            <w:tcW w:w="850" w:type="dxa"/>
            <w:tcBorders>
              <w:top w:val="single" w:sz="4" w:space="0" w:color="000000"/>
              <w:left w:val="single" w:sz="4" w:space="0" w:color="000000"/>
              <w:bottom w:val="single" w:sz="4" w:space="0" w:color="000000"/>
            </w:tcBorders>
          </w:tcPr>
          <w:p w14:paraId="40A4CC4D"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w:t>
            </w:r>
          </w:p>
        </w:tc>
        <w:tc>
          <w:tcPr>
            <w:tcW w:w="7371" w:type="dxa"/>
          </w:tcPr>
          <w:p w14:paraId="0D3E8F53"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6"/>
                <w:sz w:val="20"/>
                <w:szCs w:val="20"/>
              </w:rPr>
              <w:t xml:space="preserve"> </w:t>
            </w:r>
            <w:r w:rsidRPr="009A4BC4">
              <w:rPr>
                <w:rFonts w:ascii="Bookman Old Style" w:hAnsi="Bookman Old Style"/>
                <w:sz w:val="20"/>
                <w:szCs w:val="20"/>
              </w:rPr>
              <w:t>dengan</w:t>
            </w:r>
            <w:r w:rsidRPr="009A4BC4">
              <w:rPr>
                <w:rFonts w:ascii="Bookman Old Style" w:hAnsi="Bookman Old Style"/>
                <w:spacing w:val="-4"/>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(contoh:</w:t>
            </w:r>
            <w:r w:rsidRPr="009A4BC4">
              <w:rPr>
                <w:rFonts w:ascii="Bookman Old Style" w:hAnsi="Bookman Old Style"/>
                <w:spacing w:val="-4"/>
                <w:sz w:val="20"/>
                <w:szCs w:val="20"/>
              </w:rPr>
              <w:t xml:space="preserve"> </w:t>
            </w:r>
            <w:r w:rsidRPr="009A4BC4">
              <w:rPr>
                <w:rFonts w:ascii="Bookman Old Style" w:hAnsi="Bookman Old Style"/>
                <w:sz w:val="20"/>
                <w:szCs w:val="20"/>
              </w:rPr>
              <w:t>deposito,</w:t>
            </w:r>
            <w:r w:rsidRPr="009A4BC4">
              <w:rPr>
                <w:rFonts w:ascii="Bookman Old Style" w:hAnsi="Bookman Old Style"/>
                <w:spacing w:val="-3"/>
                <w:sz w:val="20"/>
                <w:szCs w:val="20"/>
              </w:rPr>
              <w:t xml:space="preserve"> </w:t>
            </w:r>
            <w:r w:rsidRPr="009A4BC4">
              <w:rPr>
                <w:rFonts w:ascii="Bookman Old Style" w:hAnsi="Bookman Old Style"/>
                <w:sz w:val="20"/>
                <w:szCs w:val="20"/>
              </w:rPr>
              <w:t>surat</w:t>
            </w:r>
            <w:r w:rsidRPr="009A4BC4">
              <w:rPr>
                <w:rFonts w:ascii="Bookman Old Style" w:hAnsi="Bookman Old Style"/>
                <w:spacing w:val="-4"/>
                <w:sz w:val="20"/>
                <w:szCs w:val="20"/>
              </w:rPr>
              <w:t xml:space="preserve"> </w:t>
            </w:r>
            <w:r w:rsidRPr="009A4BC4">
              <w:rPr>
                <w:rFonts w:ascii="Bookman Old Style" w:hAnsi="Bookman Old Style"/>
                <w:sz w:val="20"/>
                <w:szCs w:val="20"/>
              </w:rPr>
              <w:t>berharga</w:t>
            </w:r>
            <w:r w:rsidRPr="009A4BC4">
              <w:rPr>
                <w:rFonts w:ascii="Bookman Old Style" w:hAnsi="Bookman Old Style"/>
                <w:sz w:val="20"/>
                <w:szCs w:val="20"/>
                <w:lang w:val="en-US"/>
              </w:rPr>
              <w:t xml:space="preserve"> syariah</w:t>
            </w:r>
            <w:r w:rsidRPr="009A4BC4">
              <w:rPr>
                <w:rFonts w:ascii="Bookman Old Style" w:hAnsi="Bookman Old Style"/>
                <w:sz w:val="20"/>
                <w:szCs w:val="20"/>
              </w:rPr>
              <w:t>)</w:t>
            </w:r>
          </w:p>
        </w:tc>
        <w:tc>
          <w:tcPr>
            <w:tcW w:w="837" w:type="dxa"/>
          </w:tcPr>
          <w:p w14:paraId="340D2577" w14:textId="77777777" w:rsidR="007A2AAB" w:rsidRPr="009A4BC4" w:rsidRDefault="007A2AAB" w:rsidP="009A4BC4">
            <w:pPr>
              <w:pStyle w:val="TableParagraph"/>
              <w:rPr>
                <w:rFonts w:ascii="Bookman Old Style" w:hAnsi="Bookman Old Style"/>
                <w:sz w:val="20"/>
                <w:szCs w:val="20"/>
              </w:rPr>
            </w:pPr>
          </w:p>
        </w:tc>
        <w:tc>
          <w:tcPr>
            <w:tcW w:w="969" w:type="dxa"/>
          </w:tcPr>
          <w:p w14:paraId="7763168D"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n.a</w:t>
            </w:r>
          </w:p>
        </w:tc>
        <w:tc>
          <w:tcPr>
            <w:tcW w:w="931" w:type="dxa"/>
          </w:tcPr>
          <w:p w14:paraId="2F6514A3" w14:textId="77777777" w:rsidR="007A2AAB" w:rsidRPr="009A4BC4" w:rsidRDefault="007A2AAB" w:rsidP="009A4BC4">
            <w:pPr>
              <w:pStyle w:val="TableParagraph"/>
              <w:rPr>
                <w:rFonts w:ascii="Bookman Old Style" w:hAnsi="Bookman Old Style"/>
                <w:sz w:val="20"/>
                <w:szCs w:val="20"/>
              </w:rPr>
            </w:pPr>
          </w:p>
        </w:tc>
        <w:tc>
          <w:tcPr>
            <w:tcW w:w="775" w:type="dxa"/>
          </w:tcPr>
          <w:p w14:paraId="53D57CF7"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95%</w:t>
            </w:r>
          </w:p>
        </w:tc>
        <w:tc>
          <w:tcPr>
            <w:tcW w:w="932" w:type="dxa"/>
          </w:tcPr>
          <w:p w14:paraId="40280212" w14:textId="77777777" w:rsidR="007A2AAB" w:rsidRPr="009A4BC4" w:rsidRDefault="007A2AAB" w:rsidP="009A4BC4">
            <w:pPr>
              <w:pStyle w:val="TableParagraph"/>
              <w:rPr>
                <w:rFonts w:ascii="Bookman Old Style" w:hAnsi="Bookman Old Style"/>
                <w:sz w:val="20"/>
                <w:szCs w:val="20"/>
              </w:rPr>
            </w:pPr>
          </w:p>
        </w:tc>
        <w:tc>
          <w:tcPr>
            <w:tcW w:w="775" w:type="dxa"/>
          </w:tcPr>
          <w:p w14:paraId="59E44D6C"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95%</w:t>
            </w:r>
          </w:p>
        </w:tc>
        <w:tc>
          <w:tcPr>
            <w:tcW w:w="929" w:type="dxa"/>
          </w:tcPr>
          <w:p w14:paraId="267AFCC1"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573F4DC1"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296D68E" w14:textId="77777777" w:rsidR="007A2AAB" w:rsidRPr="009A4BC4" w:rsidRDefault="007A2AAB" w:rsidP="009A4BC4">
            <w:pPr>
              <w:pStyle w:val="TableParagraph"/>
              <w:rPr>
                <w:rFonts w:ascii="Bookman Old Style" w:hAnsi="Bookman Old Style"/>
                <w:sz w:val="20"/>
                <w:szCs w:val="20"/>
              </w:rPr>
            </w:pPr>
          </w:p>
        </w:tc>
      </w:tr>
      <w:tr w:rsidR="007A2AAB" w:rsidRPr="009A4BC4" w14:paraId="7A54B842" w14:textId="77777777" w:rsidTr="008262B9">
        <w:trPr>
          <w:trHeight w:val="244"/>
        </w:trPr>
        <w:tc>
          <w:tcPr>
            <w:tcW w:w="850" w:type="dxa"/>
            <w:tcBorders>
              <w:top w:val="single" w:sz="4" w:space="0" w:color="000000"/>
              <w:left w:val="single" w:sz="4" w:space="0" w:color="000000"/>
              <w:bottom w:val="single" w:sz="4" w:space="0" w:color="000000"/>
            </w:tcBorders>
          </w:tcPr>
          <w:p w14:paraId="45DAEA03"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3.2</w:t>
            </w:r>
          </w:p>
        </w:tc>
        <w:tc>
          <w:tcPr>
            <w:tcW w:w="7371" w:type="dxa"/>
          </w:tcPr>
          <w:p w14:paraId="7A50463C"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3"/>
                <w:sz w:val="20"/>
                <w:szCs w:val="20"/>
              </w:rPr>
              <w:t xml:space="preserve"> </w:t>
            </w:r>
            <w:r w:rsidRPr="009A4BC4">
              <w:rPr>
                <w:rFonts w:ascii="Bookman Old Style" w:hAnsi="Bookman Old Style"/>
                <w:sz w:val="20"/>
                <w:szCs w:val="20"/>
              </w:rPr>
              <w:t>kurang</w:t>
            </w:r>
            <w:r w:rsidRPr="009A4BC4">
              <w:rPr>
                <w:rFonts w:ascii="Bookman Old Style" w:hAnsi="Bookman Old Style"/>
                <w:spacing w:val="-4"/>
                <w:sz w:val="20"/>
                <w:szCs w:val="20"/>
              </w:rPr>
              <w:t xml:space="preserve"> </w:t>
            </w:r>
            <w:r w:rsidRPr="009A4BC4">
              <w:rPr>
                <w:rFonts w:ascii="Bookman Old Style" w:hAnsi="Bookman Old Style"/>
                <w:sz w:val="20"/>
                <w:szCs w:val="20"/>
              </w:rPr>
              <w:t>stabil</w:t>
            </w:r>
          </w:p>
        </w:tc>
        <w:tc>
          <w:tcPr>
            <w:tcW w:w="837" w:type="dxa"/>
          </w:tcPr>
          <w:p w14:paraId="74A36122" w14:textId="77777777" w:rsidR="007A2AAB" w:rsidRPr="009A4BC4" w:rsidRDefault="007A2AAB" w:rsidP="009A4BC4">
            <w:pPr>
              <w:pStyle w:val="TableParagraph"/>
              <w:rPr>
                <w:rFonts w:ascii="Bookman Old Style" w:hAnsi="Bookman Old Style"/>
                <w:sz w:val="20"/>
                <w:szCs w:val="20"/>
              </w:rPr>
            </w:pPr>
          </w:p>
        </w:tc>
        <w:tc>
          <w:tcPr>
            <w:tcW w:w="969" w:type="dxa"/>
          </w:tcPr>
          <w:p w14:paraId="3AD24093" w14:textId="77777777" w:rsidR="007A2AAB" w:rsidRPr="009A4BC4" w:rsidRDefault="007A2AAB" w:rsidP="009A4BC4">
            <w:pPr>
              <w:pStyle w:val="TableParagraph"/>
              <w:ind w:left="108"/>
              <w:rPr>
                <w:rFonts w:ascii="Bookman Old Style" w:hAnsi="Bookman Old Style"/>
                <w:sz w:val="20"/>
                <w:szCs w:val="20"/>
              </w:rPr>
            </w:pPr>
          </w:p>
        </w:tc>
        <w:tc>
          <w:tcPr>
            <w:tcW w:w="931" w:type="dxa"/>
          </w:tcPr>
          <w:p w14:paraId="2F041E8C" w14:textId="77777777" w:rsidR="007A2AAB" w:rsidRPr="009A4BC4" w:rsidRDefault="007A2AAB" w:rsidP="009A4BC4">
            <w:pPr>
              <w:pStyle w:val="TableParagraph"/>
              <w:rPr>
                <w:rFonts w:ascii="Bookman Old Style" w:hAnsi="Bookman Old Style"/>
                <w:sz w:val="20"/>
                <w:szCs w:val="20"/>
              </w:rPr>
            </w:pPr>
          </w:p>
        </w:tc>
        <w:tc>
          <w:tcPr>
            <w:tcW w:w="775" w:type="dxa"/>
          </w:tcPr>
          <w:p w14:paraId="4C149DDA" w14:textId="77777777" w:rsidR="007A2AAB" w:rsidRPr="009A4BC4" w:rsidRDefault="007A2AAB" w:rsidP="009A4BC4">
            <w:pPr>
              <w:pStyle w:val="TableParagraph"/>
              <w:ind w:left="109"/>
              <w:rPr>
                <w:rFonts w:ascii="Bookman Old Style" w:hAnsi="Bookman Old Style"/>
                <w:sz w:val="20"/>
                <w:szCs w:val="20"/>
              </w:rPr>
            </w:pPr>
          </w:p>
        </w:tc>
        <w:tc>
          <w:tcPr>
            <w:tcW w:w="932" w:type="dxa"/>
          </w:tcPr>
          <w:p w14:paraId="4DF8887D" w14:textId="77777777" w:rsidR="007A2AAB" w:rsidRPr="009A4BC4" w:rsidRDefault="007A2AAB" w:rsidP="009A4BC4">
            <w:pPr>
              <w:pStyle w:val="TableParagraph"/>
              <w:rPr>
                <w:rFonts w:ascii="Bookman Old Style" w:hAnsi="Bookman Old Style"/>
                <w:sz w:val="20"/>
                <w:szCs w:val="20"/>
              </w:rPr>
            </w:pPr>
          </w:p>
        </w:tc>
        <w:tc>
          <w:tcPr>
            <w:tcW w:w="775" w:type="dxa"/>
          </w:tcPr>
          <w:p w14:paraId="52990A83" w14:textId="77777777" w:rsidR="007A2AAB" w:rsidRPr="009A4BC4" w:rsidRDefault="007A2AAB" w:rsidP="009A4BC4">
            <w:pPr>
              <w:pStyle w:val="TableParagraph"/>
              <w:ind w:left="107"/>
              <w:rPr>
                <w:rFonts w:ascii="Bookman Old Style" w:hAnsi="Bookman Old Style"/>
                <w:sz w:val="20"/>
                <w:szCs w:val="20"/>
              </w:rPr>
            </w:pPr>
          </w:p>
        </w:tc>
        <w:tc>
          <w:tcPr>
            <w:tcW w:w="929" w:type="dxa"/>
          </w:tcPr>
          <w:p w14:paraId="54351B08"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145ADAC6"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C87A1BD" w14:textId="77777777" w:rsidR="007A2AAB" w:rsidRPr="009A4BC4" w:rsidRDefault="007A2AAB" w:rsidP="009A4BC4">
            <w:pPr>
              <w:pStyle w:val="TableParagraph"/>
              <w:rPr>
                <w:rFonts w:ascii="Bookman Old Style" w:hAnsi="Bookman Old Style"/>
                <w:sz w:val="20"/>
                <w:szCs w:val="20"/>
              </w:rPr>
            </w:pPr>
          </w:p>
        </w:tc>
      </w:tr>
      <w:tr w:rsidR="007A2AAB" w:rsidRPr="009A4BC4" w14:paraId="0F14E715" w14:textId="77777777" w:rsidTr="008262B9">
        <w:trPr>
          <w:trHeight w:val="244"/>
        </w:trPr>
        <w:tc>
          <w:tcPr>
            <w:tcW w:w="850" w:type="dxa"/>
            <w:tcBorders>
              <w:top w:val="single" w:sz="4" w:space="0" w:color="000000"/>
              <w:left w:val="single" w:sz="4" w:space="0" w:color="000000"/>
              <w:bottom w:val="single" w:sz="4" w:space="0" w:color="000000"/>
            </w:tcBorders>
          </w:tcPr>
          <w:p w14:paraId="1F2DABB2"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3.2.1</w:t>
            </w:r>
          </w:p>
        </w:tc>
        <w:tc>
          <w:tcPr>
            <w:tcW w:w="7371" w:type="dxa"/>
          </w:tcPr>
          <w:p w14:paraId="36209EE9"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5"/>
                <w:sz w:val="20"/>
                <w:szCs w:val="20"/>
              </w:rPr>
              <w:t xml:space="preserve"> </w:t>
            </w:r>
            <w:r w:rsidRPr="009A4BC4">
              <w:rPr>
                <w:rFonts w:ascii="Bookman Old Style" w:hAnsi="Bookman Old Style"/>
                <w:sz w:val="20"/>
                <w:szCs w:val="20"/>
              </w:rPr>
              <w:t>tanpa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(contoh:</w:t>
            </w:r>
            <w:r w:rsidRPr="009A4BC4">
              <w:rPr>
                <w:rFonts w:ascii="Bookman Old Style" w:hAnsi="Bookman Old Style"/>
                <w:spacing w:val="-4"/>
                <w:sz w:val="20"/>
                <w:szCs w:val="20"/>
              </w:rPr>
              <w:t xml:space="preserve"> </w:t>
            </w:r>
            <w:r w:rsidRPr="009A4BC4">
              <w:rPr>
                <w:rFonts w:ascii="Bookman Old Style" w:hAnsi="Bookman Old Style"/>
                <w:sz w:val="20"/>
                <w:szCs w:val="20"/>
              </w:rPr>
              <w:t>giro,</w:t>
            </w:r>
            <w:r w:rsidRPr="009A4BC4">
              <w:rPr>
                <w:rFonts w:ascii="Bookman Old Style" w:hAnsi="Bookman Old Style"/>
                <w:spacing w:val="-3"/>
                <w:sz w:val="20"/>
                <w:szCs w:val="20"/>
              </w:rPr>
              <w:t xml:space="preserve"> </w:t>
            </w:r>
            <w:r w:rsidRPr="009A4BC4">
              <w:rPr>
                <w:rFonts w:ascii="Bookman Old Style" w:hAnsi="Bookman Old Style"/>
                <w:sz w:val="20"/>
                <w:szCs w:val="20"/>
              </w:rPr>
              <w:t>tabungan)</w:t>
            </w:r>
          </w:p>
        </w:tc>
        <w:tc>
          <w:tcPr>
            <w:tcW w:w="837" w:type="dxa"/>
          </w:tcPr>
          <w:p w14:paraId="1C7D22EB" w14:textId="77777777" w:rsidR="007A2AAB" w:rsidRPr="009A4BC4" w:rsidRDefault="007A2AAB" w:rsidP="009A4BC4">
            <w:pPr>
              <w:pStyle w:val="TableParagraph"/>
              <w:rPr>
                <w:rFonts w:ascii="Bookman Old Style" w:hAnsi="Bookman Old Style"/>
                <w:sz w:val="20"/>
                <w:szCs w:val="20"/>
              </w:rPr>
            </w:pPr>
          </w:p>
        </w:tc>
        <w:tc>
          <w:tcPr>
            <w:tcW w:w="969" w:type="dxa"/>
          </w:tcPr>
          <w:p w14:paraId="07B155C9"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90%</w:t>
            </w:r>
          </w:p>
        </w:tc>
        <w:tc>
          <w:tcPr>
            <w:tcW w:w="931" w:type="dxa"/>
          </w:tcPr>
          <w:p w14:paraId="3934AD47" w14:textId="77777777" w:rsidR="007A2AAB" w:rsidRPr="009A4BC4" w:rsidRDefault="007A2AAB" w:rsidP="009A4BC4">
            <w:pPr>
              <w:pStyle w:val="TableParagraph"/>
              <w:rPr>
                <w:rFonts w:ascii="Bookman Old Style" w:hAnsi="Bookman Old Style"/>
                <w:sz w:val="20"/>
                <w:szCs w:val="20"/>
              </w:rPr>
            </w:pPr>
          </w:p>
        </w:tc>
        <w:tc>
          <w:tcPr>
            <w:tcW w:w="775" w:type="dxa"/>
          </w:tcPr>
          <w:p w14:paraId="34E84B8B"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932" w:type="dxa"/>
          </w:tcPr>
          <w:p w14:paraId="4EA6E9AA" w14:textId="77777777" w:rsidR="007A2AAB" w:rsidRPr="009A4BC4" w:rsidRDefault="007A2AAB" w:rsidP="009A4BC4">
            <w:pPr>
              <w:pStyle w:val="TableParagraph"/>
              <w:rPr>
                <w:rFonts w:ascii="Bookman Old Style" w:hAnsi="Bookman Old Style"/>
                <w:sz w:val="20"/>
                <w:szCs w:val="20"/>
              </w:rPr>
            </w:pPr>
          </w:p>
        </w:tc>
        <w:tc>
          <w:tcPr>
            <w:tcW w:w="775" w:type="dxa"/>
          </w:tcPr>
          <w:p w14:paraId="745EF440"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n.a</w:t>
            </w:r>
          </w:p>
        </w:tc>
        <w:tc>
          <w:tcPr>
            <w:tcW w:w="929" w:type="dxa"/>
          </w:tcPr>
          <w:p w14:paraId="79CD1EC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4D21B458"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n.a</w:t>
            </w:r>
          </w:p>
        </w:tc>
        <w:tc>
          <w:tcPr>
            <w:tcW w:w="1842" w:type="dxa"/>
            <w:tcBorders>
              <w:top w:val="single" w:sz="4" w:space="0" w:color="000000"/>
              <w:left w:val="single" w:sz="4" w:space="0" w:color="000000"/>
              <w:bottom w:val="single" w:sz="4" w:space="0" w:color="000000"/>
              <w:right w:val="single" w:sz="4" w:space="0" w:color="000000"/>
            </w:tcBorders>
          </w:tcPr>
          <w:p w14:paraId="211072E8" w14:textId="77777777" w:rsidR="007A2AAB" w:rsidRPr="009A4BC4" w:rsidRDefault="007A2AAB" w:rsidP="009A4BC4">
            <w:pPr>
              <w:pStyle w:val="TableParagraph"/>
              <w:rPr>
                <w:rFonts w:ascii="Bookman Old Style" w:hAnsi="Bookman Old Style"/>
                <w:sz w:val="20"/>
                <w:szCs w:val="20"/>
              </w:rPr>
            </w:pPr>
          </w:p>
        </w:tc>
      </w:tr>
      <w:tr w:rsidR="007A2AAB" w:rsidRPr="009A4BC4" w14:paraId="5EC389EB" w14:textId="77777777" w:rsidTr="008262B9">
        <w:trPr>
          <w:trHeight w:val="244"/>
        </w:trPr>
        <w:tc>
          <w:tcPr>
            <w:tcW w:w="850" w:type="dxa"/>
            <w:tcBorders>
              <w:top w:val="single" w:sz="4" w:space="0" w:color="000000"/>
              <w:left w:val="single" w:sz="4" w:space="0" w:color="000000"/>
              <w:bottom w:val="single" w:sz="4" w:space="0" w:color="000000"/>
            </w:tcBorders>
          </w:tcPr>
          <w:p w14:paraId="2FF1B7F8"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3.2.2</w:t>
            </w:r>
          </w:p>
        </w:tc>
        <w:tc>
          <w:tcPr>
            <w:tcW w:w="7371" w:type="dxa"/>
          </w:tcPr>
          <w:p w14:paraId="672B666E"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6"/>
                <w:sz w:val="20"/>
                <w:szCs w:val="20"/>
              </w:rPr>
              <w:t xml:space="preserve"> </w:t>
            </w:r>
            <w:r w:rsidRPr="009A4BC4">
              <w:rPr>
                <w:rFonts w:ascii="Bookman Old Style" w:hAnsi="Bookman Old Style"/>
                <w:sz w:val="20"/>
                <w:szCs w:val="20"/>
              </w:rPr>
              <w:t>dengan</w:t>
            </w:r>
            <w:r w:rsidRPr="009A4BC4">
              <w:rPr>
                <w:rFonts w:ascii="Bookman Old Style" w:hAnsi="Bookman Old Style"/>
                <w:spacing w:val="-4"/>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(contoh:</w:t>
            </w:r>
            <w:r w:rsidRPr="009A4BC4">
              <w:rPr>
                <w:rFonts w:ascii="Bookman Old Style" w:hAnsi="Bookman Old Style"/>
                <w:spacing w:val="-4"/>
                <w:sz w:val="20"/>
                <w:szCs w:val="20"/>
              </w:rPr>
              <w:t xml:space="preserve"> </w:t>
            </w:r>
            <w:r w:rsidRPr="009A4BC4">
              <w:rPr>
                <w:rFonts w:ascii="Bookman Old Style" w:hAnsi="Bookman Old Style"/>
                <w:sz w:val="20"/>
                <w:szCs w:val="20"/>
              </w:rPr>
              <w:t>deposito,</w:t>
            </w:r>
            <w:r w:rsidRPr="009A4BC4">
              <w:rPr>
                <w:rFonts w:ascii="Bookman Old Style" w:hAnsi="Bookman Old Style"/>
                <w:spacing w:val="-3"/>
                <w:sz w:val="20"/>
                <w:szCs w:val="20"/>
              </w:rPr>
              <w:t xml:space="preserve"> </w:t>
            </w:r>
            <w:r w:rsidRPr="009A4BC4">
              <w:rPr>
                <w:rFonts w:ascii="Bookman Old Style" w:hAnsi="Bookman Old Style"/>
                <w:sz w:val="20"/>
                <w:szCs w:val="20"/>
              </w:rPr>
              <w:t>surat</w:t>
            </w:r>
            <w:r w:rsidRPr="009A4BC4">
              <w:rPr>
                <w:rFonts w:ascii="Bookman Old Style" w:hAnsi="Bookman Old Style"/>
                <w:spacing w:val="-4"/>
                <w:sz w:val="20"/>
                <w:szCs w:val="20"/>
              </w:rPr>
              <w:t xml:space="preserve"> </w:t>
            </w:r>
            <w:r w:rsidRPr="009A4BC4">
              <w:rPr>
                <w:rFonts w:ascii="Bookman Old Style" w:hAnsi="Bookman Old Style"/>
                <w:sz w:val="20"/>
                <w:szCs w:val="20"/>
              </w:rPr>
              <w:t>berharga</w:t>
            </w:r>
            <w:r w:rsidRPr="009A4BC4">
              <w:rPr>
                <w:rFonts w:ascii="Bookman Old Style" w:hAnsi="Bookman Old Style"/>
                <w:sz w:val="20"/>
                <w:szCs w:val="20"/>
                <w:lang w:val="en-US"/>
              </w:rPr>
              <w:t xml:space="preserve"> syariah</w:t>
            </w:r>
            <w:r w:rsidRPr="009A4BC4">
              <w:rPr>
                <w:rFonts w:ascii="Bookman Old Style" w:hAnsi="Bookman Old Style"/>
                <w:sz w:val="20"/>
                <w:szCs w:val="20"/>
              </w:rPr>
              <w:t>)</w:t>
            </w:r>
          </w:p>
        </w:tc>
        <w:tc>
          <w:tcPr>
            <w:tcW w:w="837" w:type="dxa"/>
          </w:tcPr>
          <w:p w14:paraId="070572CA" w14:textId="77777777" w:rsidR="007A2AAB" w:rsidRPr="009A4BC4" w:rsidRDefault="007A2AAB" w:rsidP="009A4BC4">
            <w:pPr>
              <w:pStyle w:val="TableParagraph"/>
              <w:rPr>
                <w:rFonts w:ascii="Bookman Old Style" w:hAnsi="Bookman Old Style"/>
                <w:sz w:val="20"/>
                <w:szCs w:val="20"/>
              </w:rPr>
            </w:pPr>
          </w:p>
        </w:tc>
        <w:tc>
          <w:tcPr>
            <w:tcW w:w="969" w:type="dxa"/>
          </w:tcPr>
          <w:p w14:paraId="77116747"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n.a</w:t>
            </w:r>
          </w:p>
        </w:tc>
        <w:tc>
          <w:tcPr>
            <w:tcW w:w="931" w:type="dxa"/>
          </w:tcPr>
          <w:p w14:paraId="71B3FBF6" w14:textId="77777777" w:rsidR="007A2AAB" w:rsidRPr="009A4BC4" w:rsidRDefault="007A2AAB" w:rsidP="009A4BC4">
            <w:pPr>
              <w:pStyle w:val="TableParagraph"/>
              <w:rPr>
                <w:rFonts w:ascii="Bookman Old Style" w:hAnsi="Bookman Old Style"/>
                <w:sz w:val="20"/>
                <w:szCs w:val="20"/>
              </w:rPr>
            </w:pPr>
          </w:p>
        </w:tc>
        <w:tc>
          <w:tcPr>
            <w:tcW w:w="775" w:type="dxa"/>
          </w:tcPr>
          <w:p w14:paraId="20D5FF3C"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90%</w:t>
            </w:r>
          </w:p>
        </w:tc>
        <w:tc>
          <w:tcPr>
            <w:tcW w:w="932" w:type="dxa"/>
          </w:tcPr>
          <w:p w14:paraId="4CAD65CE" w14:textId="77777777" w:rsidR="007A2AAB" w:rsidRPr="009A4BC4" w:rsidRDefault="007A2AAB" w:rsidP="009A4BC4">
            <w:pPr>
              <w:pStyle w:val="TableParagraph"/>
              <w:rPr>
                <w:rFonts w:ascii="Bookman Old Style" w:hAnsi="Bookman Old Style"/>
                <w:sz w:val="20"/>
                <w:szCs w:val="20"/>
              </w:rPr>
            </w:pPr>
          </w:p>
        </w:tc>
        <w:tc>
          <w:tcPr>
            <w:tcW w:w="775" w:type="dxa"/>
          </w:tcPr>
          <w:p w14:paraId="332774D7"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90%</w:t>
            </w:r>
          </w:p>
        </w:tc>
        <w:tc>
          <w:tcPr>
            <w:tcW w:w="929" w:type="dxa"/>
          </w:tcPr>
          <w:p w14:paraId="0BBA3041"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00D9E06B"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41832231" w14:textId="77777777" w:rsidR="007A2AAB" w:rsidRPr="009A4BC4" w:rsidRDefault="007A2AAB" w:rsidP="009A4BC4">
            <w:pPr>
              <w:pStyle w:val="TableParagraph"/>
              <w:rPr>
                <w:rFonts w:ascii="Bookman Old Style" w:hAnsi="Bookman Old Style"/>
                <w:sz w:val="20"/>
                <w:szCs w:val="20"/>
              </w:rPr>
            </w:pPr>
          </w:p>
        </w:tc>
      </w:tr>
      <w:tr w:rsidR="007A2AAB" w:rsidRPr="009A4BC4" w14:paraId="2F80BD3F" w14:textId="77777777" w:rsidTr="008262B9">
        <w:trPr>
          <w:trHeight w:val="244"/>
        </w:trPr>
        <w:tc>
          <w:tcPr>
            <w:tcW w:w="850" w:type="dxa"/>
            <w:tcBorders>
              <w:top w:val="single" w:sz="4" w:space="0" w:color="000000"/>
              <w:left w:val="single" w:sz="4" w:space="0" w:color="000000"/>
              <w:bottom w:val="single" w:sz="4" w:space="0" w:color="000000"/>
            </w:tcBorders>
          </w:tcPr>
          <w:p w14:paraId="0E8ED2B1" w14:textId="77777777" w:rsidR="007A2AAB" w:rsidRPr="009A4BC4" w:rsidRDefault="007A2AAB" w:rsidP="009A4BC4">
            <w:pPr>
              <w:pStyle w:val="TableParagraph"/>
              <w:ind w:left="107"/>
              <w:rPr>
                <w:rFonts w:ascii="Bookman Old Style" w:hAnsi="Bookman Old Style"/>
                <w:sz w:val="20"/>
                <w:szCs w:val="20"/>
              </w:rPr>
            </w:pPr>
          </w:p>
        </w:tc>
        <w:tc>
          <w:tcPr>
            <w:tcW w:w="7371" w:type="dxa"/>
          </w:tcPr>
          <w:p w14:paraId="18358D5F"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 kurang stabil dari nasabah DCR tanpa perataan bagi hasil</w:t>
            </w:r>
          </w:p>
        </w:tc>
        <w:tc>
          <w:tcPr>
            <w:tcW w:w="837" w:type="dxa"/>
          </w:tcPr>
          <w:p w14:paraId="597D2A69" w14:textId="77777777" w:rsidR="007A2AAB" w:rsidRPr="009A4BC4" w:rsidRDefault="007A2AAB" w:rsidP="009A4BC4">
            <w:pPr>
              <w:pStyle w:val="TableParagraph"/>
              <w:rPr>
                <w:rFonts w:ascii="Bookman Old Style" w:hAnsi="Bookman Old Style"/>
                <w:sz w:val="20"/>
                <w:szCs w:val="20"/>
              </w:rPr>
            </w:pPr>
          </w:p>
        </w:tc>
        <w:tc>
          <w:tcPr>
            <w:tcW w:w="969" w:type="dxa"/>
          </w:tcPr>
          <w:p w14:paraId="31D0E120"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n.a</w:t>
            </w:r>
          </w:p>
        </w:tc>
        <w:tc>
          <w:tcPr>
            <w:tcW w:w="931" w:type="dxa"/>
          </w:tcPr>
          <w:p w14:paraId="35596071" w14:textId="77777777" w:rsidR="007A2AAB" w:rsidRPr="009A4BC4" w:rsidRDefault="007A2AAB" w:rsidP="009A4BC4">
            <w:pPr>
              <w:pStyle w:val="TableParagraph"/>
              <w:rPr>
                <w:rFonts w:ascii="Bookman Old Style" w:hAnsi="Bookman Old Style"/>
                <w:sz w:val="20"/>
                <w:szCs w:val="20"/>
              </w:rPr>
            </w:pPr>
          </w:p>
        </w:tc>
        <w:tc>
          <w:tcPr>
            <w:tcW w:w="775" w:type="dxa"/>
          </w:tcPr>
          <w:p w14:paraId="40D5A465"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90%</w:t>
            </w:r>
          </w:p>
        </w:tc>
        <w:tc>
          <w:tcPr>
            <w:tcW w:w="932" w:type="dxa"/>
          </w:tcPr>
          <w:p w14:paraId="5F108C42" w14:textId="77777777" w:rsidR="007A2AAB" w:rsidRPr="009A4BC4" w:rsidRDefault="007A2AAB" w:rsidP="009A4BC4">
            <w:pPr>
              <w:pStyle w:val="TableParagraph"/>
              <w:rPr>
                <w:rFonts w:ascii="Bookman Old Style" w:hAnsi="Bookman Old Style"/>
                <w:sz w:val="20"/>
                <w:szCs w:val="20"/>
              </w:rPr>
            </w:pPr>
          </w:p>
        </w:tc>
        <w:tc>
          <w:tcPr>
            <w:tcW w:w="775" w:type="dxa"/>
          </w:tcPr>
          <w:p w14:paraId="18E1AA74"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90%</w:t>
            </w:r>
          </w:p>
        </w:tc>
        <w:tc>
          <w:tcPr>
            <w:tcW w:w="929" w:type="dxa"/>
          </w:tcPr>
          <w:p w14:paraId="2454DBE4"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68472B2"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023111B3" w14:textId="77777777" w:rsidR="007A2AAB" w:rsidRPr="009A4BC4" w:rsidRDefault="007A2AAB" w:rsidP="009A4BC4">
            <w:pPr>
              <w:pStyle w:val="TableParagraph"/>
              <w:rPr>
                <w:rFonts w:ascii="Bookman Old Style" w:hAnsi="Bookman Old Style"/>
                <w:sz w:val="20"/>
                <w:szCs w:val="20"/>
              </w:rPr>
            </w:pPr>
          </w:p>
        </w:tc>
      </w:tr>
      <w:tr w:rsidR="007A2AAB" w:rsidRPr="009A4BC4" w14:paraId="38511068" w14:textId="77777777" w:rsidTr="008262B9">
        <w:trPr>
          <w:trHeight w:val="244"/>
        </w:trPr>
        <w:tc>
          <w:tcPr>
            <w:tcW w:w="850" w:type="dxa"/>
            <w:tcBorders>
              <w:top w:val="single" w:sz="4" w:space="0" w:color="000000"/>
              <w:left w:val="single" w:sz="4" w:space="0" w:color="000000"/>
              <w:bottom w:val="single" w:sz="4" w:space="0" w:color="000000"/>
            </w:tcBorders>
            <w:shd w:val="clear" w:color="auto" w:fill="AEAAAA" w:themeFill="background2" w:themeFillShade="BF"/>
          </w:tcPr>
          <w:p w14:paraId="78E8DCB9"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4</w:t>
            </w:r>
          </w:p>
        </w:tc>
        <w:tc>
          <w:tcPr>
            <w:tcW w:w="7371" w:type="dxa"/>
            <w:shd w:val="clear" w:color="auto" w:fill="AEAAAA" w:themeFill="background2" w:themeFillShade="BF"/>
          </w:tcPr>
          <w:p w14:paraId="186896F3"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Pendanaan</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berasal</w:t>
            </w:r>
            <w:r w:rsidRPr="009A4BC4">
              <w:rPr>
                <w:rFonts w:ascii="Bookman Old Style" w:hAnsi="Bookman Old Style"/>
                <w:spacing w:val="-1"/>
                <w:sz w:val="20"/>
                <w:szCs w:val="20"/>
              </w:rPr>
              <w:t xml:space="preserve"> </w:t>
            </w:r>
            <w:r w:rsidRPr="009A4BC4">
              <w:rPr>
                <w:rFonts w:ascii="Bookman Old Style" w:hAnsi="Bookman Old Style"/>
                <w:sz w:val="20"/>
                <w:szCs w:val="20"/>
              </w:rPr>
              <w:t>dari</w:t>
            </w:r>
            <w:r w:rsidRPr="009A4BC4">
              <w:rPr>
                <w:rFonts w:ascii="Bookman Old Style" w:hAnsi="Bookman Old Style"/>
                <w:spacing w:val="-4"/>
                <w:sz w:val="20"/>
                <w:szCs w:val="20"/>
              </w:rPr>
              <w:t xml:space="preserve"> </w:t>
            </w:r>
            <w:r w:rsidRPr="009A4BC4">
              <w:rPr>
                <w:rFonts w:ascii="Bookman Old Style" w:hAnsi="Bookman Old Style"/>
                <w:sz w:val="20"/>
                <w:szCs w:val="20"/>
              </w:rPr>
              <w:t>nasabah</w:t>
            </w:r>
            <w:r w:rsidRPr="009A4BC4">
              <w:rPr>
                <w:rFonts w:ascii="Bookman Old Style" w:hAnsi="Bookman Old Style"/>
                <w:spacing w:val="-1"/>
                <w:sz w:val="20"/>
                <w:szCs w:val="20"/>
              </w:rPr>
              <w:t xml:space="preserve"> </w:t>
            </w:r>
            <w:r w:rsidRPr="009A4BC4">
              <w:rPr>
                <w:rFonts w:ascii="Bookman Old Style" w:hAnsi="Bookman Old Style"/>
                <w:sz w:val="20"/>
                <w:szCs w:val="20"/>
              </w:rPr>
              <w:t>korporasi:</w:t>
            </w:r>
          </w:p>
        </w:tc>
        <w:tc>
          <w:tcPr>
            <w:tcW w:w="837" w:type="dxa"/>
            <w:shd w:val="clear" w:color="auto" w:fill="AEAAAA" w:themeFill="background2" w:themeFillShade="BF"/>
          </w:tcPr>
          <w:p w14:paraId="7F73B7EC"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AEAAAA" w:themeFill="background2" w:themeFillShade="BF"/>
          </w:tcPr>
          <w:p w14:paraId="1563DC29" w14:textId="77777777" w:rsidR="007A2AAB" w:rsidRPr="009A4BC4" w:rsidRDefault="007A2AAB" w:rsidP="009A4BC4">
            <w:pPr>
              <w:pStyle w:val="TableParagraph"/>
              <w:ind w:left="108"/>
              <w:rPr>
                <w:rFonts w:ascii="Bookman Old Style" w:hAnsi="Bookman Old Style"/>
                <w:sz w:val="20"/>
                <w:szCs w:val="20"/>
              </w:rPr>
            </w:pPr>
          </w:p>
        </w:tc>
        <w:tc>
          <w:tcPr>
            <w:tcW w:w="931" w:type="dxa"/>
            <w:shd w:val="clear" w:color="auto" w:fill="AEAAAA" w:themeFill="background2" w:themeFillShade="BF"/>
          </w:tcPr>
          <w:p w14:paraId="3301DB73"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AEAAAA" w:themeFill="background2" w:themeFillShade="BF"/>
          </w:tcPr>
          <w:p w14:paraId="694C9A59" w14:textId="77777777" w:rsidR="007A2AAB" w:rsidRPr="009A4BC4" w:rsidRDefault="007A2AAB" w:rsidP="009A4BC4">
            <w:pPr>
              <w:pStyle w:val="TableParagraph"/>
              <w:ind w:left="109"/>
              <w:rPr>
                <w:rFonts w:ascii="Bookman Old Style" w:hAnsi="Bookman Old Style"/>
                <w:sz w:val="20"/>
                <w:szCs w:val="20"/>
              </w:rPr>
            </w:pPr>
          </w:p>
        </w:tc>
        <w:tc>
          <w:tcPr>
            <w:tcW w:w="932" w:type="dxa"/>
            <w:shd w:val="clear" w:color="auto" w:fill="AEAAAA" w:themeFill="background2" w:themeFillShade="BF"/>
          </w:tcPr>
          <w:p w14:paraId="3ACA44CA"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AEAAAA" w:themeFill="background2" w:themeFillShade="BF"/>
          </w:tcPr>
          <w:p w14:paraId="7CBDC7E7" w14:textId="77777777" w:rsidR="007A2AAB" w:rsidRPr="009A4BC4" w:rsidRDefault="007A2AAB" w:rsidP="009A4BC4">
            <w:pPr>
              <w:pStyle w:val="TableParagraph"/>
              <w:ind w:left="107"/>
              <w:rPr>
                <w:rFonts w:ascii="Bookman Old Style" w:hAnsi="Bookman Old Style"/>
                <w:sz w:val="20"/>
                <w:szCs w:val="20"/>
              </w:rPr>
            </w:pPr>
          </w:p>
        </w:tc>
        <w:tc>
          <w:tcPr>
            <w:tcW w:w="929" w:type="dxa"/>
            <w:shd w:val="clear" w:color="auto" w:fill="AEAAAA" w:themeFill="background2" w:themeFillShade="BF"/>
          </w:tcPr>
          <w:p w14:paraId="17AAF6E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AEAAAA" w:themeFill="background2" w:themeFillShade="BF"/>
          </w:tcPr>
          <w:p w14:paraId="14CF0437"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4E174F7" w14:textId="77777777" w:rsidR="007A2AAB" w:rsidRPr="009A4BC4" w:rsidRDefault="007A2AAB" w:rsidP="009A4BC4">
            <w:pPr>
              <w:pStyle w:val="TableParagraph"/>
              <w:rPr>
                <w:rFonts w:ascii="Bookman Old Style" w:hAnsi="Bookman Old Style"/>
                <w:sz w:val="20"/>
                <w:szCs w:val="20"/>
              </w:rPr>
            </w:pPr>
          </w:p>
        </w:tc>
      </w:tr>
      <w:tr w:rsidR="007A2AAB" w:rsidRPr="009A4BC4" w14:paraId="6C70CB2F" w14:textId="77777777" w:rsidTr="008262B9">
        <w:trPr>
          <w:trHeight w:val="244"/>
        </w:trPr>
        <w:tc>
          <w:tcPr>
            <w:tcW w:w="850" w:type="dxa"/>
            <w:tcBorders>
              <w:top w:val="single" w:sz="4" w:space="0" w:color="000000"/>
              <w:left w:val="single" w:sz="4" w:space="0" w:color="000000"/>
              <w:bottom w:val="single" w:sz="4" w:space="0" w:color="000000"/>
            </w:tcBorders>
          </w:tcPr>
          <w:p w14:paraId="18EF361B"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4.1</w:t>
            </w:r>
          </w:p>
        </w:tc>
        <w:tc>
          <w:tcPr>
            <w:tcW w:w="7371" w:type="dxa"/>
          </w:tcPr>
          <w:p w14:paraId="2BFB78DC"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Rekening</w:t>
            </w:r>
            <w:r w:rsidRPr="009A4BC4">
              <w:rPr>
                <w:rFonts w:ascii="Bookman Old Style" w:hAnsi="Bookman Old Style"/>
                <w:spacing w:val="-5"/>
                <w:sz w:val="20"/>
                <w:szCs w:val="20"/>
              </w:rPr>
              <w:t xml:space="preserve"> </w:t>
            </w:r>
            <w:r w:rsidRPr="009A4BC4">
              <w:rPr>
                <w:rFonts w:ascii="Bookman Old Style" w:hAnsi="Bookman Old Style"/>
                <w:sz w:val="20"/>
                <w:szCs w:val="20"/>
              </w:rPr>
              <w:t>operasional</w:t>
            </w:r>
          </w:p>
        </w:tc>
        <w:tc>
          <w:tcPr>
            <w:tcW w:w="837" w:type="dxa"/>
          </w:tcPr>
          <w:p w14:paraId="69585B99" w14:textId="77777777" w:rsidR="007A2AAB" w:rsidRPr="009A4BC4" w:rsidRDefault="007A2AAB" w:rsidP="009A4BC4">
            <w:pPr>
              <w:pStyle w:val="TableParagraph"/>
              <w:rPr>
                <w:rFonts w:ascii="Bookman Old Style" w:hAnsi="Bookman Old Style"/>
                <w:sz w:val="20"/>
                <w:szCs w:val="20"/>
              </w:rPr>
            </w:pPr>
          </w:p>
        </w:tc>
        <w:tc>
          <w:tcPr>
            <w:tcW w:w="969" w:type="dxa"/>
          </w:tcPr>
          <w:p w14:paraId="7DBEE7F3"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50%</w:t>
            </w:r>
          </w:p>
        </w:tc>
        <w:tc>
          <w:tcPr>
            <w:tcW w:w="931" w:type="dxa"/>
          </w:tcPr>
          <w:p w14:paraId="1FD560A5" w14:textId="77777777" w:rsidR="007A2AAB" w:rsidRPr="009A4BC4" w:rsidRDefault="007A2AAB" w:rsidP="009A4BC4">
            <w:pPr>
              <w:pStyle w:val="TableParagraph"/>
              <w:rPr>
                <w:rFonts w:ascii="Bookman Old Style" w:hAnsi="Bookman Old Style"/>
                <w:sz w:val="20"/>
                <w:szCs w:val="20"/>
              </w:rPr>
            </w:pPr>
          </w:p>
        </w:tc>
        <w:tc>
          <w:tcPr>
            <w:tcW w:w="775" w:type="dxa"/>
          </w:tcPr>
          <w:p w14:paraId="57E96E16"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50%</w:t>
            </w:r>
          </w:p>
        </w:tc>
        <w:tc>
          <w:tcPr>
            <w:tcW w:w="932" w:type="dxa"/>
          </w:tcPr>
          <w:p w14:paraId="31311B28" w14:textId="77777777" w:rsidR="007A2AAB" w:rsidRPr="009A4BC4" w:rsidRDefault="007A2AAB" w:rsidP="009A4BC4">
            <w:pPr>
              <w:pStyle w:val="TableParagraph"/>
              <w:rPr>
                <w:rFonts w:ascii="Bookman Old Style" w:hAnsi="Bookman Old Style"/>
                <w:sz w:val="20"/>
                <w:szCs w:val="20"/>
              </w:rPr>
            </w:pPr>
          </w:p>
        </w:tc>
        <w:tc>
          <w:tcPr>
            <w:tcW w:w="775" w:type="dxa"/>
          </w:tcPr>
          <w:p w14:paraId="43EBAD37"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4360EF1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78C15CEF"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2D172846" w14:textId="77777777" w:rsidR="007A2AAB" w:rsidRPr="009A4BC4" w:rsidRDefault="007A2AAB" w:rsidP="009A4BC4">
            <w:pPr>
              <w:pStyle w:val="TableParagraph"/>
              <w:rPr>
                <w:rFonts w:ascii="Bookman Old Style" w:hAnsi="Bookman Old Style"/>
                <w:sz w:val="20"/>
                <w:szCs w:val="20"/>
              </w:rPr>
            </w:pPr>
          </w:p>
        </w:tc>
      </w:tr>
      <w:tr w:rsidR="007A2AAB" w:rsidRPr="009A4BC4" w14:paraId="28A4CF15" w14:textId="77777777" w:rsidTr="008262B9">
        <w:trPr>
          <w:trHeight w:val="244"/>
        </w:trPr>
        <w:tc>
          <w:tcPr>
            <w:tcW w:w="850" w:type="dxa"/>
            <w:tcBorders>
              <w:top w:val="single" w:sz="4" w:space="0" w:color="000000"/>
              <w:left w:val="single" w:sz="4" w:space="0" w:color="000000"/>
              <w:bottom w:val="single" w:sz="4" w:space="0" w:color="000000"/>
            </w:tcBorders>
          </w:tcPr>
          <w:p w14:paraId="3E2FCE66"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w:t>
            </w:r>
          </w:p>
        </w:tc>
        <w:tc>
          <w:tcPr>
            <w:tcW w:w="7371" w:type="dxa"/>
          </w:tcPr>
          <w:p w14:paraId="4B0DF080"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Rekening</w:t>
            </w:r>
            <w:r w:rsidRPr="009A4BC4">
              <w:rPr>
                <w:rFonts w:ascii="Bookman Old Style" w:hAnsi="Bookman Old Style"/>
                <w:spacing w:val="-3"/>
                <w:sz w:val="20"/>
                <w:szCs w:val="20"/>
              </w:rPr>
              <w:t xml:space="preserve"> </w:t>
            </w:r>
            <w:r w:rsidRPr="009A4BC4">
              <w:rPr>
                <w:rFonts w:ascii="Bookman Old Style" w:hAnsi="Bookman Old Style"/>
                <w:sz w:val="20"/>
                <w:szCs w:val="20"/>
              </w:rPr>
              <w:t>non-operasional</w:t>
            </w:r>
            <w:r w:rsidRPr="009A4BC4">
              <w:rPr>
                <w:rFonts w:ascii="Bookman Old Style" w:hAnsi="Bookman Old Style"/>
                <w:spacing w:val="-3"/>
                <w:sz w:val="20"/>
                <w:szCs w:val="20"/>
              </w:rPr>
              <w:t xml:space="preserve"> </w:t>
            </w:r>
            <w:r w:rsidRPr="009A4BC4">
              <w:rPr>
                <w:rFonts w:ascii="Bookman Old Style" w:hAnsi="Bookman Old Style"/>
                <w:sz w:val="20"/>
                <w:szCs w:val="20"/>
              </w:rPr>
              <w:t>dan/atau</w:t>
            </w:r>
            <w:r w:rsidRPr="009A4BC4">
              <w:rPr>
                <w:rFonts w:ascii="Bookman Old Style" w:hAnsi="Bookman Old Style"/>
                <w:spacing w:val="-3"/>
                <w:sz w:val="20"/>
                <w:szCs w:val="20"/>
              </w:rPr>
              <w:t xml:space="preserve"> </w:t>
            </w:r>
            <w:r w:rsidRPr="009A4BC4">
              <w:rPr>
                <w:rFonts w:ascii="Bookman Old Style" w:hAnsi="Bookman Old Style"/>
                <w:sz w:val="20"/>
                <w:szCs w:val="20"/>
              </w:rPr>
              <w:t>liabilitas</w:t>
            </w:r>
            <w:r w:rsidRPr="009A4BC4">
              <w:rPr>
                <w:rFonts w:ascii="Bookman Old Style" w:hAnsi="Bookman Old Style"/>
                <w:spacing w:val="-5"/>
                <w:sz w:val="20"/>
                <w:szCs w:val="20"/>
              </w:rPr>
              <w:t xml:space="preserve"> </w:t>
            </w:r>
            <w:r w:rsidRPr="009A4BC4">
              <w:rPr>
                <w:rFonts w:ascii="Bookman Old Style" w:hAnsi="Bookman Old Style"/>
                <w:sz w:val="20"/>
                <w:szCs w:val="20"/>
              </w:rPr>
              <w:t>lainnya</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bersifat</w:t>
            </w:r>
            <w:r w:rsidRPr="009A4BC4">
              <w:rPr>
                <w:rFonts w:ascii="Bookman Old Style" w:hAnsi="Bookman Old Style"/>
                <w:spacing w:val="-4"/>
                <w:sz w:val="20"/>
                <w:szCs w:val="20"/>
              </w:rPr>
              <w:t xml:space="preserve"> </w:t>
            </w:r>
            <w:r w:rsidRPr="009A4BC4">
              <w:rPr>
                <w:rFonts w:ascii="Bookman Old Style" w:hAnsi="Bookman Old Style"/>
                <w:sz w:val="20"/>
                <w:szCs w:val="20"/>
              </w:rPr>
              <w:t>non-operasional</w:t>
            </w:r>
            <w:r w:rsidRPr="009A4BC4">
              <w:rPr>
                <w:rFonts w:ascii="Bookman Old Style" w:hAnsi="Bookman Old Style"/>
                <w:spacing w:val="40"/>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berasal</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p>
        </w:tc>
        <w:tc>
          <w:tcPr>
            <w:tcW w:w="837" w:type="dxa"/>
          </w:tcPr>
          <w:p w14:paraId="70D04958" w14:textId="77777777" w:rsidR="007A2AAB" w:rsidRPr="009A4BC4" w:rsidRDefault="007A2AAB" w:rsidP="009A4BC4">
            <w:pPr>
              <w:pStyle w:val="TableParagraph"/>
              <w:rPr>
                <w:rFonts w:ascii="Bookman Old Style" w:hAnsi="Bookman Old Style"/>
                <w:sz w:val="20"/>
                <w:szCs w:val="20"/>
              </w:rPr>
            </w:pPr>
          </w:p>
        </w:tc>
        <w:tc>
          <w:tcPr>
            <w:tcW w:w="969" w:type="dxa"/>
          </w:tcPr>
          <w:p w14:paraId="019AB5ED" w14:textId="77777777" w:rsidR="007A2AAB" w:rsidRPr="009A4BC4" w:rsidRDefault="007A2AAB" w:rsidP="009A4BC4">
            <w:pPr>
              <w:pStyle w:val="TableParagraph"/>
              <w:ind w:left="108"/>
              <w:rPr>
                <w:rFonts w:ascii="Bookman Old Style" w:hAnsi="Bookman Old Style"/>
                <w:sz w:val="20"/>
                <w:szCs w:val="20"/>
              </w:rPr>
            </w:pPr>
          </w:p>
        </w:tc>
        <w:tc>
          <w:tcPr>
            <w:tcW w:w="931" w:type="dxa"/>
          </w:tcPr>
          <w:p w14:paraId="2741E971" w14:textId="77777777" w:rsidR="007A2AAB" w:rsidRPr="009A4BC4" w:rsidRDefault="007A2AAB" w:rsidP="009A4BC4">
            <w:pPr>
              <w:pStyle w:val="TableParagraph"/>
              <w:rPr>
                <w:rFonts w:ascii="Bookman Old Style" w:hAnsi="Bookman Old Style"/>
                <w:sz w:val="20"/>
                <w:szCs w:val="20"/>
              </w:rPr>
            </w:pPr>
          </w:p>
        </w:tc>
        <w:tc>
          <w:tcPr>
            <w:tcW w:w="775" w:type="dxa"/>
          </w:tcPr>
          <w:p w14:paraId="26A54B33" w14:textId="77777777" w:rsidR="007A2AAB" w:rsidRPr="009A4BC4" w:rsidRDefault="007A2AAB" w:rsidP="009A4BC4">
            <w:pPr>
              <w:pStyle w:val="TableParagraph"/>
              <w:ind w:left="109"/>
              <w:rPr>
                <w:rFonts w:ascii="Bookman Old Style" w:hAnsi="Bookman Old Style"/>
                <w:sz w:val="20"/>
                <w:szCs w:val="20"/>
              </w:rPr>
            </w:pPr>
          </w:p>
        </w:tc>
        <w:tc>
          <w:tcPr>
            <w:tcW w:w="932" w:type="dxa"/>
          </w:tcPr>
          <w:p w14:paraId="2E42BCE1" w14:textId="77777777" w:rsidR="007A2AAB" w:rsidRPr="009A4BC4" w:rsidRDefault="007A2AAB" w:rsidP="009A4BC4">
            <w:pPr>
              <w:pStyle w:val="TableParagraph"/>
              <w:rPr>
                <w:rFonts w:ascii="Bookman Old Style" w:hAnsi="Bookman Old Style"/>
                <w:sz w:val="20"/>
                <w:szCs w:val="20"/>
              </w:rPr>
            </w:pPr>
          </w:p>
        </w:tc>
        <w:tc>
          <w:tcPr>
            <w:tcW w:w="775" w:type="dxa"/>
          </w:tcPr>
          <w:p w14:paraId="5154E1A9" w14:textId="77777777" w:rsidR="007A2AAB" w:rsidRPr="009A4BC4" w:rsidRDefault="007A2AAB" w:rsidP="009A4BC4">
            <w:pPr>
              <w:pStyle w:val="TableParagraph"/>
              <w:ind w:left="107"/>
              <w:rPr>
                <w:rFonts w:ascii="Bookman Old Style" w:hAnsi="Bookman Old Style"/>
                <w:sz w:val="20"/>
                <w:szCs w:val="20"/>
              </w:rPr>
            </w:pPr>
          </w:p>
        </w:tc>
        <w:tc>
          <w:tcPr>
            <w:tcW w:w="929" w:type="dxa"/>
          </w:tcPr>
          <w:p w14:paraId="4061F164"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08765529"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EADB27A" w14:textId="77777777" w:rsidR="007A2AAB" w:rsidRPr="009A4BC4" w:rsidRDefault="007A2AAB" w:rsidP="009A4BC4">
            <w:pPr>
              <w:pStyle w:val="TableParagraph"/>
              <w:rPr>
                <w:rFonts w:ascii="Bookman Old Style" w:hAnsi="Bookman Old Style"/>
                <w:sz w:val="20"/>
                <w:szCs w:val="20"/>
              </w:rPr>
            </w:pPr>
          </w:p>
        </w:tc>
      </w:tr>
      <w:tr w:rsidR="007A2AAB" w:rsidRPr="009A4BC4" w14:paraId="52D70FD4" w14:textId="77777777" w:rsidTr="008262B9">
        <w:trPr>
          <w:trHeight w:val="244"/>
        </w:trPr>
        <w:tc>
          <w:tcPr>
            <w:tcW w:w="850" w:type="dxa"/>
            <w:tcBorders>
              <w:top w:val="single" w:sz="4" w:space="0" w:color="000000"/>
              <w:left w:val="single" w:sz="4" w:space="0" w:color="000000"/>
              <w:bottom w:val="single" w:sz="4" w:space="0" w:color="000000"/>
            </w:tcBorders>
          </w:tcPr>
          <w:p w14:paraId="55A92D86"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4.2.1</w:t>
            </w:r>
          </w:p>
        </w:tc>
        <w:tc>
          <w:tcPr>
            <w:tcW w:w="7371" w:type="dxa"/>
          </w:tcPr>
          <w:p w14:paraId="56443FCD" w14:textId="7777777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perusahaan</w:t>
            </w:r>
            <w:r w:rsidRPr="009A4BC4">
              <w:rPr>
                <w:rFonts w:ascii="Bookman Old Style" w:hAnsi="Bookman Old Style"/>
                <w:spacing w:val="-4"/>
                <w:sz w:val="20"/>
                <w:szCs w:val="20"/>
              </w:rPr>
              <w:t xml:space="preserve"> </w:t>
            </w:r>
            <w:r w:rsidRPr="009A4BC4">
              <w:rPr>
                <w:rFonts w:ascii="Bookman Old Style" w:hAnsi="Bookman Old Style"/>
                <w:sz w:val="20"/>
                <w:szCs w:val="20"/>
              </w:rPr>
              <w:t>non-keuangan</w:t>
            </w:r>
          </w:p>
        </w:tc>
        <w:tc>
          <w:tcPr>
            <w:tcW w:w="837" w:type="dxa"/>
          </w:tcPr>
          <w:p w14:paraId="13507850" w14:textId="77777777" w:rsidR="007A2AAB" w:rsidRPr="009A4BC4" w:rsidRDefault="007A2AAB" w:rsidP="009A4BC4">
            <w:pPr>
              <w:pStyle w:val="TableParagraph"/>
              <w:rPr>
                <w:rFonts w:ascii="Bookman Old Style" w:hAnsi="Bookman Old Style"/>
                <w:sz w:val="20"/>
                <w:szCs w:val="20"/>
              </w:rPr>
            </w:pPr>
          </w:p>
        </w:tc>
        <w:tc>
          <w:tcPr>
            <w:tcW w:w="969" w:type="dxa"/>
          </w:tcPr>
          <w:p w14:paraId="11244A91" w14:textId="77777777"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384D4450" w14:textId="77777777" w:rsidR="007A2AAB" w:rsidRPr="009A4BC4" w:rsidRDefault="007A2AAB" w:rsidP="009A4BC4">
            <w:pPr>
              <w:pStyle w:val="TableParagraph"/>
              <w:rPr>
                <w:rFonts w:ascii="Bookman Old Style" w:hAnsi="Bookman Old Style"/>
                <w:sz w:val="20"/>
                <w:szCs w:val="20"/>
              </w:rPr>
            </w:pPr>
          </w:p>
        </w:tc>
        <w:tc>
          <w:tcPr>
            <w:tcW w:w="775" w:type="dxa"/>
          </w:tcPr>
          <w:p w14:paraId="07428E47"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50%</w:t>
            </w:r>
          </w:p>
        </w:tc>
        <w:tc>
          <w:tcPr>
            <w:tcW w:w="932" w:type="dxa"/>
          </w:tcPr>
          <w:p w14:paraId="1F58EBC6" w14:textId="77777777" w:rsidR="007A2AAB" w:rsidRPr="009A4BC4" w:rsidRDefault="007A2AAB" w:rsidP="009A4BC4">
            <w:pPr>
              <w:pStyle w:val="TableParagraph"/>
              <w:rPr>
                <w:rFonts w:ascii="Bookman Old Style" w:hAnsi="Bookman Old Style"/>
                <w:sz w:val="20"/>
                <w:szCs w:val="20"/>
              </w:rPr>
            </w:pPr>
          </w:p>
        </w:tc>
        <w:tc>
          <w:tcPr>
            <w:tcW w:w="775" w:type="dxa"/>
          </w:tcPr>
          <w:p w14:paraId="3159C453"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5BCD833C"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763081E4" w14:textId="77777777"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DF3F3A7" w14:textId="77777777" w:rsidR="007A2AAB" w:rsidRPr="009A4BC4" w:rsidRDefault="007A2AAB" w:rsidP="009A4BC4">
            <w:pPr>
              <w:pStyle w:val="TableParagraph"/>
              <w:rPr>
                <w:rFonts w:ascii="Bookman Old Style" w:hAnsi="Bookman Old Style"/>
                <w:sz w:val="20"/>
                <w:szCs w:val="20"/>
              </w:rPr>
            </w:pPr>
          </w:p>
        </w:tc>
      </w:tr>
      <w:tr w:rsidR="007A2AAB" w:rsidRPr="009A4BC4" w14:paraId="7F6FE0B7" w14:textId="77777777" w:rsidTr="008262B9">
        <w:trPr>
          <w:trHeight w:val="244"/>
        </w:trPr>
        <w:tc>
          <w:tcPr>
            <w:tcW w:w="850" w:type="dxa"/>
            <w:tcBorders>
              <w:top w:val="single" w:sz="4" w:space="0" w:color="000000"/>
              <w:left w:val="single" w:sz="4" w:space="0" w:color="000000"/>
              <w:bottom w:val="single" w:sz="4" w:space="0" w:color="000000"/>
            </w:tcBorders>
          </w:tcPr>
          <w:p w14:paraId="714AA93B" w14:textId="5F58FD18"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4.2.2</w:t>
            </w:r>
          </w:p>
        </w:tc>
        <w:tc>
          <w:tcPr>
            <w:tcW w:w="7371" w:type="dxa"/>
          </w:tcPr>
          <w:p w14:paraId="584B2DB9" w14:textId="73F26239"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Pemerintah</w:t>
            </w:r>
            <w:r w:rsidRPr="009A4BC4">
              <w:rPr>
                <w:rFonts w:ascii="Bookman Old Style" w:hAnsi="Bookman Old Style"/>
                <w:spacing w:val="-4"/>
                <w:sz w:val="20"/>
                <w:szCs w:val="20"/>
              </w:rPr>
              <w:t xml:space="preserve"> </w:t>
            </w:r>
            <w:r w:rsidRPr="009A4BC4">
              <w:rPr>
                <w:rFonts w:ascii="Bookman Old Style" w:hAnsi="Bookman Old Style"/>
                <w:sz w:val="20"/>
                <w:szCs w:val="20"/>
              </w:rPr>
              <w:t>Indonesia</w:t>
            </w:r>
          </w:p>
        </w:tc>
        <w:tc>
          <w:tcPr>
            <w:tcW w:w="837" w:type="dxa"/>
          </w:tcPr>
          <w:p w14:paraId="5726049F" w14:textId="77777777" w:rsidR="007A2AAB" w:rsidRPr="009A4BC4" w:rsidRDefault="007A2AAB" w:rsidP="009A4BC4">
            <w:pPr>
              <w:pStyle w:val="TableParagraph"/>
              <w:rPr>
                <w:rFonts w:ascii="Bookman Old Style" w:hAnsi="Bookman Old Style"/>
                <w:sz w:val="20"/>
                <w:szCs w:val="20"/>
              </w:rPr>
            </w:pPr>
          </w:p>
        </w:tc>
        <w:tc>
          <w:tcPr>
            <w:tcW w:w="969" w:type="dxa"/>
          </w:tcPr>
          <w:p w14:paraId="688C2F9C" w14:textId="34AF231D"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650B6A6E" w14:textId="77777777" w:rsidR="007A2AAB" w:rsidRPr="009A4BC4" w:rsidRDefault="007A2AAB" w:rsidP="009A4BC4">
            <w:pPr>
              <w:pStyle w:val="TableParagraph"/>
              <w:rPr>
                <w:rFonts w:ascii="Bookman Old Style" w:hAnsi="Bookman Old Style"/>
                <w:sz w:val="20"/>
                <w:szCs w:val="20"/>
              </w:rPr>
            </w:pPr>
          </w:p>
        </w:tc>
        <w:tc>
          <w:tcPr>
            <w:tcW w:w="775" w:type="dxa"/>
          </w:tcPr>
          <w:p w14:paraId="01FEFA59" w14:textId="3DE2D37F"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50%</w:t>
            </w:r>
          </w:p>
        </w:tc>
        <w:tc>
          <w:tcPr>
            <w:tcW w:w="932" w:type="dxa"/>
          </w:tcPr>
          <w:p w14:paraId="2DD6C987" w14:textId="77777777" w:rsidR="007A2AAB" w:rsidRPr="009A4BC4" w:rsidRDefault="007A2AAB" w:rsidP="009A4BC4">
            <w:pPr>
              <w:pStyle w:val="TableParagraph"/>
              <w:rPr>
                <w:rFonts w:ascii="Bookman Old Style" w:hAnsi="Bookman Old Style"/>
                <w:sz w:val="20"/>
                <w:szCs w:val="20"/>
              </w:rPr>
            </w:pPr>
          </w:p>
        </w:tc>
        <w:tc>
          <w:tcPr>
            <w:tcW w:w="775" w:type="dxa"/>
          </w:tcPr>
          <w:p w14:paraId="23FE056E" w14:textId="41D87F4F"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63231F15"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556C4577" w14:textId="2998E12D"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5B1C218" w14:textId="77777777" w:rsidR="007A2AAB" w:rsidRPr="009A4BC4" w:rsidRDefault="007A2AAB" w:rsidP="009A4BC4">
            <w:pPr>
              <w:pStyle w:val="TableParagraph"/>
              <w:rPr>
                <w:rFonts w:ascii="Bookman Old Style" w:hAnsi="Bookman Old Style"/>
                <w:sz w:val="20"/>
                <w:szCs w:val="20"/>
              </w:rPr>
            </w:pPr>
          </w:p>
        </w:tc>
      </w:tr>
      <w:tr w:rsidR="007A2AAB" w:rsidRPr="009A4BC4" w14:paraId="383BD2A3" w14:textId="77777777" w:rsidTr="008262B9">
        <w:trPr>
          <w:trHeight w:val="244"/>
        </w:trPr>
        <w:tc>
          <w:tcPr>
            <w:tcW w:w="850" w:type="dxa"/>
            <w:tcBorders>
              <w:top w:val="single" w:sz="4" w:space="0" w:color="000000"/>
              <w:left w:val="single" w:sz="4" w:space="0" w:color="000000"/>
              <w:bottom w:val="single" w:sz="4" w:space="0" w:color="000000"/>
            </w:tcBorders>
          </w:tcPr>
          <w:p w14:paraId="06D58490" w14:textId="69034F44"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4.2.3</w:t>
            </w:r>
          </w:p>
        </w:tc>
        <w:tc>
          <w:tcPr>
            <w:tcW w:w="7371" w:type="dxa"/>
          </w:tcPr>
          <w:p w14:paraId="484B32CC" w14:textId="3F04CE54"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pemerintah</w:t>
            </w:r>
            <w:r w:rsidRPr="009A4BC4">
              <w:rPr>
                <w:rFonts w:ascii="Bookman Old Style" w:hAnsi="Bookman Old Style"/>
                <w:spacing w:val="-3"/>
                <w:sz w:val="20"/>
                <w:szCs w:val="20"/>
              </w:rPr>
              <w:t xml:space="preserve"> </w:t>
            </w:r>
            <w:r w:rsidRPr="009A4BC4">
              <w:rPr>
                <w:rFonts w:ascii="Bookman Old Style" w:hAnsi="Bookman Old Style"/>
                <w:sz w:val="20"/>
                <w:szCs w:val="20"/>
              </w:rPr>
              <w:t>negara</w:t>
            </w:r>
            <w:r w:rsidRPr="009A4BC4">
              <w:rPr>
                <w:rFonts w:ascii="Bookman Old Style" w:hAnsi="Bookman Old Style"/>
                <w:spacing w:val="-3"/>
                <w:sz w:val="20"/>
                <w:szCs w:val="20"/>
              </w:rPr>
              <w:t xml:space="preserve"> </w:t>
            </w:r>
            <w:r w:rsidRPr="009A4BC4">
              <w:rPr>
                <w:rFonts w:ascii="Bookman Old Style" w:hAnsi="Bookman Old Style"/>
                <w:sz w:val="20"/>
                <w:szCs w:val="20"/>
              </w:rPr>
              <w:t>lain</w:t>
            </w:r>
          </w:p>
        </w:tc>
        <w:tc>
          <w:tcPr>
            <w:tcW w:w="837" w:type="dxa"/>
          </w:tcPr>
          <w:p w14:paraId="07E89594" w14:textId="77777777" w:rsidR="007A2AAB" w:rsidRPr="009A4BC4" w:rsidRDefault="007A2AAB" w:rsidP="009A4BC4">
            <w:pPr>
              <w:pStyle w:val="TableParagraph"/>
              <w:rPr>
                <w:rFonts w:ascii="Bookman Old Style" w:hAnsi="Bookman Old Style"/>
                <w:sz w:val="20"/>
                <w:szCs w:val="20"/>
              </w:rPr>
            </w:pPr>
          </w:p>
        </w:tc>
        <w:tc>
          <w:tcPr>
            <w:tcW w:w="969" w:type="dxa"/>
          </w:tcPr>
          <w:p w14:paraId="00BEFD9A" w14:textId="366C3233"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3A139E37" w14:textId="77777777" w:rsidR="007A2AAB" w:rsidRPr="009A4BC4" w:rsidRDefault="007A2AAB" w:rsidP="009A4BC4">
            <w:pPr>
              <w:pStyle w:val="TableParagraph"/>
              <w:rPr>
                <w:rFonts w:ascii="Bookman Old Style" w:hAnsi="Bookman Old Style"/>
                <w:sz w:val="20"/>
                <w:szCs w:val="20"/>
              </w:rPr>
            </w:pPr>
          </w:p>
        </w:tc>
        <w:tc>
          <w:tcPr>
            <w:tcW w:w="775" w:type="dxa"/>
          </w:tcPr>
          <w:p w14:paraId="1DA97056" w14:textId="6FCEA584"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50%</w:t>
            </w:r>
          </w:p>
        </w:tc>
        <w:tc>
          <w:tcPr>
            <w:tcW w:w="932" w:type="dxa"/>
          </w:tcPr>
          <w:p w14:paraId="084755B5" w14:textId="77777777" w:rsidR="007A2AAB" w:rsidRPr="009A4BC4" w:rsidRDefault="007A2AAB" w:rsidP="009A4BC4">
            <w:pPr>
              <w:pStyle w:val="TableParagraph"/>
              <w:rPr>
                <w:rFonts w:ascii="Bookman Old Style" w:hAnsi="Bookman Old Style"/>
                <w:sz w:val="20"/>
                <w:szCs w:val="20"/>
              </w:rPr>
            </w:pPr>
          </w:p>
        </w:tc>
        <w:tc>
          <w:tcPr>
            <w:tcW w:w="775" w:type="dxa"/>
          </w:tcPr>
          <w:p w14:paraId="33AFB8A7" w14:textId="65B0B4B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774BA57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2C1805C0" w14:textId="47126CD5"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0A154B8" w14:textId="77777777" w:rsidR="007A2AAB" w:rsidRPr="009A4BC4" w:rsidRDefault="007A2AAB" w:rsidP="009A4BC4">
            <w:pPr>
              <w:pStyle w:val="TableParagraph"/>
              <w:rPr>
                <w:rFonts w:ascii="Bookman Old Style" w:hAnsi="Bookman Old Style"/>
                <w:sz w:val="20"/>
                <w:szCs w:val="20"/>
              </w:rPr>
            </w:pPr>
          </w:p>
        </w:tc>
      </w:tr>
      <w:tr w:rsidR="007A2AAB" w:rsidRPr="009A4BC4" w14:paraId="047A2C68" w14:textId="77777777" w:rsidTr="008262B9">
        <w:trPr>
          <w:trHeight w:val="244"/>
        </w:trPr>
        <w:tc>
          <w:tcPr>
            <w:tcW w:w="850" w:type="dxa"/>
            <w:tcBorders>
              <w:top w:val="single" w:sz="4" w:space="0" w:color="000000"/>
              <w:left w:val="single" w:sz="4" w:space="0" w:color="000000"/>
              <w:bottom w:val="single" w:sz="4" w:space="0" w:color="000000"/>
            </w:tcBorders>
          </w:tcPr>
          <w:p w14:paraId="129717ED" w14:textId="28E60DB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4.2.4</w:t>
            </w:r>
          </w:p>
        </w:tc>
        <w:tc>
          <w:tcPr>
            <w:tcW w:w="7371" w:type="dxa"/>
          </w:tcPr>
          <w:p w14:paraId="497D9D4A" w14:textId="1CA99D6C"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entitas</w:t>
            </w:r>
            <w:r w:rsidRPr="009A4BC4">
              <w:rPr>
                <w:rFonts w:ascii="Bookman Old Style" w:hAnsi="Bookman Old Style"/>
                <w:spacing w:val="-4"/>
                <w:sz w:val="20"/>
                <w:szCs w:val="20"/>
              </w:rPr>
              <w:t xml:space="preserve"> </w:t>
            </w:r>
            <w:r w:rsidRPr="009A4BC4">
              <w:rPr>
                <w:rFonts w:ascii="Bookman Old Style" w:hAnsi="Bookman Old Style"/>
                <w:sz w:val="20"/>
                <w:szCs w:val="20"/>
              </w:rPr>
              <w:t>sektor</w:t>
            </w:r>
            <w:r w:rsidRPr="009A4BC4">
              <w:rPr>
                <w:rFonts w:ascii="Bookman Old Style" w:hAnsi="Bookman Old Style"/>
                <w:spacing w:val="-3"/>
                <w:sz w:val="20"/>
                <w:szCs w:val="20"/>
              </w:rPr>
              <w:t xml:space="preserve"> </w:t>
            </w:r>
            <w:r w:rsidRPr="009A4BC4">
              <w:rPr>
                <w:rFonts w:ascii="Bookman Old Style" w:hAnsi="Bookman Old Style"/>
                <w:sz w:val="20"/>
                <w:szCs w:val="20"/>
              </w:rPr>
              <w:t>publik</w:t>
            </w:r>
          </w:p>
        </w:tc>
        <w:tc>
          <w:tcPr>
            <w:tcW w:w="837" w:type="dxa"/>
          </w:tcPr>
          <w:p w14:paraId="7307F094" w14:textId="77777777" w:rsidR="007A2AAB" w:rsidRPr="009A4BC4" w:rsidRDefault="007A2AAB" w:rsidP="009A4BC4">
            <w:pPr>
              <w:pStyle w:val="TableParagraph"/>
              <w:rPr>
                <w:rFonts w:ascii="Bookman Old Style" w:hAnsi="Bookman Old Style"/>
                <w:sz w:val="20"/>
                <w:szCs w:val="20"/>
              </w:rPr>
            </w:pPr>
          </w:p>
        </w:tc>
        <w:tc>
          <w:tcPr>
            <w:tcW w:w="969" w:type="dxa"/>
          </w:tcPr>
          <w:p w14:paraId="12A54FA9" w14:textId="3208ED96"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6AEDBD77" w14:textId="77777777" w:rsidR="007A2AAB" w:rsidRPr="009A4BC4" w:rsidRDefault="007A2AAB" w:rsidP="009A4BC4">
            <w:pPr>
              <w:pStyle w:val="TableParagraph"/>
              <w:rPr>
                <w:rFonts w:ascii="Bookman Old Style" w:hAnsi="Bookman Old Style"/>
                <w:sz w:val="20"/>
                <w:szCs w:val="20"/>
              </w:rPr>
            </w:pPr>
          </w:p>
        </w:tc>
        <w:tc>
          <w:tcPr>
            <w:tcW w:w="775" w:type="dxa"/>
          </w:tcPr>
          <w:p w14:paraId="3D8A6B7A" w14:textId="1B8F538F"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50%</w:t>
            </w:r>
          </w:p>
        </w:tc>
        <w:tc>
          <w:tcPr>
            <w:tcW w:w="932" w:type="dxa"/>
          </w:tcPr>
          <w:p w14:paraId="0249FADF" w14:textId="77777777" w:rsidR="007A2AAB" w:rsidRPr="009A4BC4" w:rsidRDefault="007A2AAB" w:rsidP="009A4BC4">
            <w:pPr>
              <w:pStyle w:val="TableParagraph"/>
              <w:rPr>
                <w:rFonts w:ascii="Bookman Old Style" w:hAnsi="Bookman Old Style"/>
                <w:sz w:val="20"/>
                <w:szCs w:val="20"/>
              </w:rPr>
            </w:pPr>
          </w:p>
        </w:tc>
        <w:tc>
          <w:tcPr>
            <w:tcW w:w="775" w:type="dxa"/>
          </w:tcPr>
          <w:p w14:paraId="6B29DE6D" w14:textId="64855409"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4046FC41"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7E480F5E" w14:textId="69F5DB39"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2D828D79" w14:textId="77777777" w:rsidR="007A2AAB" w:rsidRPr="009A4BC4" w:rsidRDefault="007A2AAB" w:rsidP="009A4BC4">
            <w:pPr>
              <w:pStyle w:val="TableParagraph"/>
              <w:rPr>
                <w:rFonts w:ascii="Bookman Old Style" w:hAnsi="Bookman Old Style"/>
                <w:sz w:val="20"/>
                <w:szCs w:val="20"/>
              </w:rPr>
            </w:pPr>
          </w:p>
        </w:tc>
      </w:tr>
      <w:tr w:rsidR="007A2AAB" w:rsidRPr="009A4BC4" w14:paraId="4CB81593" w14:textId="77777777" w:rsidTr="008262B9">
        <w:trPr>
          <w:trHeight w:val="244"/>
        </w:trPr>
        <w:tc>
          <w:tcPr>
            <w:tcW w:w="850" w:type="dxa"/>
            <w:tcBorders>
              <w:top w:val="single" w:sz="4" w:space="0" w:color="000000"/>
              <w:left w:val="single" w:sz="4" w:space="0" w:color="000000"/>
              <w:bottom w:val="single" w:sz="4" w:space="0" w:color="000000"/>
            </w:tcBorders>
          </w:tcPr>
          <w:p w14:paraId="758E76E8" w14:textId="17E8008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lastRenderedPageBreak/>
              <w:t>4.2.5</w:t>
            </w:r>
          </w:p>
        </w:tc>
        <w:tc>
          <w:tcPr>
            <w:tcW w:w="7371" w:type="dxa"/>
          </w:tcPr>
          <w:p w14:paraId="75749DAF" w14:textId="3A685D29"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bank</w:t>
            </w:r>
            <w:r w:rsidRPr="009A4BC4">
              <w:rPr>
                <w:rFonts w:ascii="Bookman Old Style" w:hAnsi="Bookman Old Style"/>
                <w:spacing w:val="-5"/>
                <w:sz w:val="20"/>
                <w:szCs w:val="20"/>
              </w:rPr>
              <w:t xml:space="preserve"> </w:t>
            </w:r>
            <w:r w:rsidRPr="009A4BC4">
              <w:rPr>
                <w:rFonts w:ascii="Bookman Old Style" w:hAnsi="Bookman Old Style"/>
                <w:sz w:val="20"/>
                <w:szCs w:val="20"/>
              </w:rPr>
              <w:t>pembangunan</w:t>
            </w:r>
            <w:r w:rsidRPr="009A4BC4">
              <w:rPr>
                <w:rFonts w:ascii="Bookman Old Style" w:hAnsi="Bookman Old Style"/>
                <w:spacing w:val="-4"/>
                <w:sz w:val="20"/>
                <w:szCs w:val="20"/>
              </w:rPr>
              <w:t xml:space="preserve"> </w:t>
            </w:r>
            <w:r w:rsidRPr="009A4BC4">
              <w:rPr>
                <w:rFonts w:ascii="Bookman Old Style" w:hAnsi="Bookman Old Style"/>
                <w:sz w:val="20"/>
                <w:szCs w:val="20"/>
              </w:rPr>
              <w:t>multilateral</w:t>
            </w:r>
          </w:p>
        </w:tc>
        <w:tc>
          <w:tcPr>
            <w:tcW w:w="837" w:type="dxa"/>
          </w:tcPr>
          <w:p w14:paraId="15D24913" w14:textId="77777777" w:rsidR="007A2AAB" w:rsidRPr="009A4BC4" w:rsidRDefault="007A2AAB" w:rsidP="009A4BC4">
            <w:pPr>
              <w:pStyle w:val="TableParagraph"/>
              <w:rPr>
                <w:rFonts w:ascii="Bookman Old Style" w:hAnsi="Bookman Old Style"/>
                <w:sz w:val="20"/>
                <w:szCs w:val="20"/>
              </w:rPr>
            </w:pPr>
          </w:p>
        </w:tc>
        <w:tc>
          <w:tcPr>
            <w:tcW w:w="969" w:type="dxa"/>
          </w:tcPr>
          <w:p w14:paraId="3F4A132D" w14:textId="50CAB0E1"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17CE84CF" w14:textId="77777777" w:rsidR="007A2AAB" w:rsidRPr="009A4BC4" w:rsidRDefault="007A2AAB" w:rsidP="009A4BC4">
            <w:pPr>
              <w:pStyle w:val="TableParagraph"/>
              <w:rPr>
                <w:rFonts w:ascii="Bookman Old Style" w:hAnsi="Bookman Old Style"/>
                <w:sz w:val="20"/>
                <w:szCs w:val="20"/>
              </w:rPr>
            </w:pPr>
          </w:p>
        </w:tc>
        <w:tc>
          <w:tcPr>
            <w:tcW w:w="775" w:type="dxa"/>
          </w:tcPr>
          <w:p w14:paraId="68C9BC68" w14:textId="0AF0906B"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50%</w:t>
            </w:r>
          </w:p>
        </w:tc>
        <w:tc>
          <w:tcPr>
            <w:tcW w:w="932" w:type="dxa"/>
          </w:tcPr>
          <w:p w14:paraId="1E4DDF5D" w14:textId="77777777" w:rsidR="007A2AAB" w:rsidRPr="009A4BC4" w:rsidRDefault="007A2AAB" w:rsidP="009A4BC4">
            <w:pPr>
              <w:pStyle w:val="TableParagraph"/>
              <w:rPr>
                <w:rFonts w:ascii="Bookman Old Style" w:hAnsi="Bookman Old Style"/>
                <w:sz w:val="20"/>
                <w:szCs w:val="20"/>
              </w:rPr>
            </w:pPr>
          </w:p>
        </w:tc>
        <w:tc>
          <w:tcPr>
            <w:tcW w:w="775" w:type="dxa"/>
          </w:tcPr>
          <w:p w14:paraId="2C7EB6BF" w14:textId="49E102D5"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14358D9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5848E6C" w14:textId="5836746D"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2958BF85" w14:textId="77777777" w:rsidR="007A2AAB" w:rsidRPr="009A4BC4" w:rsidRDefault="007A2AAB" w:rsidP="009A4BC4">
            <w:pPr>
              <w:pStyle w:val="TableParagraph"/>
              <w:rPr>
                <w:rFonts w:ascii="Bookman Old Style" w:hAnsi="Bookman Old Style"/>
                <w:sz w:val="20"/>
                <w:szCs w:val="20"/>
              </w:rPr>
            </w:pPr>
          </w:p>
        </w:tc>
      </w:tr>
      <w:tr w:rsidR="007A2AAB" w:rsidRPr="009A4BC4" w14:paraId="3B30FD55" w14:textId="77777777" w:rsidTr="008262B9">
        <w:trPr>
          <w:trHeight w:val="244"/>
        </w:trPr>
        <w:tc>
          <w:tcPr>
            <w:tcW w:w="850" w:type="dxa"/>
            <w:tcBorders>
              <w:top w:val="single" w:sz="4" w:space="0" w:color="000000"/>
              <w:left w:val="single" w:sz="4" w:space="0" w:color="000000"/>
              <w:bottom w:val="single" w:sz="4" w:space="0" w:color="000000"/>
            </w:tcBorders>
          </w:tcPr>
          <w:p w14:paraId="4D209473" w14:textId="3C1D6BA4"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4.2.6</w:t>
            </w:r>
          </w:p>
        </w:tc>
        <w:tc>
          <w:tcPr>
            <w:tcW w:w="7371" w:type="dxa"/>
          </w:tcPr>
          <w:p w14:paraId="75EBD6C4" w14:textId="4FB73796"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Bank</w:t>
            </w:r>
            <w:r w:rsidRPr="009A4BC4">
              <w:rPr>
                <w:rFonts w:ascii="Bookman Old Style" w:hAnsi="Bookman Old Style"/>
                <w:spacing w:val="-4"/>
                <w:sz w:val="20"/>
                <w:szCs w:val="20"/>
              </w:rPr>
              <w:t xml:space="preserve"> </w:t>
            </w:r>
            <w:r w:rsidRPr="009A4BC4">
              <w:rPr>
                <w:rFonts w:ascii="Bookman Old Style" w:hAnsi="Bookman Old Style"/>
                <w:sz w:val="20"/>
                <w:szCs w:val="20"/>
              </w:rPr>
              <w:t>Indonesia</w:t>
            </w:r>
          </w:p>
        </w:tc>
        <w:tc>
          <w:tcPr>
            <w:tcW w:w="837" w:type="dxa"/>
          </w:tcPr>
          <w:p w14:paraId="739B18FB" w14:textId="77777777" w:rsidR="007A2AAB" w:rsidRPr="009A4BC4" w:rsidRDefault="007A2AAB" w:rsidP="009A4BC4">
            <w:pPr>
              <w:pStyle w:val="TableParagraph"/>
              <w:rPr>
                <w:rFonts w:ascii="Bookman Old Style" w:hAnsi="Bookman Old Style"/>
                <w:sz w:val="20"/>
                <w:szCs w:val="20"/>
              </w:rPr>
            </w:pPr>
          </w:p>
        </w:tc>
        <w:tc>
          <w:tcPr>
            <w:tcW w:w="969" w:type="dxa"/>
          </w:tcPr>
          <w:p w14:paraId="201A5816" w14:textId="42DC5A7F"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2DB2040F" w14:textId="77777777" w:rsidR="007A2AAB" w:rsidRPr="009A4BC4" w:rsidRDefault="007A2AAB" w:rsidP="009A4BC4">
            <w:pPr>
              <w:pStyle w:val="TableParagraph"/>
              <w:rPr>
                <w:rFonts w:ascii="Bookman Old Style" w:hAnsi="Bookman Old Style"/>
                <w:sz w:val="20"/>
                <w:szCs w:val="20"/>
              </w:rPr>
            </w:pPr>
          </w:p>
        </w:tc>
        <w:tc>
          <w:tcPr>
            <w:tcW w:w="775" w:type="dxa"/>
          </w:tcPr>
          <w:p w14:paraId="2152728B" w14:textId="1A888E49"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7300EFB9" w14:textId="77777777" w:rsidR="007A2AAB" w:rsidRPr="009A4BC4" w:rsidRDefault="007A2AAB" w:rsidP="009A4BC4">
            <w:pPr>
              <w:pStyle w:val="TableParagraph"/>
              <w:rPr>
                <w:rFonts w:ascii="Bookman Old Style" w:hAnsi="Bookman Old Style"/>
                <w:sz w:val="20"/>
                <w:szCs w:val="20"/>
              </w:rPr>
            </w:pPr>
          </w:p>
        </w:tc>
        <w:tc>
          <w:tcPr>
            <w:tcW w:w="775" w:type="dxa"/>
          </w:tcPr>
          <w:p w14:paraId="05F97303" w14:textId="03C7395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4DBDF5A8"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0B861762" w14:textId="0CEEDE7A"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23BCCEA" w14:textId="77777777" w:rsidR="007A2AAB" w:rsidRPr="009A4BC4" w:rsidRDefault="007A2AAB" w:rsidP="009A4BC4">
            <w:pPr>
              <w:pStyle w:val="TableParagraph"/>
              <w:rPr>
                <w:rFonts w:ascii="Bookman Old Style" w:hAnsi="Bookman Old Style"/>
                <w:sz w:val="20"/>
                <w:szCs w:val="20"/>
              </w:rPr>
            </w:pPr>
          </w:p>
        </w:tc>
      </w:tr>
      <w:tr w:rsidR="007A2AAB" w:rsidRPr="009A4BC4" w14:paraId="02C017BC" w14:textId="77777777" w:rsidTr="008262B9">
        <w:trPr>
          <w:trHeight w:val="244"/>
        </w:trPr>
        <w:tc>
          <w:tcPr>
            <w:tcW w:w="850" w:type="dxa"/>
            <w:tcBorders>
              <w:top w:val="single" w:sz="4" w:space="0" w:color="000000"/>
              <w:left w:val="single" w:sz="4" w:space="0" w:color="000000"/>
              <w:bottom w:val="single" w:sz="4" w:space="0" w:color="000000"/>
            </w:tcBorders>
          </w:tcPr>
          <w:p w14:paraId="617374ED" w14:textId="42D9A01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4.2.7</w:t>
            </w:r>
          </w:p>
        </w:tc>
        <w:tc>
          <w:tcPr>
            <w:tcW w:w="7371" w:type="dxa"/>
          </w:tcPr>
          <w:p w14:paraId="25599A24" w14:textId="31DEC3C2"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bank</w:t>
            </w:r>
            <w:r w:rsidRPr="009A4BC4">
              <w:rPr>
                <w:rFonts w:ascii="Bookman Old Style" w:hAnsi="Bookman Old Style"/>
                <w:spacing w:val="-4"/>
                <w:sz w:val="20"/>
                <w:szCs w:val="20"/>
              </w:rPr>
              <w:t xml:space="preserve"> </w:t>
            </w:r>
            <w:r w:rsidRPr="009A4BC4">
              <w:rPr>
                <w:rFonts w:ascii="Bookman Old Style" w:hAnsi="Bookman Old Style"/>
                <w:sz w:val="20"/>
                <w:szCs w:val="20"/>
              </w:rPr>
              <w:t>sentral</w:t>
            </w:r>
            <w:r w:rsidRPr="009A4BC4">
              <w:rPr>
                <w:rFonts w:ascii="Bookman Old Style" w:hAnsi="Bookman Old Style"/>
                <w:spacing w:val="-2"/>
                <w:sz w:val="20"/>
                <w:szCs w:val="20"/>
              </w:rPr>
              <w:t xml:space="preserve"> </w:t>
            </w:r>
            <w:r w:rsidRPr="009A4BC4">
              <w:rPr>
                <w:rFonts w:ascii="Bookman Old Style" w:hAnsi="Bookman Old Style"/>
                <w:sz w:val="20"/>
                <w:szCs w:val="20"/>
              </w:rPr>
              <w:t>negara</w:t>
            </w:r>
            <w:r w:rsidRPr="009A4BC4">
              <w:rPr>
                <w:rFonts w:ascii="Bookman Old Style" w:hAnsi="Bookman Old Style"/>
                <w:spacing w:val="-2"/>
                <w:sz w:val="20"/>
                <w:szCs w:val="20"/>
              </w:rPr>
              <w:t xml:space="preserve"> </w:t>
            </w:r>
            <w:r w:rsidRPr="009A4BC4">
              <w:rPr>
                <w:rFonts w:ascii="Bookman Old Style" w:hAnsi="Bookman Old Style"/>
                <w:sz w:val="20"/>
                <w:szCs w:val="20"/>
              </w:rPr>
              <w:t>lain</w:t>
            </w:r>
          </w:p>
        </w:tc>
        <w:tc>
          <w:tcPr>
            <w:tcW w:w="837" w:type="dxa"/>
          </w:tcPr>
          <w:p w14:paraId="797B1C15" w14:textId="77777777" w:rsidR="007A2AAB" w:rsidRPr="009A4BC4" w:rsidRDefault="007A2AAB" w:rsidP="009A4BC4">
            <w:pPr>
              <w:pStyle w:val="TableParagraph"/>
              <w:rPr>
                <w:rFonts w:ascii="Bookman Old Style" w:hAnsi="Bookman Old Style"/>
                <w:sz w:val="20"/>
                <w:szCs w:val="20"/>
              </w:rPr>
            </w:pPr>
          </w:p>
        </w:tc>
        <w:tc>
          <w:tcPr>
            <w:tcW w:w="969" w:type="dxa"/>
          </w:tcPr>
          <w:p w14:paraId="02F15D00" w14:textId="4A08AE8F"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008976C9" w14:textId="77777777" w:rsidR="007A2AAB" w:rsidRPr="009A4BC4" w:rsidRDefault="007A2AAB" w:rsidP="009A4BC4">
            <w:pPr>
              <w:pStyle w:val="TableParagraph"/>
              <w:rPr>
                <w:rFonts w:ascii="Bookman Old Style" w:hAnsi="Bookman Old Style"/>
                <w:sz w:val="20"/>
                <w:szCs w:val="20"/>
              </w:rPr>
            </w:pPr>
          </w:p>
        </w:tc>
        <w:tc>
          <w:tcPr>
            <w:tcW w:w="775" w:type="dxa"/>
          </w:tcPr>
          <w:p w14:paraId="349EAFD3" w14:textId="4A1D8FEC"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46CC01F8" w14:textId="77777777" w:rsidR="007A2AAB" w:rsidRPr="009A4BC4" w:rsidRDefault="007A2AAB" w:rsidP="009A4BC4">
            <w:pPr>
              <w:pStyle w:val="TableParagraph"/>
              <w:rPr>
                <w:rFonts w:ascii="Bookman Old Style" w:hAnsi="Bookman Old Style"/>
                <w:sz w:val="20"/>
                <w:szCs w:val="20"/>
              </w:rPr>
            </w:pPr>
          </w:p>
        </w:tc>
        <w:tc>
          <w:tcPr>
            <w:tcW w:w="775" w:type="dxa"/>
          </w:tcPr>
          <w:p w14:paraId="1B74695D" w14:textId="6B2720C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5BFAE3E8"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4306344A" w14:textId="57208C04"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6010E222" w14:textId="77777777" w:rsidR="007A2AAB" w:rsidRPr="009A4BC4" w:rsidRDefault="007A2AAB" w:rsidP="009A4BC4">
            <w:pPr>
              <w:pStyle w:val="TableParagraph"/>
              <w:rPr>
                <w:rFonts w:ascii="Bookman Old Style" w:hAnsi="Bookman Old Style"/>
                <w:sz w:val="20"/>
                <w:szCs w:val="20"/>
              </w:rPr>
            </w:pPr>
          </w:p>
        </w:tc>
      </w:tr>
      <w:tr w:rsidR="007A2AAB" w:rsidRPr="009A4BC4" w14:paraId="7A378237" w14:textId="77777777" w:rsidTr="008262B9">
        <w:trPr>
          <w:trHeight w:val="244"/>
        </w:trPr>
        <w:tc>
          <w:tcPr>
            <w:tcW w:w="850" w:type="dxa"/>
            <w:tcBorders>
              <w:top w:val="single" w:sz="4" w:space="0" w:color="000000"/>
              <w:left w:val="single" w:sz="4" w:space="0" w:color="000000"/>
              <w:bottom w:val="single" w:sz="4" w:space="0" w:color="000000"/>
            </w:tcBorders>
          </w:tcPr>
          <w:p w14:paraId="28F48DB6" w14:textId="16A851B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4.2.8</w:t>
            </w:r>
          </w:p>
        </w:tc>
        <w:tc>
          <w:tcPr>
            <w:tcW w:w="7371" w:type="dxa"/>
          </w:tcPr>
          <w:p w14:paraId="48ED39A3" w14:textId="5252BDC7"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lembaga</w:t>
            </w:r>
            <w:r w:rsidRPr="009A4BC4">
              <w:rPr>
                <w:rFonts w:ascii="Bookman Old Style" w:hAnsi="Bookman Old Style"/>
                <w:spacing w:val="-3"/>
                <w:sz w:val="20"/>
                <w:szCs w:val="20"/>
              </w:rPr>
              <w:t xml:space="preserve"> </w:t>
            </w:r>
            <w:r w:rsidRPr="009A4BC4">
              <w:rPr>
                <w:rFonts w:ascii="Bookman Old Style" w:hAnsi="Bookman Old Style"/>
                <w:sz w:val="20"/>
                <w:szCs w:val="20"/>
              </w:rPr>
              <w:t>keuangan</w:t>
            </w:r>
          </w:p>
        </w:tc>
        <w:tc>
          <w:tcPr>
            <w:tcW w:w="837" w:type="dxa"/>
          </w:tcPr>
          <w:p w14:paraId="4FC8F6BC" w14:textId="77777777" w:rsidR="007A2AAB" w:rsidRPr="009A4BC4" w:rsidRDefault="007A2AAB" w:rsidP="009A4BC4">
            <w:pPr>
              <w:pStyle w:val="TableParagraph"/>
              <w:rPr>
                <w:rFonts w:ascii="Bookman Old Style" w:hAnsi="Bookman Old Style"/>
                <w:sz w:val="20"/>
                <w:szCs w:val="20"/>
              </w:rPr>
            </w:pPr>
          </w:p>
        </w:tc>
        <w:tc>
          <w:tcPr>
            <w:tcW w:w="969" w:type="dxa"/>
          </w:tcPr>
          <w:p w14:paraId="6BAE5FF0" w14:textId="4B476A43"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1BA36BA2" w14:textId="77777777" w:rsidR="007A2AAB" w:rsidRPr="009A4BC4" w:rsidRDefault="007A2AAB" w:rsidP="009A4BC4">
            <w:pPr>
              <w:pStyle w:val="TableParagraph"/>
              <w:rPr>
                <w:rFonts w:ascii="Bookman Old Style" w:hAnsi="Bookman Old Style"/>
                <w:sz w:val="20"/>
                <w:szCs w:val="20"/>
              </w:rPr>
            </w:pPr>
          </w:p>
        </w:tc>
        <w:tc>
          <w:tcPr>
            <w:tcW w:w="775" w:type="dxa"/>
          </w:tcPr>
          <w:p w14:paraId="6764D9A0" w14:textId="0DC4668F"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22FDBCAC" w14:textId="77777777" w:rsidR="007A2AAB" w:rsidRPr="009A4BC4" w:rsidRDefault="007A2AAB" w:rsidP="009A4BC4">
            <w:pPr>
              <w:pStyle w:val="TableParagraph"/>
              <w:rPr>
                <w:rFonts w:ascii="Bookman Old Style" w:hAnsi="Bookman Old Style"/>
                <w:sz w:val="20"/>
                <w:szCs w:val="20"/>
              </w:rPr>
            </w:pPr>
          </w:p>
        </w:tc>
        <w:tc>
          <w:tcPr>
            <w:tcW w:w="775" w:type="dxa"/>
          </w:tcPr>
          <w:p w14:paraId="7B3BDB63" w14:textId="429F23B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425C5B0D"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C1DE5C0" w14:textId="6E2ACE71"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5203E365" w14:textId="77777777" w:rsidR="007A2AAB" w:rsidRPr="009A4BC4" w:rsidRDefault="007A2AAB" w:rsidP="009A4BC4">
            <w:pPr>
              <w:pStyle w:val="TableParagraph"/>
              <w:rPr>
                <w:rFonts w:ascii="Bookman Old Style" w:hAnsi="Bookman Old Style"/>
                <w:sz w:val="20"/>
                <w:szCs w:val="20"/>
              </w:rPr>
            </w:pPr>
          </w:p>
        </w:tc>
      </w:tr>
      <w:tr w:rsidR="007A2AAB" w:rsidRPr="009A4BC4" w14:paraId="3A39C4DA" w14:textId="77777777" w:rsidTr="008262B9">
        <w:trPr>
          <w:trHeight w:val="244"/>
        </w:trPr>
        <w:tc>
          <w:tcPr>
            <w:tcW w:w="850" w:type="dxa"/>
            <w:tcBorders>
              <w:top w:val="single" w:sz="4" w:space="0" w:color="000000"/>
              <w:left w:val="single" w:sz="4" w:space="0" w:color="000000"/>
              <w:bottom w:val="single" w:sz="4" w:space="0" w:color="000000"/>
            </w:tcBorders>
          </w:tcPr>
          <w:p w14:paraId="3E8B60BB" w14:textId="7B3EBB82"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4.2.9</w:t>
            </w:r>
          </w:p>
        </w:tc>
        <w:tc>
          <w:tcPr>
            <w:tcW w:w="7371" w:type="dxa"/>
          </w:tcPr>
          <w:p w14:paraId="040ABD61" w14:textId="30AC712C"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Lainnya</w:t>
            </w:r>
          </w:p>
        </w:tc>
        <w:tc>
          <w:tcPr>
            <w:tcW w:w="837" w:type="dxa"/>
          </w:tcPr>
          <w:p w14:paraId="2B0FE4BE" w14:textId="77777777" w:rsidR="007A2AAB" w:rsidRPr="009A4BC4" w:rsidRDefault="007A2AAB" w:rsidP="009A4BC4">
            <w:pPr>
              <w:pStyle w:val="TableParagraph"/>
              <w:rPr>
                <w:rFonts w:ascii="Bookman Old Style" w:hAnsi="Bookman Old Style"/>
                <w:sz w:val="20"/>
                <w:szCs w:val="20"/>
              </w:rPr>
            </w:pPr>
          </w:p>
        </w:tc>
        <w:tc>
          <w:tcPr>
            <w:tcW w:w="969" w:type="dxa"/>
          </w:tcPr>
          <w:p w14:paraId="1BC710D6" w14:textId="627E8411"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3EDDA3FB" w14:textId="77777777" w:rsidR="007A2AAB" w:rsidRPr="009A4BC4" w:rsidRDefault="007A2AAB" w:rsidP="009A4BC4">
            <w:pPr>
              <w:pStyle w:val="TableParagraph"/>
              <w:rPr>
                <w:rFonts w:ascii="Bookman Old Style" w:hAnsi="Bookman Old Style"/>
                <w:sz w:val="20"/>
                <w:szCs w:val="20"/>
              </w:rPr>
            </w:pPr>
          </w:p>
        </w:tc>
        <w:tc>
          <w:tcPr>
            <w:tcW w:w="775" w:type="dxa"/>
          </w:tcPr>
          <w:p w14:paraId="57E89D8A" w14:textId="2A9D6D46"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11F08A4E" w14:textId="77777777" w:rsidR="007A2AAB" w:rsidRPr="009A4BC4" w:rsidRDefault="007A2AAB" w:rsidP="009A4BC4">
            <w:pPr>
              <w:pStyle w:val="TableParagraph"/>
              <w:rPr>
                <w:rFonts w:ascii="Bookman Old Style" w:hAnsi="Bookman Old Style"/>
                <w:sz w:val="20"/>
                <w:szCs w:val="20"/>
              </w:rPr>
            </w:pPr>
          </w:p>
        </w:tc>
        <w:tc>
          <w:tcPr>
            <w:tcW w:w="775" w:type="dxa"/>
          </w:tcPr>
          <w:p w14:paraId="53F69DA3" w14:textId="7475DBE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370A651C"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24D5B66B" w14:textId="68817BEA"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5C3F925" w14:textId="77777777" w:rsidR="007A2AAB" w:rsidRPr="009A4BC4" w:rsidRDefault="007A2AAB" w:rsidP="009A4BC4">
            <w:pPr>
              <w:pStyle w:val="TableParagraph"/>
              <w:rPr>
                <w:rFonts w:ascii="Bookman Old Style" w:hAnsi="Bookman Old Style"/>
                <w:sz w:val="20"/>
                <w:szCs w:val="20"/>
              </w:rPr>
            </w:pPr>
          </w:p>
        </w:tc>
      </w:tr>
      <w:tr w:rsidR="007A2AAB" w:rsidRPr="009A4BC4" w14:paraId="39918F78" w14:textId="77777777" w:rsidTr="008262B9">
        <w:trPr>
          <w:trHeight w:val="244"/>
        </w:trPr>
        <w:tc>
          <w:tcPr>
            <w:tcW w:w="850" w:type="dxa"/>
            <w:tcBorders>
              <w:top w:val="single" w:sz="4" w:space="0" w:color="000000"/>
              <w:left w:val="single" w:sz="4" w:space="0" w:color="000000"/>
              <w:bottom w:val="single" w:sz="4" w:space="0" w:color="000000"/>
            </w:tcBorders>
            <w:shd w:val="clear" w:color="auto" w:fill="C9C9C9" w:themeFill="accent3" w:themeFillTint="99"/>
          </w:tcPr>
          <w:p w14:paraId="5541B2D0" w14:textId="5E066E6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5</w:t>
            </w:r>
          </w:p>
        </w:tc>
        <w:tc>
          <w:tcPr>
            <w:tcW w:w="7371" w:type="dxa"/>
            <w:shd w:val="clear" w:color="auto" w:fill="C9C9C9" w:themeFill="accent3" w:themeFillTint="99"/>
          </w:tcPr>
          <w:p w14:paraId="5475CAAD" w14:textId="37C563DE"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Liabilitas</w:t>
            </w:r>
            <w:r w:rsidRPr="009A4BC4">
              <w:rPr>
                <w:rFonts w:ascii="Bookman Old Style" w:hAnsi="Bookman Old Style"/>
                <w:spacing w:val="-5"/>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memiliki</w:t>
            </w:r>
            <w:r w:rsidRPr="009A4BC4">
              <w:rPr>
                <w:rFonts w:ascii="Bookman Old Style" w:hAnsi="Bookman Old Style"/>
                <w:spacing w:val="-3"/>
                <w:sz w:val="20"/>
                <w:szCs w:val="20"/>
              </w:rPr>
              <w:t xml:space="preserve"> </w:t>
            </w:r>
            <w:r w:rsidRPr="009A4BC4">
              <w:rPr>
                <w:rFonts w:ascii="Bookman Old Style" w:hAnsi="Bookman Old Style"/>
                <w:sz w:val="20"/>
                <w:szCs w:val="20"/>
              </w:rPr>
              <w:t>hubungan</w:t>
            </w:r>
            <w:r w:rsidRPr="009A4BC4">
              <w:rPr>
                <w:rFonts w:ascii="Bookman Old Style" w:hAnsi="Bookman Old Style"/>
                <w:spacing w:val="-2"/>
                <w:sz w:val="20"/>
                <w:szCs w:val="20"/>
              </w:rPr>
              <w:t xml:space="preserve"> </w:t>
            </w:r>
            <w:r w:rsidRPr="009A4BC4">
              <w:rPr>
                <w:rFonts w:ascii="Bookman Old Style" w:hAnsi="Bookman Old Style"/>
                <w:sz w:val="20"/>
                <w:szCs w:val="20"/>
              </w:rPr>
              <w:t>kebergantungan</w:t>
            </w:r>
            <w:r w:rsidRPr="009A4BC4">
              <w:rPr>
                <w:rFonts w:ascii="Bookman Old Style" w:hAnsi="Bookman Old Style"/>
                <w:spacing w:val="-2"/>
                <w:sz w:val="20"/>
                <w:szCs w:val="20"/>
              </w:rPr>
              <w:t xml:space="preserve"> </w:t>
            </w:r>
            <w:r w:rsidRPr="009A4BC4">
              <w:rPr>
                <w:rFonts w:ascii="Bookman Old Style" w:hAnsi="Bookman Old Style"/>
                <w:sz w:val="20"/>
                <w:szCs w:val="20"/>
              </w:rPr>
              <w:t>dengan</w:t>
            </w:r>
            <w:r w:rsidRPr="009A4BC4">
              <w:rPr>
                <w:rFonts w:ascii="Bookman Old Style" w:hAnsi="Bookman Old Style"/>
                <w:spacing w:val="-4"/>
                <w:sz w:val="20"/>
                <w:szCs w:val="20"/>
              </w:rPr>
              <w:t xml:space="preserve"> </w:t>
            </w: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tertentu</w:t>
            </w:r>
          </w:p>
        </w:tc>
        <w:tc>
          <w:tcPr>
            <w:tcW w:w="837" w:type="dxa"/>
            <w:shd w:val="clear" w:color="auto" w:fill="C9C9C9" w:themeFill="accent3" w:themeFillTint="99"/>
          </w:tcPr>
          <w:p w14:paraId="45ED2504"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C9C9C9" w:themeFill="accent3" w:themeFillTint="99"/>
          </w:tcPr>
          <w:p w14:paraId="35B1DFF2" w14:textId="2A951351"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shd w:val="clear" w:color="auto" w:fill="C9C9C9" w:themeFill="accent3" w:themeFillTint="99"/>
          </w:tcPr>
          <w:p w14:paraId="03E92A6C"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C9C9C9" w:themeFill="accent3" w:themeFillTint="99"/>
          </w:tcPr>
          <w:p w14:paraId="230D2D1B" w14:textId="3412D1D5"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shd w:val="clear" w:color="auto" w:fill="C9C9C9" w:themeFill="accent3" w:themeFillTint="99"/>
          </w:tcPr>
          <w:p w14:paraId="4B881D4E"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C9C9C9" w:themeFill="accent3" w:themeFillTint="99"/>
          </w:tcPr>
          <w:p w14:paraId="3FD91187" w14:textId="5108B630"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0%</w:t>
            </w:r>
          </w:p>
        </w:tc>
        <w:tc>
          <w:tcPr>
            <w:tcW w:w="929" w:type="dxa"/>
            <w:shd w:val="clear" w:color="auto" w:fill="C9C9C9" w:themeFill="accent3" w:themeFillTint="99"/>
          </w:tcPr>
          <w:p w14:paraId="058239DE"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C9C9C9" w:themeFill="accent3" w:themeFillTint="99"/>
          </w:tcPr>
          <w:p w14:paraId="6FF2BA9C" w14:textId="56423929"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DEDDF05" w14:textId="77777777" w:rsidR="007A2AAB" w:rsidRPr="009A4BC4" w:rsidRDefault="007A2AAB" w:rsidP="009A4BC4">
            <w:pPr>
              <w:pStyle w:val="TableParagraph"/>
              <w:rPr>
                <w:rFonts w:ascii="Bookman Old Style" w:hAnsi="Bookman Old Style"/>
                <w:sz w:val="20"/>
                <w:szCs w:val="20"/>
              </w:rPr>
            </w:pPr>
          </w:p>
        </w:tc>
      </w:tr>
      <w:tr w:rsidR="007A2AAB" w:rsidRPr="009A4BC4" w14:paraId="05E88652" w14:textId="77777777" w:rsidTr="008262B9">
        <w:trPr>
          <w:trHeight w:val="244"/>
        </w:trPr>
        <w:tc>
          <w:tcPr>
            <w:tcW w:w="850" w:type="dxa"/>
            <w:tcBorders>
              <w:top w:val="single" w:sz="4" w:space="0" w:color="000000"/>
              <w:left w:val="single" w:sz="4" w:space="0" w:color="000000"/>
              <w:bottom w:val="single" w:sz="4" w:space="0" w:color="000000"/>
            </w:tcBorders>
            <w:shd w:val="clear" w:color="auto" w:fill="C9C9C9" w:themeFill="accent3" w:themeFillTint="99"/>
          </w:tcPr>
          <w:p w14:paraId="5196B88D" w14:textId="4597BF0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6</w:t>
            </w:r>
          </w:p>
        </w:tc>
        <w:tc>
          <w:tcPr>
            <w:tcW w:w="7371" w:type="dxa"/>
            <w:shd w:val="clear" w:color="auto" w:fill="C9C9C9" w:themeFill="accent3" w:themeFillTint="99"/>
          </w:tcPr>
          <w:p w14:paraId="1E32EA71" w14:textId="69891170"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Liabilitas</w:t>
            </w:r>
            <w:r w:rsidRPr="009A4BC4">
              <w:rPr>
                <w:rFonts w:ascii="Bookman Old Style" w:hAnsi="Bookman Old Style"/>
                <w:spacing w:val="-4"/>
                <w:sz w:val="20"/>
                <w:szCs w:val="20"/>
              </w:rPr>
              <w:t xml:space="preserve"> </w:t>
            </w:r>
            <w:r w:rsidRPr="009A4BC4">
              <w:rPr>
                <w:rFonts w:ascii="Bookman Old Style" w:hAnsi="Bookman Old Style"/>
                <w:sz w:val="20"/>
                <w:szCs w:val="20"/>
              </w:rPr>
              <w:t>dan</w:t>
            </w:r>
            <w:r w:rsidRPr="009A4BC4">
              <w:rPr>
                <w:rFonts w:ascii="Bookman Old Style" w:hAnsi="Bookman Old Style"/>
                <w:spacing w:val="-1"/>
                <w:sz w:val="20"/>
                <w:szCs w:val="20"/>
              </w:rPr>
              <w:t xml:space="preserve"> </w:t>
            </w:r>
            <w:r w:rsidRPr="009A4BC4">
              <w:rPr>
                <w:rFonts w:ascii="Bookman Old Style" w:hAnsi="Bookman Old Style"/>
                <w:sz w:val="20"/>
                <w:szCs w:val="20"/>
              </w:rPr>
              <w:t>ekuitas</w:t>
            </w:r>
            <w:r w:rsidRPr="009A4BC4">
              <w:rPr>
                <w:rFonts w:ascii="Bookman Old Style" w:hAnsi="Bookman Old Style"/>
                <w:spacing w:val="-4"/>
                <w:sz w:val="20"/>
                <w:szCs w:val="20"/>
              </w:rPr>
              <w:t xml:space="preserve"> </w:t>
            </w:r>
            <w:r w:rsidRPr="009A4BC4">
              <w:rPr>
                <w:rFonts w:ascii="Bookman Old Style" w:hAnsi="Bookman Old Style"/>
                <w:sz w:val="20"/>
                <w:szCs w:val="20"/>
              </w:rPr>
              <w:t>lainnya</w:t>
            </w:r>
            <w:r w:rsidRPr="009A4BC4">
              <w:rPr>
                <w:rFonts w:ascii="Bookman Old Style" w:hAnsi="Bookman Old Style"/>
                <w:spacing w:val="-2"/>
                <w:sz w:val="20"/>
                <w:szCs w:val="20"/>
              </w:rPr>
              <w:t xml:space="preserve"> </w:t>
            </w:r>
            <w:r w:rsidRPr="009A4BC4">
              <w:rPr>
                <w:rFonts w:ascii="Bookman Old Style" w:hAnsi="Bookman Old Style"/>
                <w:sz w:val="20"/>
                <w:szCs w:val="20"/>
              </w:rPr>
              <w:t>:</w:t>
            </w:r>
          </w:p>
        </w:tc>
        <w:tc>
          <w:tcPr>
            <w:tcW w:w="837" w:type="dxa"/>
            <w:shd w:val="clear" w:color="auto" w:fill="C9C9C9" w:themeFill="accent3" w:themeFillTint="99"/>
          </w:tcPr>
          <w:p w14:paraId="2258B623"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C9C9C9" w:themeFill="accent3" w:themeFillTint="99"/>
          </w:tcPr>
          <w:p w14:paraId="40502253" w14:textId="77777777" w:rsidR="007A2AAB" w:rsidRPr="009A4BC4" w:rsidRDefault="007A2AAB" w:rsidP="009A4BC4">
            <w:pPr>
              <w:pStyle w:val="TableParagraph"/>
              <w:ind w:left="108"/>
              <w:rPr>
                <w:rFonts w:ascii="Bookman Old Style" w:hAnsi="Bookman Old Style"/>
                <w:sz w:val="20"/>
                <w:szCs w:val="20"/>
              </w:rPr>
            </w:pPr>
          </w:p>
        </w:tc>
        <w:tc>
          <w:tcPr>
            <w:tcW w:w="931" w:type="dxa"/>
            <w:shd w:val="clear" w:color="auto" w:fill="C9C9C9" w:themeFill="accent3" w:themeFillTint="99"/>
          </w:tcPr>
          <w:p w14:paraId="5D419A2D"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C9C9C9" w:themeFill="accent3" w:themeFillTint="99"/>
          </w:tcPr>
          <w:p w14:paraId="38C489E3" w14:textId="77777777" w:rsidR="007A2AAB" w:rsidRPr="009A4BC4" w:rsidRDefault="007A2AAB" w:rsidP="009A4BC4">
            <w:pPr>
              <w:pStyle w:val="TableParagraph"/>
              <w:ind w:left="109"/>
              <w:rPr>
                <w:rFonts w:ascii="Bookman Old Style" w:hAnsi="Bookman Old Style"/>
                <w:sz w:val="20"/>
                <w:szCs w:val="20"/>
              </w:rPr>
            </w:pPr>
          </w:p>
        </w:tc>
        <w:tc>
          <w:tcPr>
            <w:tcW w:w="932" w:type="dxa"/>
            <w:shd w:val="clear" w:color="auto" w:fill="C9C9C9" w:themeFill="accent3" w:themeFillTint="99"/>
          </w:tcPr>
          <w:p w14:paraId="66EAA5A0"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C9C9C9" w:themeFill="accent3" w:themeFillTint="99"/>
          </w:tcPr>
          <w:p w14:paraId="52E0D4FF" w14:textId="77777777" w:rsidR="007A2AAB" w:rsidRPr="009A4BC4" w:rsidRDefault="007A2AAB" w:rsidP="009A4BC4">
            <w:pPr>
              <w:pStyle w:val="TableParagraph"/>
              <w:ind w:left="107"/>
              <w:rPr>
                <w:rFonts w:ascii="Bookman Old Style" w:hAnsi="Bookman Old Style"/>
                <w:sz w:val="20"/>
                <w:szCs w:val="20"/>
              </w:rPr>
            </w:pPr>
          </w:p>
        </w:tc>
        <w:tc>
          <w:tcPr>
            <w:tcW w:w="929" w:type="dxa"/>
            <w:shd w:val="clear" w:color="auto" w:fill="C9C9C9" w:themeFill="accent3" w:themeFillTint="99"/>
          </w:tcPr>
          <w:p w14:paraId="16582DBB"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C9C9C9" w:themeFill="accent3" w:themeFillTint="99"/>
          </w:tcPr>
          <w:p w14:paraId="4FDF1269"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BD217D1" w14:textId="77777777" w:rsidR="007A2AAB" w:rsidRPr="009A4BC4" w:rsidRDefault="007A2AAB" w:rsidP="009A4BC4">
            <w:pPr>
              <w:pStyle w:val="TableParagraph"/>
              <w:rPr>
                <w:rFonts w:ascii="Bookman Old Style" w:hAnsi="Bookman Old Style"/>
                <w:sz w:val="20"/>
                <w:szCs w:val="20"/>
              </w:rPr>
            </w:pPr>
          </w:p>
        </w:tc>
      </w:tr>
      <w:tr w:rsidR="007A2AAB" w:rsidRPr="009A4BC4" w14:paraId="5671DB0D" w14:textId="77777777" w:rsidTr="008262B9">
        <w:trPr>
          <w:trHeight w:val="244"/>
        </w:trPr>
        <w:tc>
          <w:tcPr>
            <w:tcW w:w="850" w:type="dxa"/>
            <w:tcBorders>
              <w:top w:val="single" w:sz="4" w:space="0" w:color="000000"/>
              <w:left w:val="single" w:sz="4" w:space="0" w:color="000000"/>
              <w:bottom w:val="single" w:sz="4" w:space="0" w:color="000000"/>
            </w:tcBorders>
          </w:tcPr>
          <w:p w14:paraId="5F82AFE8" w14:textId="4A6EECF9"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6.1</w:t>
            </w:r>
          </w:p>
        </w:tc>
        <w:tc>
          <w:tcPr>
            <w:tcW w:w="7371" w:type="dxa"/>
          </w:tcPr>
          <w:p w14:paraId="33A3364B" w14:textId="1C85ECE4"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NSFR</w:t>
            </w:r>
            <w:r w:rsidRPr="009A4BC4">
              <w:rPr>
                <w:rFonts w:ascii="Bookman Old Style" w:hAnsi="Bookman Old Style"/>
                <w:spacing w:val="-5"/>
                <w:sz w:val="20"/>
                <w:szCs w:val="20"/>
              </w:rPr>
              <w:t xml:space="preserve"> </w:t>
            </w:r>
            <w:r w:rsidRPr="009A4BC4">
              <w:rPr>
                <w:rFonts w:ascii="Bookman Old Style" w:hAnsi="Bookman Old Style"/>
                <w:sz w:val="20"/>
                <w:szCs w:val="20"/>
              </w:rPr>
              <w:t>net kewajiban lindung nilai (</w:t>
            </w:r>
            <w:r w:rsidRPr="009A4BC4">
              <w:rPr>
                <w:rFonts w:ascii="Bookman Old Style" w:hAnsi="Bookman Old Style"/>
                <w:i/>
                <w:iCs/>
                <w:sz w:val="20"/>
                <w:szCs w:val="20"/>
              </w:rPr>
              <w:t>hedging</w:t>
            </w:r>
            <w:r w:rsidRPr="009A4BC4">
              <w:rPr>
                <w:rFonts w:ascii="Bookman Old Style" w:hAnsi="Bookman Old Style"/>
                <w:sz w:val="20"/>
                <w:szCs w:val="20"/>
              </w:rPr>
              <w:t>) syariah</w:t>
            </w:r>
          </w:p>
        </w:tc>
        <w:tc>
          <w:tcPr>
            <w:tcW w:w="837" w:type="dxa"/>
            <w:shd w:val="clear" w:color="auto" w:fill="000000" w:themeFill="text1"/>
          </w:tcPr>
          <w:p w14:paraId="17669B03"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000000" w:themeFill="text1"/>
          </w:tcPr>
          <w:p w14:paraId="56558BAB" w14:textId="77777777" w:rsidR="007A2AAB" w:rsidRPr="009A4BC4" w:rsidRDefault="007A2AAB" w:rsidP="009A4BC4">
            <w:pPr>
              <w:pStyle w:val="TableParagraph"/>
              <w:ind w:left="108"/>
              <w:rPr>
                <w:rFonts w:ascii="Bookman Old Style" w:hAnsi="Bookman Old Style"/>
                <w:sz w:val="20"/>
                <w:szCs w:val="20"/>
              </w:rPr>
            </w:pPr>
          </w:p>
        </w:tc>
        <w:tc>
          <w:tcPr>
            <w:tcW w:w="5140" w:type="dxa"/>
            <w:gridSpan w:val="6"/>
            <w:tcBorders>
              <w:right w:val="single" w:sz="4" w:space="0" w:color="000000"/>
            </w:tcBorders>
          </w:tcPr>
          <w:p w14:paraId="7EEFC0F8" w14:textId="7FFAB239" w:rsidR="007A2AAB" w:rsidRPr="009A4BC4" w:rsidRDefault="007A2AAB" w:rsidP="009A4BC4">
            <w:pPr>
              <w:pStyle w:val="TableParagraph"/>
              <w:ind w:left="109"/>
              <w:jc w:val="center"/>
              <w:rPr>
                <w:rFonts w:ascii="Bookman Old Style" w:hAnsi="Bookman Old Style"/>
                <w:sz w:val="20"/>
                <w:szCs w:val="20"/>
              </w:rPr>
            </w:pPr>
            <w:r w:rsidRPr="009A4BC4">
              <w:rPr>
                <w:rFonts w:ascii="Bookman Old Style" w:hAnsi="Bookman Old Style"/>
                <w:sz w:val="20"/>
                <w:szCs w:val="20"/>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CAD59E" w14:textId="77777777" w:rsidR="007A2AAB" w:rsidRPr="009A4BC4" w:rsidRDefault="007A2AAB" w:rsidP="009A4BC4">
            <w:pPr>
              <w:pStyle w:val="TableParagraph"/>
              <w:rPr>
                <w:rFonts w:ascii="Bookman Old Style" w:hAnsi="Bookman Old Style"/>
                <w:sz w:val="20"/>
                <w:szCs w:val="20"/>
              </w:rPr>
            </w:pPr>
          </w:p>
        </w:tc>
      </w:tr>
      <w:tr w:rsidR="007A2AAB" w:rsidRPr="009A4BC4" w14:paraId="02BD9B8B" w14:textId="77777777" w:rsidTr="008262B9">
        <w:trPr>
          <w:trHeight w:val="244"/>
        </w:trPr>
        <w:tc>
          <w:tcPr>
            <w:tcW w:w="850" w:type="dxa"/>
            <w:tcBorders>
              <w:top w:val="single" w:sz="4" w:space="0" w:color="000000"/>
              <w:left w:val="single" w:sz="4" w:space="0" w:color="000000"/>
              <w:bottom w:val="single" w:sz="4" w:space="0" w:color="000000"/>
            </w:tcBorders>
          </w:tcPr>
          <w:p w14:paraId="3F7DF4A8" w14:textId="4CE4E0E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6.2</w:t>
            </w:r>
          </w:p>
        </w:tc>
        <w:tc>
          <w:tcPr>
            <w:tcW w:w="7371" w:type="dxa"/>
          </w:tcPr>
          <w:p w14:paraId="5E1FB462" w14:textId="0395ACEF"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liabilitas</w:t>
            </w:r>
            <w:r w:rsidRPr="009A4BC4">
              <w:rPr>
                <w:rFonts w:ascii="Bookman Old Style" w:hAnsi="Bookman Old Style"/>
                <w:spacing w:val="-4"/>
                <w:sz w:val="20"/>
                <w:szCs w:val="20"/>
              </w:rPr>
              <w:t xml:space="preserve"> </w:t>
            </w:r>
            <w:r w:rsidRPr="009A4BC4">
              <w:rPr>
                <w:rFonts w:ascii="Bookman Old Style" w:hAnsi="Bookman Old Style"/>
                <w:sz w:val="20"/>
                <w:szCs w:val="20"/>
              </w:rPr>
              <w:t>pajak</w:t>
            </w:r>
            <w:r w:rsidRPr="009A4BC4">
              <w:rPr>
                <w:rFonts w:ascii="Bookman Old Style" w:hAnsi="Bookman Old Style"/>
                <w:spacing w:val="-2"/>
                <w:sz w:val="20"/>
                <w:szCs w:val="20"/>
              </w:rPr>
              <w:t xml:space="preserve"> </w:t>
            </w:r>
            <w:r w:rsidRPr="009A4BC4">
              <w:rPr>
                <w:rFonts w:ascii="Bookman Old Style" w:hAnsi="Bookman Old Style"/>
                <w:sz w:val="20"/>
                <w:szCs w:val="20"/>
              </w:rPr>
              <w:t>tangguhan</w:t>
            </w:r>
          </w:p>
        </w:tc>
        <w:tc>
          <w:tcPr>
            <w:tcW w:w="837" w:type="dxa"/>
          </w:tcPr>
          <w:p w14:paraId="01580E43" w14:textId="77777777" w:rsidR="007A2AAB" w:rsidRPr="009A4BC4" w:rsidRDefault="007A2AAB" w:rsidP="009A4BC4">
            <w:pPr>
              <w:pStyle w:val="TableParagraph"/>
              <w:rPr>
                <w:rFonts w:ascii="Bookman Old Style" w:hAnsi="Bookman Old Style"/>
                <w:sz w:val="20"/>
                <w:szCs w:val="20"/>
              </w:rPr>
            </w:pPr>
          </w:p>
        </w:tc>
        <w:tc>
          <w:tcPr>
            <w:tcW w:w="969" w:type="dxa"/>
          </w:tcPr>
          <w:p w14:paraId="2A27E114" w14:textId="2017EF38"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100%</w:t>
            </w:r>
          </w:p>
        </w:tc>
        <w:tc>
          <w:tcPr>
            <w:tcW w:w="931" w:type="dxa"/>
          </w:tcPr>
          <w:p w14:paraId="56F293B5" w14:textId="77777777" w:rsidR="007A2AAB" w:rsidRPr="009A4BC4" w:rsidRDefault="007A2AAB" w:rsidP="009A4BC4">
            <w:pPr>
              <w:pStyle w:val="TableParagraph"/>
              <w:rPr>
                <w:rFonts w:ascii="Bookman Old Style" w:hAnsi="Bookman Old Style"/>
                <w:sz w:val="20"/>
                <w:szCs w:val="20"/>
              </w:rPr>
            </w:pPr>
          </w:p>
        </w:tc>
        <w:tc>
          <w:tcPr>
            <w:tcW w:w="775" w:type="dxa"/>
          </w:tcPr>
          <w:p w14:paraId="33196B1F" w14:textId="5140F921"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712F56AE" w14:textId="77777777" w:rsidR="007A2AAB" w:rsidRPr="009A4BC4" w:rsidRDefault="007A2AAB" w:rsidP="009A4BC4">
            <w:pPr>
              <w:pStyle w:val="TableParagraph"/>
              <w:rPr>
                <w:rFonts w:ascii="Bookman Old Style" w:hAnsi="Bookman Old Style"/>
                <w:sz w:val="20"/>
                <w:szCs w:val="20"/>
              </w:rPr>
            </w:pPr>
          </w:p>
        </w:tc>
        <w:tc>
          <w:tcPr>
            <w:tcW w:w="775" w:type="dxa"/>
          </w:tcPr>
          <w:p w14:paraId="401D49EC" w14:textId="44A25342"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3EA9AE3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0E8C3DE8" w14:textId="2260F6E0"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352FB849" w14:textId="77777777" w:rsidR="007A2AAB" w:rsidRPr="009A4BC4" w:rsidRDefault="007A2AAB" w:rsidP="009A4BC4">
            <w:pPr>
              <w:pStyle w:val="TableParagraph"/>
              <w:rPr>
                <w:rFonts w:ascii="Bookman Old Style" w:hAnsi="Bookman Old Style"/>
                <w:sz w:val="20"/>
                <w:szCs w:val="20"/>
              </w:rPr>
            </w:pPr>
          </w:p>
        </w:tc>
      </w:tr>
      <w:tr w:rsidR="007A2AAB" w:rsidRPr="009A4BC4" w14:paraId="55D75088" w14:textId="77777777" w:rsidTr="008262B9">
        <w:trPr>
          <w:trHeight w:val="244"/>
        </w:trPr>
        <w:tc>
          <w:tcPr>
            <w:tcW w:w="850" w:type="dxa"/>
            <w:tcBorders>
              <w:top w:val="single" w:sz="4" w:space="0" w:color="000000"/>
              <w:left w:val="single" w:sz="4" w:space="0" w:color="000000"/>
              <w:bottom w:val="single" w:sz="4" w:space="0" w:color="000000"/>
            </w:tcBorders>
          </w:tcPr>
          <w:p w14:paraId="46258BF5" w14:textId="7CEBB86D"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6.3</w:t>
            </w:r>
          </w:p>
        </w:tc>
        <w:tc>
          <w:tcPr>
            <w:tcW w:w="7371" w:type="dxa"/>
          </w:tcPr>
          <w:p w14:paraId="297703B5" w14:textId="7A0F319E"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kepentingan</w:t>
            </w:r>
            <w:r w:rsidRPr="009A4BC4">
              <w:rPr>
                <w:rFonts w:ascii="Bookman Old Style" w:hAnsi="Bookman Old Style"/>
                <w:spacing w:val="-4"/>
                <w:sz w:val="20"/>
                <w:szCs w:val="20"/>
              </w:rPr>
              <w:t xml:space="preserve"> </w:t>
            </w:r>
            <w:r w:rsidRPr="009A4BC4">
              <w:rPr>
                <w:rFonts w:ascii="Bookman Old Style" w:hAnsi="Bookman Old Style"/>
                <w:sz w:val="20"/>
                <w:szCs w:val="20"/>
              </w:rPr>
              <w:t>non-pengendali</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pacing w:val="-5"/>
                <w:sz w:val="20"/>
                <w:szCs w:val="20"/>
              </w:rPr>
              <w:t xml:space="preserve"> </w:t>
            </w: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memenuhi</w:t>
            </w:r>
            <w:r w:rsidRPr="009A4BC4">
              <w:rPr>
                <w:rFonts w:ascii="Bookman Old Style" w:hAnsi="Bookman Old Style"/>
                <w:spacing w:val="-4"/>
                <w:sz w:val="20"/>
                <w:szCs w:val="20"/>
              </w:rPr>
              <w:t xml:space="preserve"> </w:t>
            </w:r>
            <w:r w:rsidRPr="009A4BC4">
              <w:rPr>
                <w:rFonts w:ascii="Bookman Old Style" w:hAnsi="Bookman Old Style"/>
                <w:sz w:val="20"/>
                <w:szCs w:val="20"/>
              </w:rPr>
              <w:t>persyaratan</w:t>
            </w:r>
            <w:r w:rsidRPr="009A4BC4">
              <w:rPr>
                <w:rFonts w:ascii="Bookman Old Style" w:hAnsi="Bookman Old Style"/>
                <w:spacing w:val="-3"/>
                <w:sz w:val="20"/>
                <w:szCs w:val="20"/>
              </w:rPr>
              <w:t xml:space="preserve"> </w:t>
            </w:r>
            <w:r w:rsidRPr="009A4BC4">
              <w:rPr>
                <w:rFonts w:ascii="Bookman Old Style" w:hAnsi="Bookman Old Style"/>
                <w:sz w:val="20"/>
                <w:szCs w:val="20"/>
              </w:rPr>
              <w:t>untuk</w:t>
            </w:r>
            <w:r w:rsidRPr="009A4BC4">
              <w:rPr>
                <w:rFonts w:ascii="Bookman Old Style" w:hAnsi="Bookman Old Style"/>
                <w:spacing w:val="-42"/>
                <w:sz w:val="20"/>
                <w:szCs w:val="20"/>
                <w:lang w:val="en-US"/>
              </w:rPr>
              <w:t xml:space="preserve"> </w:t>
            </w:r>
            <w:r w:rsidRPr="009A4BC4">
              <w:rPr>
                <w:rFonts w:ascii="Bookman Old Style" w:hAnsi="Bookman Old Style"/>
                <w:sz w:val="20"/>
                <w:szCs w:val="20"/>
              </w:rPr>
              <w:t>diperhitungkan</w:t>
            </w:r>
            <w:r w:rsidRPr="009A4BC4">
              <w:rPr>
                <w:rFonts w:ascii="Bookman Old Style" w:hAnsi="Bookman Old Style"/>
                <w:spacing w:val="-1"/>
                <w:sz w:val="20"/>
                <w:szCs w:val="20"/>
              </w:rPr>
              <w:t xml:space="preserve"> </w:t>
            </w:r>
            <w:r w:rsidRPr="009A4BC4">
              <w:rPr>
                <w:rFonts w:ascii="Bookman Old Style" w:hAnsi="Bookman Old Style"/>
                <w:sz w:val="20"/>
                <w:szCs w:val="20"/>
              </w:rPr>
              <w:t>sebagai modal</w:t>
            </w:r>
            <w:r w:rsidRPr="009A4BC4">
              <w:rPr>
                <w:rFonts w:ascii="Bookman Old Style" w:hAnsi="Bookman Old Style"/>
                <w:spacing w:val="-1"/>
                <w:sz w:val="20"/>
                <w:szCs w:val="20"/>
              </w:rPr>
              <w:t xml:space="preserve"> </w:t>
            </w:r>
            <w:r w:rsidRPr="009A4BC4">
              <w:rPr>
                <w:rFonts w:ascii="Bookman Old Style" w:hAnsi="Bookman Old Style"/>
                <w:sz w:val="20"/>
                <w:szCs w:val="20"/>
              </w:rPr>
              <w:t>inti utama</w:t>
            </w:r>
            <w:r w:rsidRPr="009A4BC4">
              <w:rPr>
                <w:rFonts w:ascii="Bookman Old Style" w:hAnsi="Bookman Old Style"/>
                <w:spacing w:val="3"/>
                <w:sz w:val="20"/>
                <w:szCs w:val="20"/>
              </w:rPr>
              <w:t xml:space="preserve"> </w:t>
            </w:r>
            <w:r w:rsidRPr="009A4BC4">
              <w:rPr>
                <w:rFonts w:ascii="Bookman Old Style" w:hAnsi="Bookman Old Style"/>
                <w:i/>
                <w:sz w:val="20"/>
                <w:szCs w:val="20"/>
              </w:rPr>
              <w:t>(Tier</w:t>
            </w:r>
            <w:r w:rsidRPr="009A4BC4">
              <w:rPr>
                <w:rFonts w:ascii="Bookman Old Style" w:hAnsi="Bookman Old Style"/>
                <w:i/>
                <w:spacing w:val="-1"/>
                <w:sz w:val="20"/>
                <w:szCs w:val="20"/>
              </w:rPr>
              <w:t xml:space="preserve"> </w:t>
            </w:r>
            <w:r w:rsidRPr="009A4BC4">
              <w:rPr>
                <w:rFonts w:ascii="Bookman Old Style" w:hAnsi="Bookman Old Style"/>
                <w:sz w:val="20"/>
                <w:szCs w:val="20"/>
              </w:rPr>
              <w:t>1)</w:t>
            </w:r>
          </w:p>
        </w:tc>
        <w:tc>
          <w:tcPr>
            <w:tcW w:w="837" w:type="dxa"/>
          </w:tcPr>
          <w:p w14:paraId="55D5F817" w14:textId="77777777" w:rsidR="007A2AAB" w:rsidRPr="009A4BC4" w:rsidRDefault="007A2AAB" w:rsidP="009A4BC4">
            <w:pPr>
              <w:pStyle w:val="TableParagraph"/>
              <w:rPr>
                <w:rFonts w:ascii="Bookman Old Style" w:hAnsi="Bookman Old Style"/>
                <w:sz w:val="20"/>
                <w:szCs w:val="20"/>
              </w:rPr>
            </w:pPr>
          </w:p>
        </w:tc>
        <w:tc>
          <w:tcPr>
            <w:tcW w:w="969" w:type="dxa"/>
          </w:tcPr>
          <w:p w14:paraId="33EF7CB3" w14:textId="77777777" w:rsidR="007A2AAB" w:rsidRPr="009A4BC4" w:rsidRDefault="007A2AAB" w:rsidP="009A4BC4">
            <w:pPr>
              <w:pStyle w:val="TableParagraph"/>
              <w:rPr>
                <w:rFonts w:ascii="Bookman Old Style" w:hAnsi="Bookman Old Style"/>
                <w:sz w:val="20"/>
                <w:szCs w:val="20"/>
              </w:rPr>
            </w:pPr>
          </w:p>
          <w:p w14:paraId="0C9B732F" w14:textId="058FB413"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100%</w:t>
            </w:r>
          </w:p>
        </w:tc>
        <w:tc>
          <w:tcPr>
            <w:tcW w:w="931" w:type="dxa"/>
          </w:tcPr>
          <w:p w14:paraId="429E89F9" w14:textId="77777777" w:rsidR="007A2AAB" w:rsidRPr="009A4BC4" w:rsidRDefault="007A2AAB" w:rsidP="009A4BC4">
            <w:pPr>
              <w:pStyle w:val="TableParagraph"/>
              <w:rPr>
                <w:rFonts w:ascii="Bookman Old Style" w:hAnsi="Bookman Old Style"/>
                <w:sz w:val="20"/>
                <w:szCs w:val="20"/>
              </w:rPr>
            </w:pPr>
          </w:p>
        </w:tc>
        <w:tc>
          <w:tcPr>
            <w:tcW w:w="775" w:type="dxa"/>
          </w:tcPr>
          <w:p w14:paraId="74FBF698" w14:textId="77777777" w:rsidR="007A2AAB" w:rsidRPr="009A4BC4" w:rsidRDefault="007A2AAB" w:rsidP="009A4BC4">
            <w:pPr>
              <w:pStyle w:val="TableParagraph"/>
              <w:rPr>
                <w:rFonts w:ascii="Bookman Old Style" w:hAnsi="Bookman Old Style"/>
                <w:sz w:val="20"/>
                <w:szCs w:val="20"/>
              </w:rPr>
            </w:pPr>
          </w:p>
          <w:p w14:paraId="571FDC43" w14:textId="0130202E"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7C51E920" w14:textId="77777777" w:rsidR="007A2AAB" w:rsidRPr="009A4BC4" w:rsidRDefault="007A2AAB" w:rsidP="009A4BC4">
            <w:pPr>
              <w:pStyle w:val="TableParagraph"/>
              <w:rPr>
                <w:rFonts w:ascii="Bookman Old Style" w:hAnsi="Bookman Old Style"/>
                <w:sz w:val="20"/>
                <w:szCs w:val="20"/>
              </w:rPr>
            </w:pPr>
          </w:p>
        </w:tc>
        <w:tc>
          <w:tcPr>
            <w:tcW w:w="775" w:type="dxa"/>
          </w:tcPr>
          <w:p w14:paraId="2E4F3B09" w14:textId="77777777" w:rsidR="007A2AAB" w:rsidRPr="009A4BC4" w:rsidRDefault="007A2AAB" w:rsidP="009A4BC4">
            <w:pPr>
              <w:pStyle w:val="TableParagraph"/>
              <w:rPr>
                <w:rFonts w:ascii="Bookman Old Style" w:hAnsi="Bookman Old Style"/>
                <w:sz w:val="20"/>
                <w:szCs w:val="20"/>
              </w:rPr>
            </w:pPr>
          </w:p>
          <w:p w14:paraId="6D697B51" w14:textId="3098963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02ACB4A9"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68C6DDE8" w14:textId="77777777" w:rsidR="007A2AAB" w:rsidRPr="009A4BC4" w:rsidRDefault="007A2AAB" w:rsidP="009A4BC4">
            <w:pPr>
              <w:pStyle w:val="TableParagraph"/>
              <w:ind w:right="-21"/>
              <w:rPr>
                <w:rFonts w:ascii="Bookman Old Style" w:hAnsi="Bookman Old Style"/>
                <w:sz w:val="20"/>
                <w:szCs w:val="20"/>
              </w:rPr>
            </w:pPr>
          </w:p>
          <w:p w14:paraId="369B6FF7" w14:textId="303BF864"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042335E5" w14:textId="77777777" w:rsidR="007A2AAB" w:rsidRPr="009A4BC4" w:rsidRDefault="007A2AAB" w:rsidP="009A4BC4">
            <w:pPr>
              <w:pStyle w:val="TableParagraph"/>
              <w:rPr>
                <w:rFonts w:ascii="Bookman Old Style" w:hAnsi="Bookman Old Style"/>
                <w:sz w:val="20"/>
                <w:szCs w:val="20"/>
              </w:rPr>
            </w:pPr>
          </w:p>
        </w:tc>
      </w:tr>
      <w:tr w:rsidR="007A2AAB" w:rsidRPr="009A4BC4" w14:paraId="61946C8F" w14:textId="77777777" w:rsidTr="008262B9">
        <w:trPr>
          <w:trHeight w:val="244"/>
        </w:trPr>
        <w:tc>
          <w:tcPr>
            <w:tcW w:w="850" w:type="dxa"/>
            <w:tcBorders>
              <w:top w:val="single" w:sz="4" w:space="0" w:color="000000"/>
              <w:left w:val="single" w:sz="4" w:space="0" w:color="000000"/>
              <w:bottom w:val="single" w:sz="4" w:space="0" w:color="000000"/>
            </w:tcBorders>
          </w:tcPr>
          <w:p w14:paraId="6258A0C1" w14:textId="07B4F41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6.4</w:t>
            </w:r>
          </w:p>
        </w:tc>
        <w:tc>
          <w:tcPr>
            <w:tcW w:w="7371" w:type="dxa"/>
          </w:tcPr>
          <w:p w14:paraId="7D1BE413" w14:textId="4404CF14"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utang</w:t>
            </w:r>
            <w:r w:rsidRPr="009A4BC4">
              <w:rPr>
                <w:rFonts w:ascii="Bookman Old Style" w:hAnsi="Bookman Old Style"/>
                <w:spacing w:val="-4"/>
                <w:sz w:val="20"/>
                <w:szCs w:val="20"/>
              </w:rPr>
              <w:t xml:space="preserve"> </w:t>
            </w:r>
            <w:r w:rsidRPr="009A4BC4">
              <w:rPr>
                <w:rFonts w:ascii="Bookman Old Style" w:hAnsi="Bookman Old Style"/>
                <w:sz w:val="20"/>
                <w:szCs w:val="20"/>
              </w:rPr>
              <w:t>tanggal</w:t>
            </w:r>
            <w:r w:rsidRPr="009A4BC4">
              <w:rPr>
                <w:rFonts w:ascii="Bookman Old Style" w:hAnsi="Bookman Old Style"/>
                <w:spacing w:val="-4"/>
                <w:sz w:val="20"/>
                <w:szCs w:val="20"/>
              </w:rPr>
              <w:t xml:space="preserve"> </w:t>
            </w:r>
            <w:r w:rsidRPr="009A4BC4">
              <w:rPr>
                <w:rFonts w:ascii="Bookman Old Style" w:hAnsi="Bookman Old Style"/>
                <w:sz w:val="20"/>
                <w:szCs w:val="20"/>
              </w:rPr>
              <w:t>perdagangan</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trade</w:t>
            </w:r>
            <w:r w:rsidRPr="009A4BC4">
              <w:rPr>
                <w:rFonts w:ascii="Bookman Old Style" w:hAnsi="Bookman Old Style"/>
                <w:i/>
                <w:spacing w:val="-3"/>
                <w:sz w:val="20"/>
                <w:szCs w:val="20"/>
              </w:rPr>
              <w:t xml:space="preserve"> </w:t>
            </w:r>
            <w:r w:rsidRPr="009A4BC4">
              <w:rPr>
                <w:rFonts w:ascii="Bookman Old Style" w:hAnsi="Bookman Old Style"/>
                <w:i/>
                <w:sz w:val="20"/>
                <w:szCs w:val="20"/>
              </w:rPr>
              <w:t>date</w:t>
            </w:r>
            <w:r w:rsidRPr="009A4BC4">
              <w:rPr>
                <w:rFonts w:ascii="Bookman Old Style" w:hAnsi="Bookman Old Style"/>
                <w:i/>
                <w:spacing w:val="-2"/>
                <w:sz w:val="20"/>
                <w:szCs w:val="20"/>
              </w:rPr>
              <w:t xml:space="preserve"> </w:t>
            </w:r>
            <w:r w:rsidRPr="009A4BC4">
              <w:rPr>
                <w:rFonts w:ascii="Bookman Old Style" w:hAnsi="Bookman Old Style"/>
                <w:i/>
                <w:sz w:val="20"/>
                <w:szCs w:val="20"/>
              </w:rPr>
              <w:t>payable</w:t>
            </w:r>
            <w:r w:rsidRPr="009A4BC4">
              <w:rPr>
                <w:rFonts w:ascii="Bookman Old Style" w:hAnsi="Bookman Old Style"/>
                <w:sz w:val="20"/>
                <w:szCs w:val="20"/>
              </w:rPr>
              <w:t>)</w:t>
            </w:r>
          </w:p>
        </w:tc>
        <w:tc>
          <w:tcPr>
            <w:tcW w:w="837" w:type="dxa"/>
          </w:tcPr>
          <w:p w14:paraId="3209B68C" w14:textId="77777777" w:rsidR="007A2AAB" w:rsidRPr="009A4BC4" w:rsidRDefault="007A2AAB" w:rsidP="009A4BC4">
            <w:pPr>
              <w:pStyle w:val="TableParagraph"/>
              <w:rPr>
                <w:rFonts w:ascii="Bookman Old Style" w:hAnsi="Bookman Old Style"/>
                <w:sz w:val="20"/>
                <w:szCs w:val="20"/>
              </w:rPr>
            </w:pPr>
          </w:p>
        </w:tc>
        <w:tc>
          <w:tcPr>
            <w:tcW w:w="969" w:type="dxa"/>
          </w:tcPr>
          <w:p w14:paraId="39ACE643" w14:textId="0788F900"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390A642B" w14:textId="77777777" w:rsidR="007A2AAB" w:rsidRPr="009A4BC4" w:rsidRDefault="007A2AAB" w:rsidP="009A4BC4">
            <w:pPr>
              <w:pStyle w:val="TableParagraph"/>
              <w:rPr>
                <w:rFonts w:ascii="Bookman Old Style" w:hAnsi="Bookman Old Style"/>
                <w:sz w:val="20"/>
                <w:szCs w:val="20"/>
              </w:rPr>
            </w:pPr>
          </w:p>
        </w:tc>
        <w:tc>
          <w:tcPr>
            <w:tcW w:w="775" w:type="dxa"/>
          </w:tcPr>
          <w:p w14:paraId="5EB19891" w14:textId="2CC53A76"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5E36CF6F" w14:textId="77777777" w:rsidR="007A2AAB" w:rsidRPr="009A4BC4" w:rsidRDefault="007A2AAB" w:rsidP="009A4BC4">
            <w:pPr>
              <w:pStyle w:val="TableParagraph"/>
              <w:rPr>
                <w:rFonts w:ascii="Bookman Old Style" w:hAnsi="Bookman Old Style"/>
                <w:sz w:val="20"/>
                <w:szCs w:val="20"/>
              </w:rPr>
            </w:pPr>
          </w:p>
        </w:tc>
        <w:tc>
          <w:tcPr>
            <w:tcW w:w="775" w:type="dxa"/>
          </w:tcPr>
          <w:p w14:paraId="77C0D094" w14:textId="256082F5"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0%</w:t>
            </w:r>
          </w:p>
        </w:tc>
        <w:tc>
          <w:tcPr>
            <w:tcW w:w="929" w:type="dxa"/>
          </w:tcPr>
          <w:p w14:paraId="3B0EB640"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3E729216" w14:textId="028CAC6D"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1842" w:type="dxa"/>
            <w:tcBorders>
              <w:top w:val="single" w:sz="4" w:space="0" w:color="000000"/>
              <w:left w:val="single" w:sz="4" w:space="0" w:color="000000"/>
              <w:bottom w:val="single" w:sz="4" w:space="0" w:color="000000"/>
              <w:right w:val="single" w:sz="4" w:space="0" w:color="000000"/>
            </w:tcBorders>
          </w:tcPr>
          <w:p w14:paraId="4C5B31DB" w14:textId="77777777" w:rsidR="007A2AAB" w:rsidRPr="009A4BC4" w:rsidRDefault="007A2AAB" w:rsidP="009A4BC4">
            <w:pPr>
              <w:pStyle w:val="TableParagraph"/>
              <w:rPr>
                <w:rFonts w:ascii="Bookman Old Style" w:hAnsi="Bookman Old Style"/>
                <w:sz w:val="20"/>
                <w:szCs w:val="20"/>
              </w:rPr>
            </w:pPr>
          </w:p>
        </w:tc>
      </w:tr>
      <w:tr w:rsidR="007A2AAB" w:rsidRPr="009A4BC4" w14:paraId="24FB3CA9" w14:textId="77777777" w:rsidTr="008262B9">
        <w:trPr>
          <w:trHeight w:val="244"/>
        </w:trPr>
        <w:tc>
          <w:tcPr>
            <w:tcW w:w="850" w:type="dxa"/>
            <w:tcBorders>
              <w:top w:val="single" w:sz="4" w:space="0" w:color="000000"/>
              <w:left w:val="single" w:sz="4" w:space="0" w:color="000000"/>
              <w:bottom w:val="single" w:sz="4" w:space="0" w:color="000000"/>
            </w:tcBorders>
          </w:tcPr>
          <w:p w14:paraId="6A4376A5" w14:textId="69BF86A5"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6.5</w:t>
            </w:r>
          </w:p>
        </w:tc>
        <w:tc>
          <w:tcPr>
            <w:tcW w:w="7371" w:type="dxa"/>
          </w:tcPr>
          <w:p w14:paraId="392B82CA" w14:textId="739D58DC"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sz w:val="20"/>
                <w:szCs w:val="20"/>
              </w:rPr>
              <w:t>ekuitas</w:t>
            </w:r>
            <w:r w:rsidRPr="009A4BC4">
              <w:rPr>
                <w:rFonts w:ascii="Bookman Old Style" w:hAnsi="Bookman Old Style"/>
                <w:spacing w:val="-4"/>
                <w:sz w:val="20"/>
                <w:szCs w:val="20"/>
              </w:rPr>
              <w:t xml:space="preserve"> </w:t>
            </w:r>
            <w:r w:rsidRPr="009A4BC4">
              <w:rPr>
                <w:rFonts w:ascii="Bookman Old Style" w:hAnsi="Bookman Old Style"/>
                <w:sz w:val="20"/>
                <w:szCs w:val="20"/>
              </w:rPr>
              <w:t>dan</w:t>
            </w:r>
            <w:r w:rsidRPr="009A4BC4">
              <w:rPr>
                <w:rFonts w:ascii="Bookman Old Style" w:hAnsi="Bookman Old Style"/>
                <w:spacing w:val="-4"/>
                <w:sz w:val="20"/>
                <w:szCs w:val="20"/>
              </w:rPr>
              <w:t xml:space="preserve"> </w:t>
            </w:r>
            <w:r w:rsidRPr="009A4BC4">
              <w:rPr>
                <w:rFonts w:ascii="Bookman Old Style" w:hAnsi="Bookman Old Style"/>
                <w:sz w:val="20"/>
                <w:szCs w:val="20"/>
              </w:rPr>
              <w:t>liabilitas</w:t>
            </w:r>
            <w:r w:rsidRPr="009A4BC4">
              <w:rPr>
                <w:rFonts w:ascii="Bookman Old Style" w:hAnsi="Bookman Old Style"/>
                <w:spacing w:val="-4"/>
                <w:sz w:val="20"/>
                <w:szCs w:val="20"/>
              </w:rPr>
              <w:t xml:space="preserve"> </w:t>
            </w:r>
            <w:r w:rsidRPr="009A4BC4">
              <w:rPr>
                <w:rFonts w:ascii="Bookman Old Style" w:hAnsi="Bookman Old Style"/>
                <w:sz w:val="20"/>
                <w:szCs w:val="20"/>
              </w:rPr>
              <w:t>lainnya</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masuk</w:t>
            </w:r>
            <w:r w:rsidRPr="009A4BC4">
              <w:rPr>
                <w:rFonts w:ascii="Bookman Old Style" w:hAnsi="Bookman Old Style"/>
                <w:spacing w:val="-2"/>
                <w:sz w:val="20"/>
                <w:szCs w:val="20"/>
              </w:rPr>
              <w:t xml:space="preserve"> </w:t>
            </w:r>
            <w:r w:rsidRPr="009A4BC4">
              <w:rPr>
                <w:rFonts w:ascii="Bookman Old Style" w:hAnsi="Bookman Old Style"/>
                <w:sz w:val="20"/>
                <w:szCs w:val="20"/>
              </w:rPr>
              <w:t>dalam</w:t>
            </w:r>
            <w:r w:rsidRPr="009A4BC4">
              <w:rPr>
                <w:rFonts w:ascii="Bookman Old Style" w:hAnsi="Bookman Old Style"/>
                <w:spacing w:val="-3"/>
                <w:sz w:val="20"/>
                <w:szCs w:val="20"/>
              </w:rPr>
              <w:t xml:space="preserve"> </w:t>
            </w:r>
            <w:r w:rsidRPr="009A4BC4">
              <w:rPr>
                <w:rFonts w:ascii="Bookman Old Style" w:hAnsi="Bookman Old Style"/>
                <w:sz w:val="20"/>
                <w:szCs w:val="20"/>
              </w:rPr>
              <w:t>kategori</w:t>
            </w:r>
            <w:r w:rsidRPr="009A4BC4">
              <w:rPr>
                <w:rFonts w:ascii="Bookman Old Style" w:hAnsi="Bookman Old Style"/>
                <w:spacing w:val="-2"/>
                <w:sz w:val="20"/>
                <w:szCs w:val="20"/>
              </w:rPr>
              <w:t xml:space="preserve"> </w:t>
            </w:r>
            <w:r w:rsidRPr="009A4BC4">
              <w:rPr>
                <w:rFonts w:ascii="Bookman Old Style" w:hAnsi="Bookman Old Style"/>
                <w:sz w:val="20"/>
                <w:szCs w:val="20"/>
              </w:rPr>
              <w:t>diatas,</w:t>
            </w:r>
            <w:r w:rsidRPr="009A4BC4">
              <w:rPr>
                <w:rFonts w:ascii="Bookman Old Style" w:hAnsi="Bookman Old Style"/>
                <w:sz w:val="20"/>
                <w:szCs w:val="20"/>
                <w:lang w:val="en-US"/>
              </w:rPr>
              <w:t xml:space="preserve"> </w:t>
            </w:r>
            <w:r w:rsidRPr="009A4BC4">
              <w:rPr>
                <w:rFonts w:ascii="Bookman Old Style" w:hAnsi="Bookman Old Style"/>
                <w:sz w:val="20"/>
                <w:szCs w:val="20"/>
              </w:rPr>
              <w:t>termasuk</w:t>
            </w:r>
            <w:r w:rsidRPr="009A4BC4">
              <w:rPr>
                <w:rFonts w:ascii="Bookman Old Style" w:hAnsi="Bookman Old Style"/>
                <w:spacing w:val="-3"/>
                <w:sz w:val="20"/>
                <w:szCs w:val="20"/>
              </w:rPr>
              <w:t xml:space="preserve"> </w:t>
            </w:r>
            <w:r w:rsidRPr="009A4BC4">
              <w:rPr>
                <w:rFonts w:ascii="Bookman Old Style" w:hAnsi="Bookman Old Style"/>
                <w:sz w:val="20"/>
                <w:szCs w:val="20"/>
              </w:rPr>
              <w:t>liabilitas</w:t>
            </w:r>
            <w:r w:rsidRPr="009A4BC4">
              <w:rPr>
                <w:rFonts w:ascii="Bookman Old Style" w:hAnsi="Bookman Old Style"/>
                <w:spacing w:val="-4"/>
                <w:sz w:val="20"/>
                <w:szCs w:val="20"/>
              </w:rPr>
              <w:t xml:space="preserve"> </w:t>
            </w:r>
            <w:r w:rsidRPr="009A4BC4">
              <w:rPr>
                <w:rFonts w:ascii="Bookman Old Style" w:hAnsi="Bookman Old Style"/>
                <w:sz w:val="20"/>
                <w:szCs w:val="20"/>
              </w:rPr>
              <w:t>lainnya</w:t>
            </w:r>
            <w:r w:rsidRPr="009A4BC4">
              <w:rPr>
                <w:rFonts w:ascii="Bookman Old Style" w:hAnsi="Bookman Old Style"/>
                <w:spacing w:val="-2"/>
                <w:sz w:val="20"/>
                <w:szCs w:val="20"/>
              </w:rPr>
              <w:t xml:space="preserve"> </w:t>
            </w:r>
            <w:r w:rsidRPr="009A4BC4">
              <w:rPr>
                <w:rFonts w:ascii="Bookman Old Style" w:hAnsi="Bookman Old Style"/>
                <w:sz w:val="20"/>
                <w:szCs w:val="20"/>
              </w:rPr>
              <w:t>tanpa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p>
        </w:tc>
        <w:tc>
          <w:tcPr>
            <w:tcW w:w="837" w:type="dxa"/>
          </w:tcPr>
          <w:p w14:paraId="554559F8" w14:textId="77777777" w:rsidR="007A2AAB" w:rsidRPr="009A4BC4" w:rsidRDefault="007A2AAB" w:rsidP="009A4BC4">
            <w:pPr>
              <w:pStyle w:val="TableParagraph"/>
              <w:rPr>
                <w:rFonts w:ascii="Bookman Old Style" w:hAnsi="Bookman Old Style"/>
                <w:sz w:val="20"/>
                <w:szCs w:val="20"/>
              </w:rPr>
            </w:pPr>
          </w:p>
        </w:tc>
        <w:tc>
          <w:tcPr>
            <w:tcW w:w="969" w:type="dxa"/>
          </w:tcPr>
          <w:p w14:paraId="7666D67F" w14:textId="77777777" w:rsidR="007A2AAB" w:rsidRPr="009A4BC4" w:rsidRDefault="007A2AAB" w:rsidP="009A4BC4">
            <w:pPr>
              <w:pStyle w:val="TableParagraph"/>
              <w:rPr>
                <w:rFonts w:ascii="Bookman Old Style" w:hAnsi="Bookman Old Style"/>
                <w:sz w:val="20"/>
                <w:szCs w:val="20"/>
              </w:rPr>
            </w:pPr>
          </w:p>
          <w:p w14:paraId="60997015" w14:textId="623FB999" w:rsidR="007A2AAB" w:rsidRPr="009A4BC4" w:rsidRDefault="007A2AAB" w:rsidP="009A4BC4">
            <w:pPr>
              <w:pStyle w:val="TableParagraph"/>
              <w:ind w:left="108"/>
              <w:rPr>
                <w:rFonts w:ascii="Bookman Old Style" w:hAnsi="Bookman Old Style"/>
                <w:sz w:val="20"/>
                <w:szCs w:val="20"/>
              </w:rPr>
            </w:pPr>
            <w:r w:rsidRPr="009A4BC4">
              <w:rPr>
                <w:rFonts w:ascii="Bookman Old Style" w:hAnsi="Bookman Old Style"/>
                <w:sz w:val="20"/>
                <w:szCs w:val="20"/>
              </w:rPr>
              <w:t>0%</w:t>
            </w:r>
          </w:p>
        </w:tc>
        <w:tc>
          <w:tcPr>
            <w:tcW w:w="931" w:type="dxa"/>
          </w:tcPr>
          <w:p w14:paraId="796DD288" w14:textId="77777777" w:rsidR="007A2AAB" w:rsidRPr="009A4BC4" w:rsidRDefault="007A2AAB" w:rsidP="009A4BC4">
            <w:pPr>
              <w:pStyle w:val="TableParagraph"/>
              <w:rPr>
                <w:rFonts w:ascii="Bookman Old Style" w:hAnsi="Bookman Old Style"/>
                <w:sz w:val="20"/>
                <w:szCs w:val="20"/>
              </w:rPr>
            </w:pPr>
          </w:p>
        </w:tc>
        <w:tc>
          <w:tcPr>
            <w:tcW w:w="775" w:type="dxa"/>
          </w:tcPr>
          <w:p w14:paraId="41C01F56" w14:textId="77777777" w:rsidR="007A2AAB" w:rsidRPr="009A4BC4" w:rsidRDefault="007A2AAB" w:rsidP="009A4BC4">
            <w:pPr>
              <w:pStyle w:val="TableParagraph"/>
              <w:rPr>
                <w:rFonts w:ascii="Bookman Old Style" w:hAnsi="Bookman Old Style"/>
                <w:sz w:val="20"/>
                <w:szCs w:val="20"/>
              </w:rPr>
            </w:pPr>
          </w:p>
          <w:p w14:paraId="0532A3BF" w14:textId="027F10A5"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0%</w:t>
            </w:r>
          </w:p>
        </w:tc>
        <w:tc>
          <w:tcPr>
            <w:tcW w:w="932" w:type="dxa"/>
          </w:tcPr>
          <w:p w14:paraId="02C07F14" w14:textId="77777777" w:rsidR="007A2AAB" w:rsidRPr="009A4BC4" w:rsidRDefault="007A2AAB" w:rsidP="009A4BC4">
            <w:pPr>
              <w:pStyle w:val="TableParagraph"/>
              <w:rPr>
                <w:rFonts w:ascii="Bookman Old Style" w:hAnsi="Bookman Old Style"/>
                <w:sz w:val="20"/>
                <w:szCs w:val="20"/>
              </w:rPr>
            </w:pPr>
          </w:p>
        </w:tc>
        <w:tc>
          <w:tcPr>
            <w:tcW w:w="775" w:type="dxa"/>
          </w:tcPr>
          <w:p w14:paraId="5FAE3AB8" w14:textId="77777777" w:rsidR="007A2AAB" w:rsidRPr="009A4BC4" w:rsidRDefault="007A2AAB" w:rsidP="009A4BC4">
            <w:pPr>
              <w:pStyle w:val="TableParagraph"/>
              <w:rPr>
                <w:rFonts w:ascii="Bookman Old Style" w:hAnsi="Bookman Old Style"/>
                <w:sz w:val="20"/>
                <w:szCs w:val="20"/>
              </w:rPr>
            </w:pPr>
          </w:p>
          <w:p w14:paraId="2DD7C795" w14:textId="3A0F8834"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50%</w:t>
            </w:r>
          </w:p>
        </w:tc>
        <w:tc>
          <w:tcPr>
            <w:tcW w:w="929" w:type="dxa"/>
          </w:tcPr>
          <w:p w14:paraId="4A106424"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tcPr>
          <w:p w14:paraId="00E8F7D4" w14:textId="77777777" w:rsidR="007A2AAB" w:rsidRPr="009A4BC4" w:rsidRDefault="007A2AAB" w:rsidP="009A4BC4">
            <w:pPr>
              <w:pStyle w:val="TableParagraph"/>
              <w:rPr>
                <w:rFonts w:ascii="Bookman Old Style" w:hAnsi="Bookman Old Style"/>
                <w:sz w:val="20"/>
                <w:szCs w:val="20"/>
              </w:rPr>
            </w:pPr>
          </w:p>
          <w:p w14:paraId="71DE8EB8" w14:textId="047837B1" w:rsidR="007A2AAB" w:rsidRPr="009A4BC4" w:rsidRDefault="007A2AAB" w:rsidP="009A4BC4">
            <w:pPr>
              <w:pStyle w:val="TableParagraph"/>
              <w:ind w:left="109"/>
              <w:rPr>
                <w:rFonts w:ascii="Bookman Old Style" w:hAnsi="Bookman Old Style"/>
                <w:sz w:val="20"/>
                <w:szCs w:val="20"/>
              </w:rPr>
            </w:pPr>
            <w:r w:rsidRPr="009A4BC4">
              <w:rPr>
                <w:rFonts w:ascii="Bookman Old Style" w:hAnsi="Bookman Old Style"/>
                <w:sz w:val="20"/>
                <w:szCs w:val="20"/>
              </w:rPr>
              <w:t>100%</w:t>
            </w:r>
          </w:p>
        </w:tc>
        <w:tc>
          <w:tcPr>
            <w:tcW w:w="1842" w:type="dxa"/>
            <w:tcBorders>
              <w:top w:val="single" w:sz="4" w:space="0" w:color="000000"/>
              <w:left w:val="single" w:sz="4" w:space="0" w:color="000000"/>
              <w:bottom w:val="single" w:sz="4" w:space="0" w:color="000000"/>
              <w:right w:val="single" w:sz="4" w:space="0" w:color="000000"/>
            </w:tcBorders>
          </w:tcPr>
          <w:p w14:paraId="02161A4A" w14:textId="77777777" w:rsidR="007A2AAB" w:rsidRPr="009A4BC4" w:rsidRDefault="007A2AAB" w:rsidP="009A4BC4">
            <w:pPr>
              <w:pStyle w:val="TableParagraph"/>
              <w:rPr>
                <w:rFonts w:ascii="Bookman Old Style" w:hAnsi="Bookman Old Style"/>
                <w:sz w:val="20"/>
                <w:szCs w:val="20"/>
              </w:rPr>
            </w:pPr>
          </w:p>
        </w:tc>
      </w:tr>
      <w:tr w:rsidR="007A2AAB" w:rsidRPr="009A4BC4" w14:paraId="640FB430" w14:textId="77777777" w:rsidTr="008262B9">
        <w:trPr>
          <w:trHeight w:val="244"/>
        </w:trPr>
        <w:tc>
          <w:tcPr>
            <w:tcW w:w="850" w:type="dxa"/>
            <w:tcBorders>
              <w:top w:val="single" w:sz="4" w:space="0" w:color="000000"/>
              <w:left w:val="single" w:sz="4" w:space="0" w:color="000000"/>
              <w:bottom w:val="single" w:sz="4" w:space="0" w:color="000000"/>
            </w:tcBorders>
          </w:tcPr>
          <w:p w14:paraId="4CEE2346" w14:textId="12FD3335"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b/>
                <w:w w:val="99"/>
                <w:sz w:val="20"/>
                <w:szCs w:val="20"/>
              </w:rPr>
              <w:t>7</w:t>
            </w:r>
          </w:p>
        </w:tc>
        <w:tc>
          <w:tcPr>
            <w:tcW w:w="7371" w:type="dxa"/>
          </w:tcPr>
          <w:p w14:paraId="66CC0CB1" w14:textId="16A2362E" w:rsidR="007A2AAB" w:rsidRPr="009A4BC4" w:rsidRDefault="007A2AAB" w:rsidP="009A4BC4">
            <w:pPr>
              <w:pStyle w:val="TableParagraph"/>
              <w:ind w:left="878"/>
              <w:rPr>
                <w:rFonts w:ascii="Bookman Old Style" w:hAnsi="Bookman Old Style"/>
                <w:sz w:val="20"/>
                <w:szCs w:val="20"/>
              </w:rPr>
            </w:pPr>
            <w:r w:rsidRPr="009A4BC4">
              <w:rPr>
                <w:rFonts w:ascii="Bookman Old Style" w:hAnsi="Bookman Old Style"/>
                <w:b/>
                <w:sz w:val="20"/>
                <w:szCs w:val="20"/>
              </w:rPr>
              <w:t>Total</w:t>
            </w:r>
            <w:r w:rsidRPr="009A4BC4">
              <w:rPr>
                <w:rFonts w:ascii="Bookman Old Style" w:hAnsi="Bookman Old Style"/>
                <w:b/>
                <w:spacing w:val="-3"/>
                <w:sz w:val="20"/>
                <w:szCs w:val="20"/>
              </w:rPr>
              <w:t xml:space="preserve"> </w:t>
            </w:r>
            <w:r w:rsidRPr="009A4BC4">
              <w:rPr>
                <w:rFonts w:ascii="Bookman Old Style" w:hAnsi="Bookman Old Style"/>
                <w:b/>
                <w:sz w:val="20"/>
                <w:szCs w:val="20"/>
              </w:rPr>
              <w:t>ASF</w:t>
            </w:r>
          </w:p>
        </w:tc>
        <w:tc>
          <w:tcPr>
            <w:tcW w:w="837" w:type="dxa"/>
            <w:shd w:val="clear" w:color="auto" w:fill="000000" w:themeFill="text1"/>
          </w:tcPr>
          <w:p w14:paraId="3D0FE174" w14:textId="77777777" w:rsidR="007A2AAB" w:rsidRPr="009A4BC4" w:rsidRDefault="007A2AAB" w:rsidP="009A4BC4">
            <w:pPr>
              <w:pStyle w:val="TableParagraph"/>
              <w:rPr>
                <w:rFonts w:ascii="Bookman Old Style" w:hAnsi="Bookman Old Style"/>
                <w:sz w:val="20"/>
                <w:szCs w:val="20"/>
              </w:rPr>
            </w:pPr>
          </w:p>
        </w:tc>
        <w:tc>
          <w:tcPr>
            <w:tcW w:w="969" w:type="dxa"/>
            <w:shd w:val="clear" w:color="auto" w:fill="000000" w:themeFill="text1"/>
          </w:tcPr>
          <w:p w14:paraId="25490259" w14:textId="77777777" w:rsidR="007A2AAB" w:rsidRPr="009A4BC4" w:rsidRDefault="007A2AAB" w:rsidP="009A4BC4">
            <w:pPr>
              <w:pStyle w:val="TableParagraph"/>
              <w:ind w:left="108"/>
              <w:rPr>
                <w:rFonts w:ascii="Bookman Old Style" w:hAnsi="Bookman Old Style"/>
                <w:sz w:val="20"/>
                <w:szCs w:val="20"/>
              </w:rPr>
            </w:pPr>
          </w:p>
        </w:tc>
        <w:tc>
          <w:tcPr>
            <w:tcW w:w="931" w:type="dxa"/>
            <w:shd w:val="clear" w:color="auto" w:fill="000000" w:themeFill="text1"/>
          </w:tcPr>
          <w:p w14:paraId="7CEBD6B0"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000000" w:themeFill="text1"/>
          </w:tcPr>
          <w:p w14:paraId="7E980D47" w14:textId="77777777" w:rsidR="007A2AAB" w:rsidRPr="009A4BC4" w:rsidRDefault="007A2AAB" w:rsidP="009A4BC4">
            <w:pPr>
              <w:pStyle w:val="TableParagraph"/>
              <w:ind w:left="109"/>
              <w:rPr>
                <w:rFonts w:ascii="Bookman Old Style" w:hAnsi="Bookman Old Style"/>
                <w:sz w:val="20"/>
                <w:szCs w:val="20"/>
              </w:rPr>
            </w:pPr>
          </w:p>
        </w:tc>
        <w:tc>
          <w:tcPr>
            <w:tcW w:w="932" w:type="dxa"/>
            <w:shd w:val="clear" w:color="auto" w:fill="000000" w:themeFill="text1"/>
          </w:tcPr>
          <w:p w14:paraId="2A425A00" w14:textId="77777777" w:rsidR="007A2AAB" w:rsidRPr="009A4BC4" w:rsidRDefault="007A2AAB" w:rsidP="009A4BC4">
            <w:pPr>
              <w:pStyle w:val="TableParagraph"/>
              <w:rPr>
                <w:rFonts w:ascii="Bookman Old Style" w:hAnsi="Bookman Old Style"/>
                <w:sz w:val="20"/>
                <w:szCs w:val="20"/>
              </w:rPr>
            </w:pPr>
          </w:p>
        </w:tc>
        <w:tc>
          <w:tcPr>
            <w:tcW w:w="775" w:type="dxa"/>
            <w:shd w:val="clear" w:color="auto" w:fill="000000" w:themeFill="text1"/>
          </w:tcPr>
          <w:p w14:paraId="4E83798E" w14:textId="77777777" w:rsidR="007A2AAB" w:rsidRPr="009A4BC4" w:rsidRDefault="007A2AAB" w:rsidP="009A4BC4">
            <w:pPr>
              <w:pStyle w:val="TableParagraph"/>
              <w:ind w:left="107"/>
              <w:rPr>
                <w:rFonts w:ascii="Bookman Old Style" w:hAnsi="Bookman Old Style"/>
                <w:sz w:val="20"/>
                <w:szCs w:val="20"/>
              </w:rPr>
            </w:pPr>
          </w:p>
        </w:tc>
        <w:tc>
          <w:tcPr>
            <w:tcW w:w="929" w:type="dxa"/>
            <w:shd w:val="clear" w:color="auto" w:fill="000000" w:themeFill="text1"/>
          </w:tcPr>
          <w:p w14:paraId="24DB2856" w14:textId="77777777" w:rsidR="007A2AAB" w:rsidRPr="009A4BC4" w:rsidRDefault="007A2AAB" w:rsidP="009A4BC4">
            <w:pPr>
              <w:pStyle w:val="TableParagraph"/>
              <w:rPr>
                <w:rFonts w:ascii="Bookman Old Style" w:hAnsi="Bookman Old Style"/>
                <w:sz w:val="20"/>
                <w:szCs w:val="20"/>
              </w:rPr>
            </w:pPr>
          </w:p>
        </w:tc>
        <w:tc>
          <w:tcPr>
            <w:tcW w:w="798" w:type="dxa"/>
            <w:tcBorders>
              <w:right w:val="single" w:sz="4" w:space="0" w:color="000000"/>
            </w:tcBorders>
            <w:shd w:val="clear" w:color="auto" w:fill="000000" w:themeFill="text1"/>
          </w:tcPr>
          <w:p w14:paraId="06A7265D" w14:textId="77777777" w:rsidR="007A2AAB" w:rsidRPr="009A4BC4" w:rsidRDefault="007A2AAB" w:rsidP="009A4BC4">
            <w:pPr>
              <w:pStyle w:val="TableParagraph"/>
              <w:ind w:left="109"/>
              <w:rPr>
                <w:rFonts w:ascii="Bookman Old Style" w:hAnsi="Bookman Old Style"/>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777D53" w14:textId="77777777" w:rsidR="007A2AAB" w:rsidRPr="009A4BC4" w:rsidRDefault="007A2AAB" w:rsidP="009A4BC4">
            <w:pPr>
              <w:pStyle w:val="TableParagraph"/>
              <w:rPr>
                <w:rFonts w:ascii="Bookman Old Style" w:hAnsi="Bookman Old Style"/>
                <w:sz w:val="20"/>
                <w:szCs w:val="20"/>
              </w:rPr>
            </w:pPr>
          </w:p>
        </w:tc>
      </w:tr>
    </w:tbl>
    <w:p w14:paraId="1AA84D68" w14:textId="45AE4CE6"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4AC8DD49" w14:textId="46D0E0DF"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564FB3D6" w14:textId="77777777" w:rsidR="009A4BC4" w:rsidRDefault="009A4BC4" w:rsidP="006A283D">
      <w:pPr>
        <w:tabs>
          <w:tab w:val="left" w:pos="1256"/>
        </w:tabs>
        <w:spacing w:after="0" w:line="240" w:lineRule="auto"/>
        <w:rPr>
          <w:rFonts w:ascii="Bookman Old Style" w:eastAsia="Bookman Old Style" w:hAnsi="Bookman Old Style" w:cs="Bookman Old Style"/>
          <w:sz w:val="20"/>
          <w:szCs w:val="20"/>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5"/>
        <w:gridCol w:w="6946"/>
        <w:gridCol w:w="989"/>
        <w:gridCol w:w="811"/>
        <w:gridCol w:w="998"/>
        <w:gridCol w:w="849"/>
        <w:gridCol w:w="991"/>
        <w:gridCol w:w="851"/>
        <w:gridCol w:w="993"/>
        <w:gridCol w:w="849"/>
        <w:gridCol w:w="1457"/>
      </w:tblGrid>
      <w:tr w:rsidR="007A2AAB" w:rsidRPr="009A4BC4" w14:paraId="6FA8181C" w14:textId="77777777" w:rsidTr="008262B9">
        <w:trPr>
          <w:trHeight w:val="440"/>
          <w:tblHeader/>
        </w:trPr>
        <w:tc>
          <w:tcPr>
            <w:tcW w:w="8221" w:type="dxa"/>
            <w:gridSpan w:val="2"/>
            <w:vMerge w:val="restart"/>
            <w:shd w:val="clear" w:color="auto" w:fill="808080"/>
          </w:tcPr>
          <w:p w14:paraId="33DDA5B7" w14:textId="77777777" w:rsidR="007A2AAB" w:rsidRPr="009A4BC4" w:rsidRDefault="007A2AAB" w:rsidP="009A4BC4">
            <w:pPr>
              <w:pStyle w:val="TableParagraph"/>
              <w:rPr>
                <w:rFonts w:ascii="Bookman Old Style" w:hAnsi="Bookman Old Style"/>
                <w:sz w:val="20"/>
                <w:szCs w:val="20"/>
              </w:rPr>
            </w:pPr>
          </w:p>
          <w:p w14:paraId="592B1C92" w14:textId="77777777" w:rsidR="007A2AAB" w:rsidRPr="009A4BC4" w:rsidRDefault="007A2AAB" w:rsidP="009A4BC4">
            <w:pPr>
              <w:pStyle w:val="TableParagraph"/>
              <w:rPr>
                <w:rFonts w:ascii="Bookman Old Style" w:hAnsi="Bookman Old Style"/>
                <w:sz w:val="20"/>
                <w:szCs w:val="20"/>
              </w:rPr>
            </w:pPr>
          </w:p>
          <w:p w14:paraId="65F3E4A1" w14:textId="77777777" w:rsidR="007A2AAB" w:rsidRPr="009A4BC4" w:rsidRDefault="007A2AAB" w:rsidP="009A4BC4">
            <w:pPr>
              <w:pStyle w:val="TableParagraph"/>
              <w:ind w:left="2695" w:right="2820"/>
              <w:jc w:val="center"/>
              <w:rPr>
                <w:rFonts w:ascii="Bookman Old Style" w:hAnsi="Bookman Old Style"/>
                <w:b/>
                <w:sz w:val="20"/>
                <w:szCs w:val="20"/>
              </w:rPr>
            </w:pPr>
            <w:r w:rsidRPr="009A4BC4">
              <w:rPr>
                <w:rFonts w:ascii="Bookman Old Style" w:hAnsi="Bookman Old Style"/>
                <w:b/>
                <w:sz w:val="20"/>
                <w:szCs w:val="20"/>
              </w:rPr>
              <w:t>Komponen</w:t>
            </w:r>
            <w:r w:rsidRPr="009A4BC4">
              <w:rPr>
                <w:rFonts w:ascii="Bookman Old Style" w:hAnsi="Bookman Old Style"/>
                <w:b/>
                <w:spacing w:val="-4"/>
                <w:sz w:val="20"/>
                <w:szCs w:val="20"/>
              </w:rPr>
              <w:t xml:space="preserve"> </w:t>
            </w:r>
            <w:r w:rsidRPr="009A4BC4">
              <w:rPr>
                <w:rFonts w:ascii="Bookman Old Style" w:hAnsi="Bookman Old Style"/>
                <w:b/>
                <w:sz w:val="20"/>
                <w:szCs w:val="20"/>
              </w:rPr>
              <w:t>RSF</w:t>
            </w:r>
          </w:p>
        </w:tc>
        <w:tc>
          <w:tcPr>
            <w:tcW w:w="7331" w:type="dxa"/>
            <w:gridSpan w:val="8"/>
            <w:shd w:val="clear" w:color="auto" w:fill="808080"/>
          </w:tcPr>
          <w:p w14:paraId="5896DB4A" w14:textId="77777777" w:rsidR="007A2AAB" w:rsidRPr="009A4BC4" w:rsidRDefault="007A2AAB" w:rsidP="009A4BC4">
            <w:pPr>
              <w:pStyle w:val="TableParagraph"/>
              <w:ind w:left="1954" w:right="1934"/>
              <w:jc w:val="center"/>
              <w:rPr>
                <w:rFonts w:ascii="Bookman Old Style" w:hAnsi="Bookman Old Style"/>
                <w:b/>
                <w:sz w:val="20"/>
                <w:szCs w:val="20"/>
              </w:rPr>
            </w:pPr>
            <w:r w:rsidRPr="009A4BC4">
              <w:rPr>
                <w:rFonts w:ascii="Bookman Old Style" w:hAnsi="Bookman Old Style"/>
                <w:b/>
                <w:sz w:val="20"/>
                <w:szCs w:val="20"/>
              </w:rPr>
              <w:t>Nilai</w:t>
            </w:r>
            <w:r w:rsidRPr="009A4BC4">
              <w:rPr>
                <w:rFonts w:ascii="Bookman Old Style" w:hAnsi="Bookman Old Style"/>
                <w:b/>
                <w:spacing w:val="-4"/>
                <w:sz w:val="20"/>
                <w:szCs w:val="20"/>
              </w:rPr>
              <w:t xml:space="preserve"> </w:t>
            </w:r>
            <w:r w:rsidRPr="009A4BC4">
              <w:rPr>
                <w:rFonts w:ascii="Bookman Old Style" w:hAnsi="Bookman Old Style"/>
                <w:b/>
                <w:sz w:val="20"/>
                <w:szCs w:val="20"/>
              </w:rPr>
              <w:t>Tercatat</w:t>
            </w:r>
            <w:r w:rsidRPr="009A4BC4">
              <w:rPr>
                <w:rFonts w:ascii="Bookman Old Style" w:hAnsi="Bookman Old Style"/>
                <w:b/>
                <w:spacing w:val="-2"/>
                <w:sz w:val="20"/>
                <w:szCs w:val="20"/>
              </w:rPr>
              <w:t xml:space="preserve"> </w:t>
            </w:r>
            <w:r w:rsidRPr="009A4BC4">
              <w:rPr>
                <w:rFonts w:ascii="Bookman Old Style" w:hAnsi="Bookman Old Style"/>
                <w:b/>
                <w:sz w:val="20"/>
                <w:szCs w:val="20"/>
              </w:rPr>
              <w:t>Berdasarkan</w:t>
            </w:r>
            <w:r w:rsidRPr="009A4BC4">
              <w:rPr>
                <w:rFonts w:ascii="Bookman Old Style" w:hAnsi="Bookman Old Style"/>
                <w:b/>
                <w:spacing w:val="-3"/>
                <w:sz w:val="20"/>
                <w:szCs w:val="20"/>
              </w:rPr>
              <w:t xml:space="preserve"> </w:t>
            </w:r>
            <w:r w:rsidRPr="009A4BC4">
              <w:rPr>
                <w:rFonts w:ascii="Bookman Old Style" w:hAnsi="Bookman Old Style"/>
                <w:b/>
                <w:sz w:val="20"/>
                <w:szCs w:val="20"/>
              </w:rPr>
              <w:t>Sisa</w:t>
            </w:r>
            <w:r w:rsidRPr="009A4BC4">
              <w:rPr>
                <w:rFonts w:ascii="Bookman Old Style" w:hAnsi="Bookman Old Style"/>
                <w:b/>
                <w:spacing w:val="-2"/>
                <w:sz w:val="20"/>
                <w:szCs w:val="20"/>
              </w:rPr>
              <w:t xml:space="preserve"> </w:t>
            </w:r>
            <w:r w:rsidRPr="009A4BC4">
              <w:rPr>
                <w:rFonts w:ascii="Bookman Old Style" w:hAnsi="Bookman Old Style"/>
                <w:b/>
                <w:sz w:val="20"/>
                <w:szCs w:val="20"/>
              </w:rPr>
              <w:t>Jangka</w:t>
            </w:r>
            <w:r w:rsidRPr="009A4BC4">
              <w:rPr>
                <w:rFonts w:ascii="Bookman Old Style" w:hAnsi="Bookman Old Style"/>
                <w:b/>
                <w:spacing w:val="-2"/>
                <w:sz w:val="20"/>
                <w:szCs w:val="20"/>
              </w:rPr>
              <w:t xml:space="preserve"> </w:t>
            </w:r>
            <w:r w:rsidRPr="009A4BC4">
              <w:rPr>
                <w:rFonts w:ascii="Bookman Old Style" w:hAnsi="Bookman Old Style"/>
                <w:b/>
                <w:sz w:val="20"/>
                <w:szCs w:val="20"/>
              </w:rPr>
              <w:t>Waktu</w:t>
            </w:r>
          </w:p>
          <w:p w14:paraId="2E6787D1" w14:textId="77777777" w:rsidR="007A2AAB" w:rsidRPr="009A4BC4" w:rsidRDefault="007A2AAB" w:rsidP="009A4BC4">
            <w:pPr>
              <w:pStyle w:val="TableParagraph"/>
              <w:ind w:left="1954" w:right="1934"/>
              <w:jc w:val="center"/>
              <w:rPr>
                <w:rFonts w:ascii="Bookman Old Style" w:hAnsi="Bookman Old Style"/>
                <w:b/>
                <w:sz w:val="20"/>
                <w:szCs w:val="20"/>
              </w:rPr>
            </w:pPr>
            <w:r w:rsidRPr="009A4BC4">
              <w:rPr>
                <w:rFonts w:ascii="Bookman Old Style" w:hAnsi="Bookman Old Style"/>
                <w:b/>
                <w:sz w:val="20"/>
                <w:szCs w:val="20"/>
              </w:rPr>
              <w:t>(Dalam</w:t>
            </w:r>
            <w:r w:rsidRPr="009A4BC4">
              <w:rPr>
                <w:rFonts w:ascii="Bookman Old Style" w:hAnsi="Bookman Old Style"/>
                <w:b/>
                <w:spacing w:val="-3"/>
                <w:sz w:val="20"/>
                <w:szCs w:val="20"/>
              </w:rPr>
              <w:t xml:space="preserve"> </w:t>
            </w:r>
            <w:r w:rsidRPr="009A4BC4">
              <w:rPr>
                <w:rFonts w:ascii="Bookman Old Style" w:hAnsi="Bookman Old Style"/>
                <w:b/>
                <w:sz w:val="20"/>
                <w:szCs w:val="20"/>
              </w:rPr>
              <w:t>Juta</w:t>
            </w:r>
            <w:r w:rsidRPr="009A4BC4">
              <w:rPr>
                <w:rFonts w:ascii="Bookman Old Style" w:hAnsi="Bookman Old Style"/>
                <w:b/>
                <w:spacing w:val="-3"/>
                <w:sz w:val="20"/>
                <w:szCs w:val="20"/>
              </w:rPr>
              <w:t xml:space="preserve"> </w:t>
            </w:r>
            <w:r w:rsidRPr="009A4BC4">
              <w:rPr>
                <w:rFonts w:ascii="Bookman Old Style" w:hAnsi="Bookman Old Style"/>
                <w:b/>
                <w:sz w:val="20"/>
                <w:szCs w:val="20"/>
              </w:rPr>
              <w:t>Rupiah)</w:t>
            </w:r>
          </w:p>
        </w:tc>
        <w:tc>
          <w:tcPr>
            <w:tcW w:w="1457" w:type="dxa"/>
            <w:vMerge w:val="restart"/>
            <w:shd w:val="clear" w:color="auto" w:fill="808080"/>
          </w:tcPr>
          <w:p w14:paraId="54D21FE9" w14:textId="77777777" w:rsidR="007A2AAB" w:rsidRPr="009A4BC4" w:rsidRDefault="007A2AAB" w:rsidP="009A4BC4">
            <w:pPr>
              <w:pStyle w:val="TableParagraph"/>
              <w:rPr>
                <w:rFonts w:ascii="Bookman Old Style" w:hAnsi="Bookman Old Style"/>
                <w:sz w:val="20"/>
                <w:szCs w:val="20"/>
              </w:rPr>
            </w:pPr>
          </w:p>
          <w:p w14:paraId="1C1F1652" w14:textId="77777777" w:rsidR="007A2AAB" w:rsidRPr="009A4BC4" w:rsidRDefault="007A2AAB" w:rsidP="009A4BC4">
            <w:pPr>
              <w:pStyle w:val="TableParagraph"/>
              <w:ind w:left="200" w:right="165" w:firstLine="52"/>
              <w:rPr>
                <w:rFonts w:ascii="Bookman Old Style" w:hAnsi="Bookman Old Style"/>
                <w:b/>
                <w:sz w:val="20"/>
                <w:szCs w:val="20"/>
              </w:rPr>
            </w:pPr>
            <w:r w:rsidRPr="009A4BC4">
              <w:rPr>
                <w:rFonts w:ascii="Bookman Old Style" w:hAnsi="Bookman Old Style"/>
                <w:b/>
                <w:sz w:val="20"/>
                <w:szCs w:val="20"/>
              </w:rPr>
              <w:t>Total Nilai</w:t>
            </w:r>
            <w:r w:rsidRPr="009A4BC4">
              <w:rPr>
                <w:rFonts w:ascii="Bookman Old Style" w:hAnsi="Bookman Old Style"/>
                <w:b/>
                <w:spacing w:val="1"/>
                <w:sz w:val="20"/>
                <w:szCs w:val="20"/>
              </w:rPr>
              <w:t xml:space="preserve"> </w:t>
            </w:r>
            <w:r w:rsidRPr="009A4BC4">
              <w:rPr>
                <w:rFonts w:ascii="Bookman Old Style" w:hAnsi="Bookman Old Style"/>
                <w:b/>
                <w:spacing w:val="-1"/>
                <w:sz w:val="20"/>
                <w:szCs w:val="20"/>
              </w:rPr>
              <w:t>Tertimbang</w:t>
            </w:r>
          </w:p>
        </w:tc>
      </w:tr>
      <w:tr w:rsidR="007A2AAB" w:rsidRPr="009A4BC4" w14:paraId="7881822C" w14:textId="77777777" w:rsidTr="008262B9">
        <w:trPr>
          <w:trHeight w:val="220"/>
          <w:tblHeader/>
        </w:trPr>
        <w:tc>
          <w:tcPr>
            <w:tcW w:w="8221" w:type="dxa"/>
            <w:gridSpan w:val="2"/>
            <w:vMerge/>
            <w:tcBorders>
              <w:top w:val="nil"/>
            </w:tcBorders>
            <w:shd w:val="clear" w:color="auto" w:fill="808080"/>
          </w:tcPr>
          <w:p w14:paraId="1EB1DF96" w14:textId="77777777" w:rsidR="007A2AAB" w:rsidRPr="009A4BC4" w:rsidRDefault="007A2AAB" w:rsidP="009A4BC4">
            <w:pPr>
              <w:spacing w:after="0" w:line="240" w:lineRule="auto"/>
              <w:rPr>
                <w:rFonts w:ascii="Bookman Old Style" w:hAnsi="Bookman Old Style"/>
                <w:sz w:val="20"/>
                <w:szCs w:val="20"/>
              </w:rPr>
            </w:pPr>
          </w:p>
        </w:tc>
        <w:tc>
          <w:tcPr>
            <w:tcW w:w="1800" w:type="dxa"/>
            <w:gridSpan w:val="2"/>
            <w:shd w:val="clear" w:color="auto" w:fill="808080"/>
          </w:tcPr>
          <w:p w14:paraId="28DB493F" w14:textId="77777777" w:rsidR="007A2AAB" w:rsidRPr="009A4BC4" w:rsidRDefault="007A2AAB" w:rsidP="009A4BC4">
            <w:pPr>
              <w:pStyle w:val="TableParagraph"/>
              <w:ind w:left="126"/>
              <w:jc w:val="center"/>
              <w:rPr>
                <w:rFonts w:ascii="Bookman Old Style" w:hAnsi="Bookman Old Style"/>
                <w:b/>
                <w:sz w:val="20"/>
                <w:szCs w:val="20"/>
              </w:rPr>
            </w:pPr>
            <w:r w:rsidRPr="009A4BC4">
              <w:rPr>
                <w:rFonts w:ascii="Bookman Old Style" w:hAnsi="Bookman Old Style"/>
                <w:b/>
                <w:sz w:val="20"/>
                <w:szCs w:val="20"/>
              </w:rPr>
              <w:t>Tanpa</w:t>
            </w:r>
            <w:r w:rsidRPr="009A4BC4">
              <w:rPr>
                <w:rFonts w:ascii="Bookman Old Style" w:hAnsi="Bookman Old Style"/>
                <w:b/>
                <w:spacing w:val="-3"/>
                <w:sz w:val="20"/>
                <w:szCs w:val="20"/>
              </w:rPr>
              <w:t xml:space="preserve"> </w:t>
            </w:r>
            <w:r w:rsidRPr="009A4BC4">
              <w:rPr>
                <w:rFonts w:ascii="Bookman Old Style" w:hAnsi="Bookman Old Style"/>
                <w:b/>
                <w:sz w:val="20"/>
                <w:szCs w:val="20"/>
              </w:rPr>
              <w:t>Jangka</w:t>
            </w:r>
            <w:r w:rsidRPr="009A4BC4">
              <w:rPr>
                <w:rFonts w:ascii="Bookman Old Style" w:hAnsi="Bookman Old Style"/>
                <w:b/>
                <w:spacing w:val="-3"/>
                <w:sz w:val="20"/>
                <w:szCs w:val="20"/>
              </w:rPr>
              <w:t xml:space="preserve"> </w:t>
            </w:r>
            <w:r w:rsidRPr="009A4BC4">
              <w:rPr>
                <w:rFonts w:ascii="Bookman Old Style" w:hAnsi="Bookman Old Style"/>
                <w:b/>
                <w:sz w:val="20"/>
                <w:szCs w:val="20"/>
              </w:rPr>
              <w:t>Waktu</w:t>
            </w:r>
          </w:p>
        </w:tc>
        <w:tc>
          <w:tcPr>
            <w:tcW w:w="1847" w:type="dxa"/>
            <w:gridSpan w:val="2"/>
            <w:shd w:val="clear" w:color="auto" w:fill="808080"/>
          </w:tcPr>
          <w:p w14:paraId="7F95C1DC" w14:textId="77777777" w:rsidR="007A2AAB" w:rsidRPr="009A4BC4" w:rsidRDefault="007A2AAB" w:rsidP="009A4BC4">
            <w:pPr>
              <w:pStyle w:val="TableParagraph"/>
              <w:ind w:left="179"/>
              <w:rPr>
                <w:rFonts w:ascii="Bookman Old Style" w:hAnsi="Bookman Old Style"/>
                <w:b/>
                <w:sz w:val="20"/>
                <w:szCs w:val="20"/>
              </w:rPr>
            </w:pPr>
            <w:r w:rsidRPr="009A4BC4">
              <w:rPr>
                <w:rFonts w:ascii="Bookman Old Style" w:hAnsi="Bookman Old Style"/>
                <w:b/>
                <w:sz w:val="20"/>
                <w:szCs w:val="20"/>
              </w:rPr>
              <w:t>&lt;</w:t>
            </w:r>
            <w:r w:rsidRPr="009A4BC4">
              <w:rPr>
                <w:rFonts w:ascii="Bookman Old Style" w:hAnsi="Bookman Old Style"/>
                <w:b/>
                <w:spacing w:val="-2"/>
                <w:sz w:val="20"/>
                <w:szCs w:val="20"/>
              </w:rPr>
              <w:t xml:space="preserve"> </w:t>
            </w:r>
            <w:r w:rsidRPr="009A4BC4">
              <w:rPr>
                <w:rFonts w:ascii="Bookman Old Style" w:hAnsi="Bookman Old Style"/>
                <w:b/>
                <w:sz w:val="20"/>
                <w:szCs w:val="20"/>
              </w:rPr>
              <w:t>6</w:t>
            </w:r>
            <w:r w:rsidRPr="009A4BC4">
              <w:rPr>
                <w:rFonts w:ascii="Bookman Old Style" w:hAnsi="Bookman Old Style"/>
                <w:b/>
                <w:spacing w:val="39"/>
                <w:sz w:val="20"/>
                <w:szCs w:val="20"/>
              </w:rPr>
              <w:t xml:space="preserve"> </w:t>
            </w:r>
            <w:r w:rsidRPr="009A4BC4">
              <w:rPr>
                <w:rFonts w:ascii="Bookman Old Style" w:hAnsi="Bookman Old Style"/>
                <w:b/>
                <w:sz w:val="20"/>
                <w:szCs w:val="20"/>
              </w:rPr>
              <w:t>bulan</w:t>
            </w:r>
          </w:p>
        </w:tc>
        <w:tc>
          <w:tcPr>
            <w:tcW w:w="1842" w:type="dxa"/>
            <w:gridSpan w:val="2"/>
            <w:shd w:val="clear" w:color="auto" w:fill="808080"/>
          </w:tcPr>
          <w:p w14:paraId="2F3B1C2B" w14:textId="77777777" w:rsidR="007A2AAB" w:rsidRPr="009A4BC4" w:rsidRDefault="007A2AAB" w:rsidP="009A4BC4">
            <w:pPr>
              <w:pStyle w:val="TableParagraph"/>
              <w:ind w:left="140"/>
              <w:rPr>
                <w:rFonts w:ascii="Bookman Old Style" w:hAnsi="Bookman Old Style"/>
                <w:b/>
                <w:sz w:val="20"/>
                <w:szCs w:val="20"/>
              </w:rPr>
            </w:pPr>
            <w:r w:rsidRPr="009A4BC4">
              <w:rPr>
                <w:rFonts w:ascii="Bookman Old Style" w:hAnsi="Bookman Old Style"/>
                <w:b/>
                <w:sz w:val="20"/>
                <w:szCs w:val="20"/>
              </w:rPr>
              <w:t>≥</w:t>
            </w:r>
            <w:r w:rsidRPr="009A4BC4">
              <w:rPr>
                <w:rFonts w:ascii="Bookman Old Style" w:hAnsi="Bookman Old Style"/>
                <w:b/>
                <w:spacing w:val="-2"/>
                <w:sz w:val="20"/>
                <w:szCs w:val="20"/>
              </w:rPr>
              <w:t xml:space="preserve"> </w:t>
            </w:r>
            <w:r w:rsidRPr="009A4BC4">
              <w:rPr>
                <w:rFonts w:ascii="Bookman Old Style" w:hAnsi="Bookman Old Style"/>
                <w:b/>
                <w:sz w:val="20"/>
                <w:szCs w:val="20"/>
              </w:rPr>
              <w:t>6</w:t>
            </w:r>
            <w:r w:rsidRPr="009A4BC4">
              <w:rPr>
                <w:rFonts w:ascii="Bookman Old Style" w:hAnsi="Bookman Old Style"/>
                <w:b/>
                <w:spacing w:val="39"/>
                <w:sz w:val="20"/>
                <w:szCs w:val="20"/>
              </w:rPr>
              <w:t xml:space="preserve"> </w:t>
            </w:r>
            <w:r w:rsidRPr="009A4BC4">
              <w:rPr>
                <w:rFonts w:ascii="Bookman Old Style" w:hAnsi="Bookman Old Style"/>
                <w:b/>
                <w:sz w:val="20"/>
                <w:szCs w:val="20"/>
              </w:rPr>
              <w:t>bulan</w:t>
            </w:r>
            <w:r w:rsidRPr="009A4BC4">
              <w:rPr>
                <w:rFonts w:ascii="Bookman Old Style" w:hAnsi="Bookman Old Style"/>
                <w:b/>
                <w:spacing w:val="-1"/>
                <w:sz w:val="20"/>
                <w:szCs w:val="20"/>
              </w:rPr>
              <w:t xml:space="preserve"> </w:t>
            </w:r>
            <w:r w:rsidRPr="009A4BC4">
              <w:rPr>
                <w:rFonts w:ascii="Bookman Old Style" w:hAnsi="Bookman Old Style"/>
                <w:b/>
                <w:sz w:val="20"/>
                <w:szCs w:val="20"/>
              </w:rPr>
              <w:t>-</w:t>
            </w:r>
            <w:r w:rsidRPr="009A4BC4">
              <w:rPr>
                <w:rFonts w:ascii="Bookman Old Style" w:hAnsi="Bookman Old Style"/>
                <w:b/>
                <w:spacing w:val="1"/>
                <w:sz w:val="20"/>
                <w:szCs w:val="20"/>
              </w:rPr>
              <w:t xml:space="preserve"> </w:t>
            </w:r>
            <w:r w:rsidRPr="009A4BC4">
              <w:rPr>
                <w:rFonts w:ascii="Bookman Old Style" w:hAnsi="Bookman Old Style"/>
                <w:b/>
                <w:sz w:val="20"/>
                <w:szCs w:val="20"/>
              </w:rPr>
              <w:t>&lt;</w:t>
            </w:r>
            <w:r w:rsidRPr="009A4BC4">
              <w:rPr>
                <w:rFonts w:ascii="Bookman Old Style" w:hAnsi="Bookman Old Style"/>
                <w:b/>
                <w:spacing w:val="-1"/>
                <w:sz w:val="20"/>
                <w:szCs w:val="20"/>
              </w:rPr>
              <w:t xml:space="preserve"> </w:t>
            </w:r>
            <w:r w:rsidRPr="009A4BC4">
              <w:rPr>
                <w:rFonts w:ascii="Bookman Old Style" w:hAnsi="Bookman Old Style"/>
                <w:b/>
                <w:sz w:val="20"/>
                <w:szCs w:val="20"/>
              </w:rPr>
              <w:t>1</w:t>
            </w:r>
            <w:r w:rsidRPr="009A4BC4">
              <w:rPr>
                <w:rFonts w:ascii="Bookman Old Style" w:hAnsi="Bookman Old Style"/>
                <w:b/>
                <w:spacing w:val="-1"/>
                <w:sz w:val="20"/>
                <w:szCs w:val="20"/>
              </w:rPr>
              <w:t xml:space="preserve"> </w:t>
            </w:r>
            <w:r w:rsidRPr="009A4BC4">
              <w:rPr>
                <w:rFonts w:ascii="Bookman Old Style" w:hAnsi="Bookman Old Style"/>
                <w:b/>
                <w:sz w:val="20"/>
                <w:szCs w:val="20"/>
              </w:rPr>
              <w:t>tahun</w:t>
            </w:r>
          </w:p>
        </w:tc>
        <w:tc>
          <w:tcPr>
            <w:tcW w:w="1842" w:type="dxa"/>
            <w:gridSpan w:val="2"/>
            <w:shd w:val="clear" w:color="auto" w:fill="808080"/>
          </w:tcPr>
          <w:p w14:paraId="09B47238" w14:textId="77777777" w:rsidR="007A2AAB" w:rsidRPr="009A4BC4" w:rsidRDefault="007A2AAB" w:rsidP="009A4BC4">
            <w:pPr>
              <w:pStyle w:val="TableParagraph"/>
              <w:ind w:left="327"/>
              <w:rPr>
                <w:rFonts w:ascii="Bookman Old Style" w:hAnsi="Bookman Old Style"/>
                <w:b/>
                <w:sz w:val="20"/>
                <w:szCs w:val="20"/>
              </w:rPr>
            </w:pPr>
            <w:r w:rsidRPr="009A4BC4">
              <w:rPr>
                <w:rFonts w:ascii="Bookman Old Style" w:hAnsi="Bookman Old Style"/>
                <w:b/>
                <w:sz w:val="20"/>
                <w:szCs w:val="20"/>
              </w:rPr>
              <w:t>≥</w:t>
            </w:r>
            <w:r w:rsidRPr="009A4BC4">
              <w:rPr>
                <w:rFonts w:ascii="Bookman Old Style" w:hAnsi="Bookman Old Style"/>
                <w:b/>
                <w:spacing w:val="-2"/>
                <w:sz w:val="20"/>
                <w:szCs w:val="20"/>
              </w:rPr>
              <w:t xml:space="preserve"> </w:t>
            </w:r>
            <w:r w:rsidRPr="009A4BC4">
              <w:rPr>
                <w:rFonts w:ascii="Bookman Old Style" w:hAnsi="Bookman Old Style"/>
                <w:b/>
                <w:sz w:val="20"/>
                <w:szCs w:val="20"/>
              </w:rPr>
              <w:t>1</w:t>
            </w:r>
            <w:r w:rsidRPr="009A4BC4">
              <w:rPr>
                <w:rFonts w:ascii="Bookman Old Style" w:hAnsi="Bookman Old Style"/>
                <w:b/>
                <w:spacing w:val="-1"/>
                <w:sz w:val="20"/>
                <w:szCs w:val="20"/>
              </w:rPr>
              <w:t xml:space="preserve"> </w:t>
            </w:r>
            <w:r w:rsidRPr="009A4BC4">
              <w:rPr>
                <w:rFonts w:ascii="Bookman Old Style" w:hAnsi="Bookman Old Style"/>
                <w:b/>
                <w:sz w:val="20"/>
                <w:szCs w:val="20"/>
              </w:rPr>
              <w:t>tahun</w:t>
            </w:r>
          </w:p>
        </w:tc>
        <w:tc>
          <w:tcPr>
            <w:tcW w:w="1457" w:type="dxa"/>
            <w:vMerge/>
            <w:tcBorders>
              <w:top w:val="nil"/>
            </w:tcBorders>
            <w:shd w:val="clear" w:color="auto" w:fill="808080"/>
          </w:tcPr>
          <w:p w14:paraId="6A8E8497" w14:textId="77777777" w:rsidR="007A2AAB" w:rsidRPr="009A4BC4" w:rsidRDefault="007A2AAB" w:rsidP="009A4BC4">
            <w:pPr>
              <w:spacing w:after="0" w:line="240" w:lineRule="auto"/>
              <w:rPr>
                <w:rFonts w:ascii="Bookman Old Style" w:hAnsi="Bookman Old Style"/>
                <w:sz w:val="20"/>
                <w:szCs w:val="20"/>
              </w:rPr>
            </w:pPr>
          </w:p>
        </w:tc>
      </w:tr>
      <w:tr w:rsidR="007A2AAB" w:rsidRPr="009A4BC4" w14:paraId="1DC260DA" w14:textId="77777777" w:rsidTr="008262B9">
        <w:trPr>
          <w:trHeight w:val="438"/>
          <w:tblHeader/>
        </w:trPr>
        <w:tc>
          <w:tcPr>
            <w:tcW w:w="8221" w:type="dxa"/>
            <w:gridSpan w:val="2"/>
            <w:vMerge/>
            <w:tcBorders>
              <w:top w:val="nil"/>
            </w:tcBorders>
            <w:shd w:val="clear" w:color="auto" w:fill="808080"/>
          </w:tcPr>
          <w:p w14:paraId="1B6BD2B7" w14:textId="77777777" w:rsidR="007A2AAB" w:rsidRPr="009A4BC4" w:rsidRDefault="007A2AAB" w:rsidP="009A4BC4">
            <w:pPr>
              <w:spacing w:after="0" w:line="240" w:lineRule="auto"/>
              <w:rPr>
                <w:rFonts w:ascii="Bookman Old Style" w:hAnsi="Bookman Old Style"/>
                <w:sz w:val="20"/>
                <w:szCs w:val="20"/>
              </w:rPr>
            </w:pPr>
          </w:p>
        </w:tc>
        <w:tc>
          <w:tcPr>
            <w:tcW w:w="989" w:type="dxa"/>
            <w:shd w:val="clear" w:color="auto" w:fill="808080"/>
          </w:tcPr>
          <w:p w14:paraId="127F6C5B" w14:textId="77777777" w:rsidR="007A2AAB" w:rsidRPr="009A4BC4" w:rsidRDefault="007A2AAB" w:rsidP="009A4BC4">
            <w:pPr>
              <w:pStyle w:val="TableParagraph"/>
              <w:ind w:left="161" w:right="144"/>
              <w:jc w:val="center"/>
              <w:rPr>
                <w:rFonts w:ascii="Bookman Old Style" w:hAnsi="Bookman Old Style"/>
                <w:b/>
                <w:sz w:val="20"/>
                <w:szCs w:val="20"/>
              </w:rPr>
            </w:pPr>
            <w:r w:rsidRPr="009A4BC4">
              <w:rPr>
                <w:rFonts w:ascii="Bookman Old Style" w:hAnsi="Bookman Old Style"/>
                <w:b/>
                <w:sz w:val="20"/>
                <w:szCs w:val="20"/>
              </w:rPr>
              <w:t>Nilai</w:t>
            </w:r>
          </w:p>
          <w:p w14:paraId="3D6CA98A" w14:textId="77777777" w:rsidR="007A2AAB" w:rsidRPr="009A4BC4" w:rsidRDefault="007A2AAB" w:rsidP="009A4BC4">
            <w:pPr>
              <w:pStyle w:val="TableParagraph"/>
              <w:ind w:left="161" w:right="145"/>
              <w:jc w:val="center"/>
              <w:rPr>
                <w:rFonts w:ascii="Bookman Old Style" w:hAnsi="Bookman Old Style"/>
                <w:b/>
                <w:sz w:val="20"/>
                <w:szCs w:val="20"/>
              </w:rPr>
            </w:pPr>
            <w:r w:rsidRPr="009A4BC4">
              <w:rPr>
                <w:rFonts w:ascii="Bookman Old Style" w:hAnsi="Bookman Old Style"/>
                <w:b/>
                <w:sz w:val="20"/>
                <w:szCs w:val="20"/>
              </w:rPr>
              <w:t>Tercatat</w:t>
            </w:r>
          </w:p>
        </w:tc>
        <w:tc>
          <w:tcPr>
            <w:tcW w:w="811" w:type="dxa"/>
            <w:shd w:val="clear" w:color="auto" w:fill="808080"/>
          </w:tcPr>
          <w:p w14:paraId="0CB0DBBE" w14:textId="77777777" w:rsidR="007A2AAB" w:rsidRPr="009A4BC4" w:rsidRDefault="007A2AAB" w:rsidP="009A4BC4">
            <w:pPr>
              <w:pStyle w:val="TableParagraph"/>
              <w:ind w:left="141" w:right="128"/>
              <w:jc w:val="center"/>
              <w:rPr>
                <w:rFonts w:ascii="Bookman Old Style" w:hAnsi="Bookman Old Style"/>
                <w:b/>
                <w:sz w:val="20"/>
                <w:szCs w:val="20"/>
              </w:rPr>
            </w:pPr>
            <w:r w:rsidRPr="009A4BC4">
              <w:rPr>
                <w:rFonts w:ascii="Bookman Old Style" w:hAnsi="Bookman Old Style"/>
                <w:b/>
                <w:sz w:val="20"/>
                <w:szCs w:val="20"/>
              </w:rPr>
              <w:t>Faktor</w:t>
            </w:r>
          </w:p>
          <w:p w14:paraId="77EABBDF" w14:textId="77777777" w:rsidR="007A2AAB" w:rsidRPr="009A4BC4" w:rsidRDefault="007A2AAB" w:rsidP="009A4BC4">
            <w:pPr>
              <w:pStyle w:val="TableParagraph"/>
              <w:ind w:left="140" w:right="128"/>
              <w:jc w:val="center"/>
              <w:rPr>
                <w:rFonts w:ascii="Bookman Old Style" w:hAnsi="Bookman Old Style"/>
                <w:b/>
                <w:sz w:val="20"/>
                <w:szCs w:val="20"/>
              </w:rPr>
            </w:pPr>
            <w:r w:rsidRPr="009A4BC4">
              <w:rPr>
                <w:rFonts w:ascii="Bookman Old Style" w:hAnsi="Bookman Old Style"/>
                <w:b/>
                <w:sz w:val="20"/>
                <w:szCs w:val="20"/>
              </w:rPr>
              <w:t>RSF</w:t>
            </w:r>
          </w:p>
        </w:tc>
        <w:tc>
          <w:tcPr>
            <w:tcW w:w="998" w:type="dxa"/>
            <w:shd w:val="clear" w:color="auto" w:fill="808080"/>
          </w:tcPr>
          <w:p w14:paraId="03364E87" w14:textId="77777777" w:rsidR="007A2AAB" w:rsidRPr="009A4BC4" w:rsidRDefault="007A2AAB" w:rsidP="009A4BC4">
            <w:pPr>
              <w:pStyle w:val="TableParagraph"/>
              <w:ind w:left="166" w:right="148"/>
              <w:jc w:val="center"/>
              <w:rPr>
                <w:rFonts w:ascii="Bookman Old Style" w:hAnsi="Bookman Old Style"/>
                <w:b/>
                <w:sz w:val="20"/>
                <w:szCs w:val="20"/>
              </w:rPr>
            </w:pPr>
            <w:r w:rsidRPr="009A4BC4">
              <w:rPr>
                <w:rFonts w:ascii="Bookman Old Style" w:hAnsi="Bookman Old Style"/>
                <w:b/>
                <w:sz w:val="20"/>
                <w:szCs w:val="20"/>
              </w:rPr>
              <w:t>Nilai</w:t>
            </w:r>
          </w:p>
          <w:p w14:paraId="556F55E7" w14:textId="77777777" w:rsidR="007A2AAB" w:rsidRPr="009A4BC4" w:rsidRDefault="007A2AAB" w:rsidP="009A4BC4">
            <w:pPr>
              <w:pStyle w:val="TableParagraph"/>
              <w:ind w:left="166" w:right="149"/>
              <w:jc w:val="center"/>
              <w:rPr>
                <w:rFonts w:ascii="Bookman Old Style" w:hAnsi="Bookman Old Style"/>
                <w:b/>
                <w:sz w:val="20"/>
                <w:szCs w:val="20"/>
              </w:rPr>
            </w:pPr>
            <w:r w:rsidRPr="009A4BC4">
              <w:rPr>
                <w:rFonts w:ascii="Bookman Old Style" w:hAnsi="Bookman Old Style"/>
                <w:b/>
                <w:sz w:val="20"/>
                <w:szCs w:val="20"/>
              </w:rPr>
              <w:t>Tercatat</w:t>
            </w:r>
          </w:p>
        </w:tc>
        <w:tc>
          <w:tcPr>
            <w:tcW w:w="849" w:type="dxa"/>
            <w:shd w:val="clear" w:color="auto" w:fill="808080"/>
          </w:tcPr>
          <w:p w14:paraId="2B3F55FD" w14:textId="77777777" w:rsidR="007A2AAB" w:rsidRPr="009A4BC4" w:rsidRDefault="007A2AAB" w:rsidP="009A4BC4">
            <w:pPr>
              <w:pStyle w:val="TableParagraph"/>
              <w:ind w:left="160" w:right="141"/>
              <w:jc w:val="center"/>
              <w:rPr>
                <w:rFonts w:ascii="Bookman Old Style" w:hAnsi="Bookman Old Style"/>
                <w:b/>
                <w:sz w:val="20"/>
                <w:szCs w:val="20"/>
              </w:rPr>
            </w:pPr>
            <w:r w:rsidRPr="009A4BC4">
              <w:rPr>
                <w:rFonts w:ascii="Bookman Old Style" w:hAnsi="Bookman Old Style"/>
                <w:b/>
                <w:sz w:val="20"/>
                <w:szCs w:val="20"/>
              </w:rPr>
              <w:t>Faktor</w:t>
            </w:r>
          </w:p>
          <w:p w14:paraId="37D297F0" w14:textId="77777777" w:rsidR="007A2AAB" w:rsidRPr="009A4BC4" w:rsidRDefault="007A2AAB" w:rsidP="009A4BC4">
            <w:pPr>
              <w:pStyle w:val="TableParagraph"/>
              <w:ind w:left="160" w:right="141"/>
              <w:jc w:val="center"/>
              <w:rPr>
                <w:rFonts w:ascii="Bookman Old Style" w:hAnsi="Bookman Old Style"/>
                <w:b/>
                <w:sz w:val="20"/>
                <w:szCs w:val="20"/>
              </w:rPr>
            </w:pPr>
            <w:r w:rsidRPr="009A4BC4">
              <w:rPr>
                <w:rFonts w:ascii="Bookman Old Style" w:hAnsi="Bookman Old Style"/>
                <w:b/>
                <w:sz w:val="20"/>
                <w:szCs w:val="20"/>
              </w:rPr>
              <w:t>RSF</w:t>
            </w:r>
          </w:p>
        </w:tc>
        <w:tc>
          <w:tcPr>
            <w:tcW w:w="991" w:type="dxa"/>
            <w:shd w:val="clear" w:color="auto" w:fill="808080"/>
          </w:tcPr>
          <w:p w14:paraId="251BA18A" w14:textId="77777777" w:rsidR="007A2AAB" w:rsidRPr="009A4BC4" w:rsidRDefault="007A2AAB" w:rsidP="009A4BC4">
            <w:pPr>
              <w:pStyle w:val="TableParagraph"/>
              <w:ind w:left="163" w:right="145"/>
              <w:jc w:val="center"/>
              <w:rPr>
                <w:rFonts w:ascii="Bookman Old Style" w:hAnsi="Bookman Old Style"/>
                <w:b/>
                <w:sz w:val="20"/>
                <w:szCs w:val="20"/>
              </w:rPr>
            </w:pPr>
            <w:r w:rsidRPr="009A4BC4">
              <w:rPr>
                <w:rFonts w:ascii="Bookman Old Style" w:hAnsi="Bookman Old Style"/>
                <w:b/>
                <w:sz w:val="20"/>
                <w:szCs w:val="20"/>
              </w:rPr>
              <w:t>Nilai</w:t>
            </w:r>
          </w:p>
          <w:p w14:paraId="3010EC52" w14:textId="77777777" w:rsidR="007A2AAB" w:rsidRPr="009A4BC4" w:rsidRDefault="007A2AAB" w:rsidP="009A4BC4">
            <w:pPr>
              <w:pStyle w:val="TableParagraph"/>
              <w:ind w:left="163" w:right="145"/>
              <w:jc w:val="center"/>
              <w:rPr>
                <w:rFonts w:ascii="Bookman Old Style" w:hAnsi="Bookman Old Style"/>
                <w:b/>
                <w:sz w:val="20"/>
                <w:szCs w:val="20"/>
              </w:rPr>
            </w:pPr>
            <w:r w:rsidRPr="009A4BC4">
              <w:rPr>
                <w:rFonts w:ascii="Bookman Old Style" w:hAnsi="Bookman Old Style"/>
                <w:b/>
                <w:sz w:val="20"/>
                <w:szCs w:val="20"/>
              </w:rPr>
              <w:t>Tercatat</w:t>
            </w:r>
          </w:p>
        </w:tc>
        <w:tc>
          <w:tcPr>
            <w:tcW w:w="851" w:type="dxa"/>
            <w:shd w:val="clear" w:color="auto" w:fill="808080"/>
          </w:tcPr>
          <w:p w14:paraId="1446E0AE" w14:textId="77777777" w:rsidR="007A2AAB" w:rsidRPr="009A4BC4" w:rsidRDefault="007A2AAB" w:rsidP="009A4BC4">
            <w:pPr>
              <w:pStyle w:val="TableParagraph"/>
              <w:ind w:left="164" w:right="144"/>
              <w:jc w:val="center"/>
              <w:rPr>
                <w:rFonts w:ascii="Bookman Old Style" w:hAnsi="Bookman Old Style"/>
                <w:b/>
                <w:sz w:val="20"/>
                <w:szCs w:val="20"/>
              </w:rPr>
            </w:pPr>
            <w:r w:rsidRPr="009A4BC4">
              <w:rPr>
                <w:rFonts w:ascii="Bookman Old Style" w:hAnsi="Bookman Old Style"/>
                <w:b/>
                <w:sz w:val="20"/>
                <w:szCs w:val="20"/>
              </w:rPr>
              <w:t>Faktor</w:t>
            </w:r>
          </w:p>
          <w:p w14:paraId="7E263359" w14:textId="77777777" w:rsidR="007A2AAB" w:rsidRPr="009A4BC4" w:rsidRDefault="007A2AAB" w:rsidP="009A4BC4">
            <w:pPr>
              <w:pStyle w:val="TableParagraph"/>
              <w:ind w:left="164" w:right="144"/>
              <w:jc w:val="center"/>
              <w:rPr>
                <w:rFonts w:ascii="Bookman Old Style" w:hAnsi="Bookman Old Style"/>
                <w:b/>
                <w:sz w:val="20"/>
                <w:szCs w:val="20"/>
              </w:rPr>
            </w:pPr>
            <w:r w:rsidRPr="009A4BC4">
              <w:rPr>
                <w:rFonts w:ascii="Bookman Old Style" w:hAnsi="Bookman Old Style"/>
                <w:b/>
                <w:sz w:val="20"/>
                <w:szCs w:val="20"/>
              </w:rPr>
              <w:t>RSF</w:t>
            </w:r>
          </w:p>
        </w:tc>
        <w:tc>
          <w:tcPr>
            <w:tcW w:w="993" w:type="dxa"/>
            <w:shd w:val="clear" w:color="auto" w:fill="808080"/>
          </w:tcPr>
          <w:p w14:paraId="1A8CC9C2" w14:textId="77777777" w:rsidR="007A2AAB" w:rsidRPr="009A4BC4" w:rsidRDefault="007A2AAB" w:rsidP="009A4BC4">
            <w:pPr>
              <w:pStyle w:val="TableParagraph"/>
              <w:ind w:left="167" w:right="144"/>
              <w:jc w:val="center"/>
              <w:rPr>
                <w:rFonts w:ascii="Bookman Old Style" w:hAnsi="Bookman Old Style"/>
                <w:b/>
                <w:sz w:val="20"/>
                <w:szCs w:val="20"/>
              </w:rPr>
            </w:pPr>
            <w:r w:rsidRPr="009A4BC4">
              <w:rPr>
                <w:rFonts w:ascii="Bookman Old Style" w:hAnsi="Bookman Old Style"/>
                <w:b/>
                <w:sz w:val="20"/>
                <w:szCs w:val="20"/>
              </w:rPr>
              <w:t>Nilai</w:t>
            </w:r>
          </w:p>
          <w:p w14:paraId="2624C4A9" w14:textId="77777777" w:rsidR="007A2AAB" w:rsidRPr="009A4BC4" w:rsidRDefault="007A2AAB" w:rsidP="009A4BC4">
            <w:pPr>
              <w:pStyle w:val="TableParagraph"/>
              <w:ind w:left="167" w:right="144"/>
              <w:jc w:val="center"/>
              <w:rPr>
                <w:rFonts w:ascii="Bookman Old Style" w:hAnsi="Bookman Old Style"/>
                <w:b/>
                <w:sz w:val="20"/>
                <w:szCs w:val="20"/>
              </w:rPr>
            </w:pPr>
            <w:r w:rsidRPr="009A4BC4">
              <w:rPr>
                <w:rFonts w:ascii="Bookman Old Style" w:hAnsi="Bookman Old Style"/>
                <w:b/>
                <w:sz w:val="20"/>
                <w:szCs w:val="20"/>
              </w:rPr>
              <w:t>Tercatat</w:t>
            </w:r>
          </w:p>
        </w:tc>
        <w:tc>
          <w:tcPr>
            <w:tcW w:w="849" w:type="dxa"/>
            <w:shd w:val="clear" w:color="auto" w:fill="808080"/>
          </w:tcPr>
          <w:p w14:paraId="6B994F2C" w14:textId="77777777" w:rsidR="007A2AAB" w:rsidRPr="009A4BC4" w:rsidRDefault="007A2AAB" w:rsidP="009A4BC4">
            <w:pPr>
              <w:pStyle w:val="TableParagraph"/>
              <w:ind w:left="163" w:right="138"/>
              <w:jc w:val="center"/>
              <w:rPr>
                <w:rFonts w:ascii="Bookman Old Style" w:hAnsi="Bookman Old Style"/>
                <w:b/>
                <w:sz w:val="20"/>
                <w:szCs w:val="20"/>
              </w:rPr>
            </w:pPr>
            <w:r w:rsidRPr="009A4BC4">
              <w:rPr>
                <w:rFonts w:ascii="Bookman Old Style" w:hAnsi="Bookman Old Style"/>
                <w:b/>
                <w:sz w:val="20"/>
                <w:szCs w:val="20"/>
              </w:rPr>
              <w:t>Faktor</w:t>
            </w:r>
          </w:p>
          <w:p w14:paraId="737F4BA2" w14:textId="77777777" w:rsidR="007A2AAB" w:rsidRPr="009A4BC4" w:rsidRDefault="007A2AAB" w:rsidP="009A4BC4">
            <w:pPr>
              <w:pStyle w:val="TableParagraph"/>
              <w:ind w:left="163" w:right="138"/>
              <w:jc w:val="center"/>
              <w:rPr>
                <w:rFonts w:ascii="Bookman Old Style" w:hAnsi="Bookman Old Style"/>
                <w:b/>
                <w:sz w:val="20"/>
                <w:szCs w:val="20"/>
              </w:rPr>
            </w:pPr>
            <w:r w:rsidRPr="009A4BC4">
              <w:rPr>
                <w:rFonts w:ascii="Bookman Old Style" w:hAnsi="Bookman Old Style"/>
                <w:b/>
                <w:sz w:val="20"/>
                <w:szCs w:val="20"/>
              </w:rPr>
              <w:t>RSF</w:t>
            </w:r>
          </w:p>
        </w:tc>
        <w:tc>
          <w:tcPr>
            <w:tcW w:w="1457" w:type="dxa"/>
            <w:vMerge/>
            <w:tcBorders>
              <w:top w:val="nil"/>
            </w:tcBorders>
            <w:shd w:val="clear" w:color="auto" w:fill="808080"/>
          </w:tcPr>
          <w:p w14:paraId="75858168" w14:textId="77777777" w:rsidR="007A2AAB" w:rsidRPr="009A4BC4" w:rsidRDefault="007A2AAB" w:rsidP="009A4BC4">
            <w:pPr>
              <w:spacing w:after="0" w:line="240" w:lineRule="auto"/>
              <w:rPr>
                <w:rFonts w:ascii="Bookman Old Style" w:hAnsi="Bookman Old Style"/>
                <w:sz w:val="20"/>
                <w:szCs w:val="20"/>
              </w:rPr>
            </w:pPr>
          </w:p>
        </w:tc>
      </w:tr>
      <w:tr w:rsidR="007A2AAB" w:rsidRPr="009A4BC4" w14:paraId="39DBA710" w14:textId="77777777" w:rsidTr="008262B9">
        <w:trPr>
          <w:trHeight w:val="244"/>
        </w:trPr>
        <w:tc>
          <w:tcPr>
            <w:tcW w:w="17009" w:type="dxa"/>
            <w:gridSpan w:val="11"/>
            <w:tcBorders>
              <w:bottom w:val="single" w:sz="4" w:space="0" w:color="000000"/>
            </w:tcBorders>
            <w:shd w:val="clear" w:color="auto" w:fill="A6A6A6"/>
          </w:tcPr>
          <w:p w14:paraId="450A5E97" w14:textId="77777777" w:rsidR="007A2AAB" w:rsidRPr="009A4BC4" w:rsidRDefault="007A2AAB" w:rsidP="009A4BC4">
            <w:pPr>
              <w:pStyle w:val="TableParagraph"/>
              <w:ind w:left="1209"/>
              <w:rPr>
                <w:rFonts w:ascii="Bookman Old Style" w:hAnsi="Bookman Old Style"/>
                <w:b/>
                <w:sz w:val="20"/>
                <w:szCs w:val="20"/>
              </w:rPr>
            </w:pPr>
            <w:r w:rsidRPr="009A4BC4">
              <w:rPr>
                <w:rFonts w:ascii="Bookman Old Style" w:hAnsi="Bookman Old Style"/>
                <w:b/>
                <w:sz w:val="20"/>
                <w:szCs w:val="20"/>
              </w:rPr>
              <w:t>Aset</w:t>
            </w:r>
            <w:r w:rsidRPr="009A4BC4">
              <w:rPr>
                <w:rFonts w:ascii="Bookman Old Style" w:hAnsi="Bookman Old Style"/>
                <w:b/>
                <w:spacing w:val="-3"/>
                <w:sz w:val="20"/>
                <w:szCs w:val="20"/>
              </w:rPr>
              <w:t xml:space="preserve"> </w:t>
            </w:r>
            <w:r w:rsidRPr="009A4BC4">
              <w:rPr>
                <w:rFonts w:ascii="Bookman Old Style" w:hAnsi="Bookman Old Style"/>
                <w:b/>
                <w:sz w:val="20"/>
                <w:szCs w:val="20"/>
              </w:rPr>
              <w:t>Pada</w:t>
            </w:r>
            <w:r w:rsidRPr="009A4BC4">
              <w:rPr>
                <w:rFonts w:ascii="Bookman Old Style" w:hAnsi="Bookman Old Style"/>
                <w:b/>
                <w:spacing w:val="-3"/>
                <w:sz w:val="20"/>
                <w:szCs w:val="20"/>
              </w:rPr>
              <w:t xml:space="preserve"> </w:t>
            </w:r>
            <w:r w:rsidRPr="009A4BC4">
              <w:rPr>
                <w:rFonts w:ascii="Bookman Old Style" w:hAnsi="Bookman Old Style"/>
                <w:b/>
                <w:sz w:val="20"/>
                <w:szCs w:val="20"/>
              </w:rPr>
              <w:t>Neraca</w:t>
            </w:r>
          </w:p>
        </w:tc>
      </w:tr>
      <w:tr w:rsidR="007A2AAB" w:rsidRPr="009A4BC4" w14:paraId="353562A9" w14:textId="77777777" w:rsidTr="008262B9">
        <w:trPr>
          <w:trHeight w:val="244"/>
        </w:trPr>
        <w:tc>
          <w:tcPr>
            <w:tcW w:w="1275" w:type="dxa"/>
            <w:tcBorders>
              <w:top w:val="single" w:sz="4" w:space="0" w:color="000000"/>
              <w:bottom w:val="single" w:sz="4" w:space="0" w:color="000000"/>
              <w:right w:val="single" w:sz="4" w:space="0" w:color="000000"/>
            </w:tcBorders>
            <w:shd w:val="clear" w:color="auto" w:fill="BEBEBE"/>
          </w:tcPr>
          <w:p w14:paraId="3AA4F358"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BEBEBE"/>
          </w:tcPr>
          <w:p w14:paraId="65184B56"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Total</w:t>
            </w:r>
            <w:r w:rsidRPr="009A4BC4">
              <w:rPr>
                <w:rFonts w:ascii="Bookman Old Style" w:hAnsi="Bookman Old Style"/>
                <w:spacing w:val="-2"/>
                <w:sz w:val="20"/>
                <w:szCs w:val="20"/>
              </w:rPr>
              <w:t xml:space="preserve"> </w:t>
            </w:r>
            <w:r w:rsidRPr="009A4BC4">
              <w:rPr>
                <w:rFonts w:ascii="Bookman Old Style" w:hAnsi="Bookman Old Style"/>
                <w:sz w:val="20"/>
                <w:szCs w:val="20"/>
              </w:rPr>
              <w:t>HQLA</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3"/>
                <w:sz w:val="20"/>
                <w:szCs w:val="20"/>
              </w:rPr>
              <w:t xml:space="preserve"> </w:t>
            </w:r>
            <w:r w:rsidRPr="009A4BC4">
              <w:rPr>
                <w:rFonts w:ascii="Bookman Old Style" w:hAnsi="Bookman Old Style"/>
                <w:sz w:val="20"/>
                <w:szCs w:val="20"/>
              </w:rPr>
              <w:t>rangka</w:t>
            </w:r>
            <w:r w:rsidRPr="009A4BC4">
              <w:rPr>
                <w:rFonts w:ascii="Bookman Old Style" w:hAnsi="Bookman Old Style"/>
                <w:spacing w:val="-2"/>
                <w:sz w:val="20"/>
                <w:szCs w:val="20"/>
              </w:rPr>
              <w:t xml:space="preserve"> </w:t>
            </w:r>
            <w:r w:rsidRPr="009A4BC4">
              <w:rPr>
                <w:rFonts w:ascii="Bookman Old Style" w:hAnsi="Bookman Old Style"/>
                <w:sz w:val="20"/>
                <w:szCs w:val="20"/>
              </w:rPr>
              <w:t>perhitungan</w:t>
            </w:r>
            <w:r w:rsidRPr="009A4BC4">
              <w:rPr>
                <w:rFonts w:ascii="Bookman Old Style" w:hAnsi="Bookman Old Style"/>
                <w:spacing w:val="-1"/>
                <w:sz w:val="20"/>
                <w:szCs w:val="20"/>
              </w:rPr>
              <w:t xml:space="preserve"> </w:t>
            </w:r>
            <w:r w:rsidRPr="009A4BC4">
              <w:rPr>
                <w:rFonts w:ascii="Bookman Old Style" w:hAnsi="Bookman Old Style"/>
                <w:sz w:val="20"/>
                <w:szCs w:val="20"/>
              </w:rPr>
              <w:t>NSFR</w:t>
            </w:r>
          </w:p>
        </w:tc>
        <w:tc>
          <w:tcPr>
            <w:tcW w:w="989" w:type="dxa"/>
            <w:tcBorders>
              <w:top w:val="single" w:sz="4" w:space="0" w:color="000000"/>
              <w:left w:val="single" w:sz="4" w:space="0" w:color="000000"/>
              <w:bottom w:val="single" w:sz="4" w:space="0" w:color="000000"/>
              <w:right w:val="single" w:sz="4" w:space="0" w:color="000000"/>
            </w:tcBorders>
            <w:shd w:val="clear" w:color="auto" w:fill="BEBEBE"/>
          </w:tcPr>
          <w:p w14:paraId="700F104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BEBEBE"/>
          </w:tcPr>
          <w:p w14:paraId="0CF1A063" w14:textId="77777777" w:rsidR="007A2AAB" w:rsidRPr="009A4BC4" w:rsidRDefault="007A2AAB" w:rsidP="009A4BC4">
            <w:pPr>
              <w:pStyle w:val="TableParagraph"/>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BEBEBE"/>
          </w:tcPr>
          <w:p w14:paraId="2CA2A8D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BEBEBE"/>
          </w:tcPr>
          <w:p w14:paraId="773426C1" w14:textId="77777777" w:rsidR="007A2AAB" w:rsidRPr="009A4BC4" w:rsidRDefault="007A2AAB" w:rsidP="009A4BC4">
            <w:pPr>
              <w:pStyle w:val="TableParagraph"/>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BEBEBE"/>
          </w:tcPr>
          <w:p w14:paraId="26BFB479"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BEBEBE"/>
          </w:tcPr>
          <w:p w14:paraId="237B5143" w14:textId="77777777" w:rsidR="007A2AAB" w:rsidRPr="009A4BC4" w:rsidRDefault="007A2AAB" w:rsidP="009A4BC4">
            <w:pPr>
              <w:pStyle w:val="TableParagraph"/>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BEBEBE"/>
          </w:tcPr>
          <w:p w14:paraId="4CE93FD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BEBEBE"/>
          </w:tcPr>
          <w:p w14:paraId="2B442142" w14:textId="77777777" w:rsidR="007A2AAB" w:rsidRPr="009A4BC4" w:rsidRDefault="007A2AAB" w:rsidP="009A4BC4">
            <w:pPr>
              <w:pStyle w:val="TableParagraph"/>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BEBEBE"/>
          </w:tcPr>
          <w:p w14:paraId="6FBCB33F" w14:textId="77777777" w:rsidR="007A2AAB" w:rsidRPr="009A4BC4" w:rsidRDefault="007A2AAB" w:rsidP="009A4BC4">
            <w:pPr>
              <w:pStyle w:val="TableParagraph"/>
              <w:rPr>
                <w:rFonts w:ascii="Bookman Old Style" w:hAnsi="Bookman Old Style"/>
                <w:sz w:val="20"/>
                <w:szCs w:val="20"/>
              </w:rPr>
            </w:pPr>
          </w:p>
        </w:tc>
      </w:tr>
      <w:tr w:rsidR="007A2AAB" w:rsidRPr="009A4BC4" w14:paraId="7687BBD7" w14:textId="77777777" w:rsidTr="008262B9">
        <w:trPr>
          <w:trHeight w:val="244"/>
        </w:trPr>
        <w:tc>
          <w:tcPr>
            <w:tcW w:w="1275" w:type="dxa"/>
            <w:tcBorders>
              <w:top w:val="single" w:sz="4" w:space="0" w:color="000000"/>
              <w:bottom w:val="single" w:sz="4" w:space="0" w:color="000000"/>
              <w:right w:val="single" w:sz="4" w:space="0" w:color="000000"/>
            </w:tcBorders>
          </w:tcPr>
          <w:p w14:paraId="5C16C117"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w:t>
            </w:r>
          </w:p>
        </w:tc>
        <w:tc>
          <w:tcPr>
            <w:tcW w:w="6946" w:type="dxa"/>
            <w:tcBorders>
              <w:top w:val="single" w:sz="4" w:space="0" w:color="000000"/>
              <w:left w:val="single" w:sz="4" w:space="0" w:color="000000"/>
              <w:bottom w:val="single" w:sz="4" w:space="0" w:color="000000"/>
              <w:right w:val="single" w:sz="4" w:space="0" w:color="000000"/>
            </w:tcBorders>
          </w:tcPr>
          <w:p w14:paraId="6FFA6512" w14:textId="77777777" w:rsidR="007A2AAB" w:rsidRPr="009A4BC4" w:rsidRDefault="007A2AAB" w:rsidP="009A4BC4">
            <w:pPr>
              <w:pStyle w:val="TableParagraph"/>
              <w:ind w:left="477"/>
              <w:rPr>
                <w:rFonts w:ascii="Bookman Old Style" w:hAnsi="Bookman Old Style"/>
                <w:sz w:val="20"/>
                <w:szCs w:val="20"/>
              </w:rPr>
            </w:pPr>
            <w:r w:rsidRPr="009A4BC4">
              <w:rPr>
                <w:rFonts w:ascii="Bookman Old Style" w:hAnsi="Bookman Old Style"/>
                <w:sz w:val="20"/>
                <w:szCs w:val="20"/>
              </w:rPr>
              <w:t>HQLA</w:t>
            </w:r>
            <w:r w:rsidRPr="009A4BC4">
              <w:rPr>
                <w:rFonts w:ascii="Bookman Old Style" w:hAnsi="Bookman Old Style"/>
                <w:spacing w:val="-4"/>
                <w:sz w:val="20"/>
                <w:szCs w:val="20"/>
              </w:rPr>
              <w:t xml:space="preserve"> </w:t>
            </w:r>
            <w:r w:rsidRPr="009A4BC4">
              <w:rPr>
                <w:rFonts w:ascii="Bookman Old Style" w:hAnsi="Bookman Old Style"/>
                <w:sz w:val="20"/>
                <w:szCs w:val="20"/>
              </w:rPr>
              <w:t>Level</w:t>
            </w:r>
            <w:r w:rsidRPr="009A4BC4">
              <w:rPr>
                <w:rFonts w:ascii="Bookman Old Style" w:hAnsi="Bookman Old Style"/>
                <w:spacing w:val="-2"/>
                <w:sz w:val="20"/>
                <w:szCs w:val="20"/>
              </w:rPr>
              <w:t xml:space="preserve"> </w:t>
            </w:r>
            <w:r w:rsidRPr="009A4BC4">
              <w:rPr>
                <w:rFonts w:ascii="Bookman Old Style" w:hAnsi="Bookman Old Style"/>
                <w:sz w:val="20"/>
                <w:szCs w:val="20"/>
              </w:rPr>
              <w:t>1</w:t>
            </w:r>
          </w:p>
        </w:tc>
        <w:tc>
          <w:tcPr>
            <w:tcW w:w="989" w:type="dxa"/>
            <w:tcBorders>
              <w:top w:val="single" w:sz="4" w:space="0" w:color="000000"/>
              <w:left w:val="single" w:sz="4" w:space="0" w:color="000000"/>
              <w:bottom w:val="single" w:sz="4" w:space="0" w:color="000000"/>
              <w:right w:val="single" w:sz="4" w:space="0" w:color="000000"/>
            </w:tcBorders>
          </w:tcPr>
          <w:p w14:paraId="74045BF2"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tcPr>
          <w:p w14:paraId="66484F38" w14:textId="77777777" w:rsidR="007A2AAB" w:rsidRPr="009A4BC4" w:rsidRDefault="007A2AAB" w:rsidP="009A4BC4">
            <w:pPr>
              <w:pStyle w:val="TableParagraph"/>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7F13FE5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3D1252FC" w14:textId="77777777" w:rsidR="007A2AAB" w:rsidRPr="009A4BC4" w:rsidRDefault="007A2AAB" w:rsidP="009A4BC4">
            <w:pPr>
              <w:pStyle w:val="TableParagraph"/>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3066AB0"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8378CF3" w14:textId="77777777" w:rsidR="007A2AAB" w:rsidRPr="009A4BC4" w:rsidRDefault="007A2AAB" w:rsidP="009A4BC4">
            <w:pPr>
              <w:pStyle w:val="TableParagraph"/>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62703C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51C97875" w14:textId="77777777" w:rsidR="007A2AAB" w:rsidRPr="009A4BC4" w:rsidRDefault="007A2AAB" w:rsidP="009A4BC4">
            <w:pPr>
              <w:pStyle w:val="TableParagraph"/>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391F0821" w14:textId="77777777" w:rsidR="007A2AAB" w:rsidRPr="009A4BC4" w:rsidRDefault="007A2AAB" w:rsidP="009A4BC4">
            <w:pPr>
              <w:pStyle w:val="TableParagraph"/>
              <w:rPr>
                <w:rFonts w:ascii="Bookman Old Style" w:hAnsi="Bookman Old Style"/>
                <w:sz w:val="20"/>
                <w:szCs w:val="20"/>
              </w:rPr>
            </w:pPr>
          </w:p>
        </w:tc>
      </w:tr>
      <w:tr w:rsidR="007A2AAB" w:rsidRPr="009A4BC4" w14:paraId="1D2E4E75" w14:textId="77777777" w:rsidTr="008262B9">
        <w:trPr>
          <w:trHeight w:val="244"/>
        </w:trPr>
        <w:tc>
          <w:tcPr>
            <w:tcW w:w="1275" w:type="dxa"/>
            <w:tcBorders>
              <w:top w:val="single" w:sz="4" w:space="0" w:color="000000"/>
              <w:bottom w:val="single" w:sz="4" w:space="0" w:color="000000"/>
              <w:right w:val="single" w:sz="4" w:space="0" w:color="000000"/>
            </w:tcBorders>
          </w:tcPr>
          <w:p w14:paraId="503E2FD9"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1.1.1</w:t>
            </w:r>
          </w:p>
        </w:tc>
        <w:tc>
          <w:tcPr>
            <w:tcW w:w="6946" w:type="dxa"/>
            <w:tcBorders>
              <w:top w:val="single" w:sz="4" w:space="0" w:color="000000"/>
              <w:left w:val="single" w:sz="4" w:space="0" w:color="000000"/>
              <w:bottom w:val="single" w:sz="4" w:space="0" w:color="000000"/>
              <w:right w:val="single" w:sz="4" w:space="0" w:color="000000"/>
            </w:tcBorders>
          </w:tcPr>
          <w:p w14:paraId="7CBE84B3" w14:textId="77777777" w:rsidR="007A2AAB" w:rsidRPr="009A4BC4" w:rsidRDefault="007A2AAB" w:rsidP="009A4BC4">
            <w:pPr>
              <w:pStyle w:val="TableParagraph"/>
              <w:ind w:left="837"/>
              <w:rPr>
                <w:rFonts w:ascii="Bookman Old Style" w:hAnsi="Bookman Old Style"/>
                <w:sz w:val="20"/>
                <w:szCs w:val="20"/>
              </w:rPr>
            </w:pPr>
            <w:r w:rsidRPr="009A4BC4">
              <w:rPr>
                <w:rFonts w:ascii="Bookman Old Style" w:hAnsi="Bookman Old Style"/>
                <w:sz w:val="20"/>
                <w:szCs w:val="20"/>
              </w:rPr>
              <w:t>kas</w:t>
            </w:r>
            <w:r w:rsidRPr="009A4BC4">
              <w:rPr>
                <w:rFonts w:ascii="Bookman Old Style" w:hAnsi="Bookman Old Style"/>
                <w:spacing w:val="-4"/>
                <w:sz w:val="20"/>
                <w:szCs w:val="20"/>
              </w:rPr>
              <w:t xml:space="preserve"> </w:t>
            </w:r>
            <w:r w:rsidRPr="009A4BC4">
              <w:rPr>
                <w:rFonts w:ascii="Bookman Old Style" w:hAnsi="Bookman Old Style"/>
                <w:sz w:val="20"/>
                <w:szCs w:val="20"/>
              </w:rPr>
              <w:t>dan setara</w:t>
            </w:r>
            <w:r w:rsidRPr="009A4BC4">
              <w:rPr>
                <w:rFonts w:ascii="Bookman Old Style" w:hAnsi="Bookman Old Style"/>
                <w:spacing w:val="-1"/>
                <w:sz w:val="20"/>
                <w:szCs w:val="20"/>
              </w:rPr>
              <w:t xml:space="preserve"> </w:t>
            </w:r>
            <w:r w:rsidRPr="009A4BC4">
              <w:rPr>
                <w:rFonts w:ascii="Bookman Old Style" w:hAnsi="Bookman Old Style"/>
                <w:sz w:val="20"/>
                <w:szCs w:val="20"/>
              </w:rPr>
              <w:t>kas</w:t>
            </w:r>
          </w:p>
        </w:tc>
        <w:tc>
          <w:tcPr>
            <w:tcW w:w="989" w:type="dxa"/>
            <w:tcBorders>
              <w:top w:val="single" w:sz="4" w:space="0" w:color="000000"/>
              <w:left w:val="single" w:sz="4" w:space="0" w:color="000000"/>
              <w:bottom w:val="single" w:sz="4" w:space="0" w:color="000000"/>
              <w:right w:val="single" w:sz="4" w:space="0" w:color="000000"/>
            </w:tcBorders>
          </w:tcPr>
          <w:p w14:paraId="33F5C44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678D925"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152F677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6A0FFFE"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1" w:type="dxa"/>
            <w:tcBorders>
              <w:top w:val="single" w:sz="4" w:space="0" w:color="000000"/>
              <w:left w:val="single" w:sz="4" w:space="0" w:color="000000"/>
              <w:bottom w:val="single" w:sz="4" w:space="0" w:color="000000"/>
              <w:right w:val="single" w:sz="4" w:space="0" w:color="000000"/>
            </w:tcBorders>
            <w:vAlign w:val="center"/>
          </w:tcPr>
          <w:p w14:paraId="7989A337"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75D0F"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n.a</w:t>
            </w:r>
          </w:p>
        </w:tc>
        <w:tc>
          <w:tcPr>
            <w:tcW w:w="993" w:type="dxa"/>
            <w:tcBorders>
              <w:top w:val="single" w:sz="4" w:space="0" w:color="000000"/>
              <w:left w:val="single" w:sz="4" w:space="0" w:color="000000"/>
              <w:bottom w:val="single" w:sz="4" w:space="0" w:color="000000"/>
              <w:right w:val="single" w:sz="4" w:space="0" w:color="000000"/>
            </w:tcBorders>
            <w:vAlign w:val="center"/>
          </w:tcPr>
          <w:p w14:paraId="3CC9C77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3F5F0DB"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n.a</w:t>
            </w:r>
          </w:p>
        </w:tc>
        <w:tc>
          <w:tcPr>
            <w:tcW w:w="1457" w:type="dxa"/>
            <w:tcBorders>
              <w:top w:val="single" w:sz="4" w:space="0" w:color="000000"/>
              <w:left w:val="single" w:sz="4" w:space="0" w:color="000000"/>
              <w:bottom w:val="single" w:sz="4" w:space="0" w:color="000000"/>
            </w:tcBorders>
          </w:tcPr>
          <w:p w14:paraId="2D25C61F" w14:textId="77777777" w:rsidR="007A2AAB" w:rsidRPr="009A4BC4" w:rsidRDefault="007A2AAB" w:rsidP="009A4BC4">
            <w:pPr>
              <w:pStyle w:val="TableParagraph"/>
              <w:rPr>
                <w:rFonts w:ascii="Bookman Old Style" w:hAnsi="Bookman Old Style"/>
                <w:sz w:val="20"/>
                <w:szCs w:val="20"/>
              </w:rPr>
            </w:pPr>
          </w:p>
        </w:tc>
      </w:tr>
      <w:tr w:rsidR="007A2AAB" w:rsidRPr="009A4BC4" w14:paraId="23F24A26" w14:textId="77777777" w:rsidTr="008262B9">
        <w:trPr>
          <w:trHeight w:val="244"/>
        </w:trPr>
        <w:tc>
          <w:tcPr>
            <w:tcW w:w="1275" w:type="dxa"/>
            <w:tcBorders>
              <w:top w:val="single" w:sz="4" w:space="0" w:color="000000"/>
              <w:bottom w:val="single" w:sz="4" w:space="0" w:color="000000"/>
              <w:right w:val="single" w:sz="4" w:space="0" w:color="000000"/>
            </w:tcBorders>
          </w:tcPr>
          <w:p w14:paraId="1484A504"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1.1.2</w:t>
            </w:r>
          </w:p>
        </w:tc>
        <w:tc>
          <w:tcPr>
            <w:tcW w:w="6946" w:type="dxa"/>
            <w:tcBorders>
              <w:top w:val="single" w:sz="4" w:space="0" w:color="000000"/>
              <w:left w:val="single" w:sz="4" w:space="0" w:color="000000"/>
              <w:bottom w:val="single" w:sz="4" w:space="0" w:color="000000"/>
              <w:right w:val="single" w:sz="4" w:space="0" w:color="000000"/>
            </w:tcBorders>
          </w:tcPr>
          <w:p w14:paraId="3FBB3B02" w14:textId="77777777" w:rsidR="007A2AAB" w:rsidRPr="009A4BC4" w:rsidRDefault="007A2AAB" w:rsidP="009A4BC4">
            <w:pPr>
              <w:pStyle w:val="TableParagraph"/>
              <w:ind w:left="837"/>
              <w:rPr>
                <w:rFonts w:ascii="Bookman Old Style" w:hAnsi="Bookman Old Style"/>
                <w:sz w:val="20"/>
                <w:szCs w:val="20"/>
              </w:rPr>
            </w:pPr>
            <w:r w:rsidRPr="009A4BC4">
              <w:rPr>
                <w:rFonts w:ascii="Bookman Old Style" w:hAnsi="Bookman Old Style"/>
                <w:sz w:val="20"/>
                <w:szCs w:val="20"/>
              </w:rPr>
              <w:t>penempatan</w:t>
            </w:r>
            <w:r w:rsidRPr="009A4BC4">
              <w:rPr>
                <w:rFonts w:ascii="Bookman Old Style" w:hAnsi="Bookman Old Style"/>
                <w:spacing w:val="-3"/>
                <w:sz w:val="20"/>
                <w:szCs w:val="20"/>
              </w:rPr>
              <w:t xml:space="preserve"> </w:t>
            </w:r>
            <w:r w:rsidRPr="009A4BC4">
              <w:rPr>
                <w:rFonts w:ascii="Bookman Old Style" w:hAnsi="Bookman Old Style"/>
                <w:sz w:val="20"/>
                <w:szCs w:val="20"/>
              </w:rPr>
              <w:t>pada</w:t>
            </w:r>
            <w:r w:rsidRPr="009A4BC4">
              <w:rPr>
                <w:rFonts w:ascii="Bookman Old Style" w:hAnsi="Bookman Old Style"/>
                <w:spacing w:val="-3"/>
                <w:sz w:val="20"/>
                <w:szCs w:val="20"/>
              </w:rPr>
              <w:t xml:space="preserve"> </w:t>
            </w:r>
            <w:r w:rsidRPr="009A4BC4">
              <w:rPr>
                <w:rFonts w:ascii="Bookman Old Style" w:hAnsi="Bookman Old Style"/>
                <w:sz w:val="20"/>
                <w:szCs w:val="20"/>
              </w:rPr>
              <w:t>Bank</w:t>
            </w:r>
            <w:r w:rsidRPr="009A4BC4">
              <w:rPr>
                <w:rFonts w:ascii="Bookman Old Style" w:hAnsi="Bookman Old Style"/>
                <w:spacing w:val="-4"/>
                <w:sz w:val="20"/>
                <w:szCs w:val="20"/>
              </w:rPr>
              <w:t xml:space="preserve"> </w:t>
            </w:r>
            <w:r w:rsidRPr="009A4BC4">
              <w:rPr>
                <w:rFonts w:ascii="Bookman Old Style" w:hAnsi="Bookman Old Style"/>
                <w:sz w:val="20"/>
                <w:szCs w:val="20"/>
              </w:rPr>
              <w:t>Indonesia</w:t>
            </w:r>
          </w:p>
        </w:tc>
        <w:tc>
          <w:tcPr>
            <w:tcW w:w="989" w:type="dxa"/>
            <w:tcBorders>
              <w:top w:val="single" w:sz="4" w:space="0" w:color="000000"/>
              <w:left w:val="single" w:sz="4" w:space="0" w:color="000000"/>
              <w:bottom w:val="single" w:sz="4" w:space="0" w:color="000000"/>
              <w:right w:val="single" w:sz="4" w:space="0" w:color="000000"/>
            </w:tcBorders>
          </w:tcPr>
          <w:p w14:paraId="0CD38A2E"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A68C102"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0FC1295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05BD09E"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5D5EE0FD"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EA2E78"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2056A5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4CC6C29"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0%</w:t>
            </w:r>
          </w:p>
        </w:tc>
        <w:tc>
          <w:tcPr>
            <w:tcW w:w="1457" w:type="dxa"/>
            <w:tcBorders>
              <w:top w:val="single" w:sz="4" w:space="0" w:color="000000"/>
              <w:left w:val="single" w:sz="4" w:space="0" w:color="000000"/>
              <w:bottom w:val="single" w:sz="4" w:space="0" w:color="000000"/>
            </w:tcBorders>
          </w:tcPr>
          <w:p w14:paraId="515E265B" w14:textId="77777777" w:rsidR="007A2AAB" w:rsidRPr="009A4BC4" w:rsidRDefault="007A2AAB" w:rsidP="009A4BC4">
            <w:pPr>
              <w:pStyle w:val="TableParagraph"/>
              <w:rPr>
                <w:rFonts w:ascii="Bookman Old Style" w:hAnsi="Bookman Old Style"/>
                <w:sz w:val="20"/>
                <w:szCs w:val="20"/>
              </w:rPr>
            </w:pPr>
          </w:p>
        </w:tc>
      </w:tr>
      <w:tr w:rsidR="007A2AAB" w:rsidRPr="009A4BC4" w14:paraId="6E50480A" w14:textId="77777777" w:rsidTr="008262B9">
        <w:trPr>
          <w:trHeight w:val="244"/>
        </w:trPr>
        <w:tc>
          <w:tcPr>
            <w:tcW w:w="1275" w:type="dxa"/>
            <w:tcBorders>
              <w:top w:val="single" w:sz="4" w:space="0" w:color="000000"/>
              <w:bottom w:val="single" w:sz="4" w:space="0" w:color="000000"/>
              <w:right w:val="single" w:sz="4" w:space="0" w:color="000000"/>
            </w:tcBorders>
          </w:tcPr>
          <w:p w14:paraId="21136C86"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1.1.3</w:t>
            </w:r>
          </w:p>
        </w:tc>
        <w:tc>
          <w:tcPr>
            <w:tcW w:w="6946" w:type="dxa"/>
            <w:tcBorders>
              <w:top w:val="single" w:sz="4" w:space="0" w:color="000000"/>
              <w:left w:val="single" w:sz="4" w:space="0" w:color="000000"/>
              <w:bottom w:val="single" w:sz="4" w:space="0" w:color="000000"/>
              <w:right w:val="single" w:sz="4" w:space="0" w:color="000000"/>
            </w:tcBorders>
          </w:tcPr>
          <w:p w14:paraId="0137068F" w14:textId="77777777" w:rsidR="007A2AAB" w:rsidRPr="009A4BC4" w:rsidRDefault="007A2AAB" w:rsidP="009A4BC4">
            <w:pPr>
              <w:pStyle w:val="TableParagraph"/>
              <w:ind w:left="826" w:right="459"/>
              <w:jc w:val="center"/>
              <w:rPr>
                <w:rFonts w:ascii="Bookman Old Style" w:hAnsi="Bookman Old Style"/>
                <w:sz w:val="20"/>
                <w:szCs w:val="20"/>
              </w:rPr>
            </w:pPr>
            <w:r w:rsidRPr="009A4BC4">
              <w:rPr>
                <w:rFonts w:ascii="Bookman Old Style" w:hAnsi="Bookman Old Style"/>
                <w:sz w:val="20"/>
                <w:szCs w:val="20"/>
              </w:rPr>
              <w:t>HQLA</w:t>
            </w:r>
            <w:r w:rsidRPr="009A4BC4">
              <w:rPr>
                <w:rFonts w:ascii="Bookman Old Style" w:hAnsi="Bookman Old Style"/>
                <w:spacing w:val="-3"/>
                <w:sz w:val="20"/>
                <w:szCs w:val="20"/>
              </w:rPr>
              <w:t xml:space="preserve"> </w:t>
            </w:r>
            <w:r w:rsidRPr="009A4BC4">
              <w:rPr>
                <w:rFonts w:ascii="Bookman Old Style" w:hAnsi="Bookman Old Style"/>
                <w:sz w:val="20"/>
                <w:szCs w:val="20"/>
              </w:rPr>
              <w:t>Level</w:t>
            </w:r>
            <w:r w:rsidRPr="009A4BC4">
              <w:rPr>
                <w:rFonts w:ascii="Bookman Old Style" w:hAnsi="Bookman Old Style"/>
                <w:spacing w:val="-2"/>
                <w:sz w:val="20"/>
                <w:szCs w:val="20"/>
              </w:rPr>
              <w:t xml:space="preserve"> </w:t>
            </w:r>
            <w:r w:rsidRPr="009A4BC4">
              <w:rPr>
                <w:rFonts w:ascii="Bookman Old Style" w:hAnsi="Bookman Old Style"/>
                <w:sz w:val="20"/>
                <w:szCs w:val="20"/>
              </w:rPr>
              <w:t>1</w:t>
            </w:r>
            <w:r w:rsidRPr="009A4BC4">
              <w:rPr>
                <w:rFonts w:ascii="Bookman Old Style" w:hAnsi="Bookman Old Style"/>
                <w:spacing w:val="-1"/>
                <w:sz w:val="20"/>
                <w:szCs w:val="20"/>
              </w:rPr>
              <w:t xml:space="preserve"> </w:t>
            </w: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termasuk</w:t>
            </w:r>
            <w:r w:rsidRPr="009A4BC4">
              <w:rPr>
                <w:rFonts w:ascii="Bookman Old Style" w:hAnsi="Bookman Old Style"/>
                <w:spacing w:val="43"/>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2"/>
                <w:sz w:val="20"/>
                <w:szCs w:val="20"/>
              </w:rPr>
              <w:t xml:space="preserve"> </w:t>
            </w:r>
            <w:r w:rsidRPr="009A4BC4">
              <w:rPr>
                <w:rFonts w:ascii="Bookman Old Style" w:hAnsi="Bookman Old Style"/>
                <w:sz w:val="20"/>
                <w:szCs w:val="20"/>
              </w:rPr>
              <w:t>mendapatkan</w:t>
            </w:r>
            <w:r w:rsidRPr="009A4BC4">
              <w:rPr>
                <w:rFonts w:ascii="Bookman Old Style" w:hAnsi="Bookman Old Style"/>
                <w:spacing w:val="-2"/>
                <w:sz w:val="20"/>
                <w:szCs w:val="20"/>
              </w:rPr>
              <w:t xml:space="preserve"> </w:t>
            </w:r>
            <w:r w:rsidRPr="009A4BC4">
              <w:rPr>
                <w:rFonts w:ascii="Bookman Old Style" w:hAnsi="Bookman Old Style"/>
                <w:sz w:val="20"/>
                <w:szCs w:val="20"/>
              </w:rPr>
              <w:t>faktor</w:t>
            </w:r>
            <w:r w:rsidRPr="009A4BC4">
              <w:rPr>
                <w:rFonts w:ascii="Bookman Old Style" w:hAnsi="Bookman Old Style"/>
                <w:spacing w:val="-1"/>
                <w:sz w:val="20"/>
                <w:szCs w:val="20"/>
              </w:rPr>
              <w:t xml:space="preserve"> </w:t>
            </w:r>
            <w:r w:rsidRPr="009A4BC4">
              <w:rPr>
                <w:rFonts w:ascii="Bookman Old Style" w:hAnsi="Bookman Old Style"/>
                <w:sz w:val="20"/>
                <w:szCs w:val="20"/>
              </w:rPr>
              <w:t>RSF</w:t>
            </w:r>
            <w:r w:rsidRPr="009A4BC4">
              <w:rPr>
                <w:rFonts w:ascii="Bookman Old Style" w:hAnsi="Bookman Old Style"/>
                <w:spacing w:val="-3"/>
                <w:sz w:val="20"/>
                <w:szCs w:val="20"/>
              </w:rPr>
              <w:t xml:space="preserve"> </w:t>
            </w:r>
            <w:r w:rsidRPr="009A4BC4">
              <w:rPr>
                <w:rFonts w:ascii="Bookman Old Style" w:hAnsi="Bookman Old Style"/>
                <w:sz w:val="20"/>
                <w:szCs w:val="20"/>
              </w:rPr>
              <w:t>0%</w:t>
            </w:r>
          </w:p>
        </w:tc>
        <w:tc>
          <w:tcPr>
            <w:tcW w:w="989" w:type="dxa"/>
            <w:tcBorders>
              <w:top w:val="single" w:sz="4" w:space="0" w:color="000000"/>
              <w:left w:val="single" w:sz="4" w:space="0" w:color="000000"/>
              <w:bottom w:val="single" w:sz="4" w:space="0" w:color="000000"/>
              <w:right w:val="single" w:sz="4" w:space="0" w:color="000000"/>
            </w:tcBorders>
          </w:tcPr>
          <w:p w14:paraId="3703401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12BD94C9" w14:textId="77777777" w:rsidR="007A2AAB" w:rsidRPr="009A4BC4" w:rsidRDefault="007A2AAB" w:rsidP="009A4BC4">
            <w:pPr>
              <w:pStyle w:val="TableParagraph"/>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E01A25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FBD835F" w14:textId="77777777" w:rsidR="007A2AAB" w:rsidRPr="009A4BC4" w:rsidRDefault="007A2AAB" w:rsidP="009A4BC4">
            <w:pPr>
              <w:pStyle w:val="TableParagraph"/>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465D450"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8EE431" w14:textId="77777777" w:rsidR="007A2AAB" w:rsidRPr="009A4BC4" w:rsidRDefault="007A2AAB" w:rsidP="009A4BC4">
            <w:pPr>
              <w:pStyle w:val="TableParagraph"/>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1D5118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60F41B0" w14:textId="77777777" w:rsidR="007A2AAB" w:rsidRPr="009A4BC4" w:rsidRDefault="007A2AAB" w:rsidP="009A4BC4">
            <w:pPr>
              <w:pStyle w:val="TableParagraph"/>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3257D342" w14:textId="77777777" w:rsidR="007A2AAB" w:rsidRPr="009A4BC4" w:rsidRDefault="007A2AAB" w:rsidP="009A4BC4">
            <w:pPr>
              <w:pStyle w:val="TableParagraph"/>
              <w:rPr>
                <w:rFonts w:ascii="Bookman Old Style" w:hAnsi="Bookman Old Style"/>
                <w:sz w:val="20"/>
                <w:szCs w:val="20"/>
              </w:rPr>
            </w:pPr>
          </w:p>
        </w:tc>
      </w:tr>
      <w:tr w:rsidR="007A2AAB" w:rsidRPr="009A4BC4" w14:paraId="7CB71251" w14:textId="77777777" w:rsidTr="008262B9">
        <w:trPr>
          <w:trHeight w:val="244"/>
        </w:trPr>
        <w:tc>
          <w:tcPr>
            <w:tcW w:w="1275" w:type="dxa"/>
            <w:tcBorders>
              <w:top w:val="single" w:sz="4" w:space="0" w:color="000000"/>
              <w:bottom w:val="single" w:sz="4" w:space="0" w:color="000000"/>
              <w:right w:val="single" w:sz="4" w:space="0" w:color="000000"/>
            </w:tcBorders>
          </w:tcPr>
          <w:p w14:paraId="18E8A943"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1.1.3.1</w:t>
            </w:r>
          </w:p>
        </w:tc>
        <w:tc>
          <w:tcPr>
            <w:tcW w:w="6946" w:type="dxa"/>
            <w:tcBorders>
              <w:top w:val="single" w:sz="4" w:space="0" w:color="000000"/>
              <w:left w:val="single" w:sz="4" w:space="0" w:color="000000"/>
              <w:bottom w:val="single" w:sz="4" w:space="0" w:color="000000"/>
              <w:right w:val="single" w:sz="4" w:space="0" w:color="000000"/>
            </w:tcBorders>
          </w:tcPr>
          <w:p w14:paraId="30B22C1C" w14:textId="77777777" w:rsidR="007A2AAB" w:rsidRPr="009A4BC4" w:rsidRDefault="007A2AAB" w:rsidP="009A4BC4">
            <w:pPr>
              <w:pStyle w:val="TableParagraph"/>
              <w:ind w:left="1101"/>
              <w:rPr>
                <w:rFonts w:ascii="Bookman Old Style" w:hAnsi="Bookman Old Style"/>
                <w:i/>
                <w:sz w:val="20"/>
                <w:szCs w:val="20"/>
              </w:rPr>
            </w:pP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tcPr>
          <w:p w14:paraId="3E52ED90"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E707A6B"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0C150AD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E4D2416"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w:t>
            </w:r>
          </w:p>
        </w:tc>
        <w:tc>
          <w:tcPr>
            <w:tcW w:w="991" w:type="dxa"/>
            <w:tcBorders>
              <w:top w:val="single" w:sz="4" w:space="0" w:color="000000"/>
              <w:left w:val="single" w:sz="4" w:space="0" w:color="000000"/>
              <w:bottom w:val="single" w:sz="4" w:space="0" w:color="000000"/>
              <w:right w:val="single" w:sz="4" w:space="0" w:color="000000"/>
            </w:tcBorders>
            <w:vAlign w:val="center"/>
          </w:tcPr>
          <w:p w14:paraId="106E14E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2451CE"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0E634A0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21B50CD"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5%</w:t>
            </w:r>
          </w:p>
        </w:tc>
        <w:tc>
          <w:tcPr>
            <w:tcW w:w="1457" w:type="dxa"/>
            <w:tcBorders>
              <w:top w:val="single" w:sz="4" w:space="0" w:color="000000"/>
              <w:left w:val="single" w:sz="4" w:space="0" w:color="000000"/>
              <w:bottom w:val="single" w:sz="4" w:space="0" w:color="000000"/>
            </w:tcBorders>
          </w:tcPr>
          <w:p w14:paraId="3CF777AE" w14:textId="77777777" w:rsidR="007A2AAB" w:rsidRPr="009A4BC4" w:rsidRDefault="007A2AAB" w:rsidP="009A4BC4">
            <w:pPr>
              <w:pStyle w:val="TableParagraph"/>
              <w:rPr>
                <w:rFonts w:ascii="Bookman Old Style" w:hAnsi="Bookman Old Style"/>
                <w:sz w:val="20"/>
                <w:szCs w:val="20"/>
              </w:rPr>
            </w:pPr>
          </w:p>
        </w:tc>
      </w:tr>
      <w:tr w:rsidR="007A2AAB" w:rsidRPr="009A4BC4" w14:paraId="1A1F08A9" w14:textId="77777777" w:rsidTr="008262B9">
        <w:trPr>
          <w:trHeight w:val="486"/>
        </w:trPr>
        <w:tc>
          <w:tcPr>
            <w:tcW w:w="1275" w:type="dxa"/>
            <w:tcBorders>
              <w:top w:val="single" w:sz="4" w:space="0" w:color="000000"/>
              <w:bottom w:val="single" w:sz="4" w:space="0" w:color="000000"/>
              <w:right w:val="single" w:sz="4" w:space="0" w:color="000000"/>
            </w:tcBorders>
          </w:tcPr>
          <w:p w14:paraId="1646B1E7"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1.1.3.2</w:t>
            </w:r>
          </w:p>
        </w:tc>
        <w:tc>
          <w:tcPr>
            <w:tcW w:w="6946" w:type="dxa"/>
            <w:tcBorders>
              <w:top w:val="single" w:sz="4" w:space="0" w:color="000000"/>
              <w:left w:val="single" w:sz="4" w:space="0" w:color="000000"/>
              <w:bottom w:val="single" w:sz="4" w:space="0" w:color="000000"/>
              <w:right w:val="single" w:sz="4" w:space="0" w:color="000000"/>
            </w:tcBorders>
          </w:tcPr>
          <w:p w14:paraId="3123A3CA" w14:textId="77777777" w:rsidR="007A2AAB" w:rsidRPr="009A4BC4" w:rsidRDefault="007A2AAB" w:rsidP="009A4BC4">
            <w:pPr>
              <w:pStyle w:val="TableParagraph"/>
              <w:ind w:left="110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r w:rsidRPr="009A4BC4">
              <w:rPr>
                <w:rFonts w:ascii="Bookman Old Style" w:hAnsi="Bookman Old Style"/>
                <w:sz w:val="20"/>
                <w:szCs w:val="20"/>
              </w:rPr>
              <w:t>,</w:t>
            </w:r>
            <w:r w:rsidRPr="009A4BC4">
              <w:rPr>
                <w:rFonts w:ascii="Bookman Old Style" w:hAnsi="Bookman Old Style"/>
                <w:spacing w:val="-2"/>
                <w:sz w:val="20"/>
                <w:szCs w:val="20"/>
              </w:rPr>
              <w:t xml:space="preserve"> </w:t>
            </w:r>
            <w:r w:rsidRPr="009A4BC4">
              <w:rPr>
                <w:rFonts w:ascii="Bookman Old Style" w:hAnsi="Bookman Old Style"/>
                <w:sz w:val="20"/>
                <w:szCs w:val="20"/>
              </w:rPr>
              <w:t>berdasarkan</w:t>
            </w:r>
            <w:r w:rsidRPr="009A4BC4">
              <w:rPr>
                <w:rFonts w:ascii="Bookman Old Style" w:hAnsi="Bookman Old Style"/>
                <w:spacing w:val="-2"/>
                <w:sz w:val="20"/>
                <w:szCs w:val="20"/>
              </w:rPr>
              <w:t xml:space="preserve"> </w:t>
            </w: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z w:val="20"/>
                <w:szCs w:val="20"/>
                <w:lang w:val="en-US"/>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3"/>
                <w:sz w:val="20"/>
                <w:szCs w:val="20"/>
              </w:rPr>
              <w:t xml:space="preserve"> </w:t>
            </w:r>
            <w:r w:rsidRPr="009A4BC4">
              <w:rPr>
                <w:rFonts w:ascii="Bookman Old Style" w:hAnsi="Bookman Old Style"/>
                <w:sz w:val="20"/>
                <w:szCs w:val="20"/>
              </w:rPr>
              <w:t>aset</w:t>
            </w:r>
          </w:p>
        </w:tc>
        <w:tc>
          <w:tcPr>
            <w:tcW w:w="989" w:type="dxa"/>
            <w:tcBorders>
              <w:top w:val="single" w:sz="4" w:space="0" w:color="000000"/>
              <w:left w:val="single" w:sz="4" w:space="0" w:color="000000"/>
              <w:bottom w:val="single" w:sz="4" w:space="0" w:color="000000"/>
              <w:right w:val="single" w:sz="4" w:space="0" w:color="000000"/>
            </w:tcBorders>
          </w:tcPr>
          <w:p w14:paraId="3F4F510D"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0E5434D" w14:textId="77777777" w:rsidR="007A2AAB" w:rsidRPr="009A4BC4" w:rsidRDefault="007A2AAB" w:rsidP="009A4BC4">
            <w:pPr>
              <w:pStyle w:val="TableParagraph"/>
              <w:rPr>
                <w:rFonts w:ascii="Bookman Old Style" w:hAnsi="Bookman Old Style"/>
                <w:sz w:val="20"/>
                <w:szCs w:val="20"/>
              </w:rPr>
            </w:pPr>
          </w:p>
          <w:p w14:paraId="5653CA2C"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77FD4B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E1095C6" w14:textId="77777777" w:rsidR="007A2AAB" w:rsidRPr="009A4BC4" w:rsidRDefault="007A2AAB" w:rsidP="009A4BC4">
            <w:pPr>
              <w:pStyle w:val="TableParagraph"/>
              <w:rPr>
                <w:rFonts w:ascii="Bookman Old Style" w:hAnsi="Bookman Old Style"/>
                <w:sz w:val="20"/>
                <w:szCs w:val="20"/>
              </w:rPr>
            </w:pPr>
          </w:p>
          <w:p w14:paraId="4D4E9B3B"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w:t>
            </w:r>
          </w:p>
        </w:tc>
        <w:tc>
          <w:tcPr>
            <w:tcW w:w="991" w:type="dxa"/>
            <w:tcBorders>
              <w:top w:val="single" w:sz="4" w:space="0" w:color="000000"/>
              <w:left w:val="single" w:sz="4" w:space="0" w:color="000000"/>
              <w:bottom w:val="single" w:sz="4" w:space="0" w:color="000000"/>
              <w:right w:val="single" w:sz="4" w:space="0" w:color="000000"/>
            </w:tcBorders>
            <w:vAlign w:val="center"/>
          </w:tcPr>
          <w:p w14:paraId="5BA5F927"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543B64" w14:textId="77777777" w:rsidR="007A2AAB" w:rsidRPr="009A4BC4" w:rsidRDefault="007A2AAB" w:rsidP="009A4BC4">
            <w:pPr>
              <w:pStyle w:val="TableParagraph"/>
              <w:rPr>
                <w:rFonts w:ascii="Bookman Old Style" w:hAnsi="Bookman Old Style"/>
                <w:sz w:val="20"/>
                <w:szCs w:val="20"/>
              </w:rPr>
            </w:pPr>
          </w:p>
          <w:p w14:paraId="7F772638"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190229B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306C5DF" w14:textId="77777777" w:rsidR="007A2AAB" w:rsidRPr="009A4BC4" w:rsidRDefault="007A2AAB" w:rsidP="009A4BC4">
            <w:pPr>
              <w:pStyle w:val="TableParagraph"/>
              <w:rPr>
                <w:rFonts w:ascii="Bookman Old Style" w:hAnsi="Bookman Old Style"/>
                <w:sz w:val="20"/>
                <w:szCs w:val="20"/>
              </w:rPr>
            </w:pPr>
          </w:p>
          <w:p w14:paraId="35E1A992"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tcPr>
          <w:p w14:paraId="2D330A4D" w14:textId="77777777" w:rsidR="007A2AAB" w:rsidRPr="009A4BC4" w:rsidRDefault="007A2AAB" w:rsidP="009A4BC4">
            <w:pPr>
              <w:pStyle w:val="TableParagraph"/>
              <w:rPr>
                <w:rFonts w:ascii="Bookman Old Style" w:hAnsi="Bookman Old Style"/>
                <w:sz w:val="20"/>
                <w:szCs w:val="20"/>
              </w:rPr>
            </w:pPr>
          </w:p>
        </w:tc>
      </w:tr>
      <w:tr w:rsidR="007A2AAB" w:rsidRPr="009A4BC4" w14:paraId="57F25684" w14:textId="77777777" w:rsidTr="008262B9">
        <w:trPr>
          <w:trHeight w:val="245"/>
        </w:trPr>
        <w:tc>
          <w:tcPr>
            <w:tcW w:w="1275" w:type="dxa"/>
            <w:tcBorders>
              <w:top w:val="single" w:sz="4" w:space="0" w:color="000000"/>
              <w:bottom w:val="single" w:sz="4" w:space="0" w:color="000000"/>
              <w:right w:val="single" w:sz="4" w:space="0" w:color="000000"/>
            </w:tcBorders>
          </w:tcPr>
          <w:p w14:paraId="339C0952"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1.2</w:t>
            </w:r>
          </w:p>
        </w:tc>
        <w:tc>
          <w:tcPr>
            <w:tcW w:w="6946" w:type="dxa"/>
            <w:tcBorders>
              <w:top w:val="single" w:sz="4" w:space="0" w:color="000000"/>
              <w:left w:val="single" w:sz="4" w:space="0" w:color="000000"/>
              <w:bottom w:val="single" w:sz="4" w:space="0" w:color="000000"/>
              <w:right w:val="single" w:sz="4" w:space="0" w:color="000000"/>
            </w:tcBorders>
          </w:tcPr>
          <w:p w14:paraId="041E6509" w14:textId="77777777" w:rsidR="007A2AAB" w:rsidRPr="009A4BC4" w:rsidRDefault="007A2AAB" w:rsidP="009A4BC4">
            <w:pPr>
              <w:pStyle w:val="TableParagraph"/>
              <w:ind w:left="520"/>
              <w:rPr>
                <w:rFonts w:ascii="Bookman Old Style" w:hAnsi="Bookman Old Style"/>
                <w:sz w:val="20"/>
                <w:szCs w:val="20"/>
              </w:rPr>
            </w:pPr>
            <w:r w:rsidRPr="009A4BC4">
              <w:rPr>
                <w:rFonts w:ascii="Bookman Old Style" w:hAnsi="Bookman Old Style"/>
                <w:sz w:val="20"/>
                <w:szCs w:val="20"/>
              </w:rPr>
              <w:t>HQLA</w:t>
            </w:r>
            <w:r w:rsidRPr="009A4BC4">
              <w:rPr>
                <w:rFonts w:ascii="Bookman Old Style" w:hAnsi="Bookman Old Style"/>
                <w:spacing w:val="-3"/>
                <w:sz w:val="20"/>
                <w:szCs w:val="20"/>
              </w:rPr>
              <w:t xml:space="preserve"> </w:t>
            </w:r>
            <w:r w:rsidRPr="009A4BC4">
              <w:rPr>
                <w:rFonts w:ascii="Bookman Old Style" w:hAnsi="Bookman Old Style"/>
                <w:sz w:val="20"/>
                <w:szCs w:val="20"/>
              </w:rPr>
              <w:t>Level</w:t>
            </w:r>
            <w:r w:rsidRPr="009A4BC4">
              <w:rPr>
                <w:rFonts w:ascii="Bookman Old Style" w:hAnsi="Bookman Old Style"/>
                <w:spacing w:val="-2"/>
                <w:sz w:val="20"/>
                <w:szCs w:val="20"/>
              </w:rPr>
              <w:t xml:space="preserve"> </w:t>
            </w:r>
            <w:r w:rsidRPr="009A4BC4">
              <w:rPr>
                <w:rFonts w:ascii="Bookman Old Style" w:hAnsi="Bookman Old Style"/>
                <w:sz w:val="20"/>
                <w:szCs w:val="20"/>
              </w:rPr>
              <w:t>2A</w:t>
            </w:r>
          </w:p>
        </w:tc>
        <w:tc>
          <w:tcPr>
            <w:tcW w:w="989" w:type="dxa"/>
            <w:tcBorders>
              <w:top w:val="single" w:sz="4" w:space="0" w:color="000000"/>
              <w:left w:val="single" w:sz="4" w:space="0" w:color="000000"/>
              <w:bottom w:val="single" w:sz="4" w:space="0" w:color="000000"/>
              <w:right w:val="single" w:sz="4" w:space="0" w:color="000000"/>
            </w:tcBorders>
          </w:tcPr>
          <w:p w14:paraId="1D16C05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CDEB589" w14:textId="77777777" w:rsidR="007A2AAB" w:rsidRPr="009A4BC4" w:rsidRDefault="007A2AAB" w:rsidP="009A4BC4">
            <w:pPr>
              <w:pStyle w:val="TableParagraph"/>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6E7050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7B81F6D" w14:textId="77777777" w:rsidR="007A2AAB" w:rsidRPr="009A4BC4" w:rsidRDefault="007A2AAB" w:rsidP="009A4BC4">
            <w:pPr>
              <w:pStyle w:val="TableParagraph"/>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D9A828B"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8F08B4" w14:textId="77777777" w:rsidR="007A2AAB" w:rsidRPr="009A4BC4" w:rsidRDefault="007A2AAB" w:rsidP="009A4BC4">
            <w:pPr>
              <w:pStyle w:val="TableParagraph"/>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94DC51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7900709" w14:textId="77777777" w:rsidR="007A2AAB" w:rsidRPr="009A4BC4" w:rsidRDefault="007A2AAB" w:rsidP="009A4BC4">
            <w:pPr>
              <w:pStyle w:val="TableParagraph"/>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4B6AB6C4" w14:textId="77777777" w:rsidR="007A2AAB" w:rsidRPr="009A4BC4" w:rsidRDefault="007A2AAB" w:rsidP="009A4BC4">
            <w:pPr>
              <w:pStyle w:val="TableParagraph"/>
              <w:rPr>
                <w:rFonts w:ascii="Bookman Old Style" w:hAnsi="Bookman Old Style"/>
                <w:sz w:val="20"/>
                <w:szCs w:val="20"/>
              </w:rPr>
            </w:pPr>
          </w:p>
        </w:tc>
      </w:tr>
      <w:tr w:rsidR="007A2AAB" w:rsidRPr="009A4BC4" w14:paraId="237C4E66" w14:textId="77777777" w:rsidTr="008262B9">
        <w:trPr>
          <w:trHeight w:val="244"/>
        </w:trPr>
        <w:tc>
          <w:tcPr>
            <w:tcW w:w="1275" w:type="dxa"/>
            <w:tcBorders>
              <w:top w:val="single" w:sz="4" w:space="0" w:color="000000"/>
              <w:bottom w:val="single" w:sz="4" w:space="0" w:color="000000"/>
              <w:right w:val="single" w:sz="4" w:space="0" w:color="000000"/>
            </w:tcBorders>
          </w:tcPr>
          <w:p w14:paraId="06EDF394"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1.2.1</w:t>
            </w:r>
          </w:p>
        </w:tc>
        <w:tc>
          <w:tcPr>
            <w:tcW w:w="6946" w:type="dxa"/>
            <w:tcBorders>
              <w:top w:val="single" w:sz="4" w:space="0" w:color="000000"/>
              <w:left w:val="single" w:sz="4" w:space="0" w:color="000000"/>
              <w:bottom w:val="single" w:sz="4" w:space="0" w:color="000000"/>
              <w:right w:val="single" w:sz="4" w:space="0" w:color="000000"/>
            </w:tcBorders>
          </w:tcPr>
          <w:p w14:paraId="71A61E46" w14:textId="77777777" w:rsidR="007A2AAB" w:rsidRPr="009A4BC4" w:rsidRDefault="007A2AAB" w:rsidP="009A4BC4">
            <w:pPr>
              <w:pStyle w:val="TableParagraph"/>
              <w:ind w:left="837"/>
              <w:rPr>
                <w:rFonts w:ascii="Bookman Old Style" w:hAnsi="Bookman Old Style"/>
                <w:i/>
                <w:sz w:val="20"/>
                <w:szCs w:val="20"/>
              </w:rPr>
            </w:pP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tcPr>
          <w:p w14:paraId="0CE4556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EACE82C"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A53A9B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6A2A121"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tcPr>
          <w:p w14:paraId="180C4C0D"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CE5921"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15%</w:t>
            </w:r>
          </w:p>
        </w:tc>
        <w:tc>
          <w:tcPr>
            <w:tcW w:w="993" w:type="dxa"/>
            <w:tcBorders>
              <w:top w:val="single" w:sz="4" w:space="0" w:color="000000"/>
              <w:left w:val="single" w:sz="4" w:space="0" w:color="000000"/>
              <w:bottom w:val="single" w:sz="4" w:space="0" w:color="000000"/>
              <w:right w:val="single" w:sz="4" w:space="0" w:color="000000"/>
            </w:tcBorders>
            <w:vAlign w:val="center"/>
          </w:tcPr>
          <w:p w14:paraId="493E08A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BDDC075"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15%</w:t>
            </w:r>
          </w:p>
        </w:tc>
        <w:tc>
          <w:tcPr>
            <w:tcW w:w="1457" w:type="dxa"/>
            <w:tcBorders>
              <w:top w:val="single" w:sz="4" w:space="0" w:color="000000"/>
              <w:left w:val="single" w:sz="4" w:space="0" w:color="000000"/>
              <w:bottom w:val="single" w:sz="4" w:space="0" w:color="000000"/>
            </w:tcBorders>
          </w:tcPr>
          <w:p w14:paraId="352D3CA5" w14:textId="77777777" w:rsidR="007A2AAB" w:rsidRPr="009A4BC4" w:rsidRDefault="007A2AAB" w:rsidP="009A4BC4">
            <w:pPr>
              <w:pStyle w:val="TableParagraph"/>
              <w:rPr>
                <w:rFonts w:ascii="Bookman Old Style" w:hAnsi="Bookman Old Style"/>
                <w:sz w:val="20"/>
                <w:szCs w:val="20"/>
              </w:rPr>
            </w:pPr>
          </w:p>
        </w:tc>
      </w:tr>
      <w:tr w:rsidR="007A2AAB" w:rsidRPr="009A4BC4" w14:paraId="3CD0D6D3" w14:textId="77777777" w:rsidTr="008262B9">
        <w:trPr>
          <w:trHeight w:val="489"/>
        </w:trPr>
        <w:tc>
          <w:tcPr>
            <w:tcW w:w="1275" w:type="dxa"/>
            <w:tcBorders>
              <w:top w:val="single" w:sz="4" w:space="0" w:color="000000"/>
              <w:bottom w:val="single" w:sz="4" w:space="0" w:color="000000"/>
              <w:right w:val="single" w:sz="4" w:space="0" w:color="000000"/>
            </w:tcBorders>
          </w:tcPr>
          <w:p w14:paraId="72D86B54"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1.2.2</w:t>
            </w:r>
          </w:p>
        </w:tc>
        <w:tc>
          <w:tcPr>
            <w:tcW w:w="6946" w:type="dxa"/>
            <w:tcBorders>
              <w:top w:val="single" w:sz="4" w:space="0" w:color="000000"/>
              <w:left w:val="single" w:sz="4" w:space="0" w:color="000000"/>
              <w:bottom w:val="single" w:sz="4" w:space="0" w:color="000000"/>
              <w:right w:val="single" w:sz="4" w:space="0" w:color="000000"/>
            </w:tcBorders>
          </w:tcPr>
          <w:p w14:paraId="739A7245" w14:textId="77777777" w:rsidR="007A2AAB" w:rsidRPr="009A4BC4" w:rsidRDefault="007A2AAB" w:rsidP="009A4BC4">
            <w:pPr>
              <w:pStyle w:val="TableParagraph"/>
              <w:ind w:left="837"/>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r w:rsidRPr="009A4BC4">
              <w:rPr>
                <w:rFonts w:ascii="Bookman Old Style" w:hAnsi="Bookman Old Style"/>
                <w:sz w:val="20"/>
                <w:szCs w:val="20"/>
              </w:rPr>
              <w:t>,</w:t>
            </w:r>
            <w:r w:rsidRPr="009A4BC4">
              <w:rPr>
                <w:rFonts w:ascii="Bookman Old Style" w:hAnsi="Bookman Old Style"/>
                <w:spacing w:val="-2"/>
                <w:sz w:val="20"/>
                <w:szCs w:val="20"/>
              </w:rPr>
              <w:t xml:space="preserve"> </w:t>
            </w:r>
            <w:r w:rsidRPr="009A4BC4">
              <w:rPr>
                <w:rFonts w:ascii="Bookman Old Style" w:hAnsi="Bookman Old Style"/>
                <w:sz w:val="20"/>
                <w:szCs w:val="20"/>
              </w:rPr>
              <w:t>berdasarkan</w:t>
            </w:r>
            <w:r w:rsidRPr="009A4BC4">
              <w:rPr>
                <w:rFonts w:ascii="Bookman Old Style" w:hAnsi="Bookman Old Style"/>
                <w:spacing w:val="-2"/>
                <w:sz w:val="20"/>
                <w:szCs w:val="20"/>
              </w:rPr>
              <w:t xml:space="preserve"> </w:t>
            </w: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z w:val="20"/>
                <w:szCs w:val="20"/>
                <w:lang w:val="en-US"/>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3"/>
                <w:sz w:val="20"/>
                <w:szCs w:val="20"/>
              </w:rPr>
              <w:t xml:space="preserve"> </w:t>
            </w:r>
            <w:r w:rsidRPr="009A4BC4">
              <w:rPr>
                <w:rFonts w:ascii="Bookman Old Style" w:hAnsi="Bookman Old Style"/>
                <w:sz w:val="20"/>
                <w:szCs w:val="20"/>
              </w:rPr>
              <w:t>aset</w:t>
            </w:r>
          </w:p>
        </w:tc>
        <w:tc>
          <w:tcPr>
            <w:tcW w:w="989" w:type="dxa"/>
            <w:tcBorders>
              <w:top w:val="single" w:sz="4" w:space="0" w:color="000000"/>
              <w:left w:val="single" w:sz="4" w:space="0" w:color="000000"/>
              <w:bottom w:val="single" w:sz="4" w:space="0" w:color="000000"/>
              <w:right w:val="single" w:sz="4" w:space="0" w:color="000000"/>
            </w:tcBorders>
          </w:tcPr>
          <w:p w14:paraId="071EAB8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EA7AB51" w14:textId="77777777" w:rsidR="007A2AAB" w:rsidRPr="009A4BC4" w:rsidRDefault="007A2AAB" w:rsidP="009A4BC4">
            <w:pPr>
              <w:pStyle w:val="TableParagraph"/>
              <w:rPr>
                <w:rFonts w:ascii="Bookman Old Style" w:hAnsi="Bookman Old Style"/>
                <w:sz w:val="20"/>
                <w:szCs w:val="20"/>
              </w:rPr>
            </w:pPr>
          </w:p>
          <w:p w14:paraId="416428A1"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A77790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46B323A" w14:textId="77777777" w:rsidR="007A2AAB" w:rsidRPr="009A4BC4" w:rsidRDefault="007A2AAB" w:rsidP="009A4BC4">
            <w:pPr>
              <w:pStyle w:val="TableParagraph"/>
              <w:rPr>
                <w:rFonts w:ascii="Bookman Old Style" w:hAnsi="Bookman Old Style"/>
                <w:sz w:val="20"/>
                <w:szCs w:val="20"/>
              </w:rPr>
            </w:pPr>
          </w:p>
          <w:p w14:paraId="6F729A62"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tcPr>
          <w:p w14:paraId="1A998E1A"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D2F86" w14:textId="77777777" w:rsidR="007A2AAB" w:rsidRPr="009A4BC4" w:rsidRDefault="007A2AAB" w:rsidP="009A4BC4">
            <w:pPr>
              <w:pStyle w:val="TableParagraph"/>
              <w:rPr>
                <w:rFonts w:ascii="Bookman Old Style" w:hAnsi="Bookman Old Style"/>
                <w:sz w:val="20"/>
                <w:szCs w:val="20"/>
              </w:rPr>
            </w:pPr>
          </w:p>
          <w:p w14:paraId="1944E460"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02F9EF4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95E07D5" w14:textId="77777777" w:rsidR="007A2AAB" w:rsidRPr="009A4BC4" w:rsidRDefault="007A2AAB" w:rsidP="009A4BC4">
            <w:pPr>
              <w:pStyle w:val="TableParagraph"/>
              <w:rPr>
                <w:rFonts w:ascii="Bookman Old Style" w:hAnsi="Bookman Old Style"/>
                <w:sz w:val="20"/>
                <w:szCs w:val="20"/>
              </w:rPr>
            </w:pPr>
          </w:p>
          <w:p w14:paraId="375F4C53"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tcPr>
          <w:p w14:paraId="5DFFE3BE" w14:textId="77777777" w:rsidR="007A2AAB" w:rsidRPr="009A4BC4" w:rsidRDefault="007A2AAB" w:rsidP="009A4BC4">
            <w:pPr>
              <w:pStyle w:val="TableParagraph"/>
              <w:rPr>
                <w:rFonts w:ascii="Bookman Old Style" w:hAnsi="Bookman Old Style"/>
                <w:sz w:val="20"/>
                <w:szCs w:val="20"/>
              </w:rPr>
            </w:pPr>
          </w:p>
        </w:tc>
      </w:tr>
      <w:tr w:rsidR="007A2AAB" w:rsidRPr="009A4BC4" w14:paraId="07017BD5" w14:textId="77777777" w:rsidTr="008262B9">
        <w:trPr>
          <w:trHeight w:val="241"/>
        </w:trPr>
        <w:tc>
          <w:tcPr>
            <w:tcW w:w="1275" w:type="dxa"/>
            <w:tcBorders>
              <w:top w:val="single" w:sz="4" w:space="0" w:color="000000"/>
              <w:bottom w:val="single" w:sz="4" w:space="0" w:color="000000"/>
              <w:right w:val="single" w:sz="4" w:space="0" w:color="000000"/>
            </w:tcBorders>
          </w:tcPr>
          <w:p w14:paraId="32CE3E96"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1.3</w:t>
            </w:r>
          </w:p>
        </w:tc>
        <w:tc>
          <w:tcPr>
            <w:tcW w:w="6946" w:type="dxa"/>
            <w:tcBorders>
              <w:top w:val="single" w:sz="4" w:space="0" w:color="000000"/>
              <w:left w:val="single" w:sz="4" w:space="0" w:color="000000"/>
              <w:bottom w:val="single" w:sz="4" w:space="0" w:color="000000"/>
              <w:right w:val="single" w:sz="4" w:space="0" w:color="000000"/>
            </w:tcBorders>
          </w:tcPr>
          <w:p w14:paraId="2D43C37B" w14:textId="77777777" w:rsidR="007A2AAB" w:rsidRPr="009A4BC4" w:rsidRDefault="007A2AAB" w:rsidP="009A4BC4">
            <w:pPr>
              <w:pStyle w:val="TableParagraph"/>
              <w:tabs>
                <w:tab w:val="left" w:pos="1879"/>
              </w:tabs>
              <w:ind w:left="477"/>
              <w:rPr>
                <w:rFonts w:ascii="Bookman Old Style" w:hAnsi="Bookman Old Style"/>
                <w:sz w:val="20"/>
                <w:szCs w:val="20"/>
              </w:rPr>
            </w:pPr>
            <w:r w:rsidRPr="009A4BC4">
              <w:rPr>
                <w:rFonts w:ascii="Bookman Old Style" w:hAnsi="Bookman Old Style"/>
                <w:sz w:val="20"/>
                <w:szCs w:val="20"/>
              </w:rPr>
              <w:t>HQLA</w:t>
            </w:r>
            <w:r w:rsidRPr="009A4BC4">
              <w:rPr>
                <w:rFonts w:ascii="Bookman Old Style" w:hAnsi="Bookman Old Style"/>
                <w:spacing w:val="-4"/>
                <w:sz w:val="20"/>
                <w:szCs w:val="20"/>
              </w:rPr>
              <w:t xml:space="preserve"> </w:t>
            </w:r>
            <w:r w:rsidRPr="009A4BC4">
              <w:rPr>
                <w:rFonts w:ascii="Bookman Old Style" w:hAnsi="Bookman Old Style"/>
                <w:sz w:val="20"/>
                <w:szCs w:val="20"/>
              </w:rPr>
              <w:t>Level</w:t>
            </w:r>
            <w:r w:rsidRPr="009A4BC4">
              <w:rPr>
                <w:rFonts w:ascii="Bookman Old Style" w:hAnsi="Bookman Old Style"/>
                <w:spacing w:val="-2"/>
                <w:sz w:val="20"/>
                <w:szCs w:val="20"/>
              </w:rPr>
              <w:t xml:space="preserve"> </w:t>
            </w:r>
            <w:r w:rsidRPr="009A4BC4">
              <w:rPr>
                <w:rFonts w:ascii="Bookman Old Style" w:hAnsi="Bookman Old Style"/>
                <w:sz w:val="20"/>
                <w:szCs w:val="20"/>
              </w:rPr>
              <w:t>2B</w:t>
            </w:r>
          </w:p>
        </w:tc>
        <w:tc>
          <w:tcPr>
            <w:tcW w:w="989" w:type="dxa"/>
            <w:tcBorders>
              <w:top w:val="single" w:sz="4" w:space="0" w:color="000000"/>
              <w:left w:val="single" w:sz="4" w:space="0" w:color="000000"/>
              <w:bottom w:val="single" w:sz="4" w:space="0" w:color="000000"/>
              <w:right w:val="single" w:sz="4" w:space="0" w:color="000000"/>
            </w:tcBorders>
          </w:tcPr>
          <w:p w14:paraId="1BAF07F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4D291F6" w14:textId="77777777" w:rsidR="007A2AAB" w:rsidRPr="009A4BC4" w:rsidRDefault="007A2AAB" w:rsidP="009A4BC4">
            <w:pPr>
              <w:pStyle w:val="TableParagraph"/>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D36596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911298C" w14:textId="77777777" w:rsidR="007A2AAB" w:rsidRPr="009A4BC4" w:rsidRDefault="007A2AAB" w:rsidP="009A4BC4">
            <w:pPr>
              <w:pStyle w:val="TableParagraph"/>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273CB3B"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F487B70" w14:textId="77777777" w:rsidR="007A2AAB" w:rsidRPr="009A4BC4" w:rsidRDefault="007A2AAB" w:rsidP="009A4BC4">
            <w:pPr>
              <w:pStyle w:val="TableParagraph"/>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AB44BD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1CE038B" w14:textId="77777777" w:rsidR="007A2AAB" w:rsidRPr="009A4BC4" w:rsidRDefault="007A2AAB" w:rsidP="009A4BC4">
            <w:pPr>
              <w:pStyle w:val="TableParagraph"/>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676ACB2D" w14:textId="77777777" w:rsidR="007A2AAB" w:rsidRPr="009A4BC4" w:rsidRDefault="007A2AAB" w:rsidP="009A4BC4">
            <w:pPr>
              <w:pStyle w:val="TableParagraph"/>
              <w:rPr>
                <w:rFonts w:ascii="Bookman Old Style" w:hAnsi="Bookman Old Style"/>
                <w:sz w:val="20"/>
                <w:szCs w:val="20"/>
              </w:rPr>
            </w:pPr>
          </w:p>
        </w:tc>
      </w:tr>
      <w:tr w:rsidR="007A2AAB" w:rsidRPr="009A4BC4" w14:paraId="637950AD" w14:textId="77777777" w:rsidTr="008262B9">
        <w:trPr>
          <w:trHeight w:val="244"/>
        </w:trPr>
        <w:tc>
          <w:tcPr>
            <w:tcW w:w="1275" w:type="dxa"/>
            <w:tcBorders>
              <w:top w:val="single" w:sz="4" w:space="0" w:color="000000"/>
              <w:bottom w:val="single" w:sz="4" w:space="0" w:color="000000"/>
              <w:right w:val="single" w:sz="4" w:space="0" w:color="000000"/>
            </w:tcBorders>
          </w:tcPr>
          <w:p w14:paraId="5EF83EDE"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1.3.1</w:t>
            </w:r>
          </w:p>
        </w:tc>
        <w:tc>
          <w:tcPr>
            <w:tcW w:w="6946" w:type="dxa"/>
            <w:tcBorders>
              <w:top w:val="single" w:sz="4" w:space="0" w:color="000000"/>
              <w:left w:val="single" w:sz="4" w:space="0" w:color="000000"/>
              <w:bottom w:val="single" w:sz="4" w:space="0" w:color="000000"/>
              <w:right w:val="single" w:sz="4" w:space="0" w:color="000000"/>
            </w:tcBorders>
          </w:tcPr>
          <w:p w14:paraId="7490B618" w14:textId="77777777" w:rsidR="007A2AAB" w:rsidRPr="009A4BC4" w:rsidRDefault="007A2AAB" w:rsidP="009A4BC4">
            <w:pPr>
              <w:pStyle w:val="TableParagraph"/>
              <w:ind w:left="837"/>
              <w:rPr>
                <w:rFonts w:ascii="Bookman Old Style" w:hAnsi="Bookman Old Style"/>
                <w:i/>
                <w:sz w:val="20"/>
                <w:szCs w:val="20"/>
              </w:rPr>
            </w:pP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tcPr>
          <w:p w14:paraId="6EA6A2B0"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9BC3067"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39999A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6A7E13A"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71782DD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833453"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067B160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B086455"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50%</w:t>
            </w:r>
          </w:p>
        </w:tc>
        <w:tc>
          <w:tcPr>
            <w:tcW w:w="1457" w:type="dxa"/>
            <w:tcBorders>
              <w:top w:val="single" w:sz="4" w:space="0" w:color="000000"/>
              <w:left w:val="single" w:sz="4" w:space="0" w:color="000000"/>
              <w:bottom w:val="single" w:sz="4" w:space="0" w:color="000000"/>
            </w:tcBorders>
          </w:tcPr>
          <w:p w14:paraId="4BFDD24A" w14:textId="77777777" w:rsidR="007A2AAB" w:rsidRPr="009A4BC4" w:rsidRDefault="007A2AAB" w:rsidP="009A4BC4">
            <w:pPr>
              <w:pStyle w:val="TableParagraph"/>
              <w:rPr>
                <w:rFonts w:ascii="Bookman Old Style" w:hAnsi="Bookman Old Style"/>
                <w:sz w:val="20"/>
                <w:szCs w:val="20"/>
              </w:rPr>
            </w:pPr>
          </w:p>
        </w:tc>
      </w:tr>
      <w:tr w:rsidR="007A2AAB" w:rsidRPr="009A4BC4" w14:paraId="17F8C618" w14:textId="77777777" w:rsidTr="008262B9">
        <w:trPr>
          <w:trHeight w:val="489"/>
        </w:trPr>
        <w:tc>
          <w:tcPr>
            <w:tcW w:w="1275" w:type="dxa"/>
            <w:tcBorders>
              <w:top w:val="single" w:sz="4" w:space="0" w:color="000000"/>
              <w:bottom w:val="single" w:sz="4" w:space="0" w:color="000000"/>
              <w:right w:val="single" w:sz="4" w:space="0" w:color="000000"/>
            </w:tcBorders>
          </w:tcPr>
          <w:p w14:paraId="4018D6FD"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1.3.2</w:t>
            </w:r>
          </w:p>
        </w:tc>
        <w:tc>
          <w:tcPr>
            <w:tcW w:w="6946" w:type="dxa"/>
            <w:tcBorders>
              <w:top w:val="single" w:sz="4" w:space="0" w:color="000000"/>
              <w:left w:val="single" w:sz="4" w:space="0" w:color="000000"/>
              <w:bottom w:val="single" w:sz="4" w:space="0" w:color="000000"/>
              <w:right w:val="single" w:sz="4" w:space="0" w:color="000000"/>
            </w:tcBorders>
          </w:tcPr>
          <w:p w14:paraId="563EB49F" w14:textId="6D5884F5" w:rsidR="007A2AAB" w:rsidRPr="009A4BC4" w:rsidRDefault="007A2AAB" w:rsidP="008262B9">
            <w:pPr>
              <w:pStyle w:val="TableParagraph"/>
              <w:ind w:left="837"/>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r w:rsidRPr="009A4BC4">
              <w:rPr>
                <w:rFonts w:ascii="Bookman Old Style" w:hAnsi="Bookman Old Style"/>
                <w:sz w:val="20"/>
                <w:szCs w:val="20"/>
              </w:rPr>
              <w:t>,</w:t>
            </w:r>
            <w:r w:rsidRPr="009A4BC4">
              <w:rPr>
                <w:rFonts w:ascii="Bookman Old Style" w:hAnsi="Bookman Old Style"/>
                <w:spacing w:val="-2"/>
                <w:sz w:val="20"/>
                <w:szCs w:val="20"/>
              </w:rPr>
              <w:t xml:space="preserve"> </w:t>
            </w:r>
            <w:r w:rsidRPr="009A4BC4">
              <w:rPr>
                <w:rFonts w:ascii="Bookman Old Style" w:hAnsi="Bookman Old Style"/>
                <w:sz w:val="20"/>
                <w:szCs w:val="20"/>
              </w:rPr>
              <w:t>berdasarkan</w:t>
            </w:r>
            <w:r w:rsidRPr="009A4BC4">
              <w:rPr>
                <w:rFonts w:ascii="Bookman Old Style" w:hAnsi="Bookman Old Style"/>
                <w:spacing w:val="-2"/>
                <w:sz w:val="20"/>
                <w:szCs w:val="20"/>
              </w:rPr>
              <w:t xml:space="preserve"> </w:t>
            </w: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008262B9">
              <w:rPr>
                <w:rFonts w:ascii="Bookman Old Style" w:hAnsi="Bookman Old Style"/>
                <w:sz w:val="20"/>
                <w:szCs w:val="20"/>
                <w:lang w:val="en-US"/>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3"/>
                <w:sz w:val="20"/>
                <w:szCs w:val="20"/>
              </w:rPr>
              <w:t xml:space="preserve"> </w:t>
            </w:r>
            <w:r w:rsidRPr="009A4BC4">
              <w:rPr>
                <w:rFonts w:ascii="Bookman Old Style" w:hAnsi="Bookman Old Style"/>
                <w:sz w:val="20"/>
                <w:szCs w:val="20"/>
              </w:rPr>
              <w:t>aset</w:t>
            </w:r>
          </w:p>
        </w:tc>
        <w:tc>
          <w:tcPr>
            <w:tcW w:w="989" w:type="dxa"/>
            <w:tcBorders>
              <w:top w:val="single" w:sz="4" w:space="0" w:color="000000"/>
              <w:left w:val="single" w:sz="4" w:space="0" w:color="000000"/>
              <w:bottom w:val="single" w:sz="4" w:space="0" w:color="000000"/>
              <w:right w:val="single" w:sz="4" w:space="0" w:color="000000"/>
            </w:tcBorders>
          </w:tcPr>
          <w:p w14:paraId="3EA42DD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B7FC1DD" w14:textId="77777777" w:rsidR="007A2AAB" w:rsidRPr="009A4BC4" w:rsidRDefault="007A2AAB" w:rsidP="009A4BC4">
            <w:pPr>
              <w:pStyle w:val="TableParagraph"/>
              <w:rPr>
                <w:rFonts w:ascii="Bookman Old Style" w:hAnsi="Bookman Old Style"/>
                <w:sz w:val="20"/>
                <w:szCs w:val="20"/>
              </w:rPr>
            </w:pPr>
          </w:p>
          <w:p w14:paraId="2F3D0192"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5272000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A78CD88" w14:textId="77777777" w:rsidR="007A2AAB" w:rsidRPr="009A4BC4" w:rsidRDefault="007A2AAB" w:rsidP="009A4BC4">
            <w:pPr>
              <w:pStyle w:val="TableParagraph"/>
              <w:rPr>
                <w:rFonts w:ascii="Bookman Old Style" w:hAnsi="Bookman Old Style"/>
                <w:sz w:val="20"/>
                <w:szCs w:val="20"/>
              </w:rPr>
            </w:pPr>
          </w:p>
          <w:p w14:paraId="0771E04F"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36B6DA97"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ECACEC" w14:textId="77777777" w:rsidR="007A2AAB" w:rsidRPr="009A4BC4" w:rsidRDefault="007A2AAB" w:rsidP="009A4BC4">
            <w:pPr>
              <w:pStyle w:val="TableParagraph"/>
              <w:rPr>
                <w:rFonts w:ascii="Bookman Old Style" w:hAnsi="Bookman Old Style"/>
                <w:sz w:val="20"/>
                <w:szCs w:val="20"/>
              </w:rPr>
            </w:pPr>
          </w:p>
          <w:p w14:paraId="55B299F2"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3FC8CC4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5529BB0" w14:textId="77777777" w:rsidR="007A2AAB" w:rsidRPr="009A4BC4" w:rsidRDefault="007A2AAB" w:rsidP="009A4BC4">
            <w:pPr>
              <w:pStyle w:val="TableParagraph"/>
              <w:rPr>
                <w:rFonts w:ascii="Bookman Old Style" w:hAnsi="Bookman Old Style"/>
                <w:sz w:val="20"/>
                <w:szCs w:val="20"/>
              </w:rPr>
            </w:pPr>
          </w:p>
          <w:p w14:paraId="1D2B7021"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tcPr>
          <w:p w14:paraId="26795684" w14:textId="77777777" w:rsidR="007A2AAB" w:rsidRPr="009A4BC4" w:rsidRDefault="007A2AAB" w:rsidP="009A4BC4">
            <w:pPr>
              <w:pStyle w:val="TableParagraph"/>
              <w:rPr>
                <w:rFonts w:ascii="Bookman Old Style" w:hAnsi="Bookman Old Style"/>
                <w:sz w:val="20"/>
                <w:szCs w:val="20"/>
              </w:rPr>
            </w:pPr>
          </w:p>
        </w:tc>
      </w:tr>
      <w:tr w:rsidR="007A2AAB" w:rsidRPr="009A4BC4" w14:paraId="10F87538" w14:textId="77777777" w:rsidTr="008262B9">
        <w:trPr>
          <w:trHeight w:val="489"/>
        </w:trPr>
        <w:tc>
          <w:tcPr>
            <w:tcW w:w="1275" w:type="dxa"/>
            <w:tcBorders>
              <w:top w:val="single" w:sz="4" w:space="0" w:color="000000"/>
              <w:bottom w:val="single" w:sz="4" w:space="0" w:color="000000"/>
              <w:right w:val="single" w:sz="4" w:space="0" w:color="000000"/>
            </w:tcBorders>
            <w:shd w:val="clear" w:color="auto" w:fill="BEBEBE"/>
          </w:tcPr>
          <w:p w14:paraId="3DD44CC7"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BEBEBE"/>
          </w:tcPr>
          <w:p w14:paraId="149241C4"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Simpanan</w:t>
            </w:r>
            <w:r w:rsidRPr="009A4BC4">
              <w:rPr>
                <w:rFonts w:ascii="Bookman Old Style" w:hAnsi="Bookman Old Style"/>
                <w:spacing w:val="-3"/>
                <w:sz w:val="20"/>
                <w:szCs w:val="20"/>
              </w:rPr>
              <w:t xml:space="preserve"> </w:t>
            </w:r>
            <w:r w:rsidRPr="009A4BC4">
              <w:rPr>
                <w:rFonts w:ascii="Bookman Old Style" w:hAnsi="Bookman Old Style"/>
                <w:sz w:val="20"/>
                <w:szCs w:val="20"/>
              </w:rPr>
              <w:t>atau</w:t>
            </w:r>
            <w:r w:rsidRPr="009A4BC4">
              <w:rPr>
                <w:rFonts w:ascii="Bookman Old Style" w:hAnsi="Bookman Old Style"/>
                <w:spacing w:val="-3"/>
                <w:sz w:val="20"/>
                <w:szCs w:val="20"/>
              </w:rPr>
              <w:t xml:space="preserve"> </w:t>
            </w:r>
            <w:r w:rsidRPr="009A4BC4">
              <w:rPr>
                <w:rFonts w:ascii="Bookman Old Style" w:hAnsi="Bookman Old Style"/>
                <w:sz w:val="20"/>
                <w:szCs w:val="20"/>
              </w:rPr>
              <w:t>penempatan</w:t>
            </w:r>
            <w:r w:rsidRPr="009A4BC4">
              <w:rPr>
                <w:rFonts w:ascii="Bookman Old Style" w:hAnsi="Bookman Old Style"/>
                <w:spacing w:val="-2"/>
                <w:sz w:val="20"/>
                <w:szCs w:val="20"/>
              </w:rPr>
              <w:t xml:space="preserve"> </w:t>
            </w:r>
            <w:r w:rsidRPr="009A4BC4">
              <w:rPr>
                <w:rFonts w:ascii="Bookman Old Style" w:hAnsi="Bookman Old Style"/>
                <w:sz w:val="20"/>
                <w:szCs w:val="20"/>
              </w:rPr>
              <w:t>dana</w:t>
            </w:r>
            <w:r w:rsidRPr="009A4BC4">
              <w:rPr>
                <w:rFonts w:ascii="Bookman Old Style" w:hAnsi="Bookman Old Style"/>
                <w:spacing w:val="-3"/>
                <w:sz w:val="20"/>
                <w:szCs w:val="20"/>
              </w:rPr>
              <w:t xml:space="preserve"> </w:t>
            </w:r>
            <w:r w:rsidRPr="009A4BC4">
              <w:rPr>
                <w:rFonts w:ascii="Bookman Old Style" w:hAnsi="Bookman Old Style"/>
                <w:sz w:val="20"/>
                <w:szCs w:val="20"/>
              </w:rPr>
              <w:t>pada</w:t>
            </w:r>
            <w:r w:rsidRPr="009A4BC4">
              <w:rPr>
                <w:rFonts w:ascii="Bookman Old Style" w:hAnsi="Bookman Old Style"/>
                <w:spacing w:val="-3"/>
                <w:sz w:val="20"/>
                <w:szCs w:val="20"/>
              </w:rPr>
              <w:t xml:space="preserve"> </w:t>
            </w:r>
            <w:r w:rsidRPr="009A4BC4">
              <w:rPr>
                <w:rFonts w:ascii="Bookman Old Style" w:hAnsi="Bookman Old Style"/>
                <w:sz w:val="20"/>
                <w:szCs w:val="20"/>
              </w:rPr>
              <w:t>lembaga</w:t>
            </w:r>
            <w:r w:rsidRPr="009A4BC4">
              <w:rPr>
                <w:rFonts w:ascii="Bookman Old Style" w:hAnsi="Bookman Old Style"/>
                <w:spacing w:val="-3"/>
                <w:sz w:val="20"/>
                <w:szCs w:val="20"/>
              </w:rPr>
              <w:t xml:space="preserve"> </w:t>
            </w:r>
            <w:r w:rsidRPr="009A4BC4">
              <w:rPr>
                <w:rFonts w:ascii="Bookman Old Style" w:hAnsi="Bookman Old Style"/>
                <w:sz w:val="20"/>
                <w:szCs w:val="20"/>
              </w:rPr>
              <w:t>keuangan</w:t>
            </w:r>
            <w:r w:rsidRPr="009A4BC4">
              <w:rPr>
                <w:rFonts w:ascii="Bookman Old Style" w:hAnsi="Bookman Old Style"/>
                <w:spacing w:val="-2"/>
                <w:sz w:val="20"/>
                <w:szCs w:val="20"/>
              </w:rPr>
              <w:t xml:space="preserve"> </w:t>
            </w:r>
            <w:r w:rsidRPr="009A4BC4">
              <w:rPr>
                <w:rFonts w:ascii="Bookman Old Style" w:hAnsi="Bookman Old Style"/>
                <w:sz w:val="20"/>
                <w:szCs w:val="20"/>
              </w:rPr>
              <w:t>lain</w:t>
            </w:r>
            <w:r w:rsidRPr="009A4BC4">
              <w:rPr>
                <w:rFonts w:ascii="Bookman Old Style" w:hAnsi="Bookman Old Style"/>
                <w:spacing w:val="-2"/>
                <w:sz w:val="20"/>
                <w:szCs w:val="20"/>
              </w:rPr>
              <w:t xml:space="preserve"> </w:t>
            </w:r>
            <w:r w:rsidRPr="009A4BC4">
              <w:rPr>
                <w:rFonts w:ascii="Bookman Old Style" w:hAnsi="Bookman Old Style"/>
                <w:sz w:val="20"/>
                <w:szCs w:val="20"/>
              </w:rPr>
              <w:t>untuk</w:t>
            </w:r>
            <w:r w:rsidRPr="009A4BC4">
              <w:rPr>
                <w:rFonts w:ascii="Bookman Old Style" w:hAnsi="Bookman Old Style"/>
                <w:spacing w:val="-3"/>
                <w:sz w:val="20"/>
                <w:szCs w:val="20"/>
              </w:rPr>
              <w:t xml:space="preserve"> </w:t>
            </w:r>
            <w:r w:rsidRPr="009A4BC4">
              <w:rPr>
                <w:rFonts w:ascii="Bookman Old Style" w:hAnsi="Bookman Old Style"/>
                <w:sz w:val="20"/>
                <w:szCs w:val="20"/>
              </w:rPr>
              <w:t>aktivitas</w:t>
            </w:r>
          </w:p>
          <w:p w14:paraId="49F1BD04"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operasional</w:t>
            </w:r>
          </w:p>
        </w:tc>
        <w:tc>
          <w:tcPr>
            <w:tcW w:w="989" w:type="dxa"/>
            <w:tcBorders>
              <w:top w:val="single" w:sz="4" w:space="0" w:color="000000"/>
              <w:left w:val="single" w:sz="4" w:space="0" w:color="000000"/>
              <w:bottom w:val="single" w:sz="4" w:space="0" w:color="000000"/>
              <w:right w:val="single" w:sz="4" w:space="0" w:color="000000"/>
            </w:tcBorders>
            <w:shd w:val="clear" w:color="auto" w:fill="BEBEBE"/>
          </w:tcPr>
          <w:p w14:paraId="59ED20DD"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9129307" w14:textId="77777777" w:rsidR="007A2AAB" w:rsidRPr="009A4BC4" w:rsidRDefault="007A2AAB" w:rsidP="009A4BC4">
            <w:pPr>
              <w:pStyle w:val="TableParagraph"/>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89F5E1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4E97D95" w14:textId="77777777" w:rsidR="007A2AAB" w:rsidRPr="009A4BC4" w:rsidRDefault="007A2AAB" w:rsidP="009A4BC4">
            <w:pPr>
              <w:pStyle w:val="TableParagraph"/>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C83A62E"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18AFFAA" w14:textId="77777777" w:rsidR="007A2AAB" w:rsidRPr="009A4BC4" w:rsidRDefault="007A2AAB" w:rsidP="009A4BC4">
            <w:pPr>
              <w:pStyle w:val="TableParagraph"/>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C7EE52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B295B63" w14:textId="77777777" w:rsidR="007A2AAB" w:rsidRPr="009A4BC4" w:rsidRDefault="007A2AAB" w:rsidP="009A4BC4">
            <w:pPr>
              <w:pStyle w:val="TableParagraph"/>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BEBEBE"/>
          </w:tcPr>
          <w:p w14:paraId="5CA3BF8D" w14:textId="77777777" w:rsidR="007A2AAB" w:rsidRPr="009A4BC4" w:rsidRDefault="007A2AAB" w:rsidP="009A4BC4">
            <w:pPr>
              <w:pStyle w:val="TableParagraph"/>
              <w:rPr>
                <w:rFonts w:ascii="Bookman Old Style" w:hAnsi="Bookman Old Style"/>
                <w:sz w:val="20"/>
                <w:szCs w:val="20"/>
              </w:rPr>
            </w:pPr>
          </w:p>
        </w:tc>
      </w:tr>
      <w:tr w:rsidR="007A2AAB" w:rsidRPr="009A4BC4" w14:paraId="307365BE" w14:textId="77777777" w:rsidTr="008262B9">
        <w:trPr>
          <w:trHeight w:val="244"/>
        </w:trPr>
        <w:tc>
          <w:tcPr>
            <w:tcW w:w="1275" w:type="dxa"/>
            <w:tcBorders>
              <w:top w:val="single" w:sz="4" w:space="0" w:color="000000"/>
              <w:bottom w:val="single" w:sz="4" w:space="0" w:color="000000"/>
              <w:right w:val="single" w:sz="4" w:space="0" w:color="000000"/>
            </w:tcBorders>
          </w:tcPr>
          <w:p w14:paraId="26B59586" w14:textId="777777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2.1</w:t>
            </w:r>
          </w:p>
        </w:tc>
        <w:tc>
          <w:tcPr>
            <w:tcW w:w="6946" w:type="dxa"/>
            <w:tcBorders>
              <w:top w:val="single" w:sz="4" w:space="0" w:color="000000"/>
              <w:left w:val="single" w:sz="4" w:space="0" w:color="000000"/>
              <w:bottom w:val="single" w:sz="4" w:space="0" w:color="000000"/>
              <w:right w:val="single" w:sz="4" w:space="0" w:color="000000"/>
            </w:tcBorders>
          </w:tcPr>
          <w:p w14:paraId="1F3607A7" w14:textId="77777777" w:rsidR="007A2AAB" w:rsidRPr="009A4BC4" w:rsidRDefault="007A2AAB" w:rsidP="009A4BC4">
            <w:pPr>
              <w:pStyle w:val="TableParagraph"/>
              <w:ind w:left="928"/>
              <w:rPr>
                <w:rFonts w:ascii="Bookman Old Style" w:hAnsi="Bookman Old Style"/>
                <w:i/>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tcPr>
          <w:p w14:paraId="76D06090"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3157EC8"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8" w:type="dxa"/>
            <w:tcBorders>
              <w:top w:val="single" w:sz="4" w:space="0" w:color="000000"/>
              <w:left w:val="single" w:sz="4" w:space="0" w:color="000000"/>
              <w:bottom w:val="single" w:sz="4" w:space="0" w:color="000000"/>
              <w:right w:val="single" w:sz="4" w:space="0" w:color="000000"/>
            </w:tcBorders>
            <w:vAlign w:val="center"/>
          </w:tcPr>
          <w:p w14:paraId="5AAD8BE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EDD2789" w14:textId="7777777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15428DF6"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4CCC04" w14:textId="7777777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5E3B916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E457E4C" w14:textId="7777777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tcPr>
          <w:p w14:paraId="3B0B02B3" w14:textId="77777777" w:rsidR="007A2AAB" w:rsidRPr="009A4BC4" w:rsidRDefault="007A2AAB" w:rsidP="009A4BC4">
            <w:pPr>
              <w:pStyle w:val="TableParagraph"/>
              <w:rPr>
                <w:rFonts w:ascii="Bookman Old Style" w:hAnsi="Bookman Old Style"/>
                <w:sz w:val="20"/>
                <w:szCs w:val="20"/>
              </w:rPr>
            </w:pPr>
          </w:p>
        </w:tc>
      </w:tr>
      <w:tr w:rsidR="007A2AAB" w:rsidRPr="009A4BC4" w14:paraId="3A3A9020" w14:textId="77777777" w:rsidTr="008262B9">
        <w:trPr>
          <w:trHeight w:val="244"/>
        </w:trPr>
        <w:tc>
          <w:tcPr>
            <w:tcW w:w="1275" w:type="dxa"/>
            <w:tcBorders>
              <w:top w:val="single" w:sz="4" w:space="0" w:color="000000"/>
              <w:bottom w:val="single" w:sz="4" w:space="0" w:color="000000"/>
              <w:right w:val="single" w:sz="4" w:space="0" w:color="000000"/>
            </w:tcBorders>
          </w:tcPr>
          <w:p w14:paraId="52113DA8" w14:textId="77777777" w:rsidR="007A2AAB" w:rsidRPr="009A4BC4" w:rsidRDefault="007A2AAB" w:rsidP="009A4BC4">
            <w:pPr>
              <w:pStyle w:val="TableParagraph"/>
              <w:ind w:left="107"/>
              <w:rPr>
                <w:rFonts w:ascii="Bookman Old Style" w:hAnsi="Bookman Old Style"/>
                <w:sz w:val="20"/>
                <w:szCs w:val="20"/>
              </w:rPr>
            </w:pPr>
          </w:p>
        </w:tc>
        <w:tc>
          <w:tcPr>
            <w:tcW w:w="6946" w:type="dxa"/>
            <w:tcBorders>
              <w:top w:val="single" w:sz="4" w:space="0" w:color="000000"/>
              <w:left w:val="single" w:sz="4" w:space="0" w:color="000000"/>
              <w:bottom w:val="single" w:sz="4" w:space="0" w:color="000000"/>
              <w:right w:val="single" w:sz="4" w:space="0" w:color="000000"/>
            </w:tcBorders>
          </w:tcPr>
          <w:p w14:paraId="7A773C61" w14:textId="77777777" w:rsidR="007A2AAB" w:rsidRPr="009A4BC4" w:rsidRDefault="007A2AAB" w:rsidP="009A4BC4">
            <w:pPr>
              <w:pStyle w:val="TableParagraph"/>
              <w:ind w:left="928"/>
              <w:rPr>
                <w:rFonts w:ascii="Bookman Old Style" w:hAnsi="Bookman Old Style"/>
                <w:sz w:val="20"/>
                <w:szCs w:val="20"/>
              </w:rPr>
            </w:pPr>
          </w:p>
        </w:tc>
        <w:tc>
          <w:tcPr>
            <w:tcW w:w="989" w:type="dxa"/>
            <w:tcBorders>
              <w:top w:val="single" w:sz="4" w:space="0" w:color="000000"/>
              <w:left w:val="single" w:sz="4" w:space="0" w:color="000000"/>
              <w:bottom w:val="single" w:sz="4" w:space="0" w:color="000000"/>
              <w:right w:val="single" w:sz="4" w:space="0" w:color="000000"/>
            </w:tcBorders>
          </w:tcPr>
          <w:p w14:paraId="4B545A1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E10D9C7"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77F94B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4780545"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B6F0009"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61162F"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39CFCC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899B011"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0B042CE2" w14:textId="77777777" w:rsidR="007A2AAB" w:rsidRPr="009A4BC4" w:rsidRDefault="007A2AAB" w:rsidP="009A4BC4">
            <w:pPr>
              <w:pStyle w:val="TableParagraph"/>
              <w:rPr>
                <w:rFonts w:ascii="Bookman Old Style" w:hAnsi="Bookman Old Style"/>
                <w:sz w:val="20"/>
                <w:szCs w:val="20"/>
              </w:rPr>
            </w:pPr>
          </w:p>
        </w:tc>
      </w:tr>
      <w:tr w:rsidR="007A2AAB" w:rsidRPr="009A4BC4" w14:paraId="3FBDAE11" w14:textId="77777777" w:rsidTr="008262B9">
        <w:trPr>
          <w:trHeight w:val="311"/>
        </w:trPr>
        <w:tc>
          <w:tcPr>
            <w:tcW w:w="1275" w:type="dxa"/>
            <w:tcBorders>
              <w:top w:val="single" w:sz="4" w:space="0" w:color="000000"/>
              <w:bottom w:val="single" w:sz="4" w:space="0" w:color="000000"/>
              <w:right w:val="single" w:sz="4" w:space="0" w:color="000000"/>
            </w:tcBorders>
            <w:vAlign w:val="center"/>
          </w:tcPr>
          <w:p w14:paraId="47595837" w14:textId="10B9310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w:t>
            </w:r>
          </w:p>
        </w:tc>
        <w:tc>
          <w:tcPr>
            <w:tcW w:w="6946" w:type="dxa"/>
            <w:tcBorders>
              <w:top w:val="single" w:sz="4" w:space="0" w:color="000000"/>
              <w:left w:val="single" w:sz="4" w:space="0" w:color="000000"/>
              <w:bottom w:val="single" w:sz="4" w:space="0" w:color="000000"/>
              <w:right w:val="single" w:sz="4" w:space="0" w:color="000000"/>
            </w:tcBorders>
            <w:vAlign w:val="center"/>
          </w:tcPr>
          <w:p w14:paraId="499A1105" w14:textId="2B9AFA6A"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 xml:space="preserve">klaim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368BBAE5"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98DA102"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9669DF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0C62D0C"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DBB00EC"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1F3639"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A70166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9184443"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22FF85D3" w14:textId="77777777" w:rsidR="007A2AAB" w:rsidRPr="009A4BC4" w:rsidRDefault="007A2AAB" w:rsidP="009A4BC4">
            <w:pPr>
              <w:pStyle w:val="TableParagraph"/>
              <w:rPr>
                <w:rFonts w:ascii="Bookman Old Style" w:hAnsi="Bookman Old Style"/>
                <w:sz w:val="20"/>
                <w:szCs w:val="20"/>
              </w:rPr>
            </w:pPr>
          </w:p>
        </w:tc>
      </w:tr>
      <w:tr w:rsidR="007A2AAB" w:rsidRPr="009A4BC4" w14:paraId="355F7801" w14:textId="77777777" w:rsidTr="008262B9">
        <w:trPr>
          <w:trHeight w:val="443"/>
        </w:trPr>
        <w:tc>
          <w:tcPr>
            <w:tcW w:w="1275" w:type="dxa"/>
            <w:tcBorders>
              <w:top w:val="single" w:sz="4" w:space="0" w:color="000000"/>
              <w:bottom w:val="single" w:sz="4" w:space="0" w:color="000000"/>
              <w:right w:val="single" w:sz="4" w:space="0" w:color="000000"/>
            </w:tcBorders>
            <w:vAlign w:val="center"/>
          </w:tcPr>
          <w:p w14:paraId="7C425736" w14:textId="73858DA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2.2.1</w:t>
            </w:r>
          </w:p>
        </w:tc>
        <w:tc>
          <w:tcPr>
            <w:tcW w:w="6946" w:type="dxa"/>
            <w:tcBorders>
              <w:top w:val="single" w:sz="4" w:space="0" w:color="000000"/>
              <w:left w:val="single" w:sz="4" w:space="0" w:color="000000"/>
              <w:bottom w:val="single" w:sz="4" w:space="0" w:color="000000"/>
              <w:right w:val="single" w:sz="4" w:space="0" w:color="000000"/>
            </w:tcBorders>
            <w:vAlign w:val="center"/>
          </w:tcPr>
          <w:p w14:paraId="1818B7C4" w14:textId="6598DF2A"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074EAB8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0162A69" w14:textId="34B64CD0"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8" w:type="dxa"/>
            <w:tcBorders>
              <w:top w:val="single" w:sz="4" w:space="0" w:color="000000"/>
              <w:left w:val="single" w:sz="4" w:space="0" w:color="000000"/>
              <w:bottom w:val="single" w:sz="4" w:space="0" w:color="000000"/>
              <w:right w:val="single" w:sz="4" w:space="0" w:color="000000"/>
            </w:tcBorders>
            <w:vAlign w:val="center"/>
          </w:tcPr>
          <w:p w14:paraId="1D65E0F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874A0C6" w14:textId="50AD996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5D48B07B"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55BF" w14:textId="2EE22BEE"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56914BE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F1A2D72" w14:textId="35BC0F72"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4A4E354C" w14:textId="77777777" w:rsidR="007A2AAB" w:rsidRPr="009A4BC4" w:rsidRDefault="007A2AAB" w:rsidP="009A4BC4">
            <w:pPr>
              <w:pStyle w:val="TableParagraph"/>
              <w:rPr>
                <w:rFonts w:ascii="Bookman Old Style" w:hAnsi="Bookman Old Style"/>
                <w:sz w:val="20"/>
                <w:szCs w:val="20"/>
              </w:rPr>
            </w:pPr>
          </w:p>
        </w:tc>
      </w:tr>
      <w:tr w:rsidR="007A2AAB" w:rsidRPr="009A4BC4" w14:paraId="640C3A0E"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BDA331F" w14:textId="0AA954E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2.2.2</w:t>
            </w:r>
          </w:p>
        </w:tc>
        <w:tc>
          <w:tcPr>
            <w:tcW w:w="6946" w:type="dxa"/>
            <w:tcBorders>
              <w:top w:val="single" w:sz="4" w:space="0" w:color="000000"/>
              <w:left w:val="single" w:sz="4" w:space="0" w:color="000000"/>
              <w:bottom w:val="single" w:sz="4" w:space="0" w:color="000000"/>
              <w:right w:val="single" w:sz="4" w:space="0" w:color="000000"/>
            </w:tcBorders>
            <w:vAlign w:val="center"/>
          </w:tcPr>
          <w:p w14:paraId="7CE83860" w14:textId="1D2B804F"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73C7AE7D"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E7DD5BD" w14:textId="28E60E5F"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8" w:type="dxa"/>
            <w:tcBorders>
              <w:top w:val="single" w:sz="4" w:space="0" w:color="000000"/>
              <w:left w:val="single" w:sz="4" w:space="0" w:color="000000"/>
              <w:bottom w:val="single" w:sz="4" w:space="0" w:color="000000"/>
              <w:right w:val="single" w:sz="4" w:space="0" w:color="000000"/>
            </w:tcBorders>
            <w:vAlign w:val="center"/>
          </w:tcPr>
          <w:p w14:paraId="4C7D95E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8EC2AB1" w14:textId="1CC22AC8"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672E7A20"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1015CE" w14:textId="5FEFED15"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6D218D8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B3F3A1A" w14:textId="126721D6"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3A4CAFF" w14:textId="77777777" w:rsidR="007A2AAB" w:rsidRPr="009A4BC4" w:rsidRDefault="007A2AAB" w:rsidP="009A4BC4">
            <w:pPr>
              <w:pStyle w:val="TableParagraph"/>
              <w:rPr>
                <w:rFonts w:ascii="Bookman Old Style" w:hAnsi="Bookman Old Style"/>
                <w:sz w:val="20"/>
                <w:szCs w:val="20"/>
              </w:rPr>
            </w:pPr>
          </w:p>
        </w:tc>
      </w:tr>
      <w:tr w:rsidR="007A2AAB" w:rsidRPr="009A4BC4" w14:paraId="63E2DD5D" w14:textId="77777777" w:rsidTr="008262B9">
        <w:trPr>
          <w:trHeight w:val="399"/>
        </w:trPr>
        <w:tc>
          <w:tcPr>
            <w:tcW w:w="1275" w:type="dxa"/>
            <w:tcBorders>
              <w:top w:val="single" w:sz="4" w:space="0" w:color="000000"/>
              <w:bottom w:val="single" w:sz="4" w:space="0" w:color="000000"/>
              <w:right w:val="single" w:sz="4" w:space="0" w:color="000000"/>
            </w:tcBorders>
            <w:vAlign w:val="center"/>
          </w:tcPr>
          <w:p w14:paraId="7FC45AE1" w14:textId="1989D51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2.2.3</w:t>
            </w:r>
          </w:p>
        </w:tc>
        <w:tc>
          <w:tcPr>
            <w:tcW w:w="6946" w:type="dxa"/>
            <w:tcBorders>
              <w:top w:val="single" w:sz="4" w:space="0" w:color="000000"/>
              <w:left w:val="single" w:sz="4" w:space="0" w:color="000000"/>
              <w:bottom w:val="single" w:sz="4" w:space="0" w:color="000000"/>
              <w:right w:val="single" w:sz="4" w:space="0" w:color="000000"/>
            </w:tcBorders>
            <w:vAlign w:val="center"/>
          </w:tcPr>
          <w:p w14:paraId="2ADF64C6" w14:textId="57C10F6D"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5729BD4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74FDD61" w14:textId="24799F4B"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8" w:type="dxa"/>
            <w:tcBorders>
              <w:top w:val="single" w:sz="4" w:space="0" w:color="000000"/>
              <w:left w:val="single" w:sz="4" w:space="0" w:color="000000"/>
              <w:bottom w:val="single" w:sz="4" w:space="0" w:color="000000"/>
              <w:right w:val="single" w:sz="4" w:space="0" w:color="000000"/>
            </w:tcBorders>
            <w:vAlign w:val="center"/>
          </w:tcPr>
          <w:p w14:paraId="4DECCB1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038577A" w14:textId="68E0B9C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5C808B2E"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6855D4" w14:textId="10446768"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1FB171F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56EFE27" w14:textId="2B3FBF46"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3E19190D" w14:textId="77777777" w:rsidR="007A2AAB" w:rsidRPr="009A4BC4" w:rsidRDefault="007A2AAB" w:rsidP="009A4BC4">
            <w:pPr>
              <w:pStyle w:val="TableParagraph"/>
              <w:rPr>
                <w:rFonts w:ascii="Bookman Old Style" w:hAnsi="Bookman Old Style"/>
                <w:sz w:val="20"/>
                <w:szCs w:val="20"/>
              </w:rPr>
            </w:pPr>
          </w:p>
        </w:tc>
      </w:tr>
      <w:tr w:rsidR="007A2AAB" w:rsidRPr="009A4BC4" w14:paraId="30EB6B34" w14:textId="77777777" w:rsidTr="008262B9">
        <w:trPr>
          <w:trHeight w:val="244"/>
        </w:trPr>
        <w:tc>
          <w:tcPr>
            <w:tcW w:w="1275" w:type="dxa"/>
            <w:tcBorders>
              <w:top w:val="single" w:sz="4" w:space="0" w:color="000000"/>
              <w:bottom w:val="single" w:sz="4" w:space="0" w:color="000000"/>
              <w:right w:val="single" w:sz="4" w:space="0" w:color="000000"/>
            </w:tcBorders>
            <w:shd w:val="clear" w:color="auto" w:fill="C9C9C9" w:themeFill="accent3" w:themeFillTint="99"/>
            <w:vAlign w:val="center"/>
          </w:tcPr>
          <w:p w14:paraId="0020E367" w14:textId="30DBF7F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w w:val="99"/>
                <w:sz w:val="20"/>
                <w:szCs w:val="20"/>
              </w:rPr>
              <w:lastRenderedPageBreak/>
              <w:t>3</w:t>
            </w:r>
          </w:p>
        </w:tc>
        <w:tc>
          <w:tcPr>
            <w:tcW w:w="694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8C0A18A" w14:textId="01C520F1"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P</w:t>
            </w:r>
            <w:r w:rsidRPr="009A4BC4">
              <w:rPr>
                <w:rFonts w:ascii="Bookman Old Style" w:hAnsi="Bookman Old Style"/>
                <w:sz w:val="20"/>
                <w:szCs w:val="20"/>
                <w:lang w:val="en-US"/>
              </w:rPr>
              <w:t>embiayaan</w:t>
            </w:r>
            <w:r w:rsidRPr="009A4BC4">
              <w:rPr>
                <w:rFonts w:ascii="Bookman Old Style" w:hAnsi="Bookman Old Style"/>
                <w:spacing w:val="-2"/>
                <w:sz w:val="20"/>
                <w:szCs w:val="20"/>
              </w:rPr>
              <w:t xml:space="preserve"> </w:t>
            </w:r>
            <w:r w:rsidRPr="009A4BC4">
              <w:rPr>
                <w:rFonts w:ascii="Bookman Old Style" w:hAnsi="Bookman Old Style"/>
                <w:sz w:val="20"/>
                <w:szCs w:val="20"/>
              </w:rPr>
              <w:t>kategori</w:t>
            </w:r>
            <w:r w:rsidRPr="009A4BC4">
              <w:rPr>
                <w:rFonts w:ascii="Bookman Old Style" w:hAnsi="Bookman Old Style"/>
                <w:spacing w:val="-3"/>
                <w:sz w:val="20"/>
                <w:szCs w:val="20"/>
              </w:rPr>
              <w:t xml:space="preserve"> </w:t>
            </w:r>
            <w:r w:rsidRPr="009A4BC4">
              <w:rPr>
                <w:rFonts w:ascii="Bookman Old Style" w:hAnsi="Bookman Old Style"/>
                <w:sz w:val="20"/>
                <w:szCs w:val="20"/>
              </w:rPr>
              <w:t>Lancar</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4"/>
                <w:sz w:val="20"/>
                <w:szCs w:val="20"/>
              </w:rPr>
              <w:t xml:space="preserve"> </w:t>
            </w:r>
            <w:r w:rsidRPr="009A4BC4">
              <w:rPr>
                <w:rFonts w:ascii="Bookman Old Style" w:hAnsi="Bookman Old Style"/>
                <w:sz w:val="20"/>
                <w:szCs w:val="20"/>
              </w:rPr>
              <w:t>Perhatian</w:t>
            </w:r>
            <w:r w:rsidRPr="009A4BC4">
              <w:rPr>
                <w:rFonts w:ascii="Bookman Old Style" w:hAnsi="Bookman Old Style"/>
                <w:spacing w:val="-2"/>
                <w:sz w:val="20"/>
                <w:szCs w:val="20"/>
              </w:rPr>
              <w:t xml:space="preserve"> </w:t>
            </w:r>
            <w:r w:rsidRPr="009A4BC4">
              <w:rPr>
                <w:rFonts w:ascii="Bookman Old Style" w:hAnsi="Bookman Old Style"/>
                <w:sz w:val="20"/>
                <w:szCs w:val="20"/>
              </w:rPr>
              <w:t>Khusus</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performing</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41"/>
                <w:sz w:val="20"/>
                <w:szCs w:val="20"/>
              </w:rPr>
              <w:t xml:space="preserve"> </w:t>
            </w:r>
            <w:r w:rsidRPr="009A4BC4">
              <w:rPr>
                <w:rFonts w:ascii="Bookman Old Style" w:hAnsi="Bookman Old Style"/>
                <w:sz w:val="20"/>
                <w:szCs w:val="20"/>
              </w:rPr>
              <w:t>surat</w:t>
            </w:r>
            <w:r w:rsidRPr="009A4BC4">
              <w:rPr>
                <w:rFonts w:ascii="Bookman Old Style" w:hAnsi="Bookman Old Style"/>
                <w:sz w:val="20"/>
                <w:szCs w:val="20"/>
                <w:lang w:val="en-US"/>
              </w:rPr>
              <w:t xml:space="preserve"> </w:t>
            </w:r>
            <w:r w:rsidRPr="009A4BC4">
              <w:rPr>
                <w:rFonts w:ascii="Bookman Old Style" w:hAnsi="Bookman Old Style"/>
                <w:sz w:val="20"/>
                <w:szCs w:val="20"/>
              </w:rPr>
              <w:t>berharga</w:t>
            </w:r>
            <w:r w:rsidRPr="009A4BC4">
              <w:rPr>
                <w:rFonts w:ascii="Bookman Old Style" w:hAnsi="Bookman Old Style"/>
                <w:spacing w:val="-2"/>
                <w:sz w:val="20"/>
                <w:szCs w:val="20"/>
              </w:rPr>
              <w:t xml:space="preserve"> syariah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gagal</w:t>
            </w:r>
            <w:r w:rsidRPr="009A4BC4">
              <w:rPr>
                <w:rFonts w:ascii="Bookman Old Style" w:hAnsi="Bookman Old Style"/>
                <w:spacing w:val="-2"/>
                <w:sz w:val="20"/>
                <w:szCs w:val="20"/>
              </w:rPr>
              <w:t xml:space="preserve"> </w:t>
            </w:r>
            <w:r w:rsidRPr="009A4BC4">
              <w:rPr>
                <w:rFonts w:ascii="Bookman Old Style" w:hAnsi="Bookman Old Style"/>
                <w:sz w:val="20"/>
                <w:szCs w:val="20"/>
              </w:rPr>
              <w:t>bayar</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default</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101EAAC"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2194B1E7"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079A4E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35B86F1D"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F8B77A9"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247A7D37"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A22735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6AF613D"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C9C9C9" w:themeFill="accent3" w:themeFillTint="99"/>
            <w:vAlign w:val="center"/>
          </w:tcPr>
          <w:p w14:paraId="7132476F" w14:textId="77777777" w:rsidR="007A2AAB" w:rsidRPr="009A4BC4" w:rsidRDefault="007A2AAB" w:rsidP="009A4BC4">
            <w:pPr>
              <w:pStyle w:val="TableParagraph"/>
              <w:rPr>
                <w:rFonts w:ascii="Bookman Old Style" w:hAnsi="Bookman Old Style"/>
                <w:sz w:val="20"/>
                <w:szCs w:val="20"/>
              </w:rPr>
            </w:pPr>
          </w:p>
        </w:tc>
      </w:tr>
      <w:tr w:rsidR="007A2AAB" w:rsidRPr="009A4BC4" w14:paraId="17DA0E60" w14:textId="77777777" w:rsidTr="008262B9">
        <w:trPr>
          <w:trHeight w:val="244"/>
        </w:trPr>
        <w:tc>
          <w:tcPr>
            <w:tcW w:w="1275" w:type="dxa"/>
            <w:tcBorders>
              <w:top w:val="single" w:sz="4" w:space="0" w:color="000000"/>
              <w:bottom w:val="single" w:sz="4" w:space="0" w:color="000000"/>
              <w:right w:val="single" w:sz="4" w:space="0" w:color="000000"/>
            </w:tcBorders>
            <w:shd w:val="clear" w:color="auto" w:fill="C9C9C9" w:themeFill="accent3" w:themeFillTint="99"/>
            <w:vAlign w:val="center"/>
          </w:tcPr>
          <w:p w14:paraId="6A3009DD" w14:textId="028D7F58"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w:t>
            </w:r>
          </w:p>
        </w:tc>
        <w:tc>
          <w:tcPr>
            <w:tcW w:w="694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4FF74631" w14:textId="095AF285"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P</w:t>
            </w:r>
            <w:r w:rsidRPr="009A4BC4">
              <w:rPr>
                <w:rFonts w:ascii="Bookman Old Style" w:hAnsi="Bookman Old Style"/>
                <w:sz w:val="20"/>
                <w:szCs w:val="20"/>
                <w:lang w:val="en-US"/>
              </w:rPr>
              <w:t>embiayaan</w:t>
            </w:r>
            <w:r w:rsidRPr="009A4BC4">
              <w:rPr>
                <w:rFonts w:ascii="Bookman Old Style" w:hAnsi="Bookman Old Style"/>
                <w:spacing w:val="-2"/>
                <w:sz w:val="20"/>
                <w:szCs w:val="20"/>
              </w:rPr>
              <w:t xml:space="preserve"> </w:t>
            </w:r>
            <w:r w:rsidRPr="009A4BC4">
              <w:rPr>
                <w:rFonts w:ascii="Bookman Old Style" w:hAnsi="Bookman Old Style"/>
                <w:sz w:val="20"/>
                <w:szCs w:val="20"/>
              </w:rPr>
              <w:t>kategori</w:t>
            </w:r>
            <w:r w:rsidRPr="009A4BC4">
              <w:rPr>
                <w:rFonts w:ascii="Bookman Old Style" w:hAnsi="Bookman Old Style"/>
                <w:spacing w:val="-2"/>
                <w:sz w:val="20"/>
                <w:szCs w:val="20"/>
              </w:rPr>
              <w:t xml:space="preserve"> </w:t>
            </w:r>
            <w:r w:rsidRPr="009A4BC4">
              <w:rPr>
                <w:rFonts w:ascii="Bookman Old Style" w:hAnsi="Bookman Old Style"/>
                <w:sz w:val="20"/>
                <w:szCs w:val="20"/>
              </w:rPr>
              <w:t>Lancar</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3"/>
                <w:sz w:val="20"/>
                <w:szCs w:val="20"/>
              </w:rPr>
              <w:t xml:space="preserve"> </w:t>
            </w:r>
            <w:r w:rsidRPr="009A4BC4">
              <w:rPr>
                <w:rFonts w:ascii="Bookman Old Style" w:hAnsi="Bookman Old Style"/>
                <w:sz w:val="20"/>
                <w:szCs w:val="20"/>
              </w:rPr>
              <w:t>Perhatian</w:t>
            </w:r>
            <w:r w:rsidRPr="009A4BC4">
              <w:rPr>
                <w:rFonts w:ascii="Bookman Old Style" w:hAnsi="Bookman Old Style"/>
                <w:spacing w:val="-2"/>
                <w:sz w:val="20"/>
                <w:szCs w:val="20"/>
              </w:rPr>
              <w:t xml:space="preserve"> </w:t>
            </w:r>
            <w:r w:rsidRPr="009A4BC4">
              <w:rPr>
                <w:rFonts w:ascii="Bookman Old Style" w:hAnsi="Bookman Old Style"/>
                <w:sz w:val="20"/>
                <w:szCs w:val="20"/>
              </w:rPr>
              <w:t>Khusus</w:t>
            </w:r>
            <w:r w:rsidRPr="009A4BC4">
              <w:rPr>
                <w:rFonts w:ascii="Bookman Old Style" w:hAnsi="Bookman Old Style"/>
                <w:spacing w:val="-4"/>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performing</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z w:val="20"/>
                <w:szCs w:val="20"/>
                <w:lang w:val="en-US"/>
              </w:rPr>
              <w:t xml:space="preserve"> </w:t>
            </w:r>
            <w:r w:rsidRPr="009A4BC4">
              <w:rPr>
                <w:rFonts w:ascii="Bookman Old Style" w:hAnsi="Bookman Old Style"/>
                <w:sz w:val="20"/>
                <w:szCs w:val="20"/>
              </w:rPr>
              <w:t>diberikan</w:t>
            </w:r>
            <w:r w:rsidRPr="009A4BC4">
              <w:rPr>
                <w:rFonts w:ascii="Bookman Old Style" w:hAnsi="Bookman Old Style"/>
                <w:spacing w:val="-3"/>
                <w:sz w:val="20"/>
                <w:szCs w:val="20"/>
              </w:rPr>
              <w:t xml:space="preserve"> </w:t>
            </w:r>
            <w:r w:rsidRPr="009A4BC4">
              <w:rPr>
                <w:rFonts w:ascii="Bookman Old Style" w:hAnsi="Bookman Old Style"/>
                <w:sz w:val="20"/>
                <w:szCs w:val="20"/>
              </w:rPr>
              <w:t>kepada:</w:t>
            </w:r>
          </w:p>
        </w:tc>
        <w:tc>
          <w:tcPr>
            <w:tcW w:w="98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C4C96A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13C37C6"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E3455C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38CAE179"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A38B6D9"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4CCB7F25"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35D97FE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40C124F"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C9C9C9" w:themeFill="accent3" w:themeFillTint="99"/>
            <w:vAlign w:val="center"/>
          </w:tcPr>
          <w:p w14:paraId="0E2761A7" w14:textId="77777777" w:rsidR="007A2AAB" w:rsidRPr="009A4BC4" w:rsidRDefault="007A2AAB" w:rsidP="009A4BC4">
            <w:pPr>
              <w:pStyle w:val="TableParagraph"/>
              <w:rPr>
                <w:rFonts w:ascii="Bookman Old Style" w:hAnsi="Bookman Old Style"/>
                <w:sz w:val="20"/>
                <w:szCs w:val="20"/>
              </w:rPr>
            </w:pPr>
          </w:p>
        </w:tc>
      </w:tr>
      <w:tr w:rsidR="007A2AAB" w:rsidRPr="009A4BC4" w14:paraId="44A886A5"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C0D6B1B" w14:textId="01168E7D"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w:t>
            </w:r>
          </w:p>
        </w:tc>
        <w:tc>
          <w:tcPr>
            <w:tcW w:w="6946" w:type="dxa"/>
            <w:tcBorders>
              <w:top w:val="single" w:sz="4" w:space="0" w:color="000000"/>
              <w:left w:val="single" w:sz="4" w:space="0" w:color="000000"/>
              <w:bottom w:val="single" w:sz="4" w:space="0" w:color="000000"/>
              <w:right w:val="single" w:sz="4" w:space="0" w:color="000000"/>
            </w:tcBorders>
            <w:vAlign w:val="center"/>
          </w:tcPr>
          <w:p w14:paraId="39D2D7D4" w14:textId="596509C6"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Lembaga</w:t>
            </w:r>
            <w:r w:rsidRPr="009A4BC4">
              <w:rPr>
                <w:rFonts w:ascii="Bookman Old Style" w:hAnsi="Bookman Old Style"/>
                <w:spacing w:val="-3"/>
                <w:sz w:val="20"/>
                <w:szCs w:val="20"/>
              </w:rPr>
              <w:t xml:space="preserve"> </w:t>
            </w:r>
            <w:r w:rsidRPr="009A4BC4">
              <w:rPr>
                <w:rFonts w:ascii="Bookman Old Style" w:hAnsi="Bookman Old Style"/>
                <w:sz w:val="20"/>
                <w:szCs w:val="20"/>
              </w:rPr>
              <w:t>keuangan</w:t>
            </w:r>
            <w:r w:rsidRPr="009A4BC4">
              <w:rPr>
                <w:rFonts w:ascii="Bookman Old Style" w:hAnsi="Bookman Old Style"/>
                <w:spacing w:val="-1"/>
                <w:sz w:val="20"/>
                <w:szCs w:val="20"/>
              </w:rPr>
              <w:t xml:space="preserve"> </w:t>
            </w:r>
            <w:r w:rsidRPr="009A4BC4">
              <w:rPr>
                <w:rFonts w:ascii="Bookman Old Style" w:hAnsi="Bookman Old Style"/>
                <w:sz w:val="20"/>
                <w:szCs w:val="20"/>
              </w:rPr>
              <w:t>yang</w:t>
            </w:r>
            <w:r w:rsidRPr="009A4BC4">
              <w:rPr>
                <w:rFonts w:ascii="Bookman Old Style" w:hAnsi="Bookman Old Style"/>
                <w:spacing w:val="-6"/>
                <w:sz w:val="20"/>
                <w:szCs w:val="20"/>
              </w:rPr>
              <w:t xml:space="preserve"> </w:t>
            </w:r>
            <w:r w:rsidRPr="009A4BC4">
              <w:rPr>
                <w:rFonts w:ascii="Bookman Old Style" w:hAnsi="Bookman Old Style"/>
                <w:sz w:val="20"/>
                <w:szCs w:val="20"/>
              </w:rPr>
              <w:t>dijamin</w:t>
            </w:r>
            <w:r w:rsidRPr="009A4BC4">
              <w:rPr>
                <w:rFonts w:ascii="Bookman Old Style" w:hAnsi="Bookman Old Style"/>
                <w:spacing w:val="-2"/>
                <w:sz w:val="20"/>
                <w:szCs w:val="20"/>
              </w:rPr>
              <w:t xml:space="preserve"> </w:t>
            </w:r>
            <w:r w:rsidRPr="009A4BC4">
              <w:rPr>
                <w:rFonts w:ascii="Bookman Old Style" w:hAnsi="Bookman Old Style"/>
                <w:sz w:val="20"/>
                <w:szCs w:val="20"/>
              </w:rPr>
              <w:t>oleh</w:t>
            </w:r>
            <w:r w:rsidRPr="009A4BC4">
              <w:rPr>
                <w:rFonts w:ascii="Bookman Old Style" w:hAnsi="Bookman Old Style"/>
                <w:spacing w:val="-3"/>
                <w:sz w:val="20"/>
                <w:szCs w:val="20"/>
              </w:rPr>
              <w:t xml:space="preserve"> </w:t>
            </w:r>
            <w:r w:rsidRPr="009A4BC4">
              <w:rPr>
                <w:rFonts w:ascii="Bookman Old Style" w:hAnsi="Bookman Old Style"/>
                <w:sz w:val="20"/>
                <w:szCs w:val="20"/>
              </w:rPr>
              <w:t>HQLA</w:t>
            </w:r>
            <w:r w:rsidRPr="009A4BC4">
              <w:rPr>
                <w:rFonts w:ascii="Bookman Old Style" w:hAnsi="Bookman Old Style"/>
                <w:spacing w:val="-3"/>
                <w:sz w:val="20"/>
                <w:szCs w:val="20"/>
              </w:rPr>
              <w:t xml:space="preserve"> </w:t>
            </w:r>
            <w:r w:rsidRPr="009A4BC4">
              <w:rPr>
                <w:rFonts w:ascii="Bookman Old Style" w:hAnsi="Bookman Old Style"/>
                <w:sz w:val="20"/>
                <w:szCs w:val="20"/>
              </w:rPr>
              <w:t>Level</w:t>
            </w:r>
            <w:r w:rsidRPr="009A4BC4">
              <w:rPr>
                <w:rFonts w:ascii="Bookman Old Style" w:hAnsi="Bookman Old Style"/>
                <w:spacing w:val="-2"/>
                <w:sz w:val="20"/>
                <w:szCs w:val="20"/>
              </w:rPr>
              <w:t xml:space="preserve"> </w:t>
            </w:r>
            <w:r w:rsidRPr="009A4BC4">
              <w:rPr>
                <w:rFonts w:ascii="Bookman Old Style" w:hAnsi="Bookman Old Style"/>
                <w:sz w:val="20"/>
                <w:szCs w:val="20"/>
              </w:rPr>
              <w:t>1</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memenuhi</w:t>
            </w:r>
            <w:r w:rsidRPr="009A4BC4">
              <w:rPr>
                <w:rFonts w:ascii="Bookman Old Style" w:hAnsi="Bookman Old Style"/>
                <w:sz w:val="20"/>
                <w:szCs w:val="20"/>
                <w:lang w:val="en-US"/>
              </w:rPr>
              <w:t xml:space="preserve"> </w:t>
            </w:r>
            <w:r w:rsidRPr="009A4BC4">
              <w:rPr>
                <w:rFonts w:ascii="Bookman Old Style" w:hAnsi="Bookman Old Style"/>
                <w:sz w:val="20"/>
                <w:szCs w:val="20"/>
              </w:rPr>
              <w:t>persyaratan</w:t>
            </w:r>
          </w:p>
        </w:tc>
        <w:tc>
          <w:tcPr>
            <w:tcW w:w="989" w:type="dxa"/>
            <w:tcBorders>
              <w:top w:val="single" w:sz="4" w:space="0" w:color="000000"/>
              <w:left w:val="single" w:sz="4" w:space="0" w:color="000000"/>
              <w:bottom w:val="single" w:sz="4" w:space="0" w:color="000000"/>
              <w:right w:val="single" w:sz="4" w:space="0" w:color="000000"/>
            </w:tcBorders>
            <w:vAlign w:val="center"/>
          </w:tcPr>
          <w:p w14:paraId="68AEC4DE"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13C36539"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4A0EF6C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B1D02AF"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2FCD2BB"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2D4400"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96755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6204D10"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039636F" w14:textId="77777777" w:rsidR="007A2AAB" w:rsidRPr="009A4BC4" w:rsidRDefault="007A2AAB" w:rsidP="009A4BC4">
            <w:pPr>
              <w:pStyle w:val="TableParagraph"/>
              <w:rPr>
                <w:rFonts w:ascii="Bookman Old Style" w:hAnsi="Bookman Old Style"/>
                <w:sz w:val="20"/>
                <w:szCs w:val="20"/>
              </w:rPr>
            </w:pPr>
          </w:p>
        </w:tc>
      </w:tr>
      <w:tr w:rsidR="007A2AAB" w:rsidRPr="009A4BC4" w14:paraId="1D2769B2"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563A2E9" w14:textId="1434D9B4"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3.1.1.1</w:t>
            </w:r>
          </w:p>
        </w:tc>
        <w:tc>
          <w:tcPr>
            <w:tcW w:w="6946" w:type="dxa"/>
            <w:tcBorders>
              <w:top w:val="single" w:sz="4" w:space="0" w:color="000000"/>
              <w:left w:val="single" w:sz="4" w:space="0" w:color="000000"/>
              <w:bottom w:val="single" w:sz="4" w:space="0" w:color="000000"/>
              <w:right w:val="single" w:sz="4" w:space="0" w:color="000000"/>
            </w:tcBorders>
            <w:vAlign w:val="center"/>
          </w:tcPr>
          <w:p w14:paraId="6A6DAA9F" w14:textId="4A9082FD"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0C3777C5"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6FA8A85" w14:textId="24FE116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4A0F4E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DDEDFB5" w14:textId="41ED9E8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6A3914A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AD9DB61" w14:textId="53E7E7FA"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02C1DF2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2997BA8" w14:textId="02BB457B"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3529BC3E" w14:textId="77777777" w:rsidR="007A2AAB" w:rsidRPr="009A4BC4" w:rsidRDefault="007A2AAB" w:rsidP="009A4BC4">
            <w:pPr>
              <w:pStyle w:val="TableParagraph"/>
              <w:rPr>
                <w:rFonts w:ascii="Bookman Old Style" w:hAnsi="Bookman Old Style"/>
                <w:sz w:val="20"/>
                <w:szCs w:val="20"/>
              </w:rPr>
            </w:pPr>
          </w:p>
        </w:tc>
      </w:tr>
      <w:tr w:rsidR="007A2AAB" w:rsidRPr="009A4BC4" w14:paraId="3E3E934B"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F070D79" w14:textId="6565231F"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3.1.1.2</w:t>
            </w:r>
          </w:p>
        </w:tc>
        <w:tc>
          <w:tcPr>
            <w:tcW w:w="6946" w:type="dxa"/>
            <w:tcBorders>
              <w:top w:val="single" w:sz="4" w:space="0" w:color="000000"/>
              <w:left w:val="single" w:sz="4" w:space="0" w:color="000000"/>
              <w:bottom w:val="single" w:sz="4" w:space="0" w:color="000000"/>
              <w:right w:val="single" w:sz="4" w:space="0" w:color="000000"/>
            </w:tcBorders>
            <w:vAlign w:val="center"/>
          </w:tcPr>
          <w:p w14:paraId="1C9C99C0" w14:textId="7401593E"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3EC31678"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D41CA84"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40030A6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FB24909"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5A8CCA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BF7869"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77B1CE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9108BB4"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6ACC64A9" w14:textId="77777777" w:rsidR="007A2AAB" w:rsidRPr="009A4BC4" w:rsidRDefault="007A2AAB" w:rsidP="009A4BC4">
            <w:pPr>
              <w:pStyle w:val="TableParagraph"/>
              <w:rPr>
                <w:rFonts w:ascii="Bookman Old Style" w:hAnsi="Bookman Old Style"/>
                <w:sz w:val="20"/>
                <w:szCs w:val="20"/>
              </w:rPr>
            </w:pPr>
          </w:p>
        </w:tc>
      </w:tr>
      <w:tr w:rsidR="007A2AAB" w:rsidRPr="009A4BC4" w14:paraId="30E4C271"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A7AC09A" w14:textId="72C98F7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3.1.1.2.1</w:t>
            </w:r>
          </w:p>
        </w:tc>
        <w:tc>
          <w:tcPr>
            <w:tcW w:w="6946" w:type="dxa"/>
            <w:tcBorders>
              <w:top w:val="single" w:sz="4" w:space="0" w:color="000000"/>
              <w:left w:val="single" w:sz="4" w:space="0" w:color="000000"/>
              <w:bottom w:val="single" w:sz="4" w:space="0" w:color="000000"/>
              <w:right w:val="single" w:sz="4" w:space="0" w:color="000000"/>
            </w:tcBorders>
            <w:vAlign w:val="center"/>
          </w:tcPr>
          <w:p w14:paraId="423B9A87" w14:textId="3991B075"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03A40AE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74416CA" w14:textId="252B4575"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A2B246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420D8F8" w14:textId="081461E3"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7B304921"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72692F" w14:textId="10FC06C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6E39DCA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CD2F5CB" w14:textId="2F9CB472"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42C41CB" w14:textId="77777777" w:rsidR="007A2AAB" w:rsidRPr="009A4BC4" w:rsidRDefault="007A2AAB" w:rsidP="009A4BC4">
            <w:pPr>
              <w:pStyle w:val="TableParagraph"/>
              <w:rPr>
                <w:rFonts w:ascii="Bookman Old Style" w:hAnsi="Bookman Old Style"/>
                <w:sz w:val="20"/>
                <w:szCs w:val="20"/>
              </w:rPr>
            </w:pPr>
          </w:p>
        </w:tc>
      </w:tr>
      <w:tr w:rsidR="007A2AAB" w:rsidRPr="009A4BC4" w14:paraId="01D36E19"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3043DA5" w14:textId="29C33D1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3.1.1.2.2</w:t>
            </w:r>
          </w:p>
        </w:tc>
        <w:tc>
          <w:tcPr>
            <w:tcW w:w="6946" w:type="dxa"/>
            <w:tcBorders>
              <w:top w:val="single" w:sz="4" w:space="0" w:color="000000"/>
              <w:left w:val="single" w:sz="4" w:space="0" w:color="000000"/>
              <w:bottom w:val="single" w:sz="4" w:space="0" w:color="000000"/>
              <w:right w:val="single" w:sz="4" w:space="0" w:color="000000"/>
            </w:tcBorders>
            <w:vAlign w:val="center"/>
          </w:tcPr>
          <w:p w14:paraId="64BDBF8D" w14:textId="420ADC91"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5E6A718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492BBDC" w14:textId="35BC784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7C3DC30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86F06A1" w14:textId="1A5EE7D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065E45B4"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A4BD7D" w14:textId="45F1688B"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70065FF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F9C74BA" w14:textId="594467DF"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7036CFEB" w14:textId="77777777" w:rsidR="007A2AAB" w:rsidRPr="009A4BC4" w:rsidRDefault="007A2AAB" w:rsidP="009A4BC4">
            <w:pPr>
              <w:pStyle w:val="TableParagraph"/>
              <w:rPr>
                <w:rFonts w:ascii="Bookman Old Style" w:hAnsi="Bookman Old Style"/>
                <w:sz w:val="20"/>
                <w:szCs w:val="20"/>
              </w:rPr>
            </w:pPr>
          </w:p>
        </w:tc>
      </w:tr>
      <w:tr w:rsidR="007A2AAB" w:rsidRPr="009A4BC4" w14:paraId="638E3045" w14:textId="77777777" w:rsidTr="008262B9">
        <w:trPr>
          <w:trHeight w:val="397"/>
        </w:trPr>
        <w:tc>
          <w:tcPr>
            <w:tcW w:w="1275" w:type="dxa"/>
            <w:tcBorders>
              <w:top w:val="single" w:sz="4" w:space="0" w:color="000000"/>
              <w:bottom w:val="single" w:sz="4" w:space="0" w:color="000000"/>
              <w:right w:val="single" w:sz="4" w:space="0" w:color="000000"/>
            </w:tcBorders>
            <w:vAlign w:val="center"/>
          </w:tcPr>
          <w:p w14:paraId="27337526" w14:textId="3051CBE0"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3.1.1.2.3</w:t>
            </w:r>
          </w:p>
        </w:tc>
        <w:tc>
          <w:tcPr>
            <w:tcW w:w="6946" w:type="dxa"/>
            <w:tcBorders>
              <w:top w:val="single" w:sz="4" w:space="0" w:color="000000"/>
              <w:left w:val="single" w:sz="4" w:space="0" w:color="000000"/>
              <w:bottom w:val="single" w:sz="4" w:space="0" w:color="000000"/>
              <w:right w:val="single" w:sz="4" w:space="0" w:color="000000"/>
            </w:tcBorders>
            <w:vAlign w:val="center"/>
          </w:tcPr>
          <w:p w14:paraId="7C21F1E5" w14:textId="4D071F80"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3D49CCC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34218C1" w14:textId="2550442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29BC86D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08EDBEC" w14:textId="135326B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4397CE71"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D7997F" w14:textId="780039AD"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37286BD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4BCD9C4" w14:textId="3BB198D6"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7BFAE773" w14:textId="77777777" w:rsidR="007A2AAB" w:rsidRPr="009A4BC4" w:rsidRDefault="007A2AAB" w:rsidP="009A4BC4">
            <w:pPr>
              <w:pStyle w:val="TableParagraph"/>
              <w:rPr>
                <w:rFonts w:ascii="Bookman Old Style" w:hAnsi="Bookman Old Style"/>
                <w:sz w:val="20"/>
                <w:szCs w:val="20"/>
              </w:rPr>
            </w:pPr>
          </w:p>
        </w:tc>
      </w:tr>
      <w:tr w:rsidR="007A2AAB" w:rsidRPr="009A4BC4" w14:paraId="775B5F62"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60DEACE4" w14:textId="27410E4E"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w:t>
            </w:r>
          </w:p>
        </w:tc>
        <w:tc>
          <w:tcPr>
            <w:tcW w:w="6946" w:type="dxa"/>
            <w:tcBorders>
              <w:top w:val="single" w:sz="4" w:space="0" w:color="000000"/>
              <w:left w:val="single" w:sz="4" w:space="0" w:color="000000"/>
              <w:bottom w:val="single" w:sz="4" w:space="0" w:color="000000"/>
              <w:right w:val="single" w:sz="4" w:space="0" w:color="000000"/>
            </w:tcBorders>
            <w:vAlign w:val="center"/>
          </w:tcPr>
          <w:p w14:paraId="599BA142" w14:textId="05CE8188"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Lembaga</w:t>
            </w:r>
            <w:r w:rsidRPr="009A4BC4">
              <w:rPr>
                <w:rFonts w:ascii="Bookman Old Style" w:hAnsi="Bookman Old Style"/>
                <w:spacing w:val="-3"/>
                <w:sz w:val="20"/>
                <w:szCs w:val="20"/>
              </w:rPr>
              <w:t xml:space="preserve"> </w:t>
            </w:r>
            <w:r w:rsidRPr="009A4BC4">
              <w:rPr>
                <w:rFonts w:ascii="Bookman Old Style" w:hAnsi="Bookman Old Style"/>
                <w:sz w:val="20"/>
                <w:szCs w:val="20"/>
              </w:rPr>
              <w:t>keuangan</w:t>
            </w:r>
            <w:r w:rsidRPr="009A4BC4">
              <w:rPr>
                <w:rFonts w:ascii="Bookman Old Style" w:hAnsi="Bookman Old Style"/>
                <w:spacing w:val="-1"/>
                <w:sz w:val="20"/>
                <w:szCs w:val="20"/>
              </w:rPr>
              <w:t xml:space="preserve"> </w:t>
            </w:r>
            <w:r w:rsidRPr="009A4BC4">
              <w:rPr>
                <w:rFonts w:ascii="Bookman Old Style" w:hAnsi="Bookman Old Style"/>
                <w:sz w:val="20"/>
                <w:szCs w:val="20"/>
              </w:rPr>
              <w:t>yang</w:t>
            </w:r>
            <w:r w:rsidRPr="009A4BC4">
              <w:rPr>
                <w:rFonts w:ascii="Bookman Old Style" w:hAnsi="Bookman Old Style"/>
                <w:spacing w:val="-5"/>
                <w:sz w:val="20"/>
                <w:szCs w:val="20"/>
              </w:rPr>
              <w:t xml:space="preserve"> </w:t>
            </w:r>
            <w:r w:rsidRPr="009A4BC4">
              <w:rPr>
                <w:rFonts w:ascii="Bookman Old Style" w:hAnsi="Bookman Old Style"/>
                <w:sz w:val="20"/>
                <w:szCs w:val="20"/>
              </w:rPr>
              <w:t>dijamin</w:t>
            </w:r>
            <w:r w:rsidRPr="009A4BC4">
              <w:rPr>
                <w:rFonts w:ascii="Bookman Old Style" w:hAnsi="Bookman Old Style"/>
                <w:spacing w:val="-2"/>
                <w:sz w:val="20"/>
                <w:szCs w:val="20"/>
              </w:rPr>
              <w:t xml:space="preserve"> </w:t>
            </w:r>
            <w:r w:rsidRPr="009A4BC4">
              <w:rPr>
                <w:rFonts w:ascii="Bookman Old Style" w:hAnsi="Bookman Old Style"/>
                <w:sz w:val="20"/>
                <w:szCs w:val="20"/>
              </w:rPr>
              <w:t>dengan</w:t>
            </w:r>
            <w:r w:rsidRPr="009A4BC4">
              <w:rPr>
                <w:rFonts w:ascii="Bookman Old Style" w:hAnsi="Bookman Old Style"/>
                <w:spacing w:val="-2"/>
                <w:sz w:val="20"/>
                <w:szCs w:val="20"/>
              </w:rPr>
              <w:t xml:space="preserve"> </w:t>
            </w:r>
            <w:r w:rsidRPr="009A4BC4">
              <w:rPr>
                <w:rFonts w:ascii="Bookman Old Style" w:hAnsi="Bookman Old Style"/>
                <w:sz w:val="20"/>
                <w:szCs w:val="20"/>
              </w:rPr>
              <w:t>non-HQLA</w:t>
            </w:r>
            <w:r w:rsidRPr="009A4BC4">
              <w:rPr>
                <w:rFonts w:ascii="Bookman Old Style" w:hAnsi="Bookman Old Style"/>
                <w:spacing w:val="-3"/>
                <w:sz w:val="20"/>
                <w:szCs w:val="20"/>
              </w:rPr>
              <w:t xml:space="preserve"> </w:t>
            </w:r>
            <w:r w:rsidRPr="009A4BC4">
              <w:rPr>
                <w:rFonts w:ascii="Bookman Old Style" w:hAnsi="Bookman Old Style"/>
                <w:sz w:val="20"/>
                <w:szCs w:val="20"/>
              </w:rPr>
              <w:t>Level</w:t>
            </w:r>
            <w:r w:rsidRPr="009A4BC4">
              <w:rPr>
                <w:rFonts w:ascii="Bookman Old Style" w:hAnsi="Bookman Old Style"/>
                <w:spacing w:val="-2"/>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atau</w:t>
            </w:r>
            <w:r w:rsidRPr="009A4BC4">
              <w:rPr>
                <w:rFonts w:ascii="Bookman Old Style" w:hAnsi="Bookman Old Style"/>
                <w:spacing w:val="-2"/>
                <w:sz w:val="20"/>
                <w:szCs w:val="20"/>
              </w:rPr>
              <w:t xml:space="preserve"> </w:t>
            </w:r>
            <w:r w:rsidRPr="009A4BC4">
              <w:rPr>
                <w:rFonts w:ascii="Bookman Old Style" w:hAnsi="Bookman Old Style"/>
                <w:sz w:val="20"/>
                <w:szCs w:val="20"/>
              </w:rPr>
              <w:t>tidak</w:t>
            </w:r>
            <w:r w:rsidRPr="009A4BC4">
              <w:rPr>
                <w:rFonts w:ascii="Bookman Old Style" w:hAnsi="Bookman Old Style"/>
                <w:sz w:val="20"/>
                <w:szCs w:val="20"/>
                <w:lang w:val="en-US"/>
              </w:rPr>
              <w:t xml:space="preserve"> </w:t>
            </w:r>
            <w:r w:rsidRPr="009A4BC4">
              <w:rPr>
                <w:rFonts w:ascii="Bookman Old Style" w:hAnsi="Bookman Old Style"/>
                <w:sz w:val="20"/>
                <w:szCs w:val="20"/>
              </w:rPr>
              <w:t>memenuhi</w:t>
            </w:r>
            <w:r w:rsidRPr="009A4BC4">
              <w:rPr>
                <w:rFonts w:ascii="Bookman Old Style" w:hAnsi="Bookman Old Style"/>
                <w:spacing w:val="-3"/>
                <w:sz w:val="20"/>
                <w:szCs w:val="20"/>
              </w:rPr>
              <w:t xml:space="preserve"> </w:t>
            </w:r>
            <w:r w:rsidRPr="009A4BC4">
              <w:rPr>
                <w:rFonts w:ascii="Bookman Old Style" w:hAnsi="Bookman Old Style"/>
                <w:sz w:val="20"/>
                <w:szCs w:val="20"/>
              </w:rPr>
              <w:t>persyaratan</w:t>
            </w:r>
            <w:r w:rsidRPr="009A4BC4">
              <w:rPr>
                <w:rFonts w:ascii="Bookman Old Style" w:hAnsi="Bookman Old Style"/>
                <w:spacing w:val="-1"/>
                <w:sz w:val="20"/>
                <w:szCs w:val="20"/>
              </w:rPr>
              <w:t xml:space="preserve"> </w:t>
            </w:r>
            <w:r w:rsidRPr="009A4BC4">
              <w:rPr>
                <w:rFonts w:ascii="Bookman Old Style" w:hAnsi="Bookman Old Style"/>
                <w:sz w:val="20"/>
                <w:szCs w:val="20"/>
              </w:rPr>
              <w:t>tertentu</w:t>
            </w:r>
            <w:r w:rsidRPr="009A4BC4">
              <w:rPr>
                <w:rFonts w:ascii="Bookman Old Style" w:hAnsi="Bookman Old Style"/>
                <w:spacing w:val="-2"/>
                <w:sz w:val="20"/>
                <w:szCs w:val="20"/>
              </w:rPr>
              <w:t xml:space="preserve"> </w:t>
            </w:r>
            <w:r w:rsidRPr="009A4BC4">
              <w:rPr>
                <w:rFonts w:ascii="Bookman Old Style" w:hAnsi="Bookman Old Style"/>
                <w:sz w:val="20"/>
                <w:szCs w:val="20"/>
              </w:rPr>
              <w:t>atau</w:t>
            </w:r>
            <w:r w:rsidRPr="009A4BC4">
              <w:rPr>
                <w:rFonts w:ascii="Bookman Old Style" w:hAnsi="Bookman Old Style"/>
                <w:spacing w:val="-2"/>
                <w:sz w:val="20"/>
                <w:szCs w:val="20"/>
              </w:rPr>
              <w:t xml:space="preserve"> </w:t>
            </w:r>
            <w:r w:rsidRPr="009A4BC4">
              <w:rPr>
                <w:rFonts w:ascii="Bookman Old Style" w:hAnsi="Bookman Old Style"/>
                <w:sz w:val="20"/>
                <w:szCs w:val="20"/>
              </w:rPr>
              <w:t>tanpa</w:t>
            </w:r>
            <w:r w:rsidRPr="009A4BC4">
              <w:rPr>
                <w:rFonts w:ascii="Bookman Old Style" w:hAnsi="Bookman Old Style"/>
                <w:spacing w:val="-3"/>
                <w:sz w:val="20"/>
                <w:szCs w:val="20"/>
              </w:rPr>
              <w:t xml:space="preserve"> </w:t>
            </w:r>
            <w:r w:rsidRPr="009A4BC4">
              <w:rPr>
                <w:rFonts w:ascii="Bookman Old Style" w:hAnsi="Bookman Old Style"/>
                <w:sz w:val="20"/>
                <w:szCs w:val="20"/>
              </w:rPr>
              <w:t>agunan</w:t>
            </w:r>
          </w:p>
        </w:tc>
        <w:tc>
          <w:tcPr>
            <w:tcW w:w="989" w:type="dxa"/>
            <w:tcBorders>
              <w:top w:val="single" w:sz="4" w:space="0" w:color="000000"/>
              <w:left w:val="single" w:sz="4" w:space="0" w:color="000000"/>
              <w:bottom w:val="single" w:sz="4" w:space="0" w:color="000000"/>
              <w:right w:val="single" w:sz="4" w:space="0" w:color="000000"/>
            </w:tcBorders>
            <w:vAlign w:val="center"/>
          </w:tcPr>
          <w:p w14:paraId="4286598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725C093"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E599F2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F3B1CD2"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9CD579D"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A70C23"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48955F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3B47206"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C872320" w14:textId="77777777" w:rsidR="007A2AAB" w:rsidRPr="009A4BC4" w:rsidRDefault="007A2AAB" w:rsidP="009A4BC4">
            <w:pPr>
              <w:pStyle w:val="TableParagraph"/>
              <w:rPr>
                <w:rFonts w:ascii="Bookman Old Style" w:hAnsi="Bookman Old Style"/>
                <w:sz w:val="20"/>
                <w:szCs w:val="20"/>
              </w:rPr>
            </w:pPr>
          </w:p>
        </w:tc>
      </w:tr>
      <w:tr w:rsidR="007A2AAB" w:rsidRPr="009A4BC4" w14:paraId="38B14FED" w14:textId="77777777" w:rsidTr="008262B9">
        <w:trPr>
          <w:trHeight w:val="425"/>
        </w:trPr>
        <w:tc>
          <w:tcPr>
            <w:tcW w:w="1275" w:type="dxa"/>
            <w:tcBorders>
              <w:top w:val="single" w:sz="4" w:space="0" w:color="000000"/>
              <w:bottom w:val="single" w:sz="4" w:space="0" w:color="000000"/>
              <w:right w:val="single" w:sz="4" w:space="0" w:color="000000"/>
            </w:tcBorders>
            <w:vAlign w:val="center"/>
          </w:tcPr>
          <w:p w14:paraId="644D7730" w14:textId="5E4C04E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3.1.2.1</w:t>
            </w:r>
          </w:p>
        </w:tc>
        <w:tc>
          <w:tcPr>
            <w:tcW w:w="6946" w:type="dxa"/>
            <w:tcBorders>
              <w:top w:val="single" w:sz="4" w:space="0" w:color="000000"/>
              <w:left w:val="single" w:sz="4" w:space="0" w:color="000000"/>
              <w:bottom w:val="single" w:sz="4" w:space="0" w:color="000000"/>
              <w:right w:val="single" w:sz="4" w:space="0" w:color="000000"/>
            </w:tcBorders>
            <w:vAlign w:val="center"/>
          </w:tcPr>
          <w:p w14:paraId="0AE2642D" w14:textId="25655BED"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2A29CFDE"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1182FFF" w14:textId="3C84618C"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7F613E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665EBE4" w14:textId="3D9F1884"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tcPr>
          <w:p w14:paraId="3F17706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4012E3" w14:textId="1B7C65EF"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12213E6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064724E" w14:textId="0E5F3D78"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4881DABD" w14:textId="77777777" w:rsidR="007A2AAB" w:rsidRPr="009A4BC4" w:rsidRDefault="007A2AAB" w:rsidP="009A4BC4">
            <w:pPr>
              <w:pStyle w:val="TableParagraph"/>
              <w:rPr>
                <w:rFonts w:ascii="Bookman Old Style" w:hAnsi="Bookman Old Style"/>
                <w:sz w:val="20"/>
                <w:szCs w:val="20"/>
              </w:rPr>
            </w:pPr>
          </w:p>
        </w:tc>
      </w:tr>
      <w:tr w:rsidR="007A2AAB" w:rsidRPr="009A4BC4" w14:paraId="7B19E477"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5540F5E" w14:textId="76C5EE8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3.1.2.2</w:t>
            </w:r>
          </w:p>
        </w:tc>
        <w:tc>
          <w:tcPr>
            <w:tcW w:w="6946" w:type="dxa"/>
            <w:tcBorders>
              <w:top w:val="single" w:sz="4" w:space="0" w:color="000000"/>
              <w:left w:val="single" w:sz="4" w:space="0" w:color="000000"/>
              <w:bottom w:val="single" w:sz="4" w:space="0" w:color="000000"/>
              <w:right w:val="single" w:sz="4" w:space="0" w:color="000000"/>
            </w:tcBorders>
            <w:vAlign w:val="center"/>
          </w:tcPr>
          <w:p w14:paraId="04DE3B94" w14:textId="225D556A"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5CA0599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E9A7C08"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79507E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B5C6629"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2C7EC70"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C671B4"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A0511A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F8433D4"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2DC509E8" w14:textId="77777777" w:rsidR="007A2AAB" w:rsidRPr="009A4BC4" w:rsidRDefault="007A2AAB" w:rsidP="009A4BC4">
            <w:pPr>
              <w:pStyle w:val="TableParagraph"/>
              <w:rPr>
                <w:rFonts w:ascii="Bookman Old Style" w:hAnsi="Bookman Old Style"/>
                <w:sz w:val="20"/>
                <w:szCs w:val="20"/>
              </w:rPr>
            </w:pPr>
          </w:p>
        </w:tc>
      </w:tr>
      <w:tr w:rsidR="007A2AAB" w:rsidRPr="009A4BC4" w14:paraId="6E6D1398" w14:textId="77777777" w:rsidTr="008262B9">
        <w:trPr>
          <w:trHeight w:val="405"/>
        </w:trPr>
        <w:tc>
          <w:tcPr>
            <w:tcW w:w="1275" w:type="dxa"/>
            <w:tcBorders>
              <w:top w:val="single" w:sz="4" w:space="0" w:color="000000"/>
              <w:bottom w:val="single" w:sz="4" w:space="0" w:color="000000"/>
              <w:right w:val="single" w:sz="4" w:space="0" w:color="000000"/>
            </w:tcBorders>
            <w:vAlign w:val="center"/>
          </w:tcPr>
          <w:p w14:paraId="2B5EAB9B" w14:textId="71A2945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3.1.2.2.1</w:t>
            </w:r>
          </w:p>
        </w:tc>
        <w:tc>
          <w:tcPr>
            <w:tcW w:w="6946" w:type="dxa"/>
            <w:tcBorders>
              <w:top w:val="single" w:sz="4" w:space="0" w:color="000000"/>
              <w:left w:val="single" w:sz="4" w:space="0" w:color="000000"/>
              <w:bottom w:val="single" w:sz="4" w:space="0" w:color="000000"/>
              <w:right w:val="single" w:sz="4" w:space="0" w:color="000000"/>
            </w:tcBorders>
            <w:vAlign w:val="center"/>
          </w:tcPr>
          <w:p w14:paraId="69EA353E" w14:textId="05224087"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590986D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D8758A6" w14:textId="0E122A0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2C60B10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473E90E" w14:textId="69E2FDBF"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tcPr>
          <w:p w14:paraId="3DC08891"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43EB49" w14:textId="442D72DC"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2EA6035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1DC21AA" w14:textId="1E9C4009"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65043B8A" w14:textId="77777777" w:rsidR="007A2AAB" w:rsidRPr="009A4BC4" w:rsidRDefault="007A2AAB" w:rsidP="009A4BC4">
            <w:pPr>
              <w:pStyle w:val="TableParagraph"/>
              <w:rPr>
                <w:rFonts w:ascii="Bookman Old Style" w:hAnsi="Bookman Old Style"/>
                <w:sz w:val="20"/>
                <w:szCs w:val="20"/>
              </w:rPr>
            </w:pPr>
          </w:p>
        </w:tc>
      </w:tr>
      <w:tr w:rsidR="007A2AAB" w:rsidRPr="009A4BC4" w14:paraId="60252FC1" w14:textId="77777777" w:rsidTr="008262B9">
        <w:trPr>
          <w:trHeight w:val="311"/>
        </w:trPr>
        <w:tc>
          <w:tcPr>
            <w:tcW w:w="1275" w:type="dxa"/>
            <w:tcBorders>
              <w:top w:val="single" w:sz="4" w:space="0" w:color="000000"/>
              <w:bottom w:val="single" w:sz="4" w:space="0" w:color="000000"/>
              <w:right w:val="single" w:sz="4" w:space="0" w:color="000000"/>
            </w:tcBorders>
            <w:vAlign w:val="center"/>
          </w:tcPr>
          <w:p w14:paraId="69958EB9" w14:textId="6B51522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3.1.2.2.2</w:t>
            </w:r>
          </w:p>
        </w:tc>
        <w:tc>
          <w:tcPr>
            <w:tcW w:w="6946" w:type="dxa"/>
            <w:tcBorders>
              <w:top w:val="single" w:sz="4" w:space="0" w:color="000000"/>
              <w:left w:val="single" w:sz="4" w:space="0" w:color="000000"/>
              <w:bottom w:val="single" w:sz="4" w:space="0" w:color="000000"/>
              <w:right w:val="single" w:sz="4" w:space="0" w:color="000000"/>
            </w:tcBorders>
            <w:vAlign w:val="center"/>
          </w:tcPr>
          <w:p w14:paraId="29914D9D" w14:textId="29C903C0"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1"/>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2"/>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465B43EC"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6497DF1" w14:textId="1FA19A1E"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C714BC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1753190" w14:textId="15A241AD"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67FB4F74"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2415CB" w14:textId="0CBE35FC"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1664E1D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739C250" w14:textId="7829B77F"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3DE04789" w14:textId="77777777" w:rsidR="007A2AAB" w:rsidRPr="009A4BC4" w:rsidRDefault="007A2AAB" w:rsidP="009A4BC4">
            <w:pPr>
              <w:pStyle w:val="TableParagraph"/>
              <w:rPr>
                <w:rFonts w:ascii="Bookman Old Style" w:hAnsi="Bookman Old Style"/>
                <w:sz w:val="20"/>
                <w:szCs w:val="20"/>
              </w:rPr>
            </w:pPr>
          </w:p>
        </w:tc>
      </w:tr>
      <w:tr w:rsidR="007A2AAB" w:rsidRPr="009A4BC4" w14:paraId="165BC605" w14:textId="77777777" w:rsidTr="008262B9">
        <w:trPr>
          <w:trHeight w:val="499"/>
        </w:trPr>
        <w:tc>
          <w:tcPr>
            <w:tcW w:w="1275" w:type="dxa"/>
            <w:tcBorders>
              <w:top w:val="single" w:sz="4" w:space="0" w:color="000000"/>
              <w:bottom w:val="single" w:sz="4" w:space="0" w:color="000000"/>
              <w:right w:val="single" w:sz="4" w:space="0" w:color="000000"/>
            </w:tcBorders>
            <w:vAlign w:val="center"/>
          </w:tcPr>
          <w:p w14:paraId="69D27E87" w14:textId="737170C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3.1.2.2.3</w:t>
            </w:r>
          </w:p>
        </w:tc>
        <w:tc>
          <w:tcPr>
            <w:tcW w:w="6946" w:type="dxa"/>
            <w:tcBorders>
              <w:top w:val="single" w:sz="4" w:space="0" w:color="000000"/>
              <w:left w:val="single" w:sz="4" w:space="0" w:color="000000"/>
              <w:bottom w:val="single" w:sz="4" w:space="0" w:color="000000"/>
              <w:right w:val="single" w:sz="4" w:space="0" w:color="000000"/>
            </w:tcBorders>
            <w:vAlign w:val="center"/>
          </w:tcPr>
          <w:p w14:paraId="4B4CF555" w14:textId="61FF926C"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626C941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A7B45B8" w14:textId="24A1323F"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62EA99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72CE88A" w14:textId="57115BC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00E1B214"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7968BA" w14:textId="4FFAA04F"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65B3A20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75ADE19" w14:textId="5CE4C752"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340747D7" w14:textId="77777777" w:rsidR="007A2AAB" w:rsidRPr="009A4BC4" w:rsidRDefault="007A2AAB" w:rsidP="009A4BC4">
            <w:pPr>
              <w:pStyle w:val="TableParagraph"/>
              <w:rPr>
                <w:rFonts w:ascii="Bookman Old Style" w:hAnsi="Bookman Old Style"/>
                <w:sz w:val="20"/>
                <w:szCs w:val="20"/>
              </w:rPr>
            </w:pPr>
          </w:p>
        </w:tc>
      </w:tr>
      <w:tr w:rsidR="007A2AAB" w:rsidRPr="009A4BC4" w14:paraId="225809F9"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1D753B30" w14:textId="77777777" w:rsidR="007A2AAB" w:rsidRPr="009A4BC4" w:rsidRDefault="007A2AAB" w:rsidP="009A4BC4">
            <w:pPr>
              <w:pStyle w:val="TableParagraph"/>
              <w:rPr>
                <w:rFonts w:ascii="Bookman Old Style" w:hAnsi="Bookman Old Style"/>
                <w:sz w:val="20"/>
                <w:szCs w:val="20"/>
              </w:rPr>
            </w:pPr>
          </w:p>
          <w:p w14:paraId="59C86929" w14:textId="356C5CC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3.1.3</w:t>
            </w:r>
          </w:p>
        </w:tc>
        <w:tc>
          <w:tcPr>
            <w:tcW w:w="6946" w:type="dxa"/>
            <w:tcBorders>
              <w:top w:val="single" w:sz="4" w:space="0" w:color="000000"/>
              <w:left w:val="single" w:sz="4" w:space="0" w:color="000000"/>
              <w:bottom w:val="single" w:sz="4" w:space="0" w:color="000000"/>
              <w:right w:val="single" w:sz="4" w:space="0" w:color="000000"/>
            </w:tcBorders>
            <w:vAlign w:val="center"/>
          </w:tcPr>
          <w:p w14:paraId="78771E56" w14:textId="49D3FAF5" w:rsidR="007A2AAB" w:rsidRPr="009A4BC4" w:rsidRDefault="007A2AAB" w:rsidP="008262B9">
            <w:pPr>
              <w:pStyle w:val="TableParagraph"/>
              <w:ind w:left="544" w:hanging="22"/>
              <w:rPr>
                <w:rFonts w:ascii="Bookman Old Style" w:hAnsi="Bookman Old Style"/>
                <w:sz w:val="20"/>
                <w:szCs w:val="20"/>
              </w:rPr>
            </w:pPr>
            <w:r w:rsidRPr="009A4BC4">
              <w:rPr>
                <w:rFonts w:ascii="Bookman Old Style" w:hAnsi="Bookman Old Style"/>
                <w:sz w:val="20"/>
                <w:szCs w:val="20"/>
              </w:rPr>
              <w:t>Lembaga</w:t>
            </w:r>
            <w:r w:rsidRPr="009A4BC4">
              <w:rPr>
                <w:rFonts w:ascii="Bookman Old Style" w:hAnsi="Bookman Old Style"/>
                <w:spacing w:val="-3"/>
                <w:sz w:val="20"/>
                <w:szCs w:val="20"/>
              </w:rPr>
              <w:t xml:space="preserve"> </w:t>
            </w:r>
            <w:r w:rsidRPr="009A4BC4">
              <w:rPr>
                <w:rFonts w:ascii="Bookman Old Style" w:hAnsi="Bookman Old Style"/>
                <w:sz w:val="20"/>
                <w:szCs w:val="20"/>
              </w:rPr>
              <w:t>keuangan</w:t>
            </w:r>
            <w:r w:rsidRPr="009A4BC4">
              <w:rPr>
                <w:rFonts w:ascii="Bookman Old Style" w:hAnsi="Bookman Old Style"/>
                <w:spacing w:val="-2"/>
                <w:sz w:val="20"/>
                <w:szCs w:val="20"/>
              </w:rPr>
              <w:t xml:space="preserve"> </w:t>
            </w:r>
            <w:r w:rsidRPr="009A4BC4">
              <w:rPr>
                <w:rFonts w:ascii="Bookman Old Style" w:hAnsi="Bookman Old Style"/>
                <w:sz w:val="20"/>
                <w:szCs w:val="20"/>
              </w:rPr>
              <w:t>dan</w:t>
            </w:r>
            <w:r w:rsidRPr="009A4BC4">
              <w:rPr>
                <w:rFonts w:ascii="Bookman Old Style" w:hAnsi="Bookman Old Style"/>
                <w:spacing w:val="-2"/>
                <w:sz w:val="20"/>
                <w:szCs w:val="20"/>
              </w:rPr>
              <w:t xml:space="preserve"> </w:t>
            </w:r>
            <w:r w:rsidRPr="009A4BC4">
              <w:rPr>
                <w:rFonts w:ascii="Bookman Old Style" w:hAnsi="Bookman Old Style"/>
                <w:sz w:val="20"/>
                <w:szCs w:val="20"/>
              </w:rPr>
              <w:t>tanpa</w:t>
            </w:r>
            <w:r w:rsidRPr="009A4BC4">
              <w:rPr>
                <w:rFonts w:ascii="Bookman Old Style" w:hAnsi="Bookman Old Style"/>
                <w:spacing w:val="-3"/>
                <w:sz w:val="20"/>
                <w:szCs w:val="20"/>
              </w:rPr>
              <w:t xml:space="preserve"> </w:t>
            </w:r>
            <w:r w:rsidRPr="009A4BC4">
              <w:rPr>
                <w:rFonts w:ascii="Bookman Old Style" w:hAnsi="Bookman Old Style"/>
                <w:sz w:val="20"/>
                <w:szCs w:val="20"/>
              </w:rPr>
              <w:t>agunan,</w:t>
            </w:r>
            <w:r w:rsidRPr="009A4BC4">
              <w:rPr>
                <w:rFonts w:ascii="Bookman Old Style" w:hAnsi="Bookman Old Style"/>
                <w:spacing w:val="-5"/>
                <w:sz w:val="20"/>
                <w:szCs w:val="20"/>
              </w:rPr>
              <w:t xml:space="preserve"> </w:t>
            </w:r>
            <w:r w:rsidRPr="009A4BC4">
              <w:rPr>
                <w:rFonts w:ascii="Bookman Old Style" w:hAnsi="Bookman Old Style"/>
                <w:sz w:val="20"/>
                <w:szCs w:val="20"/>
              </w:rPr>
              <w:t>termasuk</w:t>
            </w:r>
            <w:r w:rsidRPr="009A4BC4">
              <w:rPr>
                <w:rFonts w:ascii="Bookman Old Style" w:hAnsi="Bookman Old Style"/>
                <w:spacing w:val="-3"/>
                <w:sz w:val="20"/>
                <w:szCs w:val="20"/>
              </w:rPr>
              <w:t xml:space="preserve"> </w:t>
            </w:r>
            <w:r w:rsidRPr="009A4BC4">
              <w:rPr>
                <w:rFonts w:ascii="Bookman Old Style" w:hAnsi="Bookman Old Style"/>
                <w:sz w:val="20"/>
                <w:szCs w:val="20"/>
              </w:rPr>
              <w:t>penempatan</w:t>
            </w:r>
            <w:r w:rsidRPr="009A4BC4">
              <w:rPr>
                <w:rFonts w:ascii="Bookman Old Style" w:hAnsi="Bookman Old Style"/>
                <w:spacing w:val="-2"/>
                <w:sz w:val="20"/>
                <w:szCs w:val="20"/>
              </w:rPr>
              <w:t xml:space="preserve"> </w:t>
            </w:r>
            <w:r w:rsidRPr="009A4BC4">
              <w:rPr>
                <w:rFonts w:ascii="Bookman Old Style" w:hAnsi="Bookman Old Style"/>
                <w:sz w:val="20"/>
                <w:szCs w:val="20"/>
              </w:rPr>
              <w:t>dana</w:t>
            </w:r>
            <w:r w:rsidRPr="009A4BC4">
              <w:rPr>
                <w:rFonts w:ascii="Bookman Old Style" w:hAnsi="Bookman Old Style"/>
                <w:spacing w:val="-5"/>
                <w:sz w:val="20"/>
                <w:szCs w:val="20"/>
              </w:rPr>
              <w:t xml:space="preserve"> </w:t>
            </w:r>
            <w:r w:rsidRPr="009A4BC4">
              <w:rPr>
                <w:rFonts w:ascii="Bookman Old Style" w:hAnsi="Bookman Old Style"/>
                <w:sz w:val="20"/>
                <w:szCs w:val="20"/>
              </w:rPr>
              <w:t>(tanpa</w:t>
            </w:r>
            <w:r w:rsidRPr="009A4BC4">
              <w:rPr>
                <w:rFonts w:ascii="Bookman Old Style" w:hAnsi="Bookman Old Style"/>
                <w:spacing w:val="-42"/>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dan dengan</w:t>
            </w:r>
            <w:r w:rsidRPr="009A4BC4">
              <w:rPr>
                <w:rFonts w:ascii="Bookman Old Style" w:hAnsi="Bookman Old Style"/>
                <w:spacing w:val="-1"/>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3"/>
                <w:sz w:val="20"/>
                <w:szCs w:val="20"/>
              </w:rPr>
              <w:t xml:space="preserve"> </w:t>
            </w:r>
            <w:r w:rsidRPr="009A4BC4">
              <w:rPr>
                <w:rFonts w:ascii="Bookman Old Style" w:hAnsi="Bookman Old Style"/>
                <w:sz w:val="20"/>
                <w:szCs w:val="20"/>
              </w:rPr>
              <w:t>pada</w:t>
            </w:r>
            <w:r w:rsidRPr="009A4BC4">
              <w:rPr>
                <w:rFonts w:ascii="Bookman Old Style" w:hAnsi="Bookman Old Style"/>
                <w:spacing w:val="-2"/>
                <w:sz w:val="20"/>
                <w:szCs w:val="20"/>
              </w:rPr>
              <w:t xml:space="preserve"> </w:t>
            </w:r>
            <w:r w:rsidRPr="009A4BC4">
              <w:rPr>
                <w:rFonts w:ascii="Bookman Old Style" w:hAnsi="Bookman Old Style"/>
                <w:sz w:val="20"/>
                <w:szCs w:val="20"/>
              </w:rPr>
              <w:t>lembaga</w:t>
            </w:r>
            <w:r w:rsidRPr="009A4BC4">
              <w:rPr>
                <w:rFonts w:ascii="Bookman Old Style" w:hAnsi="Bookman Old Style"/>
                <w:spacing w:val="-2"/>
                <w:sz w:val="20"/>
                <w:szCs w:val="20"/>
              </w:rPr>
              <w:t xml:space="preserve"> </w:t>
            </w:r>
            <w:r w:rsidRPr="009A4BC4">
              <w:rPr>
                <w:rFonts w:ascii="Bookman Old Style" w:hAnsi="Bookman Old Style"/>
                <w:sz w:val="20"/>
                <w:szCs w:val="20"/>
              </w:rPr>
              <w:t>keuangan</w:t>
            </w:r>
            <w:r w:rsidRPr="009A4BC4">
              <w:rPr>
                <w:rFonts w:ascii="Bookman Old Style" w:hAnsi="Bookman Old Style"/>
                <w:spacing w:val="-1"/>
                <w:sz w:val="20"/>
                <w:szCs w:val="20"/>
              </w:rPr>
              <w:t xml:space="preserve"> </w:t>
            </w:r>
            <w:r w:rsidRPr="009A4BC4">
              <w:rPr>
                <w:rFonts w:ascii="Bookman Old Style" w:hAnsi="Bookman Old Style"/>
                <w:sz w:val="20"/>
                <w:szCs w:val="20"/>
              </w:rPr>
              <w:t>lain</w:t>
            </w:r>
            <w:r w:rsidRPr="009A4BC4">
              <w:rPr>
                <w:rFonts w:ascii="Bookman Old Style" w:hAnsi="Bookman Old Style"/>
                <w:spacing w:val="-2"/>
                <w:sz w:val="20"/>
                <w:szCs w:val="20"/>
              </w:rPr>
              <w:t xml:space="preserve"> </w:t>
            </w:r>
            <w:r w:rsidRPr="009A4BC4">
              <w:rPr>
                <w:rFonts w:ascii="Bookman Old Style" w:hAnsi="Bookman Old Style"/>
                <w:sz w:val="20"/>
                <w:szCs w:val="20"/>
              </w:rPr>
              <w:t>dan</w:t>
            </w:r>
            <w:r w:rsidR="008262B9">
              <w:rPr>
                <w:rFonts w:ascii="Bookman Old Style" w:hAnsi="Bookman Old Style"/>
                <w:sz w:val="20"/>
                <w:szCs w:val="20"/>
                <w:lang w:val="en-US"/>
              </w:rPr>
              <w:t xml:space="preserve"> </w:t>
            </w:r>
            <w:r w:rsidRPr="009A4BC4">
              <w:rPr>
                <w:rFonts w:ascii="Bookman Old Style" w:hAnsi="Bookman Old Style"/>
                <w:sz w:val="20"/>
                <w:szCs w:val="20"/>
              </w:rPr>
              <w:t>bukan</w:t>
            </w:r>
            <w:r w:rsidRPr="009A4BC4">
              <w:rPr>
                <w:rFonts w:ascii="Bookman Old Style" w:hAnsi="Bookman Old Style"/>
                <w:spacing w:val="-3"/>
                <w:sz w:val="20"/>
                <w:szCs w:val="20"/>
              </w:rPr>
              <w:t xml:space="preserve"> </w:t>
            </w:r>
            <w:r w:rsidRPr="009A4BC4">
              <w:rPr>
                <w:rFonts w:ascii="Bookman Old Style" w:hAnsi="Bookman Old Style"/>
                <w:sz w:val="20"/>
                <w:szCs w:val="20"/>
              </w:rPr>
              <w:t>untuk</w:t>
            </w:r>
            <w:r w:rsidRPr="009A4BC4">
              <w:rPr>
                <w:rFonts w:ascii="Bookman Old Style" w:hAnsi="Bookman Old Style"/>
                <w:spacing w:val="-2"/>
                <w:sz w:val="20"/>
                <w:szCs w:val="20"/>
              </w:rPr>
              <w:t xml:space="preserve"> </w:t>
            </w:r>
            <w:r w:rsidRPr="009A4BC4">
              <w:rPr>
                <w:rFonts w:ascii="Bookman Old Style" w:hAnsi="Bookman Old Style"/>
                <w:sz w:val="20"/>
                <w:szCs w:val="20"/>
              </w:rPr>
              <w:t>aktivitas</w:t>
            </w:r>
            <w:r w:rsidRPr="009A4BC4">
              <w:rPr>
                <w:rFonts w:ascii="Bookman Old Style" w:hAnsi="Bookman Old Style"/>
                <w:spacing w:val="-4"/>
                <w:sz w:val="20"/>
                <w:szCs w:val="20"/>
              </w:rPr>
              <w:t xml:space="preserve"> </w:t>
            </w:r>
            <w:r w:rsidRPr="009A4BC4">
              <w:rPr>
                <w:rFonts w:ascii="Bookman Old Style" w:hAnsi="Bookman Old Style"/>
                <w:sz w:val="20"/>
                <w:szCs w:val="20"/>
              </w:rPr>
              <w:t>operasional</w:t>
            </w:r>
          </w:p>
        </w:tc>
        <w:tc>
          <w:tcPr>
            <w:tcW w:w="989" w:type="dxa"/>
            <w:tcBorders>
              <w:top w:val="single" w:sz="4" w:space="0" w:color="000000"/>
              <w:left w:val="single" w:sz="4" w:space="0" w:color="000000"/>
              <w:bottom w:val="single" w:sz="4" w:space="0" w:color="000000"/>
              <w:right w:val="single" w:sz="4" w:space="0" w:color="000000"/>
            </w:tcBorders>
            <w:vAlign w:val="center"/>
          </w:tcPr>
          <w:p w14:paraId="0CD3BE4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2379F82"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AEEFF6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DC96065"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183E932"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C95E93A"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E21032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383BC87"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6FE43F29" w14:textId="77777777" w:rsidR="007A2AAB" w:rsidRPr="009A4BC4" w:rsidRDefault="007A2AAB" w:rsidP="009A4BC4">
            <w:pPr>
              <w:pStyle w:val="TableParagraph"/>
              <w:rPr>
                <w:rFonts w:ascii="Bookman Old Style" w:hAnsi="Bookman Old Style"/>
                <w:sz w:val="20"/>
                <w:szCs w:val="20"/>
              </w:rPr>
            </w:pPr>
          </w:p>
        </w:tc>
      </w:tr>
      <w:tr w:rsidR="007A2AAB" w:rsidRPr="009A4BC4" w14:paraId="7BE48831" w14:textId="77777777" w:rsidTr="008262B9">
        <w:trPr>
          <w:trHeight w:val="312"/>
        </w:trPr>
        <w:tc>
          <w:tcPr>
            <w:tcW w:w="1275" w:type="dxa"/>
            <w:tcBorders>
              <w:top w:val="single" w:sz="4" w:space="0" w:color="000000"/>
              <w:bottom w:val="single" w:sz="4" w:space="0" w:color="000000"/>
              <w:right w:val="single" w:sz="4" w:space="0" w:color="000000"/>
            </w:tcBorders>
            <w:vAlign w:val="center"/>
          </w:tcPr>
          <w:p w14:paraId="26835586" w14:textId="29E4A719"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3.1.3.1</w:t>
            </w:r>
          </w:p>
        </w:tc>
        <w:tc>
          <w:tcPr>
            <w:tcW w:w="6946" w:type="dxa"/>
            <w:tcBorders>
              <w:top w:val="single" w:sz="4" w:space="0" w:color="000000"/>
              <w:left w:val="single" w:sz="4" w:space="0" w:color="000000"/>
              <w:bottom w:val="single" w:sz="4" w:space="0" w:color="000000"/>
              <w:right w:val="single" w:sz="4" w:space="0" w:color="000000"/>
            </w:tcBorders>
            <w:vAlign w:val="center"/>
          </w:tcPr>
          <w:p w14:paraId="1774B4C6" w14:textId="43EB3C47"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unencumbered</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7347C128"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2CA0256" w14:textId="32745399"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8" w:type="dxa"/>
            <w:tcBorders>
              <w:top w:val="single" w:sz="4" w:space="0" w:color="000000"/>
              <w:left w:val="single" w:sz="4" w:space="0" w:color="000000"/>
              <w:bottom w:val="single" w:sz="4" w:space="0" w:color="000000"/>
              <w:right w:val="single" w:sz="4" w:space="0" w:color="000000"/>
            </w:tcBorders>
            <w:vAlign w:val="center"/>
          </w:tcPr>
          <w:p w14:paraId="3AC858D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303E68D" w14:textId="33B7EC53"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tcPr>
          <w:p w14:paraId="37B07189"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7006519" w14:textId="31F1FA87"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353318C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44A093F" w14:textId="2B24E6BC"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27517AE6" w14:textId="77777777" w:rsidR="007A2AAB" w:rsidRPr="009A4BC4" w:rsidRDefault="007A2AAB" w:rsidP="009A4BC4">
            <w:pPr>
              <w:pStyle w:val="TableParagraph"/>
              <w:rPr>
                <w:rFonts w:ascii="Bookman Old Style" w:hAnsi="Bookman Old Style"/>
                <w:sz w:val="20"/>
                <w:szCs w:val="20"/>
              </w:rPr>
            </w:pPr>
          </w:p>
        </w:tc>
      </w:tr>
      <w:tr w:rsidR="007A2AAB" w:rsidRPr="009A4BC4" w14:paraId="613E76DB" w14:textId="77777777" w:rsidTr="008262B9">
        <w:trPr>
          <w:trHeight w:val="417"/>
        </w:trPr>
        <w:tc>
          <w:tcPr>
            <w:tcW w:w="1275" w:type="dxa"/>
            <w:tcBorders>
              <w:top w:val="single" w:sz="4" w:space="0" w:color="000000"/>
              <w:bottom w:val="single" w:sz="4" w:space="0" w:color="000000"/>
              <w:right w:val="single" w:sz="4" w:space="0" w:color="000000"/>
            </w:tcBorders>
            <w:vAlign w:val="center"/>
          </w:tcPr>
          <w:p w14:paraId="0949BA50" w14:textId="41B47E08"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3.1.3.2</w:t>
            </w:r>
          </w:p>
        </w:tc>
        <w:tc>
          <w:tcPr>
            <w:tcW w:w="6946" w:type="dxa"/>
            <w:tcBorders>
              <w:top w:val="single" w:sz="4" w:space="0" w:color="000000"/>
              <w:left w:val="single" w:sz="4" w:space="0" w:color="000000"/>
              <w:bottom w:val="single" w:sz="4" w:space="0" w:color="000000"/>
              <w:right w:val="single" w:sz="4" w:space="0" w:color="000000"/>
            </w:tcBorders>
            <w:vAlign w:val="center"/>
          </w:tcPr>
          <w:p w14:paraId="6C7D41F0" w14:textId="4453DA8A"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4"/>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encumbered</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1C577AD7"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3105E40"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5FC966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6234031"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1626FEA"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6C5539"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0E572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4325F23"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7B78B82C" w14:textId="77777777" w:rsidR="007A2AAB" w:rsidRPr="009A4BC4" w:rsidRDefault="007A2AAB" w:rsidP="009A4BC4">
            <w:pPr>
              <w:pStyle w:val="TableParagraph"/>
              <w:rPr>
                <w:rFonts w:ascii="Bookman Old Style" w:hAnsi="Bookman Old Style"/>
                <w:sz w:val="20"/>
                <w:szCs w:val="20"/>
              </w:rPr>
            </w:pPr>
          </w:p>
        </w:tc>
      </w:tr>
      <w:tr w:rsidR="007A2AAB" w:rsidRPr="009A4BC4" w14:paraId="317B417B" w14:textId="77777777" w:rsidTr="008262B9">
        <w:trPr>
          <w:trHeight w:val="409"/>
        </w:trPr>
        <w:tc>
          <w:tcPr>
            <w:tcW w:w="1275" w:type="dxa"/>
            <w:tcBorders>
              <w:top w:val="single" w:sz="4" w:space="0" w:color="000000"/>
              <w:bottom w:val="single" w:sz="4" w:space="0" w:color="000000"/>
              <w:right w:val="single" w:sz="4" w:space="0" w:color="000000"/>
            </w:tcBorders>
            <w:vAlign w:val="center"/>
          </w:tcPr>
          <w:p w14:paraId="3462879A" w14:textId="5FF3AD9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lastRenderedPageBreak/>
              <w:t>3.1.3.2.1</w:t>
            </w:r>
          </w:p>
        </w:tc>
        <w:tc>
          <w:tcPr>
            <w:tcW w:w="6946" w:type="dxa"/>
            <w:tcBorders>
              <w:top w:val="single" w:sz="4" w:space="0" w:color="000000"/>
              <w:left w:val="single" w:sz="4" w:space="0" w:color="000000"/>
              <w:bottom w:val="single" w:sz="4" w:space="0" w:color="000000"/>
              <w:right w:val="single" w:sz="4" w:space="0" w:color="000000"/>
            </w:tcBorders>
            <w:vAlign w:val="center"/>
          </w:tcPr>
          <w:p w14:paraId="42F8E2D5" w14:textId="22580C78"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6122CE95"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F5C15BB" w14:textId="26E3266C"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5ABA541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939CAAE" w14:textId="7345B401"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tcPr>
          <w:p w14:paraId="79214F7F"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F3B69F" w14:textId="54178219"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59B1B26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116D013" w14:textId="24E6DD1D"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33391F87" w14:textId="77777777" w:rsidR="007A2AAB" w:rsidRPr="009A4BC4" w:rsidRDefault="007A2AAB" w:rsidP="009A4BC4">
            <w:pPr>
              <w:pStyle w:val="TableParagraph"/>
              <w:rPr>
                <w:rFonts w:ascii="Bookman Old Style" w:hAnsi="Bookman Old Style"/>
                <w:sz w:val="20"/>
                <w:szCs w:val="20"/>
              </w:rPr>
            </w:pPr>
          </w:p>
        </w:tc>
      </w:tr>
      <w:tr w:rsidR="007A2AAB" w:rsidRPr="009A4BC4" w14:paraId="7644A6B0" w14:textId="77777777" w:rsidTr="008262B9">
        <w:trPr>
          <w:trHeight w:val="556"/>
        </w:trPr>
        <w:tc>
          <w:tcPr>
            <w:tcW w:w="1275" w:type="dxa"/>
            <w:tcBorders>
              <w:top w:val="single" w:sz="4" w:space="0" w:color="000000"/>
              <w:bottom w:val="single" w:sz="4" w:space="0" w:color="000000"/>
              <w:right w:val="single" w:sz="4" w:space="0" w:color="000000"/>
            </w:tcBorders>
            <w:vAlign w:val="center"/>
          </w:tcPr>
          <w:p w14:paraId="608BD171" w14:textId="47BD67D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3.1.3.2.2</w:t>
            </w:r>
          </w:p>
        </w:tc>
        <w:tc>
          <w:tcPr>
            <w:tcW w:w="6946" w:type="dxa"/>
            <w:tcBorders>
              <w:top w:val="single" w:sz="4" w:space="0" w:color="000000"/>
              <w:left w:val="single" w:sz="4" w:space="0" w:color="000000"/>
              <w:bottom w:val="single" w:sz="4" w:space="0" w:color="000000"/>
              <w:right w:val="single" w:sz="4" w:space="0" w:color="000000"/>
            </w:tcBorders>
            <w:vAlign w:val="center"/>
          </w:tcPr>
          <w:p w14:paraId="6EEEBA02" w14:textId="4844A54D"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5762D663"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5C770F4" w14:textId="0C8655C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4F45041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5BA3907" w14:textId="1895DF8E"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742A792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762B61" w14:textId="48AE14C4"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7C6ADED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AF487B9" w14:textId="595F764C"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20789F8" w14:textId="77777777" w:rsidR="007A2AAB" w:rsidRPr="009A4BC4" w:rsidRDefault="007A2AAB" w:rsidP="009A4BC4">
            <w:pPr>
              <w:pStyle w:val="TableParagraph"/>
              <w:rPr>
                <w:rFonts w:ascii="Bookman Old Style" w:hAnsi="Bookman Old Style"/>
                <w:sz w:val="20"/>
                <w:szCs w:val="20"/>
              </w:rPr>
            </w:pPr>
          </w:p>
        </w:tc>
      </w:tr>
      <w:tr w:rsidR="007A2AAB" w:rsidRPr="009A4BC4" w14:paraId="6C967145" w14:textId="77777777" w:rsidTr="008262B9">
        <w:trPr>
          <w:trHeight w:val="355"/>
        </w:trPr>
        <w:tc>
          <w:tcPr>
            <w:tcW w:w="1275" w:type="dxa"/>
            <w:tcBorders>
              <w:top w:val="single" w:sz="4" w:space="0" w:color="000000"/>
              <w:bottom w:val="single" w:sz="4" w:space="0" w:color="000000"/>
              <w:right w:val="single" w:sz="4" w:space="0" w:color="000000"/>
            </w:tcBorders>
            <w:vAlign w:val="center"/>
          </w:tcPr>
          <w:p w14:paraId="42BBA59A" w14:textId="3E4A2C4F"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3.1.3.2.3</w:t>
            </w:r>
          </w:p>
        </w:tc>
        <w:tc>
          <w:tcPr>
            <w:tcW w:w="6946" w:type="dxa"/>
            <w:tcBorders>
              <w:top w:val="single" w:sz="4" w:space="0" w:color="000000"/>
              <w:left w:val="single" w:sz="4" w:space="0" w:color="000000"/>
              <w:bottom w:val="single" w:sz="4" w:space="0" w:color="000000"/>
              <w:right w:val="single" w:sz="4" w:space="0" w:color="000000"/>
            </w:tcBorders>
            <w:vAlign w:val="center"/>
          </w:tcPr>
          <w:p w14:paraId="33CCD27F" w14:textId="3E929F5A"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53B42BE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205079F" w14:textId="19F8129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56023C4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ECF1748" w14:textId="5CED1A78"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59BCF46E"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FA008B" w14:textId="0F1D469D"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51F3B38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D3A41FE" w14:textId="712AA06A"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F0276DB" w14:textId="77777777" w:rsidR="007A2AAB" w:rsidRPr="009A4BC4" w:rsidRDefault="007A2AAB" w:rsidP="009A4BC4">
            <w:pPr>
              <w:pStyle w:val="TableParagraph"/>
              <w:rPr>
                <w:rFonts w:ascii="Bookman Old Style" w:hAnsi="Bookman Old Style"/>
                <w:sz w:val="20"/>
                <w:szCs w:val="20"/>
              </w:rPr>
            </w:pPr>
          </w:p>
        </w:tc>
      </w:tr>
      <w:tr w:rsidR="007A2AAB" w:rsidRPr="009A4BC4" w14:paraId="21563F15"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C4B49B3" w14:textId="0B59093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w:t>
            </w:r>
          </w:p>
        </w:tc>
        <w:tc>
          <w:tcPr>
            <w:tcW w:w="6946" w:type="dxa"/>
            <w:tcBorders>
              <w:top w:val="single" w:sz="4" w:space="0" w:color="000000"/>
              <w:left w:val="single" w:sz="4" w:space="0" w:color="000000"/>
              <w:bottom w:val="single" w:sz="4" w:space="0" w:color="000000"/>
              <w:right w:val="single" w:sz="4" w:space="0" w:color="000000"/>
            </w:tcBorders>
            <w:vAlign w:val="center"/>
          </w:tcPr>
          <w:p w14:paraId="7F5736CF" w14:textId="75577B40" w:rsidR="007A2AAB" w:rsidRPr="009A4BC4" w:rsidRDefault="007A2AAB" w:rsidP="008262B9">
            <w:pPr>
              <w:pStyle w:val="TableParagraph"/>
              <w:ind w:left="558"/>
              <w:rPr>
                <w:rFonts w:ascii="Bookman Old Style" w:hAnsi="Bookman Old Style"/>
                <w:sz w:val="20"/>
                <w:szCs w:val="20"/>
              </w:rPr>
            </w:pPr>
            <w:r w:rsidRPr="009A4BC4">
              <w:rPr>
                <w:rFonts w:ascii="Bookman Old Style" w:hAnsi="Bookman Old Style"/>
                <w:sz w:val="20"/>
                <w:szCs w:val="20"/>
              </w:rPr>
              <w:t>Perusahaan</w:t>
            </w:r>
            <w:r w:rsidRPr="009A4BC4">
              <w:rPr>
                <w:rFonts w:ascii="Bookman Old Style" w:hAnsi="Bookman Old Style"/>
                <w:spacing w:val="21"/>
                <w:sz w:val="20"/>
                <w:szCs w:val="20"/>
              </w:rPr>
              <w:t xml:space="preserve"> </w:t>
            </w:r>
            <w:r w:rsidRPr="009A4BC4">
              <w:rPr>
                <w:rFonts w:ascii="Bookman Old Style" w:hAnsi="Bookman Old Style"/>
                <w:sz w:val="20"/>
                <w:szCs w:val="20"/>
              </w:rPr>
              <w:t>non-keuangan,</w:t>
            </w:r>
            <w:r w:rsidRPr="009A4BC4">
              <w:rPr>
                <w:rFonts w:ascii="Bookman Old Style" w:hAnsi="Bookman Old Style"/>
                <w:spacing w:val="21"/>
                <w:sz w:val="20"/>
                <w:szCs w:val="20"/>
              </w:rPr>
              <w:t xml:space="preserve"> </w:t>
            </w:r>
            <w:r w:rsidRPr="009A4BC4">
              <w:rPr>
                <w:rFonts w:ascii="Bookman Old Style" w:hAnsi="Bookman Old Style"/>
                <w:sz w:val="20"/>
                <w:szCs w:val="20"/>
              </w:rPr>
              <w:t>nasabah</w:t>
            </w:r>
            <w:r w:rsidRPr="009A4BC4">
              <w:rPr>
                <w:rFonts w:ascii="Bookman Old Style" w:hAnsi="Bookman Old Style"/>
                <w:spacing w:val="20"/>
                <w:sz w:val="20"/>
                <w:szCs w:val="20"/>
              </w:rPr>
              <w:t xml:space="preserve"> </w:t>
            </w:r>
            <w:r w:rsidRPr="009A4BC4">
              <w:rPr>
                <w:rFonts w:ascii="Bookman Old Style" w:hAnsi="Bookman Old Style"/>
                <w:sz w:val="20"/>
                <w:szCs w:val="20"/>
              </w:rPr>
              <w:t>perorangan</w:t>
            </w:r>
            <w:r w:rsidRPr="009A4BC4">
              <w:rPr>
                <w:rFonts w:ascii="Bookman Old Style" w:hAnsi="Bookman Old Style"/>
                <w:spacing w:val="22"/>
                <w:sz w:val="20"/>
                <w:szCs w:val="20"/>
              </w:rPr>
              <w:t xml:space="preserve"> </w:t>
            </w:r>
            <w:r w:rsidRPr="009A4BC4">
              <w:rPr>
                <w:rFonts w:ascii="Bookman Old Style" w:hAnsi="Bookman Old Style"/>
                <w:sz w:val="20"/>
                <w:szCs w:val="20"/>
              </w:rPr>
              <w:t>dan</w:t>
            </w:r>
            <w:r w:rsidRPr="009A4BC4">
              <w:rPr>
                <w:rFonts w:ascii="Bookman Old Style" w:hAnsi="Bookman Old Style"/>
                <w:spacing w:val="17"/>
                <w:sz w:val="20"/>
                <w:szCs w:val="20"/>
              </w:rPr>
              <w:t xml:space="preserve"> </w:t>
            </w:r>
            <w:r w:rsidRPr="009A4BC4">
              <w:rPr>
                <w:rFonts w:ascii="Bookman Old Style" w:hAnsi="Bookman Old Style"/>
                <w:sz w:val="20"/>
                <w:szCs w:val="20"/>
              </w:rPr>
              <w:t>nasabah</w:t>
            </w:r>
            <w:r w:rsidRPr="009A4BC4">
              <w:rPr>
                <w:rFonts w:ascii="Bookman Old Style" w:hAnsi="Bookman Old Style"/>
                <w:spacing w:val="22"/>
                <w:sz w:val="20"/>
                <w:szCs w:val="20"/>
              </w:rPr>
              <w:t xml:space="preserve"> </w:t>
            </w:r>
            <w:r w:rsidRPr="009A4BC4">
              <w:rPr>
                <w:rFonts w:ascii="Bookman Old Style" w:hAnsi="Bookman Old Style"/>
                <w:sz w:val="20"/>
                <w:szCs w:val="20"/>
              </w:rPr>
              <w:t>usaha</w:t>
            </w:r>
            <w:r w:rsidRPr="009A4BC4">
              <w:rPr>
                <w:rFonts w:ascii="Bookman Old Style" w:hAnsi="Bookman Old Style"/>
                <w:spacing w:val="22"/>
                <w:sz w:val="20"/>
                <w:szCs w:val="20"/>
              </w:rPr>
              <w:t xml:space="preserve"> </w:t>
            </w:r>
            <w:r w:rsidRPr="009A4BC4">
              <w:rPr>
                <w:rFonts w:ascii="Bookman Old Style" w:hAnsi="Bookman Old Style"/>
                <w:sz w:val="20"/>
                <w:szCs w:val="20"/>
              </w:rPr>
              <w:t>mikro</w:t>
            </w:r>
            <w:r w:rsidRPr="009A4BC4">
              <w:rPr>
                <w:rFonts w:ascii="Bookman Old Style" w:hAnsi="Bookman Old Style"/>
                <w:sz w:val="20"/>
                <w:szCs w:val="20"/>
                <w:lang w:val="en-US"/>
              </w:rPr>
              <w:t xml:space="preserve"> </w:t>
            </w:r>
            <w:r w:rsidRPr="009A4BC4">
              <w:rPr>
                <w:rFonts w:ascii="Bookman Old Style" w:hAnsi="Bookman Old Style"/>
                <w:sz w:val="20"/>
                <w:szCs w:val="20"/>
              </w:rPr>
              <w:t>dan</w:t>
            </w:r>
            <w:r w:rsidRPr="009A4BC4">
              <w:rPr>
                <w:rFonts w:ascii="Bookman Old Style" w:hAnsi="Bookman Old Style"/>
                <w:spacing w:val="38"/>
                <w:sz w:val="20"/>
                <w:szCs w:val="20"/>
              </w:rPr>
              <w:t xml:space="preserve"> </w:t>
            </w:r>
            <w:r w:rsidRPr="009A4BC4">
              <w:rPr>
                <w:rFonts w:ascii="Bookman Old Style" w:hAnsi="Bookman Old Style"/>
                <w:sz w:val="20"/>
                <w:szCs w:val="20"/>
              </w:rPr>
              <w:t>usaha</w:t>
            </w:r>
            <w:r w:rsidRPr="009A4BC4">
              <w:rPr>
                <w:rFonts w:ascii="Bookman Old Style" w:hAnsi="Bookman Old Style"/>
                <w:spacing w:val="38"/>
                <w:sz w:val="20"/>
                <w:szCs w:val="20"/>
              </w:rPr>
              <w:t xml:space="preserve"> </w:t>
            </w:r>
            <w:r w:rsidRPr="009A4BC4">
              <w:rPr>
                <w:rFonts w:ascii="Bookman Old Style" w:hAnsi="Bookman Old Style"/>
                <w:sz w:val="20"/>
                <w:szCs w:val="20"/>
              </w:rPr>
              <w:t>kecil,</w:t>
            </w:r>
            <w:r w:rsidRPr="009A4BC4">
              <w:rPr>
                <w:rFonts w:ascii="Bookman Old Style" w:hAnsi="Bookman Old Style"/>
                <w:spacing w:val="77"/>
                <w:sz w:val="20"/>
                <w:szCs w:val="20"/>
              </w:rPr>
              <w:t xml:space="preserve"> </w:t>
            </w:r>
            <w:r w:rsidRPr="009A4BC4">
              <w:rPr>
                <w:rFonts w:ascii="Bookman Old Style" w:hAnsi="Bookman Old Style"/>
                <w:sz w:val="20"/>
                <w:szCs w:val="20"/>
              </w:rPr>
              <w:t>Pemerintah</w:t>
            </w:r>
            <w:r w:rsidRPr="009A4BC4">
              <w:rPr>
                <w:rFonts w:ascii="Bookman Old Style" w:hAnsi="Bookman Old Style"/>
                <w:spacing w:val="39"/>
                <w:sz w:val="20"/>
                <w:szCs w:val="20"/>
              </w:rPr>
              <w:t xml:space="preserve"> </w:t>
            </w:r>
            <w:r w:rsidRPr="009A4BC4">
              <w:rPr>
                <w:rFonts w:ascii="Bookman Old Style" w:hAnsi="Bookman Old Style"/>
                <w:sz w:val="20"/>
                <w:szCs w:val="20"/>
              </w:rPr>
              <w:t>Indonesia,</w:t>
            </w:r>
            <w:r w:rsidRPr="009A4BC4">
              <w:rPr>
                <w:rFonts w:ascii="Bookman Old Style" w:hAnsi="Bookman Old Style"/>
                <w:spacing w:val="38"/>
                <w:sz w:val="20"/>
                <w:szCs w:val="20"/>
              </w:rPr>
              <w:t xml:space="preserve"> </w:t>
            </w:r>
            <w:r w:rsidRPr="009A4BC4">
              <w:rPr>
                <w:rFonts w:ascii="Bookman Old Style" w:hAnsi="Bookman Old Style"/>
                <w:sz w:val="20"/>
                <w:szCs w:val="20"/>
              </w:rPr>
              <w:t>pemerintah</w:t>
            </w:r>
            <w:r w:rsidRPr="009A4BC4">
              <w:rPr>
                <w:rFonts w:ascii="Bookman Old Style" w:hAnsi="Bookman Old Style"/>
                <w:spacing w:val="38"/>
                <w:sz w:val="20"/>
                <w:szCs w:val="20"/>
              </w:rPr>
              <w:t xml:space="preserve"> </w:t>
            </w:r>
            <w:r w:rsidRPr="009A4BC4">
              <w:rPr>
                <w:rFonts w:ascii="Bookman Old Style" w:hAnsi="Bookman Old Style"/>
                <w:sz w:val="20"/>
                <w:szCs w:val="20"/>
              </w:rPr>
              <w:t>negara</w:t>
            </w:r>
            <w:r w:rsidRPr="009A4BC4">
              <w:rPr>
                <w:rFonts w:ascii="Bookman Old Style" w:hAnsi="Bookman Old Style"/>
                <w:spacing w:val="38"/>
                <w:sz w:val="20"/>
                <w:szCs w:val="20"/>
              </w:rPr>
              <w:t xml:space="preserve"> </w:t>
            </w:r>
            <w:r w:rsidRPr="009A4BC4">
              <w:rPr>
                <w:rFonts w:ascii="Bookman Old Style" w:hAnsi="Bookman Old Style"/>
                <w:sz w:val="20"/>
                <w:szCs w:val="20"/>
              </w:rPr>
              <w:t>lain,</w:t>
            </w:r>
            <w:r w:rsidRPr="009A4BC4">
              <w:rPr>
                <w:rFonts w:ascii="Bookman Old Style" w:hAnsi="Bookman Old Style"/>
                <w:spacing w:val="38"/>
                <w:sz w:val="20"/>
                <w:szCs w:val="20"/>
              </w:rPr>
              <w:t xml:space="preserve"> </w:t>
            </w:r>
            <w:r w:rsidRPr="009A4BC4">
              <w:rPr>
                <w:rFonts w:ascii="Bookman Old Style" w:hAnsi="Bookman Old Style"/>
                <w:sz w:val="20"/>
                <w:szCs w:val="20"/>
              </w:rPr>
              <w:t>entitas</w:t>
            </w:r>
            <w:r w:rsidR="008262B9">
              <w:rPr>
                <w:rFonts w:ascii="Bookman Old Style" w:hAnsi="Bookman Old Style"/>
                <w:sz w:val="20"/>
                <w:szCs w:val="20"/>
                <w:lang w:val="en-US"/>
              </w:rPr>
              <w:t xml:space="preserve"> </w:t>
            </w:r>
            <w:r w:rsidRPr="009A4BC4">
              <w:rPr>
                <w:rFonts w:ascii="Bookman Old Style" w:hAnsi="Bookman Old Style"/>
                <w:sz w:val="20"/>
                <w:szCs w:val="20"/>
              </w:rPr>
              <w:t>sektor</w:t>
            </w:r>
            <w:r w:rsidRPr="009A4BC4">
              <w:rPr>
                <w:rFonts w:ascii="Bookman Old Style" w:hAnsi="Bookman Old Style"/>
                <w:spacing w:val="-3"/>
                <w:sz w:val="20"/>
                <w:szCs w:val="20"/>
              </w:rPr>
              <w:t xml:space="preserve"> </w:t>
            </w:r>
            <w:r w:rsidRPr="009A4BC4">
              <w:rPr>
                <w:rFonts w:ascii="Bookman Old Style" w:hAnsi="Bookman Old Style"/>
                <w:sz w:val="20"/>
                <w:szCs w:val="20"/>
              </w:rPr>
              <w:t>publik</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1"/>
                <w:sz w:val="20"/>
                <w:szCs w:val="20"/>
              </w:rPr>
              <w:t xml:space="preserve"> </w:t>
            </w:r>
            <w:r w:rsidRPr="009A4BC4">
              <w:rPr>
                <w:rFonts w:ascii="Bookman Old Style" w:hAnsi="Bookman Old Style"/>
                <w:sz w:val="20"/>
                <w:szCs w:val="20"/>
              </w:rPr>
              <w:t>pinjaman</w:t>
            </w:r>
            <w:r w:rsidRPr="009A4BC4">
              <w:rPr>
                <w:rFonts w:ascii="Bookman Old Style" w:hAnsi="Bookman Old Style"/>
                <w:spacing w:val="-2"/>
                <w:sz w:val="20"/>
                <w:szCs w:val="20"/>
              </w:rPr>
              <w:t xml:space="preserve"> </w:t>
            </w:r>
            <w:r w:rsidRPr="009A4BC4">
              <w:rPr>
                <w:rFonts w:ascii="Bookman Old Style" w:hAnsi="Bookman Old Style"/>
                <w:sz w:val="20"/>
                <w:szCs w:val="20"/>
              </w:rPr>
              <w:t>lain</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diantaranya:</w:t>
            </w:r>
          </w:p>
        </w:tc>
        <w:tc>
          <w:tcPr>
            <w:tcW w:w="989" w:type="dxa"/>
            <w:tcBorders>
              <w:top w:val="single" w:sz="4" w:space="0" w:color="000000"/>
              <w:left w:val="single" w:sz="4" w:space="0" w:color="000000"/>
              <w:bottom w:val="single" w:sz="4" w:space="0" w:color="000000"/>
              <w:right w:val="single" w:sz="4" w:space="0" w:color="000000"/>
            </w:tcBorders>
            <w:vAlign w:val="center"/>
          </w:tcPr>
          <w:p w14:paraId="4FDE9AC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9E4E6F7"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4D7D525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BCBDD4B"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6F5675B"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8AD11E"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B855B8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615AFDA"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907F531" w14:textId="77777777" w:rsidR="007A2AAB" w:rsidRPr="009A4BC4" w:rsidRDefault="007A2AAB" w:rsidP="009A4BC4">
            <w:pPr>
              <w:pStyle w:val="TableParagraph"/>
              <w:rPr>
                <w:rFonts w:ascii="Bookman Old Style" w:hAnsi="Bookman Old Style"/>
                <w:sz w:val="20"/>
                <w:szCs w:val="20"/>
              </w:rPr>
            </w:pPr>
          </w:p>
        </w:tc>
      </w:tr>
      <w:tr w:rsidR="007A2AAB" w:rsidRPr="009A4BC4" w14:paraId="3C7E0B9F"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4BEB9C9" w14:textId="58868EB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3.1.4.1</w:t>
            </w:r>
          </w:p>
        </w:tc>
        <w:tc>
          <w:tcPr>
            <w:tcW w:w="6946" w:type="dxa"/>
            <w:tcBorders>
              <w:top w:val="single" w:sz="4" w:space="0" w:color="000000"/>
              <w:left w:val="single" w:sz="4" w:space="0" w:color="000000"/>
              <w:bottom w:val="single" w:sz="4" w:space="0" w:color="000000"/>
              <w:right w:val="single" w:sz="4" w:space="0" w:color="000000"/>
            </w:tcBorders>
            <w:vAlign w:val="center"/>
          </w:tcPr>
          <w:p w14:paraId="23EA0D7E" w14:textId="066107EB" w:rsidR="007A2AAB" w:rsidRPr="009A4BC4" w:rsidRDefault="007A2AAB" w:rsidP="008262B9">
            <w:pPr>
              <w:pStyle w:val="TableParagraph"/>
              <w:ind w:left="748"/>
              <w:rPr>
                <w:rFonts w:ascii="Bookman Old Style" w:hAnsi="Bookman Old Style"/>
                <w:sz w:val="20"/>
                <w:szCs w:val="20"/>
              </w:rPr>
            </w:pPr>
            <w:r w:rsidRPr="009A4BC4">
              <w:rPr>
                <w:rFonts w:ascii="Bookman Old Style" w:hAnsi="Bookman Old Style"/>
                <w:sz w:val="20"/>
                <w:szCs w:val="20"/>
              </w:rPr>
              <w:t>dikenakan</w:t>
            </w:r>
            <w:r w:rsidRPr="009A4BC4">
              <w:rPr>
                <w:rFonts w:ascii="Bookman Old Style" w:hAnsi="Bookman Old Style"/>
                <w:spacing w:val="-2"/>
                <w:sz w:val="20"/>
                <w:szCs w:val="20"/>
              </w:rPr>
              <w:t xml:space="preserve"> </w:t>
            </w:r>
            <w:r w:rsidRPr="009A4BC4">
              <w:rPr>
                <w:rFonts w:ascii="Bookman Old Style" w:hAnsi="Bookman Old Style"/>
                <w:sz w:val="20"/>
                <w:szCs w:val="20"/>
              </w:rPr>
              <w:t>bobot</w:t>
            </w:r>
            <w:r w:rsidRPr="009A4BC4">
              <w:rPr>
                <w:rFonts w:ascii="Bookman Old Style" w:hAnsi="Bookman Old Style"/>
                <w:spacing w:val="-5"/>
                <w:sz w:val="20"/>
                <w:szCs w:val="20"/>
              </w:rPr>
              <w:t xml:space="preserve"> </w:t>
            </w:r>
            <w:r w:rsidRPr="009A4BC4">
              <w:rPr>
                <w:rFonts w:ascii="Bookman Old Style" w:hAnsi="Bookman Old Style"/>
                <w:sz w:val="20"/>
                <w:szCs w:val="20"/>
              </w:rPr>
              <w:t>risiko</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35%</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2"/>
                <w:sz w:val="20"/>
                <w:szCs w:val="20"/>
              </w:rPr>
              <w:t xml:space="preserve"> </w:t>
            </w:r>
            <w:r w:rsidRPr="009A4BC4">
              <w:rPr>
                <w:rFonts w:ascii="Bookman Old Style" w:hAnsi="Bookman Old Style"/>
                <w:sz w:val="20"/>
                <w:szCs w:val="20"/>
              </w:rPr>
              <w:t>perhitungan</w:t>
            </w:r>
            <w:r w:rsidRPr="009A4BC4">
              <w:rPr>
                <w:rFonts w:ascii="Bookman Old Style" w:hAnsi="Bookman Old Style"/>
                <w:spacing w:val="-1"/>
                <w:sz w:val="20"/>
                <w:szCs w:val="20"/>
              </w:rPr>
              <w:t xml:space="preserve"> </w:t>
            </w:r>
            <w:r w:rsidRPr="009A4BC4">
              <w:rPr>
                <w:rFonts w:ascii="Bookman Old Style" w:hAnsi="Bookman Old Style"/>
                <w:sz w:val="20"/>
                <w:szCs w:val="20"/>
              </w:rPr>
              <w:t>ATMR</w:t>
            </w:r>
            <w:r w:rsidRPr="009A4BC4">
              <w:rPr>
                <w:rFonts w:ascii="Bookman Old Style" w:hAnsi="Bookman Old Style"/>
                <w:spacing w:val="-3"/>
                <w:sz w:val="20"/>
                <w:szCs w:val="20"/>
              </w:rPr>
              <w:t xml:space="preserve"> </w:t>
            </w:r>
            <w:r w:rsidRPr="009A4BC4">
              <w:rPr>
                <w:rFonts w:ascii="Bookman Old Style" w:hAnsi="Bookman Old Style"/>
                <w:sz w:val="20"/>
                <w:szCs w:val="20"/>
              </w:rPr>
              <w:t>risiko</w:t>
            </w:r>
            <w:r w:rsidRPr="009A4BC4">
              <w:rPr>
                <w:rFonts w:ascii="Bookman Old Style" w:hAnsi="Bookman Old Style"/>
                <w:spacing w:val="-1"/>
                <w:sz w:val="20"/>
                <w:szCs w:val="20"/>
              </w:rPr>
              <w:t xml:space="preserve"> </w:t>
            </w:r>
            <w:r w:rsidRPr="009A4BC4">
              <w:rPr>
                <w:rFonts w:ascii="Bookman Old Style" w:hAnsi="Bookman Old Style"/>
                <w:sz w:val="20"/>
                <w:szCs w:val="20"/>
              </w:rPr>
              <w:t>kredit</w:t>
            </w:r>
            <w:r w:rsidR="008262B9">
              <w:rPr>
                <w:rFonts w:ascii="Bookman Old Style" w:hAnsi="Bookman Old Style"/>
                <w:sz w:val="20"/>
                <w:szCs w:val="20"/>
                <w:lang w:val="en-US"/>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pendekatan</w:t>
            </w:r>
            <w:r w:rsidRPr="009A4BC4">
              <w:rPr>
                <w:rFonts w:ascii="Bookman Old Style" w:hAnsi="Bookman Old Style"/>
                <w:spacing w:val="-3"/>
                <w:sz w:val="20"/>
                <w:szCs w:val="20"/>
              </w:rPr>
              <w:t xml:space="preserve"> </w:t>
            </w:r>
            <w:r w:rsidRPr="009A4BC4">
              <w:rPr>
                <w:rFonts w:ascii="Bookman Old Style" w:hAnsi="Bookman Old Style"/>
                <w:sz w:val="20"/>
                <w:szCs w:val="20"/>
              </w:rPr>
              <w:t>standar</w:t>
            </w:r>
          </w:p>
        </w:tc>
        <w:tc>
          <w:tcPr>
            <w:tcW w:w="989" w:type="dxa"/>
            <w:tcBorders>
              <w:top w:val="single" w:sz="4" w:space="0" w:color="000000"/>
              <w:left w:val="single" w:sz="4" w:space="0" w:color="000000"/>
              <w:bottom w:val="single" w:sz="4" w:space="0" w:color="000000"/>
              <w:right w:val="single" w:sz="4" w:space="0" w:color="000000"/>
            </w:tcBorders>
            <w:vAlign w:val="center"/>
          </w:tcPr>
          <w:p w14:paraId="65145A7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8DF49D7"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920A94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50BD3E7"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1CD1217"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3C0001"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D905C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3BE52FF"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0782B59D" w14:textId="77777777" w:rsidR="007A2AAB" w:rsidRPr="009A4BC4" w:rsidRDefault="007A2AAB" w:rsidP="009A4BC4">
            <w:pPr>
              <w:pStyle w:val="TableParagraph"/>
              <w:rPr>
                <w:rFonts w:ascii="Bookman Old Style" w:hAnsi="Bookman Old Style"/>
                <w:sz w:val="20"/>
                <w:szCs w:val="20"/>
              </w:rPr>
            </w:pPr>
          </w:p>
        </w:tc>
      </w:tr>
      <w:tr w:rsidR="007A2AAB" w:rsidRPr="009A4BC4" w14:paraId="1F1DA800"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A90A675" w14:textId="75B89FA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3.1.4.1.1</w:t>
            </w:r>
          </w:p>
        </w:tc>
        <w:tc>
          <w:tcPr>
            <w:tcW w:w="6946" w:type="dxa"/>
            <w:tcBorders>
              <w:top w:val="single" w:sz="4" w:space="0" w:color="000000"/>
              <w:left w:val="single" w:sz="4" w:space="0" w:color="000000"/>
              <w:bottom w:val="single" w:sz="4" w:space="0" w:color="000000"/>
              <w:right w:val="single" w:sz="4" w:space="0" w:color="000000"/>
            </w:tcBorders>
            <w:vAlign w:val="center"/>
          </w:tcPr>
          <w:p w14:paraId="2A4EAC39" w14:textId="46D283B1"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2731D8C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E5539FB" w14:textId="15130109"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69E322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DF7693F" w14:textId="151B60AF"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778D769E"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0C7859" w14:textId="5658C5B5"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3E71A60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8FA4CA1" w14:textId="26A58A12"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65%</w:t>
            </w:r>
          </w:p>
        </w:tc>
        <w:tc>
          <w:tcPr>
            <w:tcW w:w="1457" w:type="dxa"/>
            <w:tcBorders>
              <w:top w:val="single" w:sz="4" w:space="0" w:color="000000"/>
              <w:left w:val="single" w:sz="4" w:space="0" w:color="000000"/>
              <w:bottom w:val="single" w:sz="4" w:space="0" w:color="000000"/>
            </w:tcBorders>
            <w:vAlign w:val="center"/>
          </w:tcPr>
          <w:p w14:paraId="255A9548" w14:textId="77777777" w:rsidR="007A2AAB" w:rsidRPr="009A4BC4" w:rsidRDefault="007A2AAB" w:rsidP="009A4BC4">
            <w:pPr>
              <w:pStyle w:val="TableParagraph"/>
              <w:rPr>
                <w:rFonts w:ascii="Bookman Old Style" w:hAnsi="Bookman Old Style"/>
                <w:sz w:val="20"/>
                <w:szCs w:val="20"/>
              </w:rPr>
            </w:pPr>
          </w:p>
        </w:tc>
      </w:tr>
      <w:tr w:rsidR="007A2AAB" w:rsidRPr="009A4BC4" w14:paraId="4B6A9BEF"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FC2CE5B" w14:textId="37AE9BC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3.1.4.1.2</w:t>
            </w:r>
          </w:p>
        </w:tc>
        <w:tc>
          <w:tcPr>
            <w:tcW w:w="6946" w:type="dxa"/>
            <w:tcBorders>
              <w:top w:val="single" w:sz="4" w:space="0" w:color="000000"/>
              <w:left w:val="single" w:sz="4" w:space="0" w:color="000000"/>
              <w:bottom w:val="single" w:sz="4" w:space="0" w:color="000000"/>
              <w:right w:val="single" w:sz="4" w:space="0" w:color="000000"/>
            </w:tcBorders>
            <w:vAlign w:val="center"/>
          </w:tcPr>
          <w:p w14:paraId="7F736866" w14:textId="409BB0FC"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1"/>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09790E1D"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41F2829"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A54542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02D6343"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845EE4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D34468"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CF4143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AB73713"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1C8B23D" w14:textId="77777777" w:rsidR="007A2AAB" w:rsidRPr="009A4BC4" w:rsidRDefault="007A2AAB" w:rsidP="009A4BC4">
            <w:pPr>
              <w:pStyle w:val="TableParagraph"/>
              <w:rPr>
                <w:rFonts w:ascii="Bookman Old Style" w:hAnsi="Bookman Old Style"/>
                <w:sz w:val="20"/>
                <w:szCs w:val="20"/>
              </w:rPr>
            </w:pPr>
          </w:p>
        </w:tc>
      </w:tr>
      <w:tr w:rsidR="007A2AAB" w:rsidRPr="009A4BC4" w14:paraId="0F8C8C48"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3ED0E7E" w14:textId="2FE17F2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3.1.4.1.2.1</w:t>
            </w:r>
          </w:p>
        </w:tc>
        <w:tc>
          <w:tcPr>
            <w:tcW w:w="6946" w:type="dxa"/>
            <w:tcBorders>
              <w:top w:val="single" w:sz="4" w:space="0" w:color="000000"/>
              <w:left w:val="single" w:sz="4" w:space="0" w:color="000000"/>
              <w:bottom w:val="single" w:sz="4" w:space="0" w:color="000000"/>
              <w:right w:val="single" w:sz="4" w:space="0" w:color="000000"/>
            </w:tcBorders>
            <w:vAlign w:val="center"/>
          </w:tcPr>
          <w:p w14:paraId="4851DC7A" w14:textId="78D7B935"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078412F5"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0D80449" w14:textId="06E90F6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2A29691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1B09775" w14:textId="35FFD015"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3EAF14A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B850DD" w14:textId="31DE9949"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0303145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8301038" w14:textId="43AB4F53"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65%</w:t>
            </w:r>
          </w:p>
        </w:tc>
        <w:tc>
          <w:tcPr>
            <w:tcW w:w="1457" w:type="dxa"/>
            <w:tcBorders>
              <w:top w:val="single" w:sz="4" w:space="0" w:color="000000"/>
              <w:left w:val="single" w:sz="4" w:space="0" w:color="000000"/>
              <w:bottom w:val="single" w:sz="4" w:space="0" w:color="000000"/>
            </w:tcBorders>
            <w:vAlign w:val="center"/>
          </w:tcPr>
          <w:p w14:paraId="56EAFA2E" w14:textId="77777777" w:rsidR="007A2AAB" w:rsidRPr="009A4BC4" w:rsidRDefault="007A2AAB" w:rsidP="009A4BC4">
            <w:pPr>
              <w:pStyle w:val="TableParagraph"/>
              <w:rPr>
                <w:rFonts w:ascii="Bookman Old Style" w:hAnsi="Bookman Old Style"/>
                <w:sz w:val="20"/>
                <w:szCs w:val="20"/>
              </w:rPr>
            </w:pPr>
          </w:p>
        </w:tc>
      </w:tr>
      <w:tr w:rsidR="007A2AAB" w:rsidRPr="009A4BC4" w14:paraId="61A9775F"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1DEE6A45" w14:textId="1E0EF9C6"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3.1.4.1.2.2</w:t>
            </w:r>
          </w:p>
        </w:tc>
        <w:tc>
          <w:tcPr>
            <w:tcW w:w="6946" w:type="dxa"/>
            <w:tcBorders>
              <w:top w:val="single" w:sz="4" w:space="0" w:color="000000"/>
              <w:left w:val="single" w:sz="4" w:space="0" w:color="000000"/>
              <w:bottom w:val="single" w:sz="4" w:space="0" w:color="000000"/>
              <w:right w:val="single" w:sz="4" w:space="0" w:color="000000"/>
            </w:tcBorders>
            <w:vAlign w:val="center"/>
          </w:tcPr>
          <w:p w14:paraId="5E6F90D0" w14:textId="3F90D382"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79135AC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68F18C6" w14:textId="320EED0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AB66E0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3A7AD06" w14:textId="01A723D9"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02A5BF0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9D8512" w14:textId="0416DF34"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5506D91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2C3E24A" w14:textId="7C7D772D"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65%</w:t>
            </w:r>
          </w:p>
        </w:tc>
        <w:tc>
          <w:tcPr>
            <w:tcW w:w="1457" w:type="dxa"/>
            <w:tcBorders>
              <w:top w:val="single" w:sz="4" w:space="0" w:color="000000"/>
              <w:left w:val="single" w:sz="4" w:space="0" w:color="000000"/>
              <w:bottom w:val="single" w:sz="4" w:space="0" w:color="000000"/>
            </w:tcBorders>
            <w:vAlign w:val="center"/>
          </w:tcPr>
          <w:p w14:paraId="2FCCDF91" w14:textId="77777777" w:rsidR="007A2AAB" w:rsidRPr="009A4BC4" w:rsidRDefault="007A2AAB" w:rsidP="009A4BC4">
            <w:pPr>
              <w:pStyle w:val="TableParagraph"/>
              <w:rPr>
                <w:rFonts w:ascii="Bookman Old Style" w:hAnsi="Bookman Old Style"/>
                <w:sz w:val="20"/>
                <w:szCs w:val="20"/>
              </w:rPr>
            </w:pPr>
          </w:p>
        </w:tc>
      </w:tr>
      <w:tr w:rsidR="007A2AAB" w:rsidRPr="009A4BC4" w14:paraId="0823089A"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1BBD1F12" w14:textId="7451E1E7"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3.1.4.1.2.3</w:t>
            </w:r>
          </w:p>
        </w:tc>
        <w:tc>
          <w:tcPr>
            <w:tcW w:w="6946" w:type="dxa"/>
            <w:tcBorders>
              <w:top w:val="single" w:sz="4" w:space="0" w:color="000000"/>
              <w:left w:val="single" w:sz="4" w:space="0" w:color="000000"/>
              <w:bottom w:val="single" w:sz="4" w:space="0" w:color="000000"/>
              <w:right w:val="single" w:sz="4" w:space="0" w:color="000000"/>
            </w:tcBorders>
            <w:vAlign w:val="center"/>
          </w:tcPr>
          <w:p w14:paraId="415DB959" w14:textId="045452BB"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439C73E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418612D" w14:textId="31F6947F"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654F4E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4434D67" w14:textId="5BAB8754"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34FD5750"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0B6B4E" w14:textId="5E738E63"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2F2087F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E0D2005" w14:textId="122A42E3"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28921B03" w14:textId="77777777" w:rsidR="007A2AAB" w:rsidRPr="009A4BC4" w:rsidRDefault="007A2AAB" w:rsidP="009A4BC4">
            <w:pPr>
              <w:pStyle w:val="TableParagraph"/>
              <w:rPr>
                <w:rFonts w:ascii="Bookman Old Style" w:hAnsi="Bookman Old Style"/>
                <w:sz w:val="20"/>
                <w:szCs w:val="20"/>
              </w:rPr>
            </w:pPr>
          </w:p>
        </w:tc>
      </w:tr>
      <w:tr w:rsidR="007A2AAB" w:rsidRPr="009A4BC4" w14:paraId="68FF493A"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30DAC80" w14:textId="7A54A68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3.1.4.2</w:t>
            </w:r>
          </w:p>
        </w:tc>
        <w:tc>
          <w:tcPr>
            <w:tcW w:w="6946" w:type="dxa"/>
            <w:tcBorders>
              <w:top w:val="single" w:sz="4" w:space="0" w:color="000000"/>
              <w:left w:val="single" w:sz="4" w:space="0" w:color="000000"/>
              <w:bottom w:val="single" w:sz="4" w:space="0" w:color="000000"/>
              <w:right w:val="single" w:sz="4" w:space="0" w:color="000000"/>
            </w:tcBorders>
            <w:vAlign w:val="center"/>
          </w:tcPr>
          <w:p w14:paraId="7E9F78F2" w14:textId="3EF4E8CE" w:rsidR="007A2AAB" w:rsidRPr="009A4BC4" w:rsidRDefault="007A2AAB" w:rsidP="009A4BC4">
            <w:pPr>
              <w:pStyle w:val="TableParagraph"/>
              <w:ind w:left="786"/>
              <w:rPr>
                <w:rFonts w:ascii="Bookman Old Style" w:hAnsi="Bookman Old Style"/>
                <w:sz w:val="20"/>
                <w:szCs w:val="20"/>
              </w:rPr>
            </w:pPr>
            <w:r w:rsidRPr="009A4BC4">
              <w:rPr>
                <w:rFonts w:ascii="Bookman Old Style" w:hAnsi="Bookman Old Style"/>
                <w:sz w:val="20"/>
                <w:szCs w:val="20"/>
              </w:rPr>
              <w:t>dikenakan</w:t>
            </w:r>
            <w:r w:rsidRPr="009A4BC4">
              <w:rPr>
                <w:rFonts w:ascii="Bookman Old Style" w:hAnsi="Bookman Old Style"/>
                <w:spacing w:val="-4"/>
                <w:sz w:val="20"/>
                <w:szCs w:val="20"/>
              </w:rPr>
              <w:t xml:space="preserve"> </w:t>
            </w:r>
            <w:r w:rsidRPr="009A4BC4">
              <w:rPr>
                <w:rFonts w:ascii="Bookman Old Style" w:hAnsi="Bookman Old Style"/>
                <w:sz w:val="20"/>
                <w:szCs w:val="20"/>
              </w:rPr>
              <w:t>bobot</w:t>
            </w:r>
            <w:r w:rsidRPr="009A4BC4">
              <w:rPr>
                <w:rFonts w:ascii="Bookman Old Style" w:hAnsi="Bookman Old Style"/>
                <w:spacing w:val="-1"/>
                <w:sz w:val="20"/>
                <w:szCs w:val="20"/>
              </w:rPr>
              <w:t xml:space="preserve"> </w:t>
            </w:r>
            <w:r w:rsidRPr="009A4BC4">
              <w:rPr>
                <w:rFonts w:ascii="Bookman Old Style" w:hAnsi="Bookman Old Style"/>
                <w:sz w:val="20"/>
                <w:szCs w:val="20"/>
              </w:rPr>
              <w:t>risiko</w:t>
            </w:r>
            <w:r w:rsidRPr="009A4BC4">
              <w:rPr>
                <w:rFonts w:ascii="Bookman Old Style" w:hAnsi="Bookman Old Style"/>
                <w:spacing w:val="-4"/>
                <w:sz w:val="20"/>
                <w:szCs w:val="20"/>
              </w:rPr>
              <w:t xml:space="preserve"> </w:t>
            </w:r>
            <w:r w:rsidRPr="009A4BC4">
              <w:rPr>
                <w:rFonts w:ascii="Bookman Old Style" w:hAnsi="Bookman Old Style"/>
                <w:sz w:val="20"/>
                <w:szCs w:val="20"/>
              </w:rPr>
              <w:t>&gt;</w:t>
            </w:r>
            <w:r w:rsidRPr="009A4BC4">
              <w:rPr>
                <w:rFonts w:ascii="Bookman Old Style" w:hAnsi="Bookman Old Style"/>
                <w:spacing w:val="-2"/>
                <w:sz w:val="20"/>
                <w:szCs w:val="20"/>
              </w:rPr>
              <w:t xml:space="preserve"> </w:t>
            </w:r>
            <w:r w:rsidRPr="009A4BC4">
              <w:rPr>
                <w:rFonts w:ascii="Bookman Old Style" w:hAnsi="Bookman Old Style"/>
                <w:sz w:val="20"/>
                <w:szCs w:val="20"/>
              </w:rPr>
              <w:t>35%</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2"/>
                <w:sz w:val="20"/>
                <w:szCs w:val="20"/>
              </w:rPr>
              <w:t xml:space="preserve"> </w:t>
            </w:r>
            <w:r w:rsidRPr="009A4BC4">
              <w:rPr>
                <w:rFonts w:ascii="Bookman Old Style" w:hAnsi="Bookman Old Style"/>
                <w:sz w:val="20"/>
                <w:szCs w:val="20"/>
              </w:rPr>
              <w:t>pehitungan</w:t>
            </w:r>
            <w:r w:rsidRPr="009A4BC4">
              <w:rPr>
                <w:rFonts w:ascii="Bookman Old Style" w:hAnsi="Bookman Old Style"/>
                <w:spacing w:val="-1"/>
                <w:sz w:val="20"/>
                <w:szCs w:val="20"/>
              </w:rPr>
              <w:t xml:space="preserve"> </w:t>
            </w:r>
            <w:r w:rsidRPr="009A4BC4">
              <w:rPr>
                <w:rFonts w:ascii="Bookman Old Style" w:hAnsi="Bookman Old Style"/>
                <w:sz w:val="20"/>
                <w:szCs w:val="20"/>
              </w:rPr>
              <w:t>ATMR</w:t>
            </w:r>
            <w:r w:rsidRPr="009A4BC4">
              <w:rPr>
                <w:rFonts w:ascii="Bookman Old Style" w:hAnsi="Bookman Old Style"/>
                <w:spacing w:val="-2"/>
                <w:sz w:val="20"/>
                <w:szCs w:val="20"/>
              </w:rPr>
              <w:t xml:space="preserve"> </w:t>
            </w:r>
            <w:r w:rsidRPr="009A4BC4">
              <w:rPr>
                <w:rFonts w:ascii="Bookman Old Style" w:hAnsi="Bookman Old Style"/>
                <w:sz w:val="20"/>
                <w:szCs w:val="20"/>
              </w:rPr>
              <w:t>risiko</w:t>
            </w:r>
            <w:r w:rsidRPr="009A4BC4">
              <w:rPr>
                <w:rFonts w:ascii="Bookman Old Style" w:hAnsi="Bookman Old Style"/>
                <w:spacing w:val="-1"/>
                <w:sz w:val="20"/>
                <w:szCs w:val="20"/>
              </w:rPr>
              <w:t xml:space="preserve"> </w:t>
            </w:r>
            <w:r w:rsidRPr="009A4BC4">
              <w:rPr>
                <w:rFonts w:ascii="Bookman Old Style" w:hAnsi="Bookman Old Style"/>
                <w:sz w:val="20"/>
                <w:szCs w:val="20"/>
              </w:rPr>
              <w:t>kredit</w:t>
            </w:r>
            <w:r w:rsidRPr="009A4BC4">
              <w:rPr>
                <w:rFonts w:ascii="Bookman Old Style" w:hAnsi="Bookman Old Style"/>
                <w:sz w:val="20"/>
                <w:szCs w:val="20"/>
                <w:lang w:val="en-US"/>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pendekatan</w:t>
            </w:r>
            <w:r w:rsidRPr="009A4BC4">
              <w:rPr>
                <w:rFonts w:ascii="Bookman Old Style" w:hAnsi="Bookman Old Style"/>
                <w:spacing w:val="-3"/>
                <w:sz w:val="20"/>
                <w:szCs w:val="20"/>
              </w:rPr>
              <w:t xml:space="preserve"> </w:t>
            </w:r>
            <w:r w:rsidRPr="009A4BC4">
              <w:rPr>
                <w:rFonts w:ascii="Bookman Old Style" w:hAnsi="Bookman Old Style"/>
                <w:sz w:val="20"/>
                <w:szCs w:val="20"/>
              </w:rPr>
              <w:t>standar</w:t>
            </w:r>
          </w:p>
        </w:tc>
        <w:tc>
          <w:tcPr>
            <w:tcW w:w="989" w:type="dxa"/>
            <w:tcBorders>
              <w:top w:val="single" w:sz="4" w:space="0" w:color="000000"/>
              <w:left w:val="single" w:sz="4" w:space="0" w:color="000000"/>
              <w:bottom w:val="single" w:sz="4" w:space="0" w:color="000000"/>
              <w:right w:val="single" w:sz="4" w:space="0" w:color="000000"/>
            </w:tcBorders>
            <w:vAlign w:val="center"/>
          </w:tcPr>
          <w:p w14:paraId="46EFE2E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BE1D0F3"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119EA3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A3B4E91"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504203EA"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9D0FF0"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7791B3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C14F8B3"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6B95B2F5" w14:textId="77777777" w:rsidR="007A2AAB" w:rsidRPr="009A4BC4" w:rsidRDefault="007A2AAB" w:rsidP="009A4BC4">
            <w:pPr>
              <w:pStyle w:val="TableParagraph"/>
              <w:rPr>
                <w:rFonts w:ascii="Bookman Old Style" w:hAnsi="Bookman Old Style"/>
                <w:sz w:val="20"/>
                <w:szCs w:val="20"/>
              </w:rPr>
            </w:pPr>
          </w:p>
        </w:tc>
      </w:tr>
      <w:tr w:rsidR="007A2AAB" w:rsidRPr="009A4BC4" w14:paraId="71A744C9"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4A92963" w14:textId="65321E3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3.1.4.2.1</w:t>
            </w:r>
          </w:p>
        </w:tc>
        <w:tc>
          <w:tcPr>
            <w:tcW w:w="6946" w:type="dxa"/>
            <w:tcBorders>
              <w:top w:val="single" w:sz="4" w:space="0" w:color="000000"/>
              <w:left w:val="single" w:sz="4" w:space="0" w:color="000000"/>
              <w:bottom w:val="single" w:sz="4" w:space="0" w:color="000000"/>
              <w:right w:val="single" w:sz="4" w:space="0" w:color="000000"/>
            </w:tcBorders>
            <w:vAlign w:val="center"/>
          </w:tcPr>
          <w:p w14:paraId="08A58359" w14:textId="4EBE7F25"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50ACB2A4"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C4E1818" w14:textId="7D2093BE"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2AFF146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6BDA7E8" w14:textId="65D0D00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04DF1A8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090C5F" w14:textId="16C9FEC1"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3C2C913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4CC032A" w14:textId="5E3EF3E6"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71A2125C" w14:textId="77777777" w:rsidR="007A2AAB" w:rsidRPr="009A4BC4" w:rsidRDefault="007A2AAB" w:rsidP="009A4BC4">
            <w:pPr>
              <w:pStyle w:val="TableParagraph"/>
              <w:rPr>
                <w:rFonts w:ascii="Bookman Old Style" w:hAnsi="Bookman Old Style"/>
                <w:sz w:val="20"/>
                <w:szCs w:val="20"/>
              </w:rPr>
            </w:pPr>
          </w:p>
        </w:tc>
      </w:tr>
      <w:tr w:rsidR="007A2AAB" w:rsidRPr="009A4BC4" w14:paraId="1D8DF4D7"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906CC7B" w14:textId="5C60AA4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3.1.4.2.2</w:t>
            </w:r>
          </w:p>
        </w:tc>
        <w:tc>
          <w:tcPr>
            <w:tcW w:w="6946" w:type="dxa"/>
            <w:tcBorders>
              <w:top w:val="single" w:sz="4" w:space="0" w:color="000000"/>
              <w:left w:val="single" w:sz="4" w:space="0" w:color="000000"/>
              <w:bottom w:val="single" w:sz="4" w:space="0" w:color="000000"/>
              <w:right w:val="single" w:sz="4" w:space="0" w:color="000000"/>
            </w:tcBorders>
            <w:vAlign w:val="center"/>
          </w:tcPr>
          <w:p w14:paraId="54DF4F18" w14:textId="0371B559"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1"/>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15EA1F57"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1C11B5B"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7843483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836AE90"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4D3ADE4"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C2ED06"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C0C004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373A2CC"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6394161" w14:textId="77777777" w:rsidR="007A2AAB" w:rsidRPr="009A4BC4" w:rsidRDefault="007A2AAB" w:rsidP="009A4BC4">
            <w:pPr>
              <w:pStyle w:val="TableParagraph"/>
              <w:rPr>
                <w:rFonts w:ascii="Bookman Old Style" w:hAnsi="Bookman Old Style"/>
                <w:sz w:val="20"/>
                <w:szCs w:val="20"/>
              </w:rPr>
            </w:pPr>
          </w:p>
        </w:tc>
      </w:tr>
      <w:tr w:rsidR="007A2AAB" w:rsidRPr="009A4BC4" w14:paraId="05D8B094"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69F6A456" w14:textId="3C46D05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3.1.4.2.2.1</w:t>
            </w:r>
          </w:p>
        </w:tc>
        <w:tc>
          <w:tcPr>
            <w:tcW w:w="6946" w:type="dxa"/>
            <w:tcBorders>
              <w:top w:val="single" w:sz="4" w:space="0" w:color="000000"/>
              <w:left w:val="single" w:sz="4" w:space="0" w:color="000000"/>
              <w:bottom w:val="single" w:sz="4" w:space="0" w:color="000000"/>
              <w:right w:val="single" w:sz="4" w:space="0" w:color="000000"/>
            </w:tcBorders>
            <w:vAlign w:val="center"/>
          </w:tcPr>
          <w:p w14:paraId="360B54FA" w14:textId="03B3EF4E"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6BC7DD93"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D8C39AD" w14:textId="28F03850"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78D83A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AFF92FA" w14:textId="22AD18A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49B6525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281C56B" w14:textId="65976BFF"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777F96B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4C5428A" w14:textId="7D1711B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4E96AF87" w14:textId="77777777" w:rsidR="007A2AAB" w:rsidRPr="009A4BC4" w:rsidRDefault="007A2AAB" w:rsidP="009A4BC4">
            <w:pPr>
              <w:pStyle w:val="TableParagraph"/>
              <w:rPr>
                <w:rFonts w:ascii="Bookman Old Style" w:hAnsi="Bookman Old Style"/>
                <w:sz w:val="20"/>
                <w:szCs w:val="20"/>
              </w:rPr>
            </w:pPr>
          </w:p>
        </w:tc>
      </w:tr>
      <w:tr w:rsidR="007A2AAB" w:rsidRPr="009A4BC4" w14:paraId="3E1C5B27"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64FACBC5" w14:textId="790F91E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3.1.4.2.2.2</w:t>
            </w:r>
          </w:p>
        </w:tc>
        <w:tc>
          <w:tcPr>
            <w:tcW w:w="6946" w:type="dxa"/>
            <w:tcBorders>
              <w:top w:val="single" w:sz="4" w:space="0" w:color="000000"/>
              <w:left w:val="single" w:sz="4" w:space="0" w:color="000000"/>
              <w:bottom w:val="single" w:sz="4" w:space="0" w:color="000000"/>
              <w:right w:val="single" w:sz="4" w:space="0" w:color="000000"/>
            </w:tcBorders>
            <w:vAlign w:val="center"/>
          </w:tcPr>
          <w:p w14:paraId="046832A4" w14:textId="655CADC5"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2C6B6A8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FE2E303" w14:textId="2F834598"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2E2BAA6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C341F3B" w14:textId="5A11A8B1"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569F0C06"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E9D2A1B" w14:textId="72816B49"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5E65252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950013E" w14:textId="69FDB951"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3D4C95D2" w14:textId="77777777" w:rsidR="007A2AAB" w:rsidRPr="009A4BC4" w:rsidRDefault="007A2AAB" w:rsidP="009A4BC4">
            <w:pPr>
              <w:pStyle w:val="TableParagraph"/>
              <w:rPr>
                <w:rFonts w:ascii="Bookman Old Style" w:hAnsi="Bookman Old Style"/>
                <w:sz w:val="20"/>
                <w:szCs w:val="20"/>
              </w:rPr>
            </w:pPr>
          </w:p>
        </w:tc>
      </w:tr>
      <w:tr w:rsidR="007A2AAB" w:rsidRPr="009A4BC4" w14:paraId="63078AC0"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60E1B40B" w14:textId="45BB448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3.1.4.2.2.3</w:t>
            </w:r>
          </w:p>
        </w:tc>
        <w:tc>
          <w:tcPr>
            <w:tcW w:w="6946" w:type="dxa"/>
            <w:tcBorders>
              <w:top w:val="single" w:sz="4" w:space="0" w:color="000000"/>
              <w:left w:val="single" w:sz="4" w:space="0" w:color="000000"/>
              <w:bottom w:val="single" w:sz="4" w:space="0" w:color="000000"/>
              <w:right w:val="single" w:sz="4" w:space="0" w:color="000000"/>
            </w:tcBorders>
            <w:vAlign w:val="center"/>
          </w:tcPr>
          <w:p w14:paraId="4DC4F1C5" w14:textId="3C418CD2"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177C025D"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B735D90" w14:textId="39C4259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3D9247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C59E50B" w14:textId="34E2C86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3FB4A6B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6CC4E0" w14:textId="7B2EFA3F"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37C98BA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9FF9468" w14:textId="54433321"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6CED3498" w14:textId="77777777" w:rsidR="007A2AAB" w:rsidRPr="009A4BC4" w:rsidRDefault="007A2AAB" w:rsidP="009A4BC4">
            <w:pPr>
              <w:pStyle w:val="TableParagraph"/>
              <w:rPr>
                <w:rFonts w:ascii="Bookman Old Style" w:hAnsi="Bookman Old Style"/>
                <w:sz w:val="20"/>
                <w:szCs w:val="20"/>
              </w:rPr>
            </w:pPr>
          </w:p>
        </w:tc>
      </w:tr>
      <w:tr w:rsidR="007A2AAB" w:rsidRPr="009A4BC4" w14:paraId="0B2556C1"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10D56BA" w14:textId="77777777" w:rsidR="007A2AAB" w:rsidRPr="009A4BC4" w:rsidRDefault="007A2AAB" w:rsidP="009A4BC4">
            <w:pPr>
              <w:pStyle w:val="TableParagraph"/>
              <w:rPr>
                <w:rFonts w:ascii="Bookman Old Style" w:hAnsi="Bookman Old Style"/>
                <w:sz w:val="20"/>
                <w:szCs w:val="20"/>
              </w:rPr>
            </w:pPr>
          </w:p>
          <w:p w14:paraId="3362D85E" w14:textId="67C4D9F6"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3.1.5</w:t>
            </w:r>
          </w:p>
        </w:tc>
        <w:tc>
          <w:tcPr>
            <w:tcW w:w="6946" w:type="dxa"/>
            <w:tcBorders>
              <w:top w:val="single" w:sz="4" w:space="0" w:color="000000"/>
              <w:left w:val="single" w:sz="4" w:space="0" w:color="000000"/>
              <w:bottom w:val="single" w:sz="4" w:space="0" w:color="000000"/>
              <w:right w:val="single" w:sz="4" w:space="0" w:color="000000"/>
            </w:tcBorders>
            <w:vAlign w:val="center"/>
          </w:tcPr>
          <w:p w14:paraId="72136836" w14:textId="13605169" w:rsidR="007A2AAB" w:rsidRPr="009A4BC4" w:rsidRDefault="007A2AAB" w:rsidP="008262B9">
            <w:pPr>
              <w:pStyle w:val="TableParagraph"/>
              <w:ind w:left="477" w:right="272"/>
              <w:rPr>
                <w:rFonts w:ascii="Bookman Old Style" w:hAnsi="Bookman Old Style"/>
                <w:sz w:val="20"/>
                <w:szCs w:val="20"/>
              </w:rPr>
            </w:pPr>
            <w:r w:rsidRPr="009A4BC4">
              <w:rPr>
                <w:rFonts w:ascii="Bookman Old Style" w:hAnsi="Bookman Old Style"/>
                <w:sz w:val="20"/>
                <w:szCs w:val="20"/>
              </w:rPr>
              <w:t>Tagihan</w:t>
            </w:r>
            <w:r w:rsidRPr="009A4BC4">
              <w:rPr>
                <w:rFonts w:ascii="Bookman Old Style" w:hAnsi="Bookman Old Style"/>
                <w:spacing w:val="-3"/>
                <w:sz w:val="20"/>
                <w:szCs w:val="20"/>
              </w:rPr>
              <w:t xml:space="preserve"> </w:t>
            </w:r>
            <w:r w:rsidRPr="009A4BC4">
              <w:rPr>
                <w:rFonts w:ascii="Bookman Old Style" w:hAnsi="Bookman Old Style"/>
                <w:sz w:val="20"/>
                <w:szCs w:val="20"/>
              </w:rPr>
              <w:t>(termasuk</w:t>
            </w:r>
            <w:r w:rsidRPr="009A4BC4">
              <w:rPr>
                <w:rFonts w:ascii="Bookman Old Style" w:hAnsi="Bookman Old Style"/>
                <w:spacing w:val="-3"/>
                <w:sz w:val="20"/>
                <w:szCs w:val="20"/>
              </w:rPr>
              <w:t xml:space="preserve"> </w:t>
            </w:r>
            <w:r w:rsidRPr="009A4BC4">
              <w:rPr>
                <w:rFonts w:ascii="Bookman Old Style" w:hAnsi="Bookman Old Style"/>
                <w:sz w:val="20"/>
                <w:szCs w:val="20"/>
              </w:rPr>
              <w:t>pembiayaan)</w:t>
            </w:r>
            <w:r w:rsidRPr="009A4BC4">
              <w:rPr>
                <w:rFonts w:ascii="Bookman Old Style" w:hAnsi="Bookman Old Style"/>
                <w:spacing w:val="-4"/>
                <w:sz w:val="20"/>
                <w:szCs w:val="20"/>
              </w:rPr>
              <w:t xml:space="preserve"> </w:t>
            </w:r>
            <w:r w:rsidRPr="009A4BC4">
              <w:rPr>
                <w:rFonts w:ascii="Bookman Old Style" w:hAnsi="Bookman Old Style"/>
                <w:sz w:val="20"/>
                <w:szCs w:val="20"/>
              </w:rPr>
              <w:t>kepada</w:t>
            </w:r>
            <w:r w:rsidRPr="009A4BC4">
              <w:rPr>
                <w:rFonts w:ascii="Bookman Old Style" w:hAnsi="Bookman Old Style"/>
                <w:spacing w:val="-3"/>
                <w:sz w:val="20"/>
                <w:szCs w:val="20"/>
              </w:rPr>
              <w:t xml:space="preserve"> </w:t>
            </w:r>
            <w:r w:rsidRPr="009A4BC4">
              <w:rPr>
                <w:rFonts w:ascii="Bookman Old Style" w:hAnsi="Bookman Old Style"/>
                <w:sz w:val="20"/>
                <w:szCs w:val="20"/>
              </w:rPr>
              <w:t>Bank</w:t>
            </w:r>
            <w:r w:rsidRPr="009A4BC4">
              <w:rPr>
                <w:rFonts w:ascii="Bookman Old Style" w:hAnsi="Bookman Old Style"/>
                <w:spacing w:val="-3"/>
                <w:sz w:val="20"/>
                <w:szCs w:val="20"/>
              </w:rPr>
              <w:t xml:space="preserve"> </w:t>
            </w:r>
            <w:r w:rsidRPr="009A4BC4">
              <w:rPr>
                <w:rFonts w:ascii="Bookman Old Style" w:hAnsi="Bookman Old Style"/>
                <w:sz w:val="20"/>
                <w:szCs w:val="20"/>
              </w:rPr>
              <w:t>Indonesia</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2"/>
                <w:sz w:val="20"/>
                <w:szCs w:val="20"/>
              </w:rPr>
              <w:t xml:space="preserve"> </w:t>
            </w:r>
            <w:r w:rsidRPr="009A4BC4">
              <w:rPr>
                <w:rFonts w:ascii="Bookman Old Style" w:hAnsi="Bookman Old Style"/>
                <w:sz w:val="20"/>
                <w:szCs w:val="20"/>
              </w:rPr>
              <w:t>bank</w:t>
            </w:r>
            <w:r w:rsidRPr="009A4BC4">
              <w:rPr>
                <w:rFonts w:ascii="Bookman Old Style" w:hAnsi="Bookman Old Style"/>
                <w:spacing w:val="-3"/>
                <w:sz w:val="20"/>
                <w:szCs w:val="20"/>
              </w:rPr>
              <w:t xml:space="preserve"> </w:t>
            </w:r>
            <w:r w:rsidRPr="009A4BC4">
              <w:rPr>
                <w:rFonts w:ascii="Bookman Old Style" w:hAnsi="Bookman Old Style"/>
                <w:sz w:val="20"/>
                <w:szCs w:val="20"/>
              </w:rPr>
              <w:t>sentral</w:t>
            </w:r>
            <w:r w:rsidRPr="009A4BC4">
              <w:rPr>
                <w:rFonts w:ascii="Bookman Old Style" w:hAnsi="Bookman Old Style"/>
                <w:spacing w:val="-42"/>
                <w:sz w:val="20"/>
                <w:szCs w:val="20"/>
              </w:rPr>
              <w:t xml:space="preserve"> </w:t>
            </w:r>
            <w:r w:rsidRPr="009A4BC4">
              <w:rPr>
                <w:rFonts w:ascii="Bookman Old Style" w:hAnsi="Bookman Old Style"/>
                <w:sz w:val="20"/>
                <w:szCs w:val="20"/>
              </w:rPr>
              <w:t>negara lain dengan sisa jangka waktu kurang dari 1 tahun selain surat</w:t>
            </w:r>
            <w:r w:rsidRPr="009A4BC4">
              <w:rPr>
                <w:rFonts w:ascii="Bookman Old Style" w:hAnsi="Bookman Old Style"/>
                <w:spacing w:val="1"/>
                <w:sz w:val="20"/>
                <w:szCs w:val="20"/>
              </w:rPr>
              <w:t xml:space="preserve"> </w:t>
            </w:r>
            <w:r w:rsidRPr="009A4BC4">
              <w:rPr>
                <w:rFonts w:ascii="Bookman Old Style" w:hAnsi="Bookman Old Style"/>
                <w:sz w:val="20"/>
                <w:szCs w:val="20"/>
              </w:rPr>
              <w:t>berharga</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diterbitkan</w:t>
            </w:r>
            <w:r w:rsidRPr="009A4BC4">
              <w:rPr>
                <w:rFonts w:ascii="Bookman Old Style" w:hAnsi="Bookman Old Style"/>
                <w:spacing w:val="-2"/>
                <w:sz w:val="20"/>
                <w:szCs w:val="20"/>
              </w:rPr>
              <w:t xml:space="preserve"> </w:t>
            </w:r>
            <w:r w:rsidRPr="009A4BC4">
              <w:rPr>
                <w:rFonts w:ascii="Bookman Old Style" w:hAnsi="Bookman Old Style"/>
                <w:sz w:val="20"/>
                <w:szCs w:val="20"/>
              </w:rPr>
              <w:t>atau</w:t>
            </w:r>
            <w:r w:rsidRPr="009A4BC4">
              <w:rPr>
                <w:rFonts w:ascii="Bookman Old Style" w:hAnsi="Bookman Old Style"/>
                <w:spacing w:val="-2"/>
                <w:sz w:val="20"/>
                <w:szCs w:val="20"/>
              </w:rPr>
              <w:t xml:space="preserve"> </w:t>
            </w:r>
            <w:r w:rsidRPr="009A4BC4">
              <w:rPr>
                <w:rFonts w:ascii="Bookman Old Style" w:hAnsi="Bookman Old Style"/>
                <w:sz w:val="20"/>
                <w:szCs w:val="20"/>
              </w:rPr>
              <w:t>dijamin</w:t>
            </w:r>
            <w:r w:rsidRPr="009A4BC4">
              <w:rPr>
                <w:rFonts w:ascii="Bookman Old Style" w:hAnsi="Bookman Old Style"/>
                <w:spacing w:val="-2"/>
                <w:sz w:val="20"/>
                <w:szCs w:val="20"/>
              </w:rPr>
              <w:t xml:space="preserve"> </w:t>
            </w:r>
            <w:r w:rsidRPr="009A4BC4">
              <w:rPr>
                <w:rFonts w:ascii="Bookman Old Style" w:hAnsi="Bookman Old Style"/>
                <w:sz w:val="20"/>
                <w:szCs w:val="20"/>
              </w:rPr>
              <w:t>oleh</w:t>
            </w:r>
            <w:r w:rsidRPr="009A4BC4">
              <w:rPr>
                <w:rFonts w:ascii="Bookman Old Style" w:hAnsi="Bookman Old Style"/>
                <w:spacing w:val="-2"/>
                <w:sz w:val="20"/>
                <w:szCs w:val="20"/>
              </w:rPr>
              <w:t xml:space="preserve"> </w:t>
            </w:r>
            <w:r w:rsidRPr="009A4BC4">
              <w:rPr>
                <w:rFonts w:ascii="Bookman Old Style" w:hAnsi="Bookman Old Style"/>
                <w:sz w:val="20"/>
                <w:szCs w:val="20"/>
              </w:rPr>
              <w:t>Bank</w:t>
            </w:r>
            <w:r w:rsidRPr="009A4BC4">
              <w:rPr>
                <w:rFonts w:ascii="Bookman Old Style" w:hAnsi="Bookman Old Style"/>
                <w:spacing w:val="-2"/>
                <w:sz w:val="20"/>
                <w:szCs w:val="20"/>
              </w:rPr>
              <w:t xml:space="preserve"> </w:t>
            </w:r>
            <w:r w:rsidRPr="009A4BC4">
              <w:rPr>
                <w:rFonts w:ascii="Bookman Old Style" w:hAnsi="Bookman Old Style"/>
                <w:sz w:val="20"/>
                <w:szCs w:val="20"/>
              </w:rPr>
              <w:t>Indonesia</w:t>
            </w:r>
            <w:r w:rsidRPr="009A4BC4">
              <w:rPr>
                <w:rFonts w:ascii="Bookman Old Style" w:hAnsi="Bookman Old Style"/>
                <w:spacing w:val="-2"/>
                <w:sz w:val="20"/>
                <w:szCs w:val="20"/>
              </w:rPr>
              <w:t xml:space="preserve"> </w:t>
            </w:r>
            <w:r w:rsidRPr="009A4BC4">
              <w:rPr>
                <w:rFonts w:ascii="Bookman Old Style" w:hAnsi="Bookman Old Style"/>
                <w:sz w:val="20"/>
                <w:szCs w:val="20"/>
              </w:rPr>
              <w:t>dan bank</w:t>
            </w:r>
            <w:r w:rsidR="008262B9">
              <w:rPr>
                <w:rFonts w:ascii="Bookman Old Style" w:hAnsi="Bookman Old Style"/>
                <w:sz w:val="20"/>
                <w:szCs w:val="20"/>
                <w:lang w:val="en-US"/>
              </w:rPr>
              <w:t xml:space="preserve"> </w:t>
            </w:r>
            <w:r w:rsidRPr="009A4BC4">
              <w:rPr>
                <w:rFonts w:ascii="Bookman Old Style" w:hAnsi="Bookman Old Style"/>
                <w:sz w:val="20"/>
                <w:szCs w:val="20"/>
              </w:rPr>
              <w:t>sentral</w:t>
            </w:r>
            <w:r w:rsidRPr="009A4BC4">
              <w:rPr>
                <w:rFonts w:ascii="Bookman Old Style" w:hAnsi="Bookman Old Style"/>
                <w:spacing w:val="-3"/>
                <w:sz w:val="20"/>
                <w:szCs w:val="20"/>
              </w:rPr>
              <w:t xml:space="preserve"> </w:t>
            </w:r>
            <w:r w:rsidRPr="009A4BC4">
              <w:rPr>
                <w:rFonts w:ascii="Bookman Old Style" w:hAnsi="Bookman Old Style"/>
                <w:sz w:val="20"/>
                <w:szCs w:val="20"/>
              </w:rPr>
              <w:t>negara</w:t>
            </w:r>
            <w:r w:rsidRPr="009A4BC4">
              <w:rPr>
                <w:rFonts w:ascii="Bookman Old Style" w:hAnsi="Bookman Old Style"/>
                <w:spacing w:val="-2"/>
                <w:sz w:val="20"/>
                <w:szCs w:val="20"/>
              </w:rPr>
              <w:t xml:space="preserve"> </w:t>
            </w:r>
            <w:r w:rsidRPr="009A4BC4">
              <w:rPr>
                <w:rFonts w:ascii="Bookman Old Style" w:hAnsi="Bookman Old Style"/>
                <w:sz w:val="20"/>
                <w:szCs w:val="20"/>
              </w:rPr>
              <w:t>lain</w:t>
            </w:r>
          </w:p>
        </w:tc>
        <w:tc>
          <w:tcPr>
            <w:tcW w:w="989" w:type="dxa"/>
            <w:tcBorders>
              <w:top w:val="single" w:sz="4" w:space="0" w:color="000000"/>
              <w:left w:val="single" w:sz="4" w:space="0" w:color="000000"/>
              <w:bottom w:val="single" w:sz="4" w:space="0" w:color="000000"/>
              <w:right w:val="single" w:sz="4" w:space="0" w:color="000000"/>
            </w:tcBorders>
            <w:vAlign w:val="center"/>
          </w:tcPr>
          <w:p w14:paraId="6D91C63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C6D3945"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53ABC1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94ECF1E"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F6C890A"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D227FD"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654E95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28916BB"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039F97F" w14:textId="77777777" w:rsidR="007A2AAB" w:rsidRPr="009A4BC4" w:rsidRDefault="007A2AAB" w:rsidP="009A4BC4">
            <w:pPr>
              <w:pStyle w:val="TableParagraph"/>
              <w:rPr>
                <w:rFonts w:ascii="Bookman Old Style" w:hAnsi="Bookman Old Style"/>
                <w:sz w:val="20"/>
                <w:szCs w:val="20"/>
              </w:rPr>
            </w:pPr>
          </w:p>
        </w:tc>
      </w:tr>
      <w:tr w:rsidR="007A2AAB" w:rsidRPr="009A4BC4" w14:paraId="7BF612DF"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27DE6E2" w14:textId="05B3F8F8"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3.1.5.1</w:t>
            </w:r>
          </w:p>
        </w:tc>
        <w:tc>
          <w:tcPr>
            <w:tcW w:w="6946" w:type="dxa"/>
            <w:tcBorders>
              <w:top w:val="single" w:sz="4" w:space="0" w:color="000000"/>
              <w:left w:val="single" w:sz="4" w:space="0" w:color="000000"/>
              <w:bottom w:val="single" w:sz="4" w:space="0" w:color="000000"/>
              <w:right w:val="single" w:sz="4" w:space="0" w:color="000000"/>
            </w:tcBorders>
            <w:vAlign w:val="center"/>
          </w:tcPr>
          <w:p w14:paraId="230F2B7E" w14:textId="6462EA67"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1"/>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18044DE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82C60B0" w14:textId="41C766FB"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598649B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FC76646" w14:textId="19C684CD"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6FAB4F0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A032027" w14:textId="6FE1693D"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04F5279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BFCF199"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1CD4C54" w14:textId="77777777" w:rsidR="007A2AAB" w:rsidRPr="009A4BC4" w:rsidRDefault="007A2AAB" w:rsidP="009A4BC4">
            <w:pPr>
              <w:pStyle w:val="TableParagraph"/>
              <w:rPr>
                <w:rFonts w:ascii="Bookman Old Style" w:hAnsi="Bookman Old Style"/>
                <w:sz w:val="20"/>
                <w:szCs w:val="20"/>
              </w:rPr>
            </w:pPr>
          </w:p>
        </w:tc>
      </w:tr>
      <w:tr w:rsidR="007A2AAB" w:rsidRPr="009A4BC4" w14:paraId="5B175C08"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3A2ABDF" w14:textId="358F2EE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3.1.5.2</w:t>
            </w:r>
          </w:p>
        </w:tc>
        <w:tc>
          <w:tcPr>
            <w:tcW w:w="6946" w:type="dxa"/>
            <w:tcBorders>
              <w:top w:val="single" w:sz="4" w:space="0" w:color="000000"/>
              <w:left w:val="single" w:sz="4" w:space="0" w:color="000000"/>
              <w:bottom w:val="single" w:sz="4" w:space="0" w:color="000000"/>
              <w:right w:val="single" w:sz="4" w:space="0" w:color="000000"/>
            </w:tcBorders>
            <w:vAlign w:val="center"/>
          </w:tcPr>
          <w:p w14:paraId="32A84CA0" w14:textId="51079442"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5"/>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7D905BF4"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624AAEF"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7BE601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D789D29"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731E2B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FD388DA"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136157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2E37E2E"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2C6C8AD8" w14:textId="77777777" w:rsidR="007A2AAB" w:rsidRPr="009A4BC4" w:rsidRDefault="007A2AAB" w:rsidP="009A4BC4">
            <w:pPr>
              <w:pStyle w:val="TableParagraph"/>
              <w:rPr>
                <w:rFonts w:ascii="Bookman Old Style" w:hAnsi="Bookman Old Style"/>
                <w:sz w:val="20"/>
                <w:szCs w:val="20"/>
              </w:rPr>
            </w:pPr>
          </w:p>
        </w:tc>
      </w:tr>
      <w:tr w:rsidR="007A2AAB" w:rsidRPr="009A4BC4" w14:paraId="4FC7320B"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A327766" w14:textId="2ACF8C3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lastRenderedPageBreak/>
              <w:t>3.1.5.2.1</w:t>
            </w:r>
          </w:p>
        </w:tc>
        <w:tc>
          <w:tcPr>
            <w:tcW w:w="6946" w:type="dxa"/>
            <w:tcBorders>
              <w:top w:val="single" w:sz="4" w:space="0" w:color="000000"/>
              <w:left w:val="single" w:sz="4" w:space="0" w:color="000000"/>
              <w:bottom w:val="single" w:sz="4" w:space="0" w:color="000000"/>
              <w:right w:val="single" w:sz="4" w:space="0" w:color="000000"/>
            </w:tcBorders>
            <w:vAlign w:val="center"/>
          </w:tcPr>
          <w:p w14:paraId="6D1B4B62" w14:textId="77438E9E"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4B27EBCE"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58E2BC1" w14:textId="75C345C5"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4A3176D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6A9B767" w14:textId="5F5898DD"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17EDD05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5DB4D4" w14:textId="64ED51B1"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3AEEF71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C8A1188"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7CF88FD" w14:textId="77777777" w:rsidR="007A2AAB" w:rsidRPr="009A4BC4" w:rsidRDefault="007A2AAB" w:rsidP="009A4BC4">
            <w:pPr>
              <w:pStyle w:val="TableParagraph"/>
              <w:rPr>
                <w:rFonts w:ascii="Bookman Old Style" w:hAnsi="Bookman Old Style"/>
                <w:sz w:val="20"/>
                <w:szCs w:val="20"/>
              </w:rPr>
            </w:pPr>
          </w:p>
        </w:tc>
      </w:tr>
      <w:tr w:rsidR="007A2AAB" w:rsidRPr="009A4BC4" w14:paraId="7B57EF93"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7D7AB8F" w14:textId="7F63D35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3.1.5.2.2</w:t>
            </w:r>
          </w:p>
        </w:tc>
        <w:tc>
          <w:tcPr>
            <w:tcW w:w="6946" w:type="dxa"/>
            <w:tcBorders>
              <w:top w:val="single" w:sz="4" w:space="0" w:color="000000"/>
              <w:left w:val="single" w:sz="4" w:space="0" w:color="000000"/>
              <w:bottom w:val="single" w:sz="4" w:space="0" w:color="000000"/>
              <w:right w:val="single" w:sz="4" w:space="0" w:color="000000"/>
            </w:tcBorders>
            <w:vAlign w:val="center"/>
          </w:tcPr>
          <w:p w14:paraId="17DD6571" w14:textId="33B04504"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23896762"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94FF171" w14:textId="0C548725"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AEE69E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7615AF8" w14:textId="21D13E01"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1CEBC1B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72AF32" w14:textId="7344829A"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19B7C95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AB4B11A"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0FB14C0" w14:textId="77777777" w:rsidR="007A2AAB" w:rsidRPr="009A4BC4" w:rsidRDefault="007A2AAB" w:rsidP="009A4BC4">
            <w:pPr>
              <w:pStyle w:val="TableParagraph"/>
              <w:rPr>
                <w:rFonts w:ascii="Bookman Old Style" w:hAnsi="Bookman Old Style"/>
                <w:sz w:val="20"/>
                <w:szCs w:val="20"/>
              </w:rPr>
            </w:pPr>
          </w:p>
        </w:tc>
      </w:tr>
      <w:tr w:rsidR="007A2AAB" w:rsidRPr="009A4BC4" w14:paraId="391405E3"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78ED4D5" w14:textId="265350C6"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3.1.5.2.3</w:t>
            </w:r>
          </w:p>
        </w:tc>
        <w:tc>
          <w:tcPr>
            <w:tcW w:w="6946" w:type="dxa"/>
            <w:tcBorders>
              <w:top w:val="single" w:sz="4" w:space="0" w:color="000000"/>
              <w:left w:val="single" w:sz="4" w:space="0" w:color="000000"/>
              <w:bottom w:val="single" w:sz="4" w:space="0" w:color="000000"/>
              <w:right w:val="single" w:sz="4" w:space="0" w:color="000000"/>
            </w:tcBorders>
            <w:vAlign w:val="center"/>
          </w:tcPr>
          <w:p w14:paraId="3D87E817" w14:textId="654E7519"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4"/>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21DF85CF"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171D2CAB" w14:textId="0DEF30A1"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5547672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F4C09A6" w14:textId="2C293D39"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131AE2AD"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76B143" w14:textId="451E780B"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297B037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F411245"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2E66CEB0" w14:textId="77777777" w:rsidR="007A2AAB" w:rsidRPr="009A4BC4" w:rsidRDefault="007A2AAB" w:rsidP="009A4BC4">
            <w:pPr>
              <w:pStyle w:val="TableParagraph"/>
              <w:rPr>
                <w:rFonts w:ascii="Bookman Old Style" w:hAnsi="Bookman Old Style"/>
                <w:sz w:val="20"/>
                <w:szCs w:val="20"/>
              </w:rPr>
            </w:pPr>
          </w:p>
        </w:tc>
      </w:tr>
      <w:tr w:rsidR="007A2AAB" w:rsidRPr="009A4BC4" w14:paraId="772403D9"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032A809" w14:textId="3CF00AA6"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3.1.6</w:t>
            </w:r>
          </w:p>
        </w:tc>
        <w:tc>
          <w:tcPr>
            <w:tcW w:w="6946" w:type="dxa"/>
            <w:tcBorders>
              <w:top w:val="single" w:sz="4" w:space="0" w:color="000000"/>
              <w:left w:val="single" w:sz="4" w:space="0" w:color="000000"/>
              <w:bottom w:val="single" w:sz="4" w:space="0" w:color="000000"/>
              <w:right w:val="single" w:sz="4" w:space="0" w:color="000000"/>
            </w:tcBorders>
            <w:vAlign w:val="center"/>
          </w:tcPr>
          <w:p w14:paraId="4265418D" w14:textId="73831E0D" w:rsidR="007A2AAB" w:rsidRPr="009A4BC4" w:rsidRDefault="007A2AAB" w:rsidP="008262B9">
            <w:pPr>
              <w:pStyle w:val="TableParagraph"/>
              <w:ind w:left="523"/>
              <w:rPr>
                <w:rFonts w:ascii="Bookman Old Style" w:hAnsi="Bookman Old Style"/>
                <w:sz w:val="20"/>
                <w:szCs w:val="20"/>
              </w:rPr>
            </w:pPr>
            <w:r w:rsidRPr="009A4BC4">
              <w:rPr>
                <w:rFonts w:ascii="Bookman Old Style" w:hAnsi="Bookman Old Style"/>
                <w:sz w:val="20"/>
                <w:szCs w:val="20"/>
              </w:rPr>
              <w:t>Tagihan</w:t>
            </w:r>
            <w:r w:rsidRPr="009A4BC4">
              <w:rPr>
                <w:rFonts w:ascii="Bookman Old Style" w:hAnsi="Bookman Old Style"/>
                <w:spacing w:val="-2"/>
                <w:sz w:val="20"/>
                <w:szCs w:val="20"/>
              </w:rPr>
              <w:t xml:space="preserve"> </w:t>
            </w:r>
            <w:r w:rsidRPr="009A4BC4">
              <w:rPr>
                <w:rFonts w:ascii="Bookman Old Style" w:hAnsi="Bookman Old Style"/>
                <w:sz w:val="20"/>
                <w:szCs w:val="20"/>
              </w:rPr>
              <w:t>kepada</w:t>
            </w:r>
            <w:r w:rsidRPr="009A4BC4">
              <w:rPr>
                <w:rFonts w:ascii="Bookman Old Style" w:hAnsi="Bookman Old Style"/>
                <w:spacing w:val="-5"/>
                <w:sz w:val="20"/>
                <w:szCs w:val="20"/>
              </w:rPr>
              <w:t xml:space="preserve"> </w:t>
            </w:r>
            <w:r w:rsidRPr="009A4BC4">
              <w:rPr>
                <w:rFonts w:ascii="Bookman Old Style" w:hAnsi="Bookman Old Style"/>
                <w:sz w:val="20"/>
                <w:szCs w:val="20"/>
              </w:rPr>
              <w:t>Bank</w:t>
            </w:r>
            <w:r w:rsidRPr="009A4BC4">
              <w:rPr>
                <w:rFonts w:ascii="Bookman Old Style" w:hAnsi="Bookman Old Style"/>
                <w:spacing w:val="-2"/>
                <w:sz w:val="20"/>
                <w:szCs w:val="20"/>
              </w:rPr>
              <w:t xml:space="preserve"> </w:t>
            </w:r>
            <w:r w:rsidRPr="009A4BC4">
              <w:rPr>
                <w:rFonts w:ascii="Bookman Old Style" w:hAnsi="Bookman Old Style"/>
                <w:sz w:val="20"/>
                <w:szCs w:val="20"/>
              </w:rPr>
              <w:t>Indonesia</w:t>
            </w:r>
            <w:r w:rsidRPr="009A4BC4">
              <w:rPr>
                <w:rFonts w:ascii="Bookman Old Style" w:hAnsi="Bookman Old Style"/>
                <w:spacing w:val="-2"/>
                <w:sz w:val="20"/>
                <w:szCs w:val="20"/>
              </w:rPr>
              <w:t xml:space="preserve"> </w:t>
            </w:r>
            <w:r w:rsidRPr="009A4BC4">
              <w:rPr>
                <w:rFonts w:ascii="Bookman Old Style" w:hAnsi="Bookman Old Style"/>
                <w:sz w:val="20"/>
                <w:szCs w:val="20"/>
              </w:rPr>
              <w:t>dan</w:t>
            </w:r>
            <w:r w:rsidRPr="009A4BC4">
              <w:rPr>
                <w:rFonts w:ascii="Bookman Old Style" w:hAnsi="Bookman Old Style"/>
                <w:spacing w:val="-2"/>
                <w:sz w:val="20"/>
                <w:szCs w:val="20"/>
              </w:rPr>
              <w:t xml:space="preserve"> </w:t>
            </w:r>
            <w:r w:rsidRPr="009A4BC4">
              <w:rPr>
                <w:rFonts w:ascii="Bookman Old Style" w:hAnsi="Bookman Old Style"/>
                <w:sz w:val="20"/>
                <w:szCs w:val="20"/>
              </w:rPr>
              <w:t>bank</w:t>
            </w:r>
            <w:r w:rsidRPr="009A4BC4">
              <w:rPr>
                <w:rFonts w:ascii="Bookman Old Style" w:hAnsi="Bookman Old Style"/>
                <w:spacing w:val="-2"/>
                <w:sz w:val="20"/>
                <w:szCs w:val="20"/>
              </w:rPr>
              <w:t xml:space="preserve"> </w:t>
            </w:r>
            <w:r w:rsidRPr="009A4BC4">
              <w:rPr>
                <w:rFonts w:ascii="Bookman Old Style" w:hAnsi="Bookman Old Style"/>
                <w:sz w:val="20"/>
                <w:szCs w:val="20"/>
              </w:rPr>
              <w:t>sentral</w:t>
            </w:r>
            <w:r w:rsidRPr="009A4BC4">
              <w:rPr>
                <w:rFonts w:ascii="Bookman Old Style" w:hAnsi="Bookman Old Style"/>
                <w:spacing w:val="-3"/>
                <w:sz w:val="20"/>
                <w:szCs w:val="20"/>
              </w:rPr>
              <w:t xml:space="preserve"> </w:t>
            </w:r>
            <w:r w:rsidRPr="009A4BC4">
              <w:rPr>
                <w:rFonts w:ascii="Bookman Old Style" w:hAnsi="Bookman Old Style"/>
                <w:sz w:val="20"/>
                <w:szCs w:val="20"/>
              </w:rPr>
              <w:t>negara</w:t>
            </w:r>
            <w:r w:rsidRPr="009A4BC4">
              <w:rPr>
                <w:rFonts w:ascii="Bookman Old Style" w:hAnsi="Bookman Old Style"/>
                <w:spacing w:val="-3"/>
                <w:sz w:val="20"/>
                <w:szCs w:val="20"/>
              </w:rPr>
              <w:t xml:space="preserve"> </w:t>
            </w:r>
            <w:r w:rsidRPr="009A4BC4">
              <w:rPr>
                <w:rFonts w:ascii="Bookman Old Style" w:hAnsi="Bookman Old Style"/>
                <w:sz w:val="20"/>
                <w:szCs w:val="20"/>
              </w:rPr>
              <w:t>lain (contoh:</w:t>
            </w:r>
            <w:r w:rsidRPr="009A4BC4">
              <w:rPr>
                <w:rFonts w:ascii="Bookman Old Style" w:hAnsi="Bookman Old Style"/>
                <w:spacing w:val="-2"/>
                <w:sz w:val="20"/>
                <w:szCs w:val="20"/>
              </w:rPr>
              <w:t xml:space="preserve"> </w:t>
            </w:r>
            <w:r w:rsidRPr="009A4BC4">
              <w:rPr>
                <w:rFonts w:ascii="Bookman Old Style" w:hAnsi="Bookman Old Style"/>
                <w:sz w:val="20"/>
                <w:szCs w:val="20"/>
              </w:rPr>
              <w:t>surat</w:t>
            </w:r>
            <w:r w:rsidR="008262B9">
              <w:rPr>
                <w:rFonts w:ascii="Bookman Old Style" w:hAnsi="Bookman Old Style"/>
                <w:sz w:val="20"/>
                <w:szCs w:val="20"/>
                <w:lang w:val="en-US"/>
              </w:rPr>
              <w:t xml:space="preserve"> b</w:t>
            </w:r>
            <w:r w:rsidRPr="009A4BC4">
              <w:rPr>
                <w:rFonts w:ascii="Bookman Old Style" w:hAnsi="Bookman Old Style"/>
                <w:sz w:val="20"/>
                <w:szCs w:val="20"/>
              </w:rPr>
              <w:t>erharga syariah</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diterbitkan</w:t>
            </w:r>
            <w:r w:rsidRPr="009A4BC4">
              <w:rPr>
                <w:rFonts w:ascii="Bookman Old Style" w:hAnsi="Bookman Old Style"/>
                <w:spacing w:val="-2"/>
                <w:sz w:val="20"/>
                <w:szCs w:val="20"/>
              </w:rPr>
              <w:t xml:space="preserve"> </w:t>
            </w:r>
            <w:r w:rsidRPr="009A4BC4">
              <w:rPr>
                <w:rFonts w:ascii="Bookman Old Style" w:hAnsi="Bookman Old Style"/>
                <w:sz w:val="20"/>
                <w:szCs w:val="20"/>
              </w:rPr>
              <w:t>oleh</w:t>
            </w:r>
            <w:r w:rsidRPr="009A4BC4">
              <w:rPr>
                <w:rFonts w:ascii="Bookman Old Style" w:hAnsi="Bookman Old Style"/>
                <w:spacing w:val="-2"/>
                <w:sz w:val="20"/>
                <w:szCs w:val="20"/>
              </w:rPr>
              <w:t xml:space="preserve"> </w:t>
            </w:r>
            <w:r w:rsidRPr="009A4BC4">
              <w:rPr>
                <w:rFonts w:ascii="Bookman Old Style" w:hAnsi="Bookman Old Style"/>
                <w:sz w:val="20"/>
                <w:szCs w:val="20"/>
              </w:rPr>
              <w:t>Bank</w:t>
            </w:r>
            <w:r w:rsidRPr="009A4BC4">
              <w:rPr>
                <w:rFonts w:ascii="Bookman Old Style" w:hAnsi="Bookman Old Style"/>
                <w:spacing w:val="-2"/>
                <w:sz w:val="20"/>
                <w:szCs w:val="20"/>
              </w:rPr>
              <w:t xml:space="preserve"> </w:t>
            </w:r>
            <w:r w:rsidRPr="009A4BC4">
              <w:rPr>
                <w:rFonts w:ascii="Bookman Old Style" w:hAnsi="Bookman Old Style"/>
                <w:sz w:val="20"/>
                <w:szCs w:val="20"/>
              </w:rPr>
              <w:t>Indonesia</w:t>
            </w:r>
            <w:r w:rsidRPr="009A4BC4">
              <w:rPr>
                <w:rFonts w:ascii="Bookman Old Style" w:hAnsi="Bookman Old Style"/>
                <w:spacing w:val="-1"/>
                <w:sz w:val="20"/>
                <w:szCs w:val="20"/>
              </w:rPr>
              <w:t xml:space="preserve"> </w:t>
            </w:r>
            <w:r w:rsidRPr="009A4BC4">
              <w:rPr>
                <w:rFonts w:ascii="Bookman Old Style" w:hAnsi="Bookman Old Style"/>
                <w:sz w:val="20"/>
                <w:szCs w:val="20"/>
              </w:rPr>
              <w:t>dan</w:t>
            </w:r>
            <w:r w:rsidRPr="009A4BC4">
              <w:rPr>
                <w:rFonts w:ascii="Bookman Old Style" w:hAnsi="Bookman Old Style"/>
                <w:spacing w:val="-1"/>
                <w:sz w:val="20"/>
                <w:szCs w:val="20"/>
              </w:rPr>
              <w:t xml:space="preserve"> </w:t>
            </w:r>
            <w:r w:rsidRPr="009A4BC4">
              <w:rPr>
                <w:rFonts w:ascii="Bookman Old Style" w:hAnsi="Bookman Old Style"/>
                <w:sz w:val="20"/>
                <w:szCs w:val="20"/>
              </w:rPr>
              <w:t>bank</w:t>
            </w:r>
            <w:r w:rsidRPr="009A4BC4">
              <w:rPr>
                <w:rFonts w:ascii="Bookman Old Style" w:hAnsi="Bookman Old Style"/>
                <w:spacing w:val="-2"/>
                <w:sz w:val="20"/>
                <w:szCs w:val="20"/>
              </w:rPr>
              <w:t xml:space="preserve"> </w:t>
            </w:r>
            <w:r w:rsidRPr="009A4BC4">
              <w:rPr>
                <w:rFonts w:ascii="Bookman Old Style" w:hAnsi="Bookman Old Style"/>
                <w:sz w:val="20"/>
                <w:szCs w:val="20"/>
              </w:rPr>
              <w:t>sentral</w:t>
            </w:r>
            <w:r w:rsidRPr="009A4BC4">
              <w:rPr>
                <w:rFonts w:ascii="Bookman Old Style" w:hAnsi="Bookman Old Style"/>
                <w:spacing w:val="-2"/>
                <w:sz w:val="20"/>
                <w:szCs w:val="20"/>
              </w:rPr>
              <w:t xml:space="preserve"> </w:t>
            </w:r>
            <w:r w:rsidRPr="009A4BC4">
              <w:rPr>
                <w:rFonts w:ascii="Bookman Old Style" w:hAnsi="Bookman Old Style"/>
                <w:sz w:val="20"/>
                <w:szCs w:val="20"/>
              </w:rPr>
              <w:t>negara</w:t>
            </w:r>
            <w:r w:rsidRPr="009A4BC4">
              <w:rPr>
                <w:rFonts w:ascii="Bookman Old Style" w:hAnsi="Bookman Old Style"/>
                <w:spacing w:val="-2"/>
                <w:sz w:val="20"/>
                <w:szCs w:val="20"/>
              </w:rPr>
              <w:t xml:space="preserve"> </w:t>
            </w:r>
            <w:r w:rsidRPr="009A4BC4">
              <w:rPr>
                <w:rFonts w:ascii="Bookman Old Style" w:hAnsi="Bookman Old Style"/>
                <w:sz w:val="20"/>
                <w:szCs w:val="20"/>
              </w:rPr>
              <w:t>lain)</w:t>
            </w:r>
          </w:p>
        </w:tc>
        <w:tc>
          <w:tcPr>
            <w:tcW w:w="989" w:type="dxa"/>
            <w:tcBorders>
              <w:top w:val="single" w:sz="4" w:space="0" w:color="000000"/>
              <w:left w:val="single" w:sz="4" w:space="0" w:color="000000"/>
              <w:bottom w:val="single" w:sz="4" w:space="0" w:color="000000"/>
              <w:right w:val="single" w:sz="4" w:space="0" w:color="000000"/>
            </w:tcBorders>
            <w:vAlign w:val="center"/>
          </w:tcPr>
          <w:p w14:paraId="4190A7B9"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57F3474"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C0C349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B4A2E4A"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7DEB7E1"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411B43"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ABFC21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985C3A6"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BAF823B" w14:textId="77777777" w:rsidR="007A2AAB" w:rsidRPr="009A4BC4" w:rsidRDefault="007A2AAB" w:rsidP="009A4BC4">
            <w:pPr>
              <w:pStyle w:val="TableParagraph"/>
              <w:rPr>
                <w:rFonts w:ascii="Bookman Old Style" w:hAnsi="Bookman Old Style"/>
                <w:sz w:val="20"/>
                <w:szCs w:val="20"/>
              </w:rPr>
            </w:pPr>
          </w:p>
        </w:tc>
      </w:tr>
      <w:tr w:rsidR="007A2AAB" w:rsidRPr="009A4BC4" w14:paraId="3BC8B1B4"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BB483AF" w14:textId="0267BF19"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3.1.6.1</w:t>
            </w:r>
          </w:p>
        </w:tc>
        <w:tc>
          <w:tcPr>
            <w:tcW w:w="6946" w:type="dxa"/>
            <w:tcBorders>
              <w:top w:val="single" w:sz="4" w:space="0" w:color="000000"/>
              <w:left w:val="single" w:sz="4" w:space="0" w:color="000000"/>
              <w:bottom w:val="single" w:sz="4" w:space="0" w:color="000000"/>
              <w:right w:val="single" w:sz="4" w:space="0" w:color="000000"/>
            </w:tcBorders>
            <w:vAlign w:val="center"/>
          </w:tcPr>
          <w:p w14:paraId="172CA120" w14:textId="611ACD77"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262E0638"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EB151A8" w14:textId="5C492E9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0396868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0B3C37B" w14:textId="7E8D37F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4B5F28BD"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AAB972" w14:textId="0AA8C1CB"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5C991BA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C61228" w14:textId="071F521B"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5%</w:t>
            </w:r>
          </w:p>
        </w:tc>
        <w:tc>
          <w:tcPr>
            <w:tcW w:w="1457" w:type="dxa"/>
            <w:tcBorders>
              <w:top w:val="single" w:sz="4" w:space="0" w:color="000000"/>
              <w:left w:val="single" w:sz="4" w:space="0" w:color="000000"/>
              <w:bottom w:val="single" w:sz="4" w:space="0" w:color="000000"/>
            </w:tcBorders>
            <w:vAlign w:val="center"/>
          </w:tcPr>
          <w:p w14:paraId="61B36F7B" w14:textId="77777777" w:rsidR="007A2AAB" w:rsidRPr="009A4BC4" w:rsidRDefault="007A2AAB" w:rsidP="009A4BC4">
            <w:pPr>
              <w:pStyle w:val="TableParagraph"/>
              <w:rPr>
                <w:rFonts w:ascii="Bookman Old Style" w:hAnsi="Bookman Old Style"/>
                <w:sz w:val="20"/>
                <w:szCs w:val="20"/>
              </w:rPr>
            </w:pPr>
          </w:p>
        </w:tc>
      </w:tr>
      <w:tr w:rsidR="007A2AAB" w:rsidRPr="009A4BC4" w14:paraId="1E6626F3"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04A0889" w14:textId="579D829D"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3.1.6.2</w:t>
            </w:r>
          </w:p>
        </w:tc>
        <w:tc>
          <w:tcPr>
            <w:tcW w:w="6946" w:type="dxa"/>
            <w:tcBorders>
              <w:top w:val="single" w:sz="4" w:space="0" w:color="000000"/>
              <w:left w:val="single" w:sz="4" w:space="0" w:color="000000"/>
              <w:bottom w:val="single" w:sz="4" w:space="0" w:color="000000"/>
              <w:right w:val="single" w:sz="4" w:space="0" w:color="000000"/>
            </w:tcBorders>
            <w:vAlign w:val="center"/>
          </w:tcPr>
          <w:p w14:paraId="5336300F" w14:textId="50A8B2B3"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1"/>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60DE837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36577A4"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76ABB68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4854A3B"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87D8B7A"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5CC38E"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C6D85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F66F6A0"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C100A40" w14:textId="77777777" w:rsidR="007A2AAB" w:rsidRPr="009A4BC4" w:rsidRDefault="007A2AAB" w:rsidP="009A4BC4">
            <w:pPr>
              <w:pStyle w:val="TableParagraph"/>
              <w:rPr>
                <w:rFonts w:ascii="Bookman Old Style" w:hAnsi="Bookman Old Style"/>
                <w:sz w:val="20"/>
                <w:szCs w:val="20"/>
              </w:rPr>
            </w:pPr>
          </w:p>
        </w:tc>
      </w:tr>
      <w:tr w:rsidR="007A2AAB" w:rsidRPr="009A4BC4" w14:paraId="2AB834B6"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FF0E8C1" w14:textId="72DC6BEB"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3.1.6.2.1</w:t>
            </w:r>
          </w:p>
        </w:tc>
        <w:tc>
          <w:tcPr>
            <w:tcW w:w="6946" w:type="dxa"/>
            <w:tcBorders>
              <w:top w:val="single" w:sz="4" w:space="0" w:color="000000"/>
              <w:left w:val="single" w:sz="4" w:space="0" w:color="000000"/>
              <w:bottom w:val="single" w:sz="4" w:space="0" w:color="000000"/>
              <w:right w:val="single" w:sz="4" w:space="0" w:color="000000"/>
            </w:tcBorders>
            <w:vAlign w:val="center"/>
          </w:tcPr>
          <w:p w14:paraId="681E21F5" w14:textId="0D250FFC"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2"/>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670998C8"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6371642" w14:textId="61E2E28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A5DC78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ABB7E80" w14:textId="581946C8"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45F0B7C9"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C77834" w14:textId="5CBD5C84"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055B491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A0FEE45" w14:textId="67932970"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5%</w:t>
            </w:r>
          </w:p>
        </w:tc>
        <w:tc>
          <w:tcPr>
            <w:tcW w:w="1457" w:type="dxa"/>
            <w:tcBorders>
              <w:top w:val="single" w:sz="4" w:space="0" w:color="000000"/>
              <w:left w:val="single" w:sz="4" w:space="0" w:color="000000"/>
              <w:bottom w:val="single" w:sz="4" w:space="0" w:color="000000"/>
            </w:tcBorders>
            <w:vAlign w:val="center"/>
          </w:tcPr>
          <w:p w14:paraId="70348AA8" w14:textId="77777777" w:rsidR="007A2AAB" w:rsidRPr="009A4BC4" w:rsidRDefault="007A2AAB" w:rsidP="009A4BC4">
            <w:pPr>
              <w:pStyle w:val="TableParagraph"/>
              <w:rPr>
                <w:rFonts w:ascii="Bookman Old Style" w:hAnsi="Bookman Old Style"/>
                <w:sz w:val="20"/>
                <w:szCs w:val="20"/>
              </w:rPr>
            </w:pPr>
          </w:p>
        </w:tc>
      </w:tr>
      <w:tr w:rsidR="007A2AAB" w:rsidRPr="009A4BC4" w14:paraId="04758BA4"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7CAF052" w14:textId="13A9A6B3"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3.1.6.2.2</w:t>
            </w:r>
          </w:p>
        </w:tc>
        <w:tc>
          <w:tcPr>
            <w:tcW w:w="6946" w:type="dxa"/>
            <w:tcBorders>
              <w:top w:val="single" w:sz="4" w:space="0" w:color="000000"/>
              <w:left w:val="single" w:sz="4" w:space="0" w:color="000000"/>
              <w:bottom w:val="single" w:sz="4" w:space="0" w:color="000000"/>
              <w:right w:val="single" w:sz="4" w:space="0" w:color="000000"/>
            </w:tcBorders>
            <w:vAlign w:val="center"/>
          </w:tcPr>
          <w:p w14:paraId="3F72818F" w14:textId="6E6CE1EA"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2"/>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1"/>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26E129E3"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710A243" w14:textId="6223B362"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442DB20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8141156" w14:textId="0EA5ADA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24E9D2B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4521A7" w14:textId="05041E4A"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2C28CA7A"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3EC76C0" w14:textId="0A0AB3F5"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50%</w:t>
            </w:r>
          </w:p>
        </w:tc>
        <w:tc>
          <w:tcPr>
            <w:tcW w:w="1457" w:type="dxa"/>
            <w:tcBorders>
              <w:top w:val="single" w:sz="4" w:space="0" w:color="000000"/>
              <w:left w:val="single" w:sz="4" w:space="0" w:color="000000"/>
              <w:bottom w:val="single" w:sz="4" w:space="0" w:color="000000"/>
            </w:tcBorders>
            <w:vAlign w:val="center"/>
          </w:tcPr>
          <w:p w14:paraId="119461B8" w14:textId="77777777" w:rsidR="007A2AAB" w:rsidRPr="009A4BC4" w:rsidRDefault="007A2AAB" w:rsidP="009A4BC4">
            <w:pPr>
              <w:pStyle w:val="TableParagraph"/>
              <w:rPr>
                <w:rFonts w:ascii="Bookman Old Style" w:hAnsi="Bookman Old Style"/>
                <w:sz w:val="20"/>
                <w:szCs w:val="20"/>
              </w:rPr>
            </w:pPr>
          </w:p>
        </w:tc>
      </w:tr>
      <w:tr w:rsidR="007A2AAB" w:rsidRPr="009A4BC4" w14:paraId="5123C0EC"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C7AC41B" w14:textId="57DB2648"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3.1.6.2.3</w:t>
            </w:r>
          </w:p>
        </w:tc>
        <w:tc>
          <w:tcPr>
            <w:tcW w:w="6946" w:type="dxa"/>
            <w:tcBorders>
              <w:top w:val="single" w:sz="4" w:space="0" w:color="000000"/>
              <w:left w:val="single" w:sz="4" w:space="0" w:color="000000"/>
              <w:bottom w:val="single" w:sz="4" w:space="0" w:color="000000"/>
              <w:right w:val="single" w:sz="4" w:space="0" w:color="000000"/>
            </w:tcBorders>
            <w:vAlign w:val="center"/>
          </w:tcPr>
          <w:p w14:paraId="7CC21C1E" w14:textId="0D588747"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3"/>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3DBDA2B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F17E4AE" w14:textId="184A7095"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42ACA26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3DF3649" w14:textId="7ACDCA09"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55328BCC"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2A05ED" w14:textId="43CCA72B"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5A320F6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D85554E" w14:textId="1D35E5AE"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F267358" w14:textId="77777777" w:rsidR="007A2AAB" w:rsidRPr="009A4BC4" w:rsidRDefault="007A2AAB" w:rsidP="009A4BC4">
            <w:pPr>
              <w:pStyle w:val="TableParagraph"/>
              <w:rPr>
                <w:rFonts w:ascii="Bookman Old Style" w:hAnsi="Bookman Old Style"/>
                <w:sz w:val="20"/>
                <w:szCs w:val="20"/>
              </w:rPr>
            </w:pPr>
          </w:p>
        </w:tc>
      </w:tr>
      <w:tr w:rsidR="007A2AAB" w:rsidRPr="009A4BC4" w14:paraId="4F6B2DE3"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63AD0249" w14:textId="37B8FB82"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w:t>
            </w:r>
          </w:p>
        </w:tc>
        <w:tc>
          <w:tcPr>
            <w:tcW w:w="6946" w:type="dxa"/>
            <w:tcBorders>
              <w:top w:val="single" w:sz="4" w:space="0" w:color="000000"/>
              <w:left w:val="single" w:sz="4" w:space="0" w:color="000000"/>
              <w:bottom w:val="single" w:sz="4" w:space="0" w:color="000000"/>
              <w:right w:val="single" w:sz="4" w:space="0" w:color="000000"/>
            </w:tcBorders>
            <w:vAlign w:val="center"/>
          </w:tcPr>
          <w:p w14:paraId="7F3DA194" w14:textId="4E958603"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lang w:val="en-US"/>
              </w:rPr>
              <w:t>Pembiayaan</w:t>
            </w:r>
            <w:r w:rsidRPr="009A4BC4">
              <w:rPr>
                <w:rFonts w:ascii="Bookman Old Style" w:hAnsi="Bookman Old Style"/>
                <w:spacing w:val="-3"/>
                <w:sz w:val="20"/>
                <w:szCs w:val="20"/>
              </w:rPr>
              <w:t xml:space="preserve"> </w:t>
            </w:r>
            <w:r w:rsidRPr="009A4BC4">
              <w:rPr>
                <w:rFonts w:ascii="Bookman Old Style" w:hAnsi="Bookman Old Style"/>
                <w:sz w:val="20"/>
                <w:szCs w:val="20"/>
              </w:rPr>
              <w:t>beragun</w:t>
            </w:r>
            <w:r w:rsidRPr="009A4BC4">
              <w:rPr>
                <w:rFonts w:ascii="Bookman Old Style" w:hAnsi="Bookman Old Style"/>
                <w:spacing w:val="-3"/>
                <w:sz w:val="20"/>
                <w:szCs w:val="20"/>
              </w:rPr>
              <w:t xml:space="preserve"> </w:t>
            </w:r>
            <w:r w:rsidRPr="009A4BC4">
              <w:rPr>
                <w:rFonts w:ascii="Bookman Old Style" w:hAnsi="Bookman Old Style"/>
                <w:sz w:val="20"/>
                <w:szCs w:val="20"/>
              </w:rPr>
              <w:t>rumah</w:t>
            </w:r>
            <w:r w:rsidRPr="009A4BC4">
              <w:rPr>
                <w:rFonts w:ascii="Bookman Old Style" w:hAnsi="Bookman Old Style"/>
                <w:spacing w:val="-2"/>
                <w:sz w:val="20"/>
                <w:szCs w:val="20"/>
              </w:rPr>
              <w:t xml:space="preserve"> </w:t>
            </w:r>
            <w:r w:rsidRPr="009A4BC4">
              <w:rPr>
                <w:rFonts w:ascii="Bookman Old Style" w:hAnsi="Bookman Old Style"/>
                <w:sz w:val="20"/>
                <w:szCs w:val="20"/>
              </w:rPr>
              <w:t>tinggal,</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diantaranya</w:t>
            </w:r>
            <w:r w:rsidRPr="009A4BC4">
              <w:rPr>
                <w:rFonts w:ascii="Bookman Old Style" w:hAnsi="Bookman Old Style"/>
                <w:spacing w:val="-2"/>
                <w:sz w:val="20"/>
                <w:szCs w:val="20"/>
              </w:rPr>
              <w:t xml:space="preserve"> </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7A6C9CA7"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3C2B678"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4FDEE08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4595B96"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31B6594"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14C1AC"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056B45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950FA57"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62A0D729" w14:textId="77777777" w:rsidR="007A2AAB" w:rsidRPr="009A4BC4" w:rsidRDefault="007A2AAB" w:rsidP="009A4BC4">
            <w:pPr>
              <w:pStyle w:val="TableParagraph"/>
              <w:rPr>
                <w:rFonts w:ascii="Bookman Old Style" w:hAnsi="Bookman Old Style"/>
                <w:sz w:val="20"/>
                <w:szCs w:val="20"/>
              </w:rPr>
            </w:pPr>
          </w:p>
        </w:tc>
      </w:tr>
      <w:tr w:rsidR="007A2AAB" w:rsidRPr="009A4BC4" w14:paraId="09C822F5"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DCC502E" w14:textId="59430E7C"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3.1.7.1</w:t>
            </w:r>
          </w:p>
        </w:tc>
        <w:tc>
          <w:tcPr>
            <w:tcW w:w="6946" w:type="dxa"/>
            <w:tcBorders>
              <w:top w:val="single" w:sz="4" w:space="0" w:color="000000"/>
              <w:left w:val="single" w:sz="4" w:space="0" w:color="000000"/>
              <w:bottom w:val="single" w:sz="4" w:space="0" w:color="000000"/>
              <w:right w:val="single" w:sz="4" w:space="0" w:color="000000"/>
            </w:tcBorders>
            <w:vAlign w:val="center"/>
          </w:tcPr>
          <w:p w14:paraId="022CD213" w14:textId="6428908F" w:rsidR="007A2AAB" w:rsidRPr="009A4BC4" w:rsidRDefault="007A2AAB" w:rsidP="008262B9">
            <w:pPr>
              <w:pStyle w:val="TableParagraph"/>
              <w:ind w:left="748"/>
              <w:rPr>
                <w:rFonts w:ascii="Bookman Old Style" w:hAnsi="Bookman Old Style"/>
                <w:sz w:val="20"/>
                <w:szCs w:val="20"/>
              </w:rPr>
            </w:pPr>
            <w:r w:rsidRPr="009A4BC4">
              <w:rPr>
                <w:rFonts w:ascii="Bookman Old Style" w:hAnsi="Bookman Old Style"/>
                <w:sz w:val="20"/>
                <w:szCs w:val="20"/>
              </w:rPr>
              <w:t>Dikenakan</w:t>
            </w:r>
            <w:r w:rsidRPr="009A4BC4">
              <w:rPr>
                <w:rFonts w:ascii="Bookman Old Style" w:hAnsi="Bookman Old Style"/>
                <w:spacing w:val="-4"/>
                <w:sz w:val="20"/>
                <w:szCs w:val="20"/>
              </w:rPr>
              <w:t xml:space="preserve"> </w:t>
            </w:r>
            <w:r w:rsidRPr="009A4BC4">
              <w:rPr>
                <w:rFonts w:ascii="Bookman Old Style" w:hAnsi="Bookman Old Style"/>
                <w:sz w:val="20"/>
                <w:szCs w:val="20"/>
              </w:rPr>
              <w:t>bobot</w:t>
            </w:r>
            <w:r w:rsidRPr="009A4BC4">
              <w:rPr>
                <w:rFonts w:ascii="Bookman Old Style" w:hAnsi="Bookman Old Style"/>
                <w:spacing w:val="-3"/>
                <w:sz w:val="20"/>
                <w:szCs w:val="20"/>
              </w:rPr>
              <w:t xml:space="preserve"> </w:t>
            </w:r>
            <w:r w:rsidRPr="009A4BC4">
              <w:rPr>
                <w:rFonts w:ascii="Bookman Old Style" w:hAnsi="Bookman Old Style"/>
                <w:sz w:val="20"/>
                <w:szCs w:val="20"/>
              </w:rPr>
              <w:t>risiko</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35%</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3"/>
                <w:sz w:val="20"/>
                <w:szCs w:val="20"/>
              </w:rPr>
              <w:t xml:space="preserve"> </w:t>
            </w:r>
            <w:r w:rsidRPr="009A4BC4">
              <w:rPr>
                <w:rFonts w:ascii="Bookman Old Style" w:hAnsi="Bookman Old Style"/>
                <w:sz w:val="20"/>
                <w:szCs w:val="20"/>
              </w:rPr>
              <w:t>perhitungan</w:t>
            </w:r>
            <w:r w:rsidRPr="009A4BC4">
              <w:rPr>
                <w:rFonts w:ascii="Bookman Old Style" w:hAnsi="Bookman Old Style"/>
                <w:spacing w:val="-1"/>
                <w:sz w:val="20"/>
                <w:szCs w:val="20"/>
              </w:rPr>
              <w:t xml:space="preserve"> </w:t>
            </w:r>
            <w:r w:rsidRPr="009A4BC4">
              <w:rPr>
                <w:rFonts w:ascii="Bookman Old Style" w:hAnsi="Bookman Old Style"/>
                <w:sz w:val="20"/>
                <w:szCs w:val="20"/>
              </w:rPr>
              <w:t>ATMR</w:t>
            </w:r>
            <w:r w:rsidRPr="009A4BC4">
              <w:rPr>
                <w:rFonts w:ascii="Bookman Old Style" w:hAnsi="Bookman Old Style"/>
                <w:spacing w:val="-3"/>
                <w:sz w:val="20"/>
                <w:szCs w:val="20"/>
              </w:rPr>
              <w:t xml:space="preserve"> </w:t>
            </w:r>
            <w:r w:rsidRPr="009A4BC4">
              <w:rPr>
                <w:rFonts w:ascii="Bookman Old Style" w:hAnsi="Bookman Old Style"/>
                <w:sz w:val="20"/>
                <w:szCs w:val="20"/>
              </w:rPr>
              <w:t>risiko</w:t>
            </w:r>
            <w:r w:rsidRPr="009A4BC4">
              <w:rPr>
                <w:rFonts w:ascii="Bookman Old Style" w:hAnsi="Bookman Old Style"/>
                <w:spacing w:val="-2"/>
                <w:sz w:val="20"/>
                <w:szCs w:val="20"/>
              </w:rPr>
              <w:t xml:space="preserve"> </w:t>
            </w:r>
            <w:r w:rsidRPr="009A4BC4">
              <w:rPr>
                <w:rFonts w:ascii="Bookman Old Style" w:hAnsi="Bookman Old Style"/>
                <w:sz w:val="20"/>
                <w:szCs w:val="20"/>
              </w:rPr>
              <w:t>kredit</w:t>
            </w:r>
            <w:r w:rsidR="008262B9">
              <w:rPr>
                <w:rFonts w:ascii="Bookman Old Style" w:hAnsi="Bookman Old Style"/>
                <w:sz w:val="20"/>
                <w:szCs w:val="20"/>
                <w:lang w:val="en-US"/>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pendekatan</w:t>
            </w:r>
            <w:r w:rsidRPr="009A4BC4">
              <w:rPr>
                <w:rFonts w:ascii="Bookman Old Style" w:hAnsi="Bookman Old Style"/>
                <w:spacing w:val="-3"/>
                <w:sz w:val="20"/>
                <w:szCs w:val="20"/>
              </w:rPr>
              <w:t xml:space="preserve"> </w:t>
            </w:r>
            <w:r w:rsidRPr="009A4BC4">
              <w:rPr>
                <w:rFonts w:ascii="Bookman Old Style" w:hAnsi="Bookman Old Style"/>
                <w:sz w:val="20"/>
                <w:szCs w:val="20"/>
              </w:rPr>
              <w:t>standar</w:t>
            </w:r>
          </w:p>
        </w:tc>
        <w:tc>
          <w:tcPr>
            <w:tcW w:w="989" w:type="dxa"/>
            <w:tcBorders>
              <w:top w:val="single" w:sz="4" w:space="0" w:color="000000"/>
              <w:left w:val="single" w:sz="4" w:space="0" w:color="000000"/>
              <w:bottom w:val="single" w:sz="4" w:space="0" w:color="000000"/>
              <w:right w:val="single" w:sz="4" w:space="0" w:color="000000"/>
            </w:tcBorders>
            <w:vAlign w:val="center"/>
          </w:tcPr>
          <w:p w14:paraId="0C83E2D2"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AA14372"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7A53CE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91D5170"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4CA1D6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D647CB"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F8CEEB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CAED69E"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A6C5A11" w14:textId="77777777" w:rsidR="007A2AAB" w:rsidRPr="009A4BC4" w:rsidRDefault="007A2AAB" w:rsidP="009A4BC4">
            <w:pPr>
              <w:pStyle w:val="TableParagraph"/>
              <w:rPr>
                <w:rFonts w:ascii="Bookman Old Style" w:hAnsi="Bookman Old Style"/>
                <w:sz w:val="20"/>
                <w:szCs w:val="20"/>
              </w:rPr>
            </w:pPr>
          </w:p>
        </w:tc>
      </w:tr>
      <w:tr w:rsidR="007A2AAB" w:rsidRPr="009A4BC4" w14:paraId="44880BD8"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DF1D03E" w14:textId="3F7DD752"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3.1.7.1.1</w:t>
            </w:r>
          </w:p>
        </w:tc>
        <w:tc>
          <w:tcPr>
            <w:tcW w:w="6946" w:type="dxa"/>
            <w:tcBorders>
              <w:top w:val="single" w:sz="4" w:space="0" w:color="000000"/>
              <w:left w:val="single" w:sz="4" w:space="0" w:color="000000"/>
              <w:bottom w:val="single" w:sz="4" w:space="0" w:color="000000"/>
              <w:right w:val="single" w:sz="4" w:space="0" w:color="000000"/>
            </w:tcBorders>
            <w:vAlign w:val="center"/>
          </w:tcPr>
          <w:p w14:paraId="20CEC00E" w14:textId="59BA400D"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36AA9148"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89459D6" w14:textId="593815B4"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7E47490B"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FCA3731" w14:textId="57A57235"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5BB40095"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872D4C" w14:textId="011B309A"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13E175EF"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B760394" w14:textId="0B24332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65%</w:t>
            </w:r>
          </w:p>
        </w:tc>
        <w:tc>
          <w:tcPr>
            <w:tcW w:w="1457" w:type="dxa"/>
            <w:tcBorders>
              <w:top w:val="single" w:sz="4" w:space="0" w:color="000000"/>
              <w:left w:val="single" w:sz="4" w:space="0" w:color="000000"/>
              <w:bottom w:val="single" w:sz="4" w:space="0" w:color="000000"/>
            </w:tcBorders>
            <w:vAlign w:val="center"/>
          </w:tcPr>
          <w:p w14:paraId="09740F9F" w14:textId="77777777" w:rsidR="007A2AAB" w:rsidRPr="009A4BC4" w:rsidRDefault="007A2AAB" w:rsidP="009A4BC4">
            <w:pPr>
              <w:pStyle w:val="TableParagraph"/>
              <w:rPr>
                <w:rFonts w:ascii="Bookman Old Style" w:hAnsi="Bookman Old Style"/>
                <w:sz w:val="20"/>
                <w:szCs w:val="20"/>
              </w:rPr>
            </w:pPr>
          </w:p>
        </w:tc>
      </w:tr>
      <w:tr w:rsidR="007A2AAB" w:rsidRPr="009A4BC4" w14:paraId="03B2B17D"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23B4971" w14:textId="06CB2348"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3.1.7.1.2</w:t>
            </w:r>
          </w:p>
        </w:tc>
        <w:tc>
          <w:tcPr>
            <w:tcW w:w="6946" w:type="dxa"/>
            <w:tcBorders>
              <w:top w:val="single" w:sz="4" w:space="0" w:color="000000"/>
              <w:left w:val="single" w:sz="4" w:space="0" w:color="000000"/>
              <w:bottom w:val="single" w:sz="4" w:space="0" w:color="000000"/>
              <w:right w:val="single" w:sz="4" w:space="0" w:color="000000"/>
            </w:tcBorders>
            <w:vAlign w:val="center"/>
          </w:tcPr>
          <w:p w14:paraId="277D4413" w14:textId="3A154468"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1"/>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0BA96672"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7CCBD936"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358D67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2296C92"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A372436"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74F92A"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287C06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CEC60D2"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34B1D5F" w14:textId="77777777" w:rsidR="007A2AAB" w:rsidRPr="009A4BC4" w:rsidRDefault="007A2AAB" w:rsidP="009A4BC4">
            <w:pPr>
              <w:pStyle w:val="TableParagraph"/>
              <w:rPr>
                <w:rFonts w:ascii="Bookman Old Style" w:hAnsi="Bookman Old Style"/>
                <w:sz w:val="20"/>
                <w:szCs w:val="20"/>
              </w:rPr>
            </w:pPr>
          </w:p>
        </w:tc>
      </w:tr>
      <w:tr w:rsidR="007A2AAB" w:rsidRPr="009A4BC4" w14:paraId="318E4441"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94FB211" w14:textId="5CEE114D"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3.1.7.1.2.1</w:t>
            </w:r>
          </w:p>
        </w:tc>
        <w:tc>
          <w:tcPr>
            <w:tcW w:w="6946" w:type="dxa"/>
            <w:tcBorders>
              <w:top w:val="single" w:sz="4" w:space="0" w:color="000000"/>
              <w:left w:val="single" w:sz="4" w:space="0" w:color="000000"/>
              <w:bottom w:val="single" w:sz="4" w:space="0" w:color="000000"/>
              <w:right w:val="single" w:sz="4" w:space="0" w:color="000000"/>
            </w:tcBorders>
            <w:vAlign w:val="center"/>
          </w:tcPr>
          <w:p w14:paraId="016F3615" w14:textId="341A8C18"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227A798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F941458" w14:textId="797D3561"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7EDD4812"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A22E9CE" w14:textId="5375C113"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787042B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BBB615" w14:textId="677CD309"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0D44EA38"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7DA2EBA" w14:textId="3AB8F801"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65%</w:t>
            </w:r>
          </w:p>
        </w:tc>
        <w:tc>
          <w:tcPr>
            <w:tcW w:w="1457" w:type="dxa"/>
            <w:tcBorders>
              <w:top w:val="single" w:sz="4" w:space="0" w:color="000000"/>
              <w:left w:val="single" w:sz="4" w:space="0" w:color="000000"/>
              <w:bottom w:val="single" w:sz="4" w:space="0" w:color="000000"/>
            </w:tcBorders>
            <w:vAlign w:val="center"/>
          </w:tcPr>
          <w:p w14:paraId="783F5AE0" w14:textId="77777777" w:rsidR="007A2AAB" w:rsidRPr="009A4BC4" w:rsidRDefault="007A2AAB" w:rsidP="009A4BC4">
            <w:pPr>
              <w:pStyle w:val="TableParagraph"/>
              <w:rPr>
                <w:rFonts w:ascii="Bookman Old Style" w:hAnsi="Bookman Old Style"/>
                <w:sz w:val="20"/>
                <w:szCs w:val="20"/>
              </w:rPr>
            </w:pPr>
          </w:p>
        </w:tc>
      </w:tr>
      <w:tr w:rsidR="007A2AAB" w:rsidRPr="009A4BC4" w14:paraId="4CC390F8"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9DD3546" w14:textId="650F223E"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3.1.7.1.2.2</w:t>
            </w:r>
          </w:p>
        </w:tc>
        <w:tc>
          <w:tcPr>
            <w:tcW w:w="6946" w:type="dxa"/>
            <w:tcBorders>
              <w:top w:val="single" w:sz="4" w:space="0" w:color="000000"/>
              <w:left w:val="single" w:sz="4" w:space="0" w:color="000000"/>
              <w:bottom w:val="single" w:sz="4" w:space="0" w:color="000000"/>
              <w:right w:val="single" w:sz="4" w:space="0" w:color="000000"/>
            </w:tcBorders>
            <w:vAlign w:val="center"/>
          </w:tcPr>
          <w:p w14:paraId="76519917" w14:textId="10A1833C"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336AFF51"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AD198EC" w14:textId="1F345F0E"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45E46F0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7850CFA" w14:textId="372F4FC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764FC90E"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E1100D" w14:textId="2D14B899"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6E31A733"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1E83FB3" w14:textId="0EFA929D"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65%</w:t>
            </w:r>
          </w:p>
        </w:tc>
        <w:tc>
          <w:tcPr>
            <w:tcW w:w="1457" w:type="dxa"/>
            <w:tcBorders>
              <w:top w:val="single" w:sz="4" w:space="0" w:color="000000"/>
              <w:left w:val="single" w:sz="4" w:space="0" w:color="000000"/>
              <w:bottom w:val="single" w:sz="4" w:space="0" w:color="000000"/>
            </w:tcBorders>
            <w:vAlign w:val="center"/>
          </w:tcPr>
          <w:p w14:paraId="45E0665B" w14:textId="77777777" w:rsidR="007A2AAB" w:rsidRPr="009A4BC4" w:rsidRDefault="007A2AAB" w:rsidP="009A4BC4">
            <w:pPr>
              <w:pStyle w:val="TableParagraph"/>
              <w:rPr>
                <w:rFonts w:ascii="Bookman Old Style" w:hAnsi="Bookman Old Style"/>
                <w:sz w:val="20"/>
                <w:szCs w:val="20"/>
              </w:rPr>
            </w:pPr>
          </w:p>
        </w:tc>
      </w:tr>
      <w:tr w:rsidR="007A2AAB" w:rsidRPr="009A4BC4" w14:paraId="09476650"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59D57C2" w14:textId="3DD73A05"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3.1.7.1.2.3</w:t>
            </w:r>
          </w:p>
        </w:tc>
        <w:tc>
          <w:tcPr>
            <w:tcW w:w="6946" w:type="dxa"/>
            <w:tcBorders>
              <w:top w:val="single" w:sz="4" w:space="0" w:color="000000"/>
              <w:left w:val="single" w:sz="4" w:space="0" w:color="000000"/>
              <w:bottom w:val="single" w:sz="4" w:space="0" w:color="000000"/>
              <w:right w:val="single" w:sz="4" w:space="0" w:color="000000"/>
            </w:tcBorders>
            <w:vAlign w:val="center"/>
          </w:tcPr>
          <w:p w14:paraId="003C62E8" w14:textId="04D9B95F"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27AAFEF4"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603919C" w14:textId="2FA9260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1F5F40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39F68AA" w14:textId="07250DC6"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557F1D7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9A6B06" w14:textId="338E2AFD"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27088445"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CC722A9" w14:textId="7013FF61"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4E896DD5" w14:textId="77777777" w:rsidR="007A2AAB" w:rsidRPr="009A4BC4" w:rsidRDefault="007A2AAB" w:rsidP="009A4BC4">
            <w:pPr>
              <w:pStyle w:val="TableParagraph"/>
              <w:rPr>
                <w:rFonts w:ascii="Bookman Old Style" w:hAnsi="Bookman Old Style"/>
                <w:sz w:val="20"/>
                <w:szCs w:val="20"/>
              </w:rPr>
            </w:pPr>
          </w:p>
        </w:tc>
      </w:tr>
      <w:tr w:rsidR="007A2AAB" w:rsidRPr="009A4BC4" w14:paraId="667CC41E"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EDFC051" w14:textId="4A39136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3.1.7.2</w:t>
            </w:r>
          </w:p>
        </w:tc>
        <w:tc>
          <w:tcPr>
            <w:tcW w:w="6946" w:type="dxa"/>
            <w:tcBorders>
              <w:top w:val="single" w:sz="4" w:space="0" w:color="000000"/>
              <w:left w:val="single" w:sz="4" w:space="0" w:color="000000"/>
              <w:bottom w:val="single" w:sz="4" w:space="0" w:color="000000"/>
              <w:right w:val="single" w:sz="4" w:space="0" w:color="000000"/>
            </w:tcBorders>
            <w:vAlign w:val="center"/>
          </w:tcPr>
          <w:p w14:paraId="0AAAA7FF" w14:textId="77777777" w:rsidR="007A2AAB" w:rsidRPr="009A4BC4" w:rsidRDefault="007A2AAB" w:rsidP="009A4BC4">
            <w:pPr>
              <w:pStyle w:val="TableParagraph"/>
              <w:ind w:left="703"/>
              <w:rPr>
                <w:rFonts w:ascii="Bookman Old Style" w:hAnsi="Bookman Old Style"/>
                <w:sz w:val="20"/>
                <w:szCs w:val="20"/>
              </w:rPr>
            </w:pPr>
            <w:r w:rsidRPr="009A4BC4">
              <w:rPr>
                <w:rFonts w:ascii="Bookman Old Style" w:hAnsi="Bookman Old Style"/>
                <w:sz w:val="20"/>
                <w:szCs w:val="20"/>
              </w:rPr>
              <w:t>Dikenakan</w:t>
            </w:r>
            <w:r w:rsidRPr="009A4BC4">
              <w:rPr>
                <w:rFonts w:ascii="Bookman Old Style" w:hAnsi="Bookman Old Style"/>
                <w:spacing w:val="-2"/>
                <w:sz w:val="20"/>
                <w:szCs w:val="20"/>
              </w:rPr>
              <w:t xml:space="preserve"> </w:t>
            </w:r>
            <w:r w:rsidRPr="009A4BC4">
              <w:rPr>
                <w:rFonts w:ascii="Bookman Old Style" w:hAnsi="Bookman Old Style"/>
                <w:sz w:val="20"/>
                <w:szCs w:val="20"/>
              </w:rPr>
              <w:t>bobot</w:t>
            </w:r>
            <w:r w:rsidRPr="009A4BC4">
              <w:rPr>
                <w:rFonts w:ascii="Bookman Old Style" w:hAnsi="Bookman Old Style"/>
                <w:spacing w:val="-2"/>
                <w:sz w:val="20"/>
                <w:szCs w:val="20"/>
              </w:rPr>
              <w:t xml:space="preserve"> </w:t>
            </w:r>
            <w:r w:rsidRPr="009A4BC4">
              <w:rPr>
                <w:rFonts w:ascii="Bookman Old Style" w:hAnsi="Bookman Old Style"/>
                <w:sz w:val="20"/>
                <w:szCs w:val="20"/>
              </w:rPr>
              <w:t>risiko</w:t>
            </w:r>
            <w:r w:rsidRPr="009A4BC4">
              <w:rPr>
                <w:rFonts w:ascii="Bookman Old Style" w:hAnsi="Bookman Old Style"/>
                <w:spacing w:val="-2"/>
                <w:sz w:val="20"/>
                <w:szCs w:val="20"/>
              </w:rPr>
              <w:t xml:space="preserve"> </w:t>
            </w:r>
            <w:r w:rsidRPr="009A4BC4">
              <w:rPr>
                <w:rFonts w:ascii="Bookman Old Style" w:hAnsi="Bookman Old Style"/>
                <w:sz w:val="20"/>
                <w:szCs w:val="20"/>
              </w:rPr>
              <w:t>&gt;</w:t>
            </w:r>
            <w:r w:rsidRPr="009A4BC4">
              <w:rPr>
                <w:rFonts w:ascii="Bookman Old Style" w:hAnsi="Bookman Old Style"/>
                <w:spacing w:val="-3"/>
                <w:sz w:val="20"/>
                <w:szCs w:val="20"/>
              </w:rPr>
              <w:t xml:space="preserve"> </w:t>
            </w:r>
            <w:r w:rsidRPr="009A4BC4">
              <w:rPr>
                <w:rFonts w:ascii="Bookman Old Style" w:hAnsi="Bookman Old Style"/>
                <w:sz w:val="20"/>
                <w:szCs w:val="20"/>
              </w:rPr>
              <w:t>35%</w:t>
            </w:r>
            <w:r w:rsidRPr="009A4BC4">
              <w:rPr>
                <w:rFonts w:ascii="Bookman Old Style" w:hAnsi="Bookman Old Style"/>
                <w:spacing w:val="-3"/>
                <w:sz w:val="20"/>
                <w:szCs w:val="20"/>
              </w:rPr>
              <w:t xml:space="preserve"> </w:t>
            </w:r>
            <w:r w:rsidRPr="009A4BC4">
              <w:rPr>
                <w:rFonts w:ascii="Bookman Old Style" w:hAnsi="Bookman Old Style"/>
                <w:sz w:val="20"/>
                <w:szCs w:val="20"/>
              </w:rPr>
              <w:t>dalam</w:t>
            </w:r>
            <w:r w:rsidRPr="009A4BC4">
              <w:rPr>
                <w:rFonts w:ascii="Bookman Old Style" w:hAnsi="Bookman Old Style"/>
                <w:spacing w:val="-3"/>
                <w:sz w:val="20"/>
                <w:szCs w:val="20"/>
              </w:rPr>
              <w:t xml:space="preserve"> </w:t>
            </w:r>
            <w:r w:rsidRPr="009A4BC4">
              <w:rPr>
                <w:rFonts w:ascii="Bookman Old Style" w:hAnsi="Bookman Old Style"/>
                <w:sz w:val="20"/>
                <w:szCs w:val="20"/>
              </w:rPr>
              <w:t>perhitungan</w:t>
            </w:r>
            <w:r w:rsidRPr="009A4BC4">
              <w:rPr>
                <w:rFonts w:ascii="Bookman Old Style" w:hAnsi="Bookman Old Style"/>
                <w:spacing w:val="-1"/>
                <w:sz w:val="20"/>
                <w:szCs w:val="20"/>
              </w:rPr>
              <w:t xml:space="preserve"> </w:t>
            </w:r>
            <w:r w:rsidRPr="009A4BC4">
              <w:rPr>
                <w:rFonts w:ascii="Bookman Old Style" w:hAnsi="Bookman Old Style"/>
                <w:sz w:val="20"/>
                <w:szCs w:val="20"/>
              </w:rPr>
              <w:t>ATMR</w:t>
            </w:r>
            <w:r w:rsidRPr="009A4BC4">
              <w:rPr>
                <w:rFonts w:ascii="Bookman Old Style" w:hAnsi="Bookman Old Style"/>
                <w:spacing w:val="-3"/>
                <w:sz w:val="20"/>
                <w:szCs w:val="20"/>
              </w:rPr>
              <w:t xml:space="preserve"> </w:t>
            </w:r>
            <w:r w:rsidRPr="009A4BC4">
              <w:rPr>
                <w:rFonts w:ascii="Bookman Old Style" w:hAnsi="Bookman Old Style"/>
                <w:sz w:val="20"/>
                <w:szCs w:val="20"/>
              </w:rPr>
              <w:t>risiko</w:t>
            </w:r>
            <w:r w:rsidRPr="009A4BC4">
              <w:rPr>
                <w:rFonts w:ascii="Bookman Old Style" w:hAnsi="Bookman Old Style"/>
                <w:spacing w:val="-2"/>
                <w:sz w:val="20"/>
                <w:szCs w:val="20"/>
              </w:rPr>
              <w:t xml:space="preserve"> </w:t>
            </w:r>
            <w:r w:rsidRPr="009A4BC4">
              <w:rPr>
                <w:rFonts w:ascii="Bookman Old Style" w:hAnsi="Bookman Old Style"/>
                <w:sz w:val="20"/>
                <w:szCs w:val="20"/>
              </w:rPr>
              <w:t>kredit</w:t>
            </w:r>
          </w:p>
          <w:p w14:paraId="68E1DC5C" w14:textId="4FFB96FC"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dengan</w:t>
            </w:r>
            <w:r w:rsidRPr="009A4BC4">
              <w:rPr>
                <w:rFonts w:ascii="Bookman Old Style" w:hAnsi="Bookman Old Style"/>
                <w:spacing w:val="-2"/>
                <w:sz w:val="20"/>
                <w:szCs w:val="20"/>
              </w:rPr>
              <w:t xml:space="preserve"> </w:t>
            </w:r>
            <w:r w:rsidRPr="009A4BC4">
              <w:rPr>
                <w:rFonts w:ascii="Bookman Old Style" w:hAnsi="Bookman Old Style"/>
                <w:sz w:val="20"/>
                <w:szCs w:val="20"/>
              </w:rPr>
              <w:t>pendekatan</w:t>
            </w:r>
            <w:r w:rsidRPr="009A4BC4">
              <w:rPr>
                <w:rFonts w:ascii="Bookman Old Style" w:hAnsi="Bookman Old Style"/>
                <w:spacing w:val="-4"/>
                <w:sz w:val="20"/>
                <w:szCs w:val="20"/>
              </w:rPr>
              <w:t xml:space="preserve"> </w:t>
            </w:r>
            <w:r w:rsidRPr="009A4BC4">
              <w:rPr>
                <w:rFonts w:ascii="Bookman Old Style" w:hAnsi="Bookman Old Style"/>
                <w:sz w:val="20"/>
                <w:szCs w:val="20"/>
              </w:rPr>
              <w:t>standar</w:t>
            </w:r>
          </w:p>
        </w:tc>
        <w:tc>
          <w:tcPr>
            <w:tcW w:w="989" w:type="dxa"/>
            <w:tcBorders>
              <w:top w:val="single" w:sz="4" w:space="0" w:color="000000"/>
              <w:left w:val="single" w:sz="4" w:space="0" w:color="000000"/>
              <w:bottom w:val="single" w:sz="4" w:space="0" w:color="000000"/>
              <w:right w:val="single" w:sz="4" w:space="0" w:color="000000"/>
            </w:tcBorders>
            <w:vAlign w:val="center"/>
          </w:tcPr>
          <w:p w14:paraId="3BCF95DB"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5B4C3A2"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2C1E5DC"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39BF1C2"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09641DF"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69C9CC"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86F836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9100C35"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77B143A3" w14:textId="77777777" w:rsidR="007A2AAB" w:rsidRPr="009A4BC4" w:rsidRDefault="007A2AAB" w:rsidP="009A4BC4">
            <w:pPr>
              <w:pStyle w:val="TableParagraph"/>
              <w:rPr>
                <w:rFonts w:ascii="Bookman Old Style" w:hAnsi="Bookman Old Style"/>
                <w:sz w:val="20"/>
                <w:szCs w:val="20"/>
              </w:rPr>
            </w:pPr>
          </w:p>
        </w:tc>
      </w:tr>
      <w:tr w:rsidR="007A2AAB" w:rsidRPr="009A4BC4" w14:paraId="040A11B6"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B7C8F22" w14:textId="01DC27F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3.1.7.2.1</w:t>
            </w:r>
          </w:p>
        </w:tc>
        <w:tc>
          <w:tcPr>
            <w:tcW w:w="6946" w:type="dxa"/>
            <w:tcBorders>
              <w:top w:val="single" w:sz="4" w:space="0" w:color="000000"/>
              <w:left w:val="single" w:sz="4" w:space="0" w:color="000000"/>
              <w:bottom w:val="single" w:sz="4" w:space="0" w:color="000000"/>
              <w:right w:val="single" w:sz="4" w:space="0" w:color="000000"/>
            </w:tcBorders>
            <w:vAlign w:val="center"/>
          </w:tcPr>
          <w:p w14:paraId="548BFC31" w14:textId="75F660E8"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2"/>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1956D2C6"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2E0A9C8" w14:textId="07F0A23E"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FDE2BCE"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94368FC" w14:textId="358CD59A"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6A1F5BCB"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116931" w14:textId="76EB4DCF"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46FD4C9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E707493" w14:textId="3C14E860"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3B353A4B" w14:textId="77777777" w:rsidR="007A2AAB" w:rsidRPr="009A4BC4" w:rsidRDefault="007A2AAB" w:rsidP="009A4BC4">
            <w:pPr>
              <w:pStyle w:val="TableParagraph"/>
              <w:rPr>
                <w:rFonts w:ascii="Bookman Old Style" w:hAnsi="Bookman Old Style"/>
                <w:sz w:val="20"/>
                <w:szCs w:val="20"/>
              </w:rPr>
            </w:pPr>
          </w:p>
        </w:tc>
      </w:tr>
      <w:tr w:rsidR="007A2AAB" w:rsidRPr="009A4BC4" w14:paraId="50258CE9"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11562B04" w14:textId="09236D31"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3.1.7.2.2</w:t>
            </w:r>
          </w:p>
        </w:tc>
        <w:tc>
          <w:tcPr>
            <w:tcW w:w="6946" w:type="dxa"/>
            <w:tcBorders>
              <w:top w:val="single" w:sz="4" w:space="0" w:color="000000"/>
              <w:left w:val="single" w:sz="4" w:space="0" w:color="000000"/>
              <w:bottom w:val="single" w:sz="4" w:space="0" w:color="000000"/>
              <w:right w:val="single" w:sz="4" w:space="0" w:color="000000"/>
            </w:tcBorders>
            <w:vAlign w:val="center"/>
          </w:tcPr>
          <w:p w14:paraId="31BCFF43" w14:textId="2F209AC3"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4"/>
                <w:sz w:val="20"/>
                <w:szCs w:val="20"/>
              </w:rPr>
              <w:t xml:space="preserve"> </w:t>
            </w:r>
            <w:r w:rsidRPr="009A4BC4">
              <w:rPr>
                <w:rFonts w:ascii="Bookman Old Style" w:hAnsi="Bookman Old Style"/>
                <w:sz w:val="20"/>
                <w:szCs w:val="20"/>
              </w:rPr>
              <w:t>bebas</w:t>
            </w:r>
            <w:r w:rsidRPr="009A4BC4">
              <w:rPr>
                <w:rFonts w:ascii="Bookman Old Style" w:hAnsi="Bookman Old Style"/>
                <w:spacing w:val="-4"/>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1"/>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3A9979C4"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CE13889" w14:textId="77777777" w:rsidR="007A2AAB" w:rsidRPr="009A4BC4" w:rsidRDefault="007A2AAB"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7429B90"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156BB34" w14:textId="77777777" w:rsidR="007A2AAB" w:rsidRPr="009A4BC4" w:rsidRDefault="007A2AAB"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67589633"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C871A56" w14:textId="77777777" w:rsidR="007A2AAB" w:rsidRPr="009A4BC4" w:rsidRDefault="007A2AAB"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60A4016"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2498CF3" w14:textId="77777777" w:rsidR="007A2AAB" w:rsidRPr="009A4BC4" w:rsidRDefault="007A2AAB"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5AB0EA9E" w14:textId="77777777" w:rsidR="007A2AAB" w:rsidRPr="009A4BC4" w:rsidRDefault="007A2AAB" w:rsidP="009A4BC4">
            <w:pPr>
              <w:pStyle w:val="TableParagraph"/>
              <w:rPr>
                <w:rFonts w:ascii="Bookman Old Style" w:hAnsi="Bookman Old Style"/>
                <w:sz w:val="20"/>
                <w:szCs w:val="20"/>
              </w:rPr>
            </w:pPr>
          </w:p>
        </w:tc>
      </w:tr>
      <w:tr w:rsidR="007A2AAB" w:rsidRPr="009A4BC4" w14:paraId="114CEAEA"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B9BAB7F" w14:textId="10DDF9E4"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3.1.7.2.2.1</w:t>
            </w:r>
          </w:p>
        </w:tc>
        <w:tc>
          <w:tcPr>
            <w:tcW w:w="6946" w:type="dxa"/>
            <w:tcBorders>
              <w:top w:val="single" w:sz="4" w:space="0" w:color="000000"/>
              <w:left w:val="single" w:sz="4" w:space="0" w:color="000000"/>
              <w:bottom w:val="single" w:sz="4" w:space="0" w:color="000000"/>
              <w:right w:val="single" w:sz="4" w:space="0" w:color="000000"/>
            </w:tcBorders>
            <w:vAlign w:val="center"/>
          </w:tcPr>
          <w:p w14:paraId="2E0F13B6" w14:textId="2EC86B82"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4"/>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1373E82A"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09E4BD4" w14:textId="59D11F3C"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3CFE32D"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94B030C" w14:textId="46A825CD"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5DC0CB0F"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3AE746" w14:textId="3BBEFD9E"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16C746B1"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5EFBB1B" w14:textId="29146F91"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08E9ED9A" w14:textId="77777777" w:rsidR="007A2AAB" w:rsidRPr="009A4BC4" w:rsidRDefault="007A2AAB" w:rsidP="009A4BC4">
            <w:pPr>
              <w:pStyle w:val="TableParagraph"/>
              <w:rPr>
                <w:rFonts w:ascii="Bookman Old Style" w:hAnsi="Bookman Old Style"/>
                <w:sz w:val="20"/>
                <w:szCs w:val="20"/>
              </w:rPr>
            </w:pPr>
          </w:p>
        </w:tc>
      </w:tr>
      <w:tr w:rsidR="007A2AAB" w:rsidRPr="009A4BC4" w14:paraId="2A00F97E"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EDCCECD" w14:textId="1008C700"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3.1.7.2.2.2</w:t>
            </w:r>
          </w:p>
        </w:tc>
        <w:tc>
          <w:tcPr>
            <w:tcW w:w="6946" w:type="dxa"/>
            <w:tcBorders>
              <w:top w:val="single" w:sz="4" w:space="0" w:color="000000"/>
              <w:left w:val="single" w:sz="4" w:space="0" w:color="000000"/>
              <w:bottom w:val="single" w:sz="4" w:space="0" w:color="000000"/>
              <w:right w:val="single" w:sz="4" w:space="0" w:color="000000"/>
            </w:tcBorders>
            <w:vAlign w:val="center"/>
          </w:tcPr>
          <w:p w14:paraId="07F6665E" w14:textId="3BC6FCC1" w:rsidR="007A2AAB" w:rsidRPr="009A4BC4" w:rsidRDefault="007A2AAB"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1"/>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2"/>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12C1DA1A"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1D8C288" w14:textId="5BDB42F7"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63AB9FE4"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A21C86B" w14:textId="05A4E92E"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0D127B81"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18B40B" w14:textId="22924F52"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63BFDBF7"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26687FE" w14:textId="61F9CCD0"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427BFF61" w14:textId="77777777" w:rsidR="007A2AAB" w:rsidRPr="009A4BC4" w:rsidRDefault="007A2AAB" w:rsidP="009A4BC4">
            <w:pPr>
              <w:pStyle w:val="TableParagraph"/>
              <w:rPr>
                <w:rFonts w:ascii="Bookman Old Style" w:hAnsi="Bookman Old Style"/>
                <w:sz w:val="20"/>
                <w:szCs w:val="20"/>
              </w:rPr>
            </w:pPr>
          </w:p>
        </w:tc>
      </w:tr>
      <w:tr w:rsidR="007A2AAB" w:rsidRPr="009A4BC4" w14:paraId="6E0089A2"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27014AB" w14:textId="4733211A" w:rsidR="007A2AAB" w:rsidRPr="009A4BC4" w:rsidRDefault="007A2AAB" w:rsidP="009A4BC4">
            <w:pPr>
              <w:pStyle w:val="TableParagraph"/>
              <w:ind w:left="107"/>
              <w:rPr>
                <w:rFonts w:ascii="Bookman Old Style" w:hAnsi="Bookman Old Style"/>
                <w:sz w:val="20"/>
                <w:szCs w:val="20"/>
              </w:rPr>
            </w:pPr>
            <w:r w:rsidRPr="009A4BC4">
              <w:rPr>
                <w:rFonts w:ascii="Bookman Old Style" w:hAnsi="Bookman Old Style"/>
                <w:sz w:val="20"/>
                <w:szCs w:val="20"/>
              </w:rPr>
              <w:t>3.1.7.2.2.3</w:t>
            </w:r>
          </w:p>
        </w:tc>
        <w:tc>
          <w:tcPr>
            <w:tcW w:w="6946" w:type="dxa"/>
            <w:tcBorders>
              <w:top w:val="single" w:sz="4" w:space="0" w:color="000000"/>
              <w:left w:val="single" w:sz="4" w:space="0" w:color="000000"/>
              <w:bottom w:val="single" w:sz="4" w:space="0" w:color="000000"/>
              <w:right w:val="single" w:sz="4" w:space="0" w:color="000000"/>
            </w:tcBorders>
            <w:vAlign w:val="center"/>
          </w:tcPr>
          <w:p w14:paraId="20D598F3" w14:textId="4AB2F700" w:rsidR="007A2AAB" w:rsidRPr="009A4BC4" w:rsidRDefault="007A2AAB" w:rsidP="008262B9">
            <w:pPr>
              <w:pStyle w:val="TableParagraph"/>
              <w:ind w:left="987"/>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3D5957EE" w14:textId="77777777" w:rsidR="007A2AAB" w:rsidRPr="009A4BC4" w:rsidRDefault="007A2AAB"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78F120A" w14:textId="0DA279D0"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6B3D58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C13C2AF" w14:textId="2D27DA8F" w:rsidR="007A2AAB" w:rsidRPr="009A4BC4" w:rsidRDefault="007A2AAB"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0D208C38" w14:textId="77777777" w:rsidR="007A2AAB" w:rsidRPr="009A4BC4" w:rsidRDefault="007A2AAB"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AFEF40" w14:textId="6CF86A0D" w:rsidR="007A2AAB" w:rsidRPr="009A4BC4" w:rsidRDefault="007A2AAB"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5C7A38D9" w14:textId="77777777" w:rsidR="007A2AAB" w:rsidRPr="009A4BC4" w:rsidRDefault="007A2AAB"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7E3CB6D" w14:textId="11096737" w:rsidR="007A2AAB" w:rsidRPr="009A4BC4" w:rsidRDefault="007A2AAB"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58FFF255" w14:textId="77777777" w:rsidR="007A2AAB" w:rsidRPr="009A4BC4" w:rsidRDefault="007A2AAB" w:rsidP="009A4BC4">
            <w:pPr>
              <w:pStyle w:val="TableParagraph"/>
              <w:rPr>
                <w:rFonts w:ascii="Bookman Old Style" w:hAnsi="Bookman Old Style"/>
                <w:sz w:val="20"/>
                <w:szCs w:val="20"/>
              </w:rPr>
            </w:pPr>
          </w:p>
        </w:tc>
      </w:tr>
      <w:tr w:rsidR="009A4BC4" w:rsidRPr="009A4BC4" w14:paraId="5D1FA433" w14:textId="77777777" w:rsidTr="008262B9">
        <w:trPr>
          <w:trHeight w:val="244"/>
        </w:trPr>
        <w:tc>
          <w:tcPr>
            <w:tcW w:w="1275" w:type="dxa"/>
            <w:tcBorders>
              <w:top w:val="single" w:sz="4" w:space="0" w:color="000000"/>
              <w:bottom w:val="single" w:sz="4" w:space="0" w:color="000000"/>
              <w:right w:val="single" w:sz="4" w:space="0" w:color="000000"/>
            </w:tcBorders>
            <w:shd w:val="clear" w:color="auto" w:fill="C9C9C9" w:themeFill="accent3" w:themeFillTint="99"/>
            <w:vAlign w:val="center"/>
          </w:tcPr>
          <w:p w14:paraId="0AF74C33" w14:textId="77777777" w:rsidR="009A4BC4" w:rsidRPr="009A4BC4" w:rsidRDefault="009A4BC4" w:rsidP="009A4BC4">
            <w:pPr>
              <w:pStyle w:val="TableParagraph"/>
              <w:rPr>
                <w:rFonts w:ascii="Bookman Old Style" w:hAnsi="Bookman Old Style"/>
                <w:sz w:val="20"/>
                <w:szCs w:val="20"/>
              </w:rPr>
            </w:pPr>
          </w:p>
          <w:p w14:paraId="25ACF521" w14:textId="4C32F07B"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3.2</w:t>
            </w:r>
          </w:p>
        </w:tc>
        <w:tc>
          <w:tcPr>
            <w:tcW w:w="694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744AE67" w14:textId="5940821D"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Surat</w:t>
            </w:r>
            <w:r w:rsidRPr="009A4BC4">
              <w:rPr>
                <w:rFonts w:ascii="Bookman Old Style" w:hAnsi="Bookman Old Style"/>
                <w:spacing w:val="-3"/>
                <w:sz w:val="20"/>
                <w:szCs w:val="20"/>
              </w:rPr>
              <w:t xml:space="preserve"> </w:t>
            </w:r>
            <w:r w:rsidRPr="009A4BC4">
              <w:rPr>
                <w:rFonts w:ascii="Bookman Old Style" w:hAnsi="Bookman Old Style"/>
                <w:sz w:val="20"/>
                <w:szCs w:val="20"/>
              </w:rPr>
              <w:t>berharga syariah</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mengalami</w:t>
            </w:r>
            <w:r w:rsidRPr="009A4BC4">
              <w:rPr>
                <w:rFonts w:ascii="Bookman Old Style" w:hAnsi="Bookman Old Style"/>
                <w:spacing w:val="-2"/>
                <w:sz w:val="20"/>
                <w:szCs w:val="20"/>
              </w:rPr>
              <w:t xml:space="preserve"> </w:t>
            </w:r>
            <w:r w:rsidRPr="009A4BC4">
              <w:rPr>
                <w:rFonts w:ascii="Bookman Old Style" w:hAnsi="Bookman Old Style"/>
                <w:sz w:val="20"/>
                <w:szCs w:val="20"/>
              </w:rPr>
              <w:t>gagal</w:t>
            </w:r>
            <w:r w:rsidRPr="009A4BC4">
              <w:rPr>
                <w:rFonts w:ascii="Bookman Old Style" w:hAnsi="Bookman Old Style"/>
                <w:spacing w:val="-2"/>
                <w:sz w:val="20"/>
                <w:szCs w:val="20"/>
              </w:rPr>
              <w:t xml:space="preserve"> </w:t>
            </w:r>
            <w:r w:rsidRPr="009A4BC4">
              <w:rPr>
                <w:rFonts w:ascii="Bookman Old Style" w:hAnsi="Bookman Old Style"/>
                <w:sz w:val="20"/>
                <w:szCs w:val="20"/>
              </w:rPr>
              <w:t>bayar</w:t>
            </w:r>
            <w:r w:rsidRPr="009A4BC4">
              <w:rPr>
                <w:rFonts w:ascii="Bookman Old Style" w:hAnsi="Bookman Old Style"/>
                <w:spacing w:val="-2"/>
                <w:sz w:val="20"/>
                <w:szCs w:val="20"/>
              </w:rPr>
              <w:t xml:space="preserve"> </w:t>
            </w:r>
            <w:r w:rsidRPr="009A4BC4">
              <w:rPr>
                <w:rFonts w:ascii="Bookman Old Style" w:hAnsi="Bookman Old Style"/>
                <w:sz w:val="20"/>
                <w:szCs w:val="20"/>
              </w:rPr>
              <w:t>dan</w:t>
            </w:r>
            <w:r w:rsidRPr="009A4BC4">
              <w:rPr>
                <w:rFonts w:ascii="Bookman Old Style" w:hAnsi="Bookman Old Style"/>
                <w:spacing w:val="-1"/>
                <w:sz w:val="20"/>
                <w:szCs w:val="20"/>
              </w:rPr>
              <w:t xml:space="preserve"> </w:t>
            </w:r>
            <w:r w:rsidRPr="009A4BC4">
              <w:rPr>
                <w:rFonts w:ascii="Bookman Old Style" w:hAnsi="Bookman Old Style"/>
                <w:sz w:val="20"/>
                <w:szCs w:val="20"/>
              </w:rPr>
              <w:t>non-HQLA</w:t>
            </w:r>
            <w:r w:rsidRPr="009A4BC4">
              <w:rPr>
                <w:rFonts w:ascii="Bookman Old Style" w:hAnsi="Bookman Old Style"/>
                <w:spacing w:val="-3"/>
                <w:sz w:val="20"/>
                <w:szCs w:val="20"/>
              </w:rPr>
              <w:t xml:space="preserve"> </w:t>
            </w:r>
            <w:r w:rsidRPr="009A4BC4">
              <w:rPr>
                <w:rFonts w:ascii="Bookman Old Style" w:hAnsi="Bookman Old Style"/>
                <w:sz w:val="20"/>
                <w:szCs w:val="20"/>
              </w:rPr>
              <w:t>serta</w:t>
            </w:r>
            <w:r w:rsidRPr="009A4BC4">
              <w:rPr>
                <w:rFonts w:ascii="Bookman Old Style" w:hAnsi="Bookman Old Style"/>
                <w:spacing w:val="-2"/>
                <w:sz w:val="20"/>
                <w:szCs w:val="20"/>
              </w:rPr>
              <w:t xml:space="preserve"> </w:t>
            </w:r>
            <w:r w:rsidRPr="009A4BC4">
              <w:rPr>
                <w:rFonts w:ascii="Bookman Old Style" w:hAnsi="Bookman Old Style"/>
                <w:sz w:val="20"/>
                <w:szCs w:val="20"/>
              </w:rPr>
              <w:t>saham yang</w:t>
            </w:r>
            <w:r w:rsidRPr="009A4BC4">
              <w:rPr>
                <w:rFonts w:ascii="Bookman Old Style" w:hAnsi="Bookman Old Style"/>
                <w:spacing w:val="-4"/>
                <w:sz w:val="20"/>
                <w:szCs w:val="20"/>
              </w:rPr>
              <w:t xml:space="preserve"> </w:t>
            </w:r>
            <w:r w:rsidRPr="009A4BC4">
              <w:rPr>
                <w:rFonts w:ascii="Bookman Old Style" w:hAnsi="Bookman Old Style"/>
                <w:sz w:val="20"/>
                <w:szCs w:val="20"/>
              </w:rPr>
              <w:t>diperdagangkan</w:t>
            </w:r>
            <w:r w:rsidRPr="009A4BC4">
              <w:rPr>
                <w:rFonts w:ascii="Bookman Old Style" w:hAnsi="Bookman Old Style"/>
                <w:spacing w:val="-1"/>
                <w:sz w:val="20"/>
                <w:szCs w:val="20"/>
              </w:rPr>
              <w:t xml:space="preserve"> </w:t>
            </w:r>
            <w:r w:rsidRPr="009A4BC4">
              <w:rPr>
                <w:rFonts w:ascii="Bookman Old Style" w:hAnsi="Bookman Old Style"/>
                <w:sz w:val="20"/>
                <w:szCs w:val="20"/>
              </w:rPr>
              <w:t>di</w:t>
            </w:r>
            <w:r w:rsidRPr="009A4BC4">
              <w:rPr>
                <w:rFonts w:ascii="Bookman Old Style" w:hAnsi="Bookman Old Style"/>
                <w:spacing w:val="-3"/>
                <w:sz w:val="20"/>
                <w:szCs w:val="20"/>
              </w:rPr>
              <w:t xml:space="preserve"> </w:t>
            </w:r>
            <w:r w:rsidRPr="009A4BC4">
              <w:rPr>
                <w:rFonts w:ascii="Bookman Old Style" w:hAnsi="Bookman Old Style"/>
                <w:sz w:val="20"/>
                <w:szCs w:val="20"/>
              </w:rPr>
              <w:t>bursa</w:t>
            </w:r>
            <w:r w:rsidRPr="009A4BC4">
              <w:rPr>
                <w:rFonts w:ascii="Bookman Old Style" w:hAnsi="Bookman Old Style"/>
                <w:spacing w:val="-2"/>
                <w:sz w:val="20"/>
                <w:szCs w:val="20"/>
              </w:rPr>
              <w:t xml:space="preserve"> </w:t>
            </w:r>
            <w:r w:rsidRPr="009A4BC4">
              <w:rPr>
                <w:rFonts w:ascii="Bookman Old Style" w:hAnsi="Bookman Old Style"/>
                <w:sz w:val="20"/>
                <w:szCs w:val="20"/>
              </w:rPr>
              <w:lastRenderedPageBreak/>
              <w:t>dan</w:t>
            </w:r>
            <w:r w:rsidRPr="009A4BC4">
              <w:rPr>
                <w:rFonts w:ascii="Bookman Old Style" w:hAnsi="Bookman Old Style"/>
                <w:spacing w:val="-2"/>
                <w:sz w:val="20"/>
                <w:szCs w:val="20"/>
              </w:rPr>
              <w:t xml:space="preserve"> </w:t>
            </w:r>
            <w:r w:rsidRPr="009A4BC4">
              <w:rPr>
                <w:rFonts w:ascii="Bookman Old Style" w:hAnsi="Bookman Old Style"/>
                <w:sz w:val="20"/>
                <w:szCs w:val="20"/>
              </w:rPr>
              <w:t>non-HQLA,</w:t>
            </w:r>
            <w:r w:rsidRPr="009A4BC4">
              <w:rPr>
                <w:rFonts w:ascii="Bookman Old Style" w:hAnsi="Bookman Old Style"/>
                <w:spacing w:val="-2"/>
                <w:sz w:val="20"/>
                <w:szCs w:val="20"/>
              </w:rPr>
              <w:t xml:space="preserve"> </w:t>
            </w:r>
            <w:r w:rsidRPr="009A4BC4">
              <w:rPr>
                <w:rFonts w:ascii="Bookman Old Style" w:hAnsi="Bookman Old Style"/>
                <w:sz w:val="20"/>
                <w:szCs w:val="20"/>
              </w:rPr>
              <w:t>dengan</w:t>
            </w:r>
            <w:r w:rsidRPr="009A4BC4">
              <w:rPr>
                <w:rFonts w:ascii="Bookman Old Style" w:hAnsi="Bookman Old Style"/>
                <w:spacing w:val="-2"/>
                <w:sz w:val="20"/>
                <w:szCs w:val="20"/>
              </w:rPr>
              <w:t xml:space="preserve"> </w:t>
            </w:r>
            <w:r w:rsidRPr="009A4BC4">
              <w:rPr>
                <w:rFonts w:ascii="Bookman Old Style" w:hAnsi="Bookman Old Style"/>
                <w:sz w:val="20"/>
                <w:szCs w:val="20"/>
              </w:rPr>
              <w:t>syarat</w:t>
            </w:r>
            <w:r w:rsidRPr="009A4BC4">
              <w:rPr>
                <w:rFonts w:ascii="Bookman Old Style" w:hAnsi="Bookman Old Style"/>
                <w:spacing w:val="-2"/>
                <w:sz w:val="20"/>
                <w:szCs w:val="20"/>
              </w:rPr>
              <w:t xml:space="preserve"> </w:t>
            </w:r>
            <w:r w:rsidRPr="009A4BC4">
              <w:rPr>
                <w:rFonts w:ascii="Bookman Old Style" w:hAnsi="Bookman Old Style"/>
                <w:sz w:val="20"/>
                <w:szCs w:val="20"/>
              </w:rPr>
              <w:t>tertentu</w:t>
            </w:r>
          </w:p>
        </w:tc>
        <w:tc>
          <w:tcPr>
            <w:tcW w:w="98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20E3A732"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891F3B7"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23FA96A"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F5343F8"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8632955"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F356A1C"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F3491E9"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3ECE540A"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C9C9C9" w:themeFill="accent3" w:themeFillTint="99"/>
            <w:vAlign w:val="center"/>
          </w:tcPr>
          <w:p w14:paraId="0C7AC68C" w14:textId="77777777" w:rsidR="009A4BC4" w:rsidRPr="009A4BC4" w:rsidRDefault="009A4BC4" w:rsidP="009A4BC4">
            <w:pPr>
              <w:pStyle w:val="TableParagraph"/>
              <w:rPr>
                <w:rFonts w:ascii="Bookman Old Style" w:hAnsi="Bookman Old Style"/>
                <w:sz w:val="20"/>
                <w:szCs w:val="20"/>
              </w:rPr>
            </w:pPr>
          </w:p>
        </w:tc>
      </w:tr>
      <w:tr w:rsidR="009A4BC4" w:rsidRPr="009A4BC4" w14:paraId="6C1FC293"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1EB3356" w14:textId="1ACC6DCD"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3.2.1</w:t>
            </w:r>
          </w:p>
        </w:tc>
        <w:tc>
          <w:tcPr>
            <w:tcW w:w="6946" w:type="dxa"/>
            <w:tcBorders>
              <w:top w:val="single" w:sz="4" w:space="0" w:color="000000"/>
              <w:left w:val="single" w:sz="4" w:space="0" w:color="000000"/>
              <w:bottom w:val="single" w:sz="4" w:space="0" w:color="000000"/>
              <w:right w:val="single" w:sz="4" w:space="0" w:color="000000"/>
            </w:tcBorders>
            <w:vAlign w:val="center"/>
          </w:tcPr>
          <w:p w14:paraId="571D38EA" w14:textId="2F9D0E17"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bebas</w:t>
            </w:r>
            <w:r w:rsidRPr="009A4BC4">
              <w:rPr>
                <w:rFonts w:ascii="Bookman Old Style" w:hAnsi="Bookman Old Style"/>
                <w:spacing w:val="-5"/>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w:t>
            </w:r>
            <w:r w:rsidRPr="009A4BC4">
              <w:rPr>
                <w:rFonts w:ascii="Bookman Old Style" w:hAnsi="Bookman Old Style"/>
                <w:spacing w:val="-3"/>
                <w:sz w:val="20"/>
                <w:szCs w:val="20"/>
              </w:rPr>
              <w:t xml:space="preserve"> </w:t>
            </w:r>
            <w:r w:rsidRPr="009A4BC4">
              <w:rPr>
                <w:rFonts w:ascii="Bookman Old Style" w:hAnsi="Bookman Old Style"/>
                <w:sz w:val="20"/>
                <w:szCs w:val="20"/>
              </w:rPr>
              <w:t>klaim</w:t>
            </w:r>
            <w:r w:rsidRPr="009A4BC4">
              <w:rPr>
                <w:rFonts w:ascii="Bookman Old Style" w:hAnsi="Bookman Old Style"/>
                <w:spacing w:val="-3"/>
                <w:sz w:val="20"/>
                <w:szCs w:val="20"/>
              </w:rPr>
              <w:t xml:space="preserve"> </w:t>
            </w:r>
            <w:r w:rsidRPr="009A4BC4">
              <w:rPr>
                <w:rFonts w:ascii="Bookman Old Style" w:hAnsi="Bookman Old Style"/>
                <w:i/>
                <w:sz w:val="20"/>
                <w:szCs w:val="20"/>
              </w:rPr>
              <w:t>(unencumbered)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171D5E93"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CC1E0A7" w14:textId="3732602C"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4D449CD"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F1FFCDD" w14:textId="22A04D54"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79347762"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CD4E748" w14:textId="7AC36515"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3EB99896"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11F8DD4" w14:textId="3509C11A"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6290E7F6" w14:textId="77777777" w:rsidR="009A4BC4" w:rsidRPr="009A4BC4" w:rsidRDefault="009A4BC4" w:rsidP="009A4BC4">
            <w:pPr>
              <w:pStyle w:val="TableParagraph"/>
              <w:rPr>
                <w:rFonts w:ascii="Bookman Old Style" w:hAnsi="Bookman Old Style"/>
                <w:sz w:val="20"/>
                <w:szCs w:val="20"/>
              </w:rPr>
            </w:pPr>
          </w:p>
        </w:tc>
      </w:tr>
      <w:tr w:rsidR="009A4BC4" w:rsidRPr="009A4BC4" w14:paraId="65A22AE0"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118D981A" w14:textId="5241E0A1"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3.2.2</w:t>
            </w:r>
          </w:p>
        </w:tc>
        <w:tc>
          <w:tcPr>
            <w:tcW w:w="6946" w:type="dxa"/>
            <w:tcBorders>
              <w:top w:val="single" w:sz="4" w:space="0" w:color="000000"/>
              <w:left w:val="single" w:sz="4" w:space="0" w:color="000000"/>
              <w:bottom w:val="single" w:sz="4" w:space="0" w:color="000000"/>
              <w:right w:val="single" w:sz="4" w:space="0" w:color="000000"/>
            </w:tcBorders>
            <w:vAlign w:val="center"/>
          </w:tcPr>
          <w:p w14:paraId="0010E010" w14:textId="445366B1"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tidak</w:t>
            </w:r>
            <w:r w:rsidRPr="009A4BC4">
              <w:rPr>
                <w:rFonts w:ascii="Bookman Old Style" w:hAnsi="Bookman Old Style"/>
                <w:spacing w:val="-5"/>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3"/>
                <w:sz w:val="20"/>
                <w:szCs w:val="20"/>
              </w:rPr>
              <w:t xml:space="preserve"> </w:t>
            </w:r>
            <w:r w:rsidRPr="009A4BC4">
              <w:rPr>
                <w:rFonts w:ascii="Bookman Old Style" w:hAnsi="Bookman Old Style"/>
                <w:sz w:val="20"/>
                <w:szCs w:val="20"/>
              </w:rPr>
              <w:t>segala klaim</w:t>
            </w:r>
            <w:r w:rsidRPr="009A4BC4">
              <w:rPr>
                <w:rFonts w:ascii="Bookman Old Style" w:hAnsi="Bookman Old Style"/>
                <w:spacing w:val="-2"/>
                <w:sz w:val="20"/>
                <w:szCs w:val="20"/>
              </w:rPr>
              <w:t xml:space="preserve"> </w:t>
            </w:r>
            <w:r w:rsidRPr="009A4BC4">
              <w:rPr>
                <w:rFonts w:ascii="Bookman Old Style" w:hAnsi="Bookman Old Style"/>
                <w:i/>
                <w:sz w:val="20"/>
                <w:szCs w:val="20"/>
              </w:rPr>
              <w:t>(encumbered)</w:t>
            </w:r>
          </w:p>
        </w:tc>
        <w:tc>
          <w:tcPr>
            <w:tcW w:w="989" w:type="dxa"/>
            <w:tcBorders>
              <w:top w:val="single" w:sz="4" w:space="0" w:color="000000"/>
              <w:left w:val="single" w:sz="4" w:space="0" w:color="000000"/>
              <w:bottom w:val="single" w:sz="4" w:space="0" w:color="000000"/>
              <w:right w:val="single" w:sz="4" w:space="0" w:color="000000"/>
            </w:tcBorders>
            <w:vAlign w:val="center"/>
          </w:tcPr>
          <w:p w14:paraId="22706549"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CEA6016"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67506C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292EC5E"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982C2B1"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73D365"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E81B464"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0F22CFC"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35B46C0E" w14:textId="77777777" w:rsidR="009A4BC4" w:rsidRPr="009A4BC4" w:rsidRDefault="009A4BC4" w:rsidP="009A4BC4">
            <w:pPr>
              <w:pStyle w:val="TableParagraph"/>
              <w:rPr>
                <w:rFonts w:ascii="Bookman Old Style" w:hAnsi="Bookman Old Style"/>
                <w:sz w:val="20"/>
                <w:szCs w:val="20"/>
              </w:rPr>
            </w:pPr>
          </w:p>
        </w:tc>
      </w:tr>
      <w:tr w:rsidR="009A4BC4" w:rsidRPr="009A4BC4" w14:paraId="0093E204"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1953D2C1" w14:textId="4E9764D9"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3.2.2.1</w:t>
            </w:r>
          </w:p>
        </w:tc>
        <w:tc>
          <w:tcPr>
            <w:tcW w:w="6946" w:type="dxa"/>
            <w:tcBorders>
              <w:top w:val="single" w:sz="4" w:space="0" w:color="000000"/>
              <w:left w:val="single" w:sz="4" w:space="0" w:color="000000"/>
              <w:bottom w:val="single" w:sz="4" w:space="0" w:color="000000"/>
              <w:right w:val="single" w:sz="4" w:space="0" w:color="000000"/>
            </w:tcBorders>
            <w:vAlign w:val="center"/>
          </w:tcPr>
          <w:p w14:paraId="3FC907DC" w14:textId="2104BCCA"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p>
        </w:tc>
        <w:tc>
          <w:tcPr>
            <w:tcW w:w="989" w:type="dxa"/>
            <w:tcBorders>
              <w:top w:val="single" w:sz="4" w:space="0" w:color="000000"/>
              <w:left w:val="single" w:sz="4" w:space="0" w:color="000000"/>
              <w:bottom w:val="single" w:sz="4" w:space="0" w:color="000000"/>
              <w:right w:val="single" w:sz="4" w:space="0" w:color="000000"/>
            </w:tcBorders>
            <w:vAlign w:val="center"/>
          </w:tcPr>
          <w:p w14:paraId="1E3F6348"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0D08B44" w14:textId="4DCB50B2"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5B7B5577"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58AA50D" w14:textId="0BE3A92A"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52EABB76"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26929C" w14:textId="37DD6455"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6CD31DFF"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A32A9BB" w14:textId="435EF3EF"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04A672EF" w14:textId="77777777" w:rsidR="009A4BC4" w:rsidRPr="009A4BC4" w:rsidRDefault="009A4BC4" w:rsidP="009A4BC4">
            <w:pPr>
              <w:pStyle w:val="TableParagraph"/>
              <w:rPr>
                <w:rFonts w:ascii="Bookman Old Style" w:hAnsi="Bookman Old Style"/>
                <w:sz w:val="20"/>
                <w:szCs w:val="20"/>
              </w:rPr>
            </w:pPr>
          </w:p>
        </w:tc>
      </w:tr>
      <w:tr w:rsidR="009A4BC4" w:rsidRPr="009A4BC4" w14:paraId="3BDD6AEE"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445266DB" w14:textId="2CC0F69C"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3.2.2.2</w:t>
            </w:r>
          </w:p>
        </w:tc>
        <w:tc>
          <w:tcPr>
            <w:tcW w:w="6946" w:type="dxa"/>
            <w:tcBorders>
              <w:top w:val="single" w:sz="4" w:space="0" w:color="000000"/>
              <w:left w:val="single" w:sz="4" w:space="0" w:color="000000"/>
              <w:bottom w:val="single" w:sz="4" w:space="0" w:color="000000"/>
              <w:right w:val="single" w:sz="4" w:space="0" w:color="000000"/>
            </w:tcBorders>
            <w:vAlign w:val="center"/>
          </w:tcPr>
          <w:p w14:paraId="2840AA44" w14:textId="01C18FE6"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2"/>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1"/>
                <w:sz w:val="20"/>
                <w:szCs w:val="20"/>
              </w:rPr>
              <w:t xml:space="preserve"> </w:t>
            </w:r>
            <w:r w:rsidRPr="009A4BC4">
              <w:rPr>
                <w:rFonts w:ascii="Bookman Old Style" w:hAnsi="Bookman Old Style"/>
                <w:sz w:val="20"/>
                <w:szCs w:val="20"/>
              </w:rPr>
              <w:t>pengikatan</w:t>
            </w:r>
            <w:r w:rsidRPr="009A4BC4">
              <w:rPr>
                <w:rFonts w:ascii="Bookman Old Style" w:hAnsi="Bookman Old Style"/>
                <w:spacing w:val="-1"/>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6</w:t>
            </w:r>
            <w:r w:rsidRPr="009A4BC4">
              <w:rPr>
                <w:rFonts w:ascii="Bookman Old Style" w:hAnsi="Bookman Old Style"/>
                <w:spacing w:val="-2"/>
                <w:sz w:val="20"/>
                <w:szCs w:val="20"/>
              </w:rPr>
              <w:t xml:space="preserve"> </w:t>
            </w:r>
            <w:r w:rsidRPr="009A4BC4">
              <w:rPr>
                <w:rFonts w:ascii="Bookman Old Style" w:hAnsi="Bookman Old Style"/>
                <w:sz w:val="20"/>
                <w:szCs w:val="20"/>
              </w:rPr>
              <w:t>bulan</w:t>
            </w:r>
            <w:r w:rsidRPr="009A4BC4">
              <w:rPr>
                <w:rFonts w:ascii="Bookman Old Style" w:hAnsi="Bookman Old Style"/>
                <w:spacing w:val="-1"/>
                <w:sz w:val="20"/>
                <w:szCs w:val="20"/>
              </w:rPr>
              <w:t xml:space="preserve"> </w:t>
            </w:r>
            <w:r w:rsidRPr="009A4BC4">
              <w:rPr>
                <w:rFonts w:ascii="Bookman Old Style" w:hAnsi="Bookman Old Style"/>
                <w:sz w:val="20"/>
                <w:szCs w:val="20"/>
              </w:rPr>
              <w:t>s.d</w:t>
            </w:r>
            <w:r w:rsidRPr="009A4BC4">
              <w:rPr>
                <w:rFonts w:ascii="Bookman Old Style" w:hAnsi="Bookman Old Style"/>
                <w:spacing w:val="-1"/>
                <w:sz w:val="20"/>
                <w:szCs w:val="20"/>
              </w:rPr>
              <w:t xml:space="preserve"> </w:t>
            </w:r>
            <w:r w:rsidRPr="009A4BC4">
              <w:rPr>
                <w:rFonts w:ascii="Bookman Old Style" w:hAnsi="Bookman Old Style"/>
                <w:sz w:val="20"/>
                <w:szCs w:val="20"/>
              </w:rPr>
              <w:t>&lt;</w:t>
            </w:r>
            <w:r w:rsidRPr="009A4BC4">
              <w:rPr>
                <w:rFonts w:ascii="Bookman Old Style" w:hAnsi="Bookman Old Style"/>
                <w:spacing w:val="-3"/>
                <w:sz w:val="20"/>
                <w:szCs w:val="20"/>
              </w:rPr>
              <w:t xml:space="preserve"> </w:t>
            </w:r>
            <w:r w:rsidRPr="009A4BC4">
              <w:rPr>
                <w:rFonts w:ascii="Bookman Old Style" w:hAnsi="Bookman Old Style"/>
                <w:sz w:val="20"/>
                <w:szCs w:val="20"/>
              </w:rPr>
              <w:t>1 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53D0B550"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8C8AA43" w14:textId="79BA1A22"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5388AE8"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535B375" w14:textId="7389714D"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50%</w:t>
            </w:r>
          </w:p>
        </w:tc>
        <w:tc>
          <w:tcPr>
            <w:tcW w:w="991" w:type="dxa"/>
            <w:tcBorders>
              <w:top w:val="single" w:sz="4" w:space="0" w:color="000000"/>
              <w:left w:val="single" w:sz="4" w:space="0" w:color="000000"/>
              <w:bottom w:val="single" w:sz="4" w:space="0" w:color="000000"/>
              <w:right w:val="single" w:sz="4" w:space="0" w:color="000000"/>
            </w:tcBorders>
            <w:vAlign w:val="center"/>
          </w:tcPr>
          <w:p w14:paraId="68326CCA"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18460B0" w14:textId="7ACC9DEA"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50%</w:t>
            </w:r>
          </w:p>
        </w:tc>
        <w:tc>
          <w:tcPr>
            <w:tcW w:w="993" w:type="dxa"/>
            <w:tcBorders>
              <w:top w:val="single" w:sz="4" w:space="0" w:color="000000"/>
              <w:left w:val="single" w:sz="4" w:space="0" w:color="000000"/>
              <w:bottom w:val="single" w:sz="4" w:space="0" w:color="000000"/>
              <w:right w:val="single" w:sz="4" w:space="0" w:color="000000"/>
            </w:tcBorders>
            <w:vAlign w:val="center"/>
          </w:tcPr>
          <w:p w14:paraId="7E7E41EF"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CB473B8" w14:textId="16D31F75"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85%</w:t>
            </w:r>
          </w:p>
        </w:tc>
        <w:tc>
          <w:tcPr>
            <w:tcW w:w="1457" w:type="dxa"/>
            <w:tcBorders>
              <w:top w:val="single" w:sz="4" w:space="0" w:color="000000"/>
              <w:left w:val="single" w:sz="4" w:space="0" w:color="000000"/>
              <w:bottom w:val="single" w:sz="4" w:space="0" w:color="000000"/>
            </w:tcBorders>
            <w:vAlign w:val="center"/>
          </w:tcPr>
          <w:p w14:paraId="41C84A76" w14:textId="77777777" w:rsidR="009A4BC4" w:rsidRPr="009A4BC4" w:rsidRDefault="009A4BC4" w:rsidP="009A4BC4">
            <w:pPr>
              <w:pStyle w:val="TableParagraph"/>
              <w:rPr>
                <w:rFonts w:ascii="Bookman Old Style" w:hAnsi="Bookman Old Style"/>
                <w:sz w:val="20"/>
                <w:szCs w:val="20"/>
              </w:rPr>
            </w:pPr>
          </w:p>
        </w:tc>
      </w:tr>
      <w:tr w:rsidR="009A4BC4" w:rsidRPr="009A4BC4" w14:paraId="09A67D44"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385C130A" w14:textId="3C6A9250"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3.2.2.3</w:t>
            </w:r>
          </w:p>
        </w:tc>
        <w:tc>
          <w:tcPr>
            <w:tcW w:w="6946" w:type="dxa"/>
            <w:tcBorders>
              <w:top w:val="single" w:sz="4" w:space="0" w:color="000000"/>
              <w:left w:val="single" w:sz="4" w:space="0" w:color="000000"/>
              <w:bottom w:val="single" w:sz="4" w:space="0" w:color="000000"/>
              <w:right w:val="single" w:sz="4" w:space="0" w:color="000000"/>
            </w:tcBorders>
            <w:vAlign w:val="center"/>
          </w:tcPr>
          <w:p w14:paraId="3F5333A9" w14:textId="5F7BD37D"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sisa</w:t>
            </w:r>
            <w:r w:rsidRPr="009A4BC4">
              <w:rPr>
                <w:rFonts w:ascii="Bookman Old Style" w:hAnsi="Bookman Old Style"/>
                <w:spacing w:val="-3"/>
                <w:sz w:val="20"/>
                <w:szCs w:val="20"/>
              </w:rPr>
              <w:t xml:space="preserve"> </w:t>
            </w:r>
            <w:r w:rsidRPr="009A4BC4">
              <w:rPr>
                <w:rFonts w:ascii="Bookman Old Style" w:hAnsi="Bookman Old Style"/>
                <w:sz w:val="20"/>
                <w:szCs w:val="20"/>
              </w:rPr>
              <w:t>jangka</w:t>
            </w:r>
            <w:r w:rsidRPr="009A4BC4">
              <w:rPr>
                <w:rFonts w:ascii="Bookman Old Style" w:hAnsi="Bookman Old Style"/>
                <w:spacing w:val="-2"/>
                <w:sz w:val="20"/>
                <w:szCs w:val="20"/>
              </w:rPr>
              <w:t xml:space="preserve"> </w:t>
            </w:r>
            <w:r w:rsidRPr="009A4BC4">
              <w:rPr>
                <w:rFonts w:ascii="Bookman Old Style" w:hAnsi="Bookman Old Style"/>
                <w:sz w:val="20"/>
                <w:szCs w:val="20"/>
              </w:rPr>
              <w:t>waktu</w:t>
            </w:r>
            <w:r w:rsidRPr="009A4BC4">
              <w:rPr>
                <w:rFonts w:ascii="Bookman Old Style" w:hAnsi="Bookman Old Style"/>
                <w:spacing w:val="-2"/>
                <w:sz w:val="20"/>
                <w:szCs w:val="20"/>
              </w:rPr>
              <w:t xml:space="preserve"> </w:t>
            </w:r>
            <w:r w:rsidRPr="009A4BC4">
              <w:rPr>
                <w:rFonts w:ascii="Bookman Old Style" w:hAnsi="Bookman Old Style"/>
                <w:sz w:val="20"/>
                <w:szCs w:val="20"/>
              </w:rPr>
              <w:t>pengikatan</w:t>
            </w:r>
            <w:r w:rsidRPr="009A4BC4">
              <w:rPr>
                <w:rFonts w:ascii="Bookman Old Style" w:hAnsi="Bookman Old Style"/>
                <w:spacing w:val="-2"/>
                <w:sz w:val="20"/>
                <w:szCs w:val="20"/>
              </w:rPr>
              <w:t xml:space="preserve"> </w:t>
            </w: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1</w:t>
            </w:r>
            <w:r w:rsidRPr="009A4BC4">
              <w:rPr>
                <w:rFonts w:ascii="Bookman Old Style" w:hAnsi="Bookman Old Style"/>
                <w:spacing w:val="-2"/>
                <w:sz w:val="20"/>
                <w:szCs w:val="20"/>
              </w:rPr>
              <w:t xml:space="preserve"> </w:t>
            </w:r>
            <w:r w:rsidRPr="009A4BC4">
              <w:rPr>
                <w:rFonts w:ascii="Bookman Old Style" w:hAnsi="Bookman Old Style"/>
                <w:sz w:val="20"/>
                <w:szCs w:val="20"/>
              </w:rPr>
              <w:t>tahun</w:t>
            </w:r>
          </w:p>
        </w:tc>
        <w:tc>
          <w:tcPr>
            <w:tcW w:w="989" w:type="dxa"/>
            <w:tcBorders>
              <w:top w:val="single" w:sz="4" w:space="0" w:color="000000"/>
              <w:left w:val="single" w:sz="4" w:space="0" w:color="000000"/>
              <w:bottom w:val="single" w:sz="4" w:space="0" w:color="000000"/>
              <w:right w:val="single" w:sz="4" w:space="0" w:color="000000"/>
            </w:tcBorders>
            <w:vAlign w:val="center"/>
          </w:tcPr>
          <w:p w14:paraId="75F1A9BE"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309C593" w14:textId="2C6D46BE"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8ED737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8728421" w14:textId="773FA2D0"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2C43A3CE"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EFEA0E" w14:textId="5F5603D1"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43F2FB38"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B9C6EE8" w14:textId="01DD4551"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1B5792C6" w14:textId="77777777" w:rsidR="009A4BC4" w:rsidRPr="009A4BC4" w:rsidRDefault="009A4BC4" w:rsidP="009A4BC4">
            <w:pPr>
              <w:pStyle w:val="TableParagraph"/>
              <w:rPr>
                <w:rFonts w:ascii="Bookman Old Style" w:hAnsi="Bookman Old Style"/>
                <w:sz w:val="20"/>
                <w:szCs w:val="20"/>
              </w:rPr>
            </w:pPr>
          </w:p>
        </w:tc>
      </w:tr>
      <w:tr w:rsidR="009A4BC4" w:rsidRPr="009A4BC4" w14:paraId="5321174F" w14:textId="77777777" w:rsidTr="008262B9">
        <w:trPr>
          <w:trHeight w:val="244"/>
        </w:trPr>
        <w:tc>
          <w:tcPr>
            <w:tcW w:w="1275" w:type="dxa"/>
            <w:tcBorders>
              <w:top w:val="single" w:sz="4" w:space="0" w:color="000000"/>
              <w:bottom w:val="single" w:sz="4" w:space="0" w:color="000000"/>
              <w:right w:val="single" w:sz="4" w:space="0" w:color="000000"/>
            </w:tcBorders>
            <w:shd w:val="clear" w:color="auto" w:fill="C9C9C9" w:themeFill="accent3" w:themeFillTint="99"/>
            <w:vAlign w:val="center"/>
          </w:tcPr>
          <w:p w14:paraId="53204A2E" w14:textId="20B8E67B"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w w:val="99"/>
                <w:sz w:val="20"/>
                <w:szCs w:val="20"/>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8CAB48F" w14:textId="706EBD0C"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Aset</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memiliki</w:t>
            </w:r>
            <w:r w:rsidRPr="009A4BC4">
              <w:rPr>
                <w:rFonts w:ascii="Bookman Old Style" w:hAnsi="Bookman Old Style"/>
                <w:spacing w:val="-2"/>
                <w:sz w:val="20"/>
                <w:szCs w:val="20"/>
              </w:rPr>
              <w:t xml:space="preserve"> </w:t>
            </w:r>
            <w:r w:rsidRPr="009A4BC4">
              <w:rPr>
                <w:rFonts w:ascii="Bookman Old Style" w:hAnsi="Bookman Old Style"/>
                <w:sz w:val="20"/>
                <w:szCs w:val="20"/>
              </w:rPr>
              <w:t>pasangan liabilitas</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saling</w:t>
            </w:r>
            <w:r w:rsidRPr="009A4BC4">
              <w:rPr>
                <w:rFonts w:ascii="Bookman Old Style" w:hAnsi="Bookman Old Style"/>
                <w:spacing w:val="-3"/>
                <w:sz w:val="20"/>
                <w:szCs w:val="20"/>
              </w:rPr>
              <w:t xml:space="preserve"> </w:t>
            </w:r>
            <w:r w:rsidRPr="009A4BC4">
              <w:rPr>
                <w:rFonts w:ascii="Bookman Old Style" w:hAnsi="Bookman Old Style"/>
                <w:sz w:val="20"/>
                <w:szCs w:val="20"/>
              </w:rPr>
              <w:t>bergantung</w:t>
            </w:r>
          </w:p>
        </w:tc>
        <w:tc>
          <w:tcPr>
            <w:tcW w:w="98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337D905E"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3182563" w14:textId="63576753"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05F2C7F"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E3ABC68" w14:textId="2B23BFA2"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E5ACB6F"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4C3B2788" w14:textId="157B7395"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4686DD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549A380" w14:textId="3C0DEAC7"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0%</w:t>
            </w:r>
          </w:p>
        </w:tc>
        <w:tc>
          <w:tcPr>
            <w:tcW w:w="1457" w:type="dxa"/>
            <w:tcBorders>
              <w:top w:val="single" w:sz="4" w:space="0" w:color="000000"/>
              <w:left w:val="single" w:sz="4" w:space="0" w:color="000000"/>
              <w:bottom w:val="single" w:sz="4" w:space="0" w:color="000000"/>
            </w:tcBorders>
            <w:shd w:val="clear" w:color="auto" w:fill="C9C9C9" w:themeFill="accent3" w:themeFillTint="99"/>
            <w:vAlign w:val="center"/>
          </w:tcPr>
          <w:p w14:paraId="75121E4B" w14:textId="77777777" w:rsidR="009A4BC4" w:rsidRPr="009A4BC4" w:rsidRDefault="009A4BC4" w:rsidP="009A4BC4">
            <w:pPr>
              <w:pStyle w:val="TableParagraph"/>
              <w:rPr>
                <w:rFonts w:ascii="Bookman Old Style" w:hAnsi="Bookman Old Style"/>
                <w:sz w:val="20"/>
                <w:szCs w:val="20"/>
              </w:rPr>
            </w:pPr>
          </w:p>
        </w:tc>
      </w:tr>
      <w:tr w:rsidR="009A4BC4" w:rsidRPr="009A4BC4" w14:paraId="3193971B" w14:textId="77777777" w:rsidTr="008262B9">
        <w:trPr>
          <w:trHeight w:val="244"/>
        </w:trPr>
        <w:tc>
          <w:tcPr>
            <w:tcW w:w="1275" w:type="dxa"/>
            <w:tcBorders>
              <w:top w:val="single" w:sz="4" w:space="0" w:color="000000"/>
              <w:bottom w:val="single" w:sz="4" w:space="0" w:color="000000"/>
              <w:right w:val="single" w:sz="4" w:space="0" w:color="000000"/>
            </w:tcBorders>
            <w:shd w:val="clear" w:color="auto" w:fill="C9C9C9" w:themeFill="accent3" w:themeFillTint="99"/>
            <w:vAlign w:val="center"/>
          </w:tcPr>
          <w:p w14:paraId="3788197A" w14:textId="7CF4B15A"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w w:val="99"/>
                <w:sz w:val="20"/>
                <w:szCs w:val="20"/>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B4626BF" w14:textId="5244BA76"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lainnya</w:t>
            </w:r>
          </w:p>
        </w:tc>
        <w:tc>
          <w:tcPr>
            <w:tcW w:w="98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4D496DE3"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5098B16"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2A299AD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9270241"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088E35A8"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2AD30CB"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935AF84"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B9B37A3"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C9C9C9" w:themeFill="accent3" w:themeFillTint="99"/>
            <w:vAlign w:val="center"/>
          </w:tcPr>
          <w:p w14:paraId="0CB25C82" w14:textId="77777777" w:rsidR="009A4BC4" w:rsidRPr="009A4BC4" w:rsidRDefault="009A4BC4" w:rsidP="009A4BC4">
            <w:pPr>
              <w:pStyle w:val="TableParagraph"/>
              <w:rPr>
                <w:rFonts w:ascii="Bookman Old Style" w:hAnsi="Bookman Old Style"/>
                <w:sz w:val="20"/>
                <w:szCs w:val="20"/>
              </w:rPr>
            </w:pPr>
          </w:p>
        </w:tc>
      </w:tr>
      <w:tr w:rsidR="009A4BC4" w:rsidRPr="009A4BC4" w14:paraId="701D9C55"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618C346" w14:textId="4C68D123"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5.1</w:t>
            </w:r>
          </w:p>
        </w:tc>
        <w:tc>
          <w:tcPr>
            <w:tcW w:w="6946" w:type="dxa"/>
            <w:tcBorders>
              <w:top w:val="single" w:sz="4" w:space="0" w:color="000000"/>
              <w:left w:val="single" w:sz="4" w:space="0" w:color="000000"/>
              <w:bottom w:val="single" w:sz="4" w:space="0" w:color="000000"/>
              <w:right w:val="single" w:sz="4" w:space="0" w:color="000000"/>
            </w:tcBorders>
            <w:vAlign w:val="center"/>
          </w:tcPr>
          <w:p w14:paraId="7F080D72" w14:textId="6C2C039A"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Komoditas</w:t>
            </w:r>
            <w:r w:rsidRPr="009A4BC4">
              <w:rPr>
                <w:rFonts w:ascii="Bookman Old Style" w:hAnsi="Bookman Old Style"/>
                <w:spacing w:val="-5"/>
                <w:sz w:val="20"/>
                <w:szCs w:val="20"/>
              </w:rPr>
              <w:t xml:space="preserve"> </w:t>
            </w:r>
            <w:r w:rsidRPr="009A4BC4">
              <w:rPr>
                <w:rFonts w:ascii="Bookman Old Style" w:hAnsi="Bookman Old Style"/>
                <w:sz w:val="20"/>
                <w:szCs w:val="20"/>
              </w:rPr>
              <w:t>fisik</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diperdagangkan,</w:t>
            </w:r>
            <w:r w:rsidRPr="009A4BC4">
              <w:rPr>
                <w:rFonts w:ascii="Bookman Old Style" w:hAnsi="Bookman Old Style"/>
                <w:spacing w:val="-3"/>
                <w:sz w:val="20"/>
                <w:szCs w:val="20"/>
              </w:rPr>
              <w:t xml:space="preserve"> </w:t>
            </w:r>
            <w:r w:rsidRPr="009A4BC4">
              <w:rPr>
                <w:rFonts w:ascii="Bookman Old Style" w:hAnsi="Bookman Old Style"/>
                <w:sz w:val="20"/>
                <w:szCs w:val="20"/>
              </w:rPr>
              <w:t>termasuk</w:t>
            </w:r>
            <w:r w:rsidRPr="009A4BC4">
              <w:rPr>
                <w:rFonts w:ascii="Bookman Old Style" w:hAnsi="Bookman Old Style"/>
                <w:spacing w:val="-3"/>
                <w:sz w:val="20"/>
                <w:szCs w:val="20"/>
              </w:rPr>
              <w:t xml:space="preserve"> </w:t>
            </w:r>
            <w:r w:rsidRPr="009A4BC4">
              <w:rPr>
                <w:rFonts w:ascii="Bookman Old Style" w:hAnsi="Bookman Old Style"/>
                <w:sz w:val="20"/>
                <w:szCs w:val="20"/>
              </w:rPr>
              <w:t>emas</w:t>
            </w:r>
          </w:p>
        </w:tc>
        <w:tc>
          <w:tcPr>
            <w:tcW w:w="989" w:type="dxa"/>
            <w:tcBorders>
              <w:top w:val="single" w:sz="4" w:space="0" w:color="000000"/>
              <w:left w:val="single" w:sz="4" w:space="0" w:color="000000"/>
              <w:bottom w:val="single" w:sz="4" w:space="0" w:color="000000"/>
              <w:right w:val="single" w:sz="4" w:space="0" w:color="000000"/>
            </w:tcBorders>
            <w:vAlign w:val="center"/>
          </w:tcPr>
          <w:p w14:paraId="72F8D761"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4F6BA5F0" w14:textId="6F932D9E"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85%</w:t>
            </w:r>
          </w:p>
        </w:tc>
        <w:tc>
          <w:tcPr>
            <w:tcW w:w="998" w:type="dxa"/>
            <w:tcBorders>
              <w:top w:val="single" w:sz="4" w:space="0" w:color="000000"/>
              <w:left w:val="single" w:sz="4" w:space="0" w:color="000000"/>
              <w:bottom w:val="single" w:sz="4" w:space="0" w:color="000000"/>
              <w:right w:val="single" w:sz="4" w:space="0" w:color="000000"/>
            </w:tcBorders>
            <w:vAlign w:val="center"/>
          </w:tcPr>
          <w:p w14:paraId="6FC9D235"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C923C48"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11F67E8"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E1E947"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1BF12E5"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A44D92F"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4E4CB737" w14:textId="77777777" w:rsidR="009A4BC4" w:rsidRPr="009A4BC4" w:rsidRDefault="009A4BC4" w:rsidP="009A4BC4">
            <w:pPr>
              <w:pStyle w:val="TableParagraph"/>
              <w:rPr>
                <w:rFonts w:ascii="Bookman Old Style" w:hAnsi="Bookman Old Style"/>
                <w:sz w:val="20"/>
                <w:szCs w:val="20"/>
              </w:rPr>
            </w:pPr>
          </w:p>
        </w:tc>
      </w:tr>
      <w:tr w:rsidR="009A4BC4" w:rsidRPr="009A4BC4" w14:paraId="05A246B7"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C49FE35" w14:textId="77777777" w:rsidR="009A4BC4" w:rsidRPr="009A4BC4" w:rsidRDefault="009A4BC4" w:rsidP="009A4BC4">
            <w:pPr>
              <w:pStyle w:val="TableParagraph"/>
              <w:rPr>
                <w:rFonts w:ascii="Bookman Old Style" w:hAnsi="Bookman Old Style"/>
                <w:sz w:val="20"/>
                <w:szCs w:val="20"/>
              </w:rPr>
            </w:pPr>
          </w:p>
          <w:p w14:paraId="3DAA222D" w14:textId="77777777" w:rsidR="009A4BC4" w:rsidRPr="009A4BC4" w:rsidRDefault="009A4BC4" w:rsidP="009A4BC4">
            <w:pPr>
              <w:pStyle w:val="TableParagraph"/>
              <w:rPr>
                <w:rFonts w:ascii="Bookman Old Style" w:hAnsi="Bookman Old Style"/>
                <w:sz w:val="20"/>
                <w:szCs w:val="20"/>
              </w:rPr>
            </w:pPr>
          </w:p>
          <w:p w14:paraId="3B03638A" w14:textId="42EDF9FB"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5.2</w:t>
            </w:r>
          </w:p>
        </w:tc>
        <w:tc>
          <w:tcPr>
            <w:tcW w:w="6946" w:type="dxa"/>
            <w:tcBorders>
              <w:top w:val="single" w:sz="4" w:space="0" w:color="000000"/>
              <w:left w:val="single" w:sz="4" w:space="0" w:color="000000"/>
              <w:bottom w:val="single" w:sz="4" w:space="0" w:color="000000"/>
              <w:right w:val="single" w:sz="4" w:space="0" w:color="000000"/>
            </w:tcBorders>
            <w:vAlign w:val="center"/>
          </w:tcPr>
          <w:p w14:paraId="0C0E65F3" w14:textId="3E9BDFA9"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 xml:space="preserve">Kas, surat berharga syariah dan aset lainnya yang dicatat sebagai </w:t>
            </w:r>
            <w:r w:rsidRPr="009A4BC4">
              <w:rPr>
                <w:rFonts w:ascii="Bookman Old Style" w:hAnsi="Bookman Old Style"/>
                <w:i/>
                <w:sz w:val="20"/>
                <w:szCs w:val="20"/>
              </w:rPr>
              <w:t>initial margin</w:t>
            </w:r>
            <w:r w:rsidRPr="009A4BC4">
              <w:rPr>
                <w:rFonts w:ascii="Bookman Old Style" w:hAnsi="Bookman Old Style"/>
                <w:i/>
                <w:spacing w:val="-43"/>
                <w:sz w:val="20"/>
                <w:szCs w:val="20"/>
              </w:rPr>
              <w:t xml:space="preserve">  </w:t>
            </w:r>
            <w:r w:rsidRPr="009A4BC4">
              <w:rPr>
                <w:rFonts w:ascii="Bookman Old Style" w:hAnsi="Bookman Old Style"/>
                <w:sz w:val="20"/>
                <w:szCs w:val="20"/>
              </w:rPr>
              <w:t>untuk kontrak hedging syariah dan kas atau aset lain yang diserahkan sebagai</w:t>
            </w:r>
            <w:r w:rsidRPr="009A4BC4">
              <w:rPr>
                <w:rFonts w:ascii="Bookman Old Style" w:hAnsi="Bookman Old Style"/>
                <w:spacing w:val="1"/>
                <w:sz w:val="20"/>
                <w:szCs w:val="20"/>
              </w:rPr>
              <w:t xml:space="preserve"> </w:t>
            </w:r>
            <w:r w:rsidRPr="009A4BC4">
              <w:rPr>
                <w:rFonts w:ascii="Bookman Old Style" w:hAnsi="Bookman Old Style"/>
                <w:i/>
                <w:sz w:val="20"/>
                <w:szCs w:val="20"/>
              </w:rPr>
              <w:t>default</w:t>
            </w:r>
            <w:r w:rsidRPr="009A4BC4">
              <w:rPr>
                <w:rFonts w:ascii="Bookman Old Style" w:hAnsi="Bookman Old Style"/>
                <w:i/>
                <w:spacing w:val="-1"/>
                <w:sz w:val="20"/>
                <w:szCs w:val="20"/>
              </w:rPr>
              <w:t xml:space="preserve"> </w:t>
            </w:r>
            <w:r w:rsidRPr="009A4BC4">
              <w:rPr>
                <w:rFonts w:ascii="Bookman Old Style" w:hAnsi="Bookman Old Style"/>
                <w:i/>
                <w:sz w:val="20"/>
                <w:szCs w:val="20"/>
              </w:rPr>
              <w:t>fund</w:t>
            </w:r>
            <w:r w:rsidRPr="009A4BC4">
              <w:rPr>
                <w:rFonts w:ascii="Bookman Old Style" w:hAnsi="Bookman Old Style"/>
                <w:i/>
                <w:spacing w:val="2"/>
                <w:sz w:val="20"/>
                <w:szCs w:val="20"/>
              </w:rPr>
              <w:t xml:space="preserve"> </w:t>
            </w:r>
            <w:r w:rsidRPr="009A4BC4">
              <w:rPr>
                <w:rFonts w:ascii="Bookman Old Style" w:hAnsi="Bookman Old Style"/>
                <w:sz w:val="20"/>
                <w:szCs w:val="20"/>
              </w:rPr>
              <w:t>pada</w:t>
            </w:r>
            <w:r w:rsidRPr="009A4BC4">
              <w:rPr>
                <w:rFonts w:ascii="Bookman Old Style" w:hAnsi="Bookman Old Style"/>
                <w:spacing w:val="-3"/>
                <w:sz w:val="20"/>
                <w:szCs w:val="20"/>
              </w:rPr>
              <w:t xml:space="preserve"> </w:t>
            </w:r>
            <w:r w:rsidRPr="009A4BC4">
              <w:rPr>
                <w:rFonts w:ascii="Bookman Old Style" w:hAnsi="Bookman Old Style"/>
                <w:i/>
                <w:sz w:val="20"/>
                <w:szCs w:val="20"/>
              </w:rPr>
              <w:t>central counterparty</w:t>
            </w:r>
            <w:r w:rsidRPr="009A4BC4">
              <w:rPr>
                <w:rFonts w:ascii="Bookman Old Style" w:hAnsi="Bookman Old Style"/>
                <w:i/>
                <w:spacing w:val="2"/>
                <w:sz w:val="20"/>
                <w:szCs w:val="20"/>
              </w:rPr>
              <w:t xml:space="preserve"> </w:t>
            </w:r>
            <w:r w:rsidRPr="009A4BC4">
              <w:rPr>
                <w:rFonts w:ascii="Bookman Old Style" w:hAnsi="Bookman Old Style"/>
                <w:sz w:val="20"/>
                <w:szCs w:val="20"/>
              </w:rPr>
              <w:t>(CCP)</w:t>
            </w:r>
          </w:p>
        </w:tc>
        <w:tc>
          <w:tcPr>
            <w:tcW w:w="989" w:type="dxa"/>
            <w:tcBorders>
              <w:top w:val="single" w:sz="4" w:space="0" w:color="000000"/>
              <w:left w:val="single" w:sz="4" w:space="0" w:color="000000"/>
              <w:bottom w:val="single" w:sz="4" w:space="0" w:color="000000"/>
              <w:right w:val="single" w:sz="4" w:space="0" w:color="000000"/>
            </w:tcBorders>
            <w:vAlign w:val="center"/>
          </w:tcPr>
          <w:p w14:paraId="1F69D353"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9DCEBE6"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B529ABD"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CE02930" w14:textId="77777777" w:rsidR="009A4BC4" w:rsidRPr="009A4BC4" w:rsidRDefault="009A4BC4" w:rsidP="009A4BC4">
            <w:pPr>
              <w:pStyle w:val="TableParagraph"/>
              <w:ind w:right="304"/>
              <w:rPr>
                <w:rFonts w:ascii="Bookman Old Style" w:hAnsi="Bookman Old Style"/>
                <w:sz w:val="20"/>
                <w:szCs w:val="20"/>
              </w:rPr>
            </w:pPr>
            <w:r w:rsidRPr="009A4BC4">
              <w:rPr>
                <w:rFonts w:ascii="Bookman Old Style" w:hAnsi="Bookman Old Style"/>
                <w:sz w:val="20"/>
                <w:szCs w:val="20"/>
              </w:rPr>
              <w:t>Max (85%</w:t>
            </w:r>
          </w:p>
          <w:p w14:paraId="3E990BA0" w14:textId="77777777" w:rsidR="009A4BC4" w:rsidRPr="009A4BC4" w:rsidRDefault="009A4BC4" w:rsidP="009A4BC4">
            <w:pPr>
              <w:pStyle w:val="TableParagraph"/>
              <w:ind w:right="167"/>
              <w:rPr>
                <w:rFonts w:ascii="Bookman Old Style" w:hAnsi="Bookman Old Style"/>
                <w:sz w:val="20"/>
                <w:szCs w:val="20"/>
              </w:rPr>
            </w:pPr>
            <w:r w:rsidRPr="009A4BC4">
              <w:rPr>
                <w:rFonts w:ascii="Bookman Old Style" w:hAnsi="Bookman Old Style"/>
                <w:sz w:val="20"/>
                <w:szCs w:val="20"/>
              </w:rPr>
              <w:t>,faktor RSF</w:t>
            </w:r>
          </w:p>
          <w:p w14:paraId="5B0729BD" w14:textId="105FD644"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aset )</w:t>
            </w:r>
          </w:p>
        </w:tc>
        <w:tc>
          <w:tcPr>
            <w:tcW w:w="991" w:type="dxa"/>
            <w:tcBorders>
              <w:top w:val="single" w:sz="4" w:space="0" w:color="000000"/>
              <w:left w:val="single" w:sz="4" w:space="0" w:color="000000"/>
              <w:bottom w:val="single" w:sz="4" w:space="0" w:color="000000"/>
              <w:right w:val="single" w:sz="4" w:space="0" w:color="000000"/>
            </w:tcBorders>
            <w:vAlign w:val="center"/>
          </w:tcPr>
          <w:p w14:paraId="3CD912D9"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AB99B6" w14:textId="77777777" w:rsidR="009A4BC4" w:rsidRPr="009A4BC4" w:rsidRDefault="009A4BC4" w:rsidP="009A4BC4">
            <w:pPr>
              <w:pStyle w:val="TableParagraph"/>
              <w:ind w:right="304"/>
              <w:rPr>
                <w:rFonts w:ascii="Bookman Old Style" w:hAnsi="Bookman Old Style"/>
                <w:sz w:val="20"/>
                <w:szCs w:val="20"/>
              </w:rPr>
            </w:pPr>
            <w:r w:rsidRPr="009A4BC4">
              <w:rPr>
                <w:rFonts w:ascii="Bookman Old Style" w:hAnsi="Bookman Old Style"/>
                <w:sz w:val="20"/>
                <w:szCs w:val="20"/>
              </w:rPr>
              <w:t>Max (85%</w:t>
            </w:r>
          </w:p>
          <w:p w14:paraId="1D34BF00" w14:textId="77777777" w:rsidR="009A4BC4" w:rsidRPr="009A4BC4" w:rsidRDefault="009A4BC4" w:rsidP="009A4BC4">
            <w:pPr>
              <w:pStyle w:val="TableParagraph"/>
              <w:ind w:right="167"/>
              <w:rPr>
                <w:rFonts w:ascii="Bookman Old Style" w:hAnsi="Bookman Old Style"/>
                <w:sz w:val="20"/>
                <w:szCs w:val="20"/>
              </w:rPr>
            </w:pPr>
            <w:r w:rsidRPr="009A4BC4">
              <w:rPr>
                <w:rFonts w:ascii="Bookman Old Style" w:hAnsi="Bookman Old Style"/>
                <w:sz w:val="20"/>
                <w:szCs w:val="20"/>
              </w:rPr>
              <w:t>,faktor RSF</w:t>
            </w:r>
          </w:p>
          <w:p w14:paraId="6EB4EAD7" w14:textId="0B901B59"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aset )</w:t>
            </w:r>
          </w:p>
        </w:tc>
        <w:tc>
          <w:tcPr>
            <w:tcW w:w="993" w:type="dxa"/>
            <w:tcBorders>
              <w:top w:val="single" w:sz="4" w:space="0" w:color="000000"/>
              <w:left w:val="single" w:sz="4" w:space="0" w:color="000000"/>
              <w:bottom w:val="single" w:sz="4" w:space="0" w:color="000000"/>
              <w:right w:val="single" w:sz="4" w:space="0" w:color="000000"/>
            </w:tcBorders>
            <w:vAlign w:val="center"/>
          </w:tcPr>
          <w:p w14:paraId="2DA23C68"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275EF96" w14:textId="77777777" w:rsidR="009A4BC4" w:rsidRPr="009A4BC4" w:rsidRDefault="009A4BC4" w:rsidP="009A4BC4">
            <w:pPr>
              <w:pStyle w:val="TableParagraph"/>
              <w:ind w:right="300"/>
              <w:rPr>
                <w:rFonts w:ascii="Bookman Old Style" w:hAnsi="Bookman Old Style"/>
                <w:sz w:val="20"/>
                <w:szCs w:val="20"/>
              </w:rPr>
            </w:pPr>
            <w:r w:rsidRPr="009A4BC4">
              <w:rPr>
                <w:rFonts w:ascii="Bookman Old Style" w:hAnsi="Bookman Old Style"/>
                <w:sz w:val="20"/>
                <w:szCs w:val="20"/>
              </w:rPr>
              <w:t>Max (85%</w:t>
            </w:r>
          </w:p>
          <w:p w14:paraId="7175278E" w14:textId="77777777" w:rsidR="009A4BC4" w:rsidRPr="009A4BC4" w:rsidRDefault="009A4BC4" w:rsidP="009A4BC4">
            <w:pPr>
              <w:pStyle w:val="TableParagraph"/>
              <w:ind w:right="163"/>
              <w:rPr>
                <w:rFonts w:ascii="Bookman Old Style" w:hAnsi="Bookman Old Style"/>
                <w:sz w:val="20"/>
                <w:szCs w:val="20"/>
              </w:rPr>
            </w:pPr>
            <w:r w:rsidRPr="009A4BC4">
              <w:rPr>
                <w:rFonts w:ascii="Bookman Old Style" w:hAnsi="Bookman Old Style"/>
                <w:sz w:val="20"/>
                <w:szCs w:val="20"/>
              </w:rPr>
              <w:t>,faktor RSF</w:t>
            </w:r>
          </w:p>
          <w:p w14:paraId="43F436D3" w14:textId="367B592A"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aset )</w:t>
            </w:r>
          </w:p>
        </w:tc>
        <w:tc>
          <w:tcPr>
            <w:tcW w:w="1457" w:type="dxa"/>
            <w:tcBorders>
              <w:top w:val="single" w:sz="4" w:space="0" w:color="000000"/>
              <w:left w:val="single" w:sz="4" w:space="0" w:color="000000"/>
              <w:bottom w:val="single" w:sz="4" w:space="0" w:color="000000"/>
            </w:tcBorders>
            <w:vAlign w:val="center"/>
          </w:tcPr>
          <w:p w14:paraId="0AE81CB7" w14:textId="77777777" w:rsidR="009A4BC4" w:rsidRPr="009A4BC4" w:rsidRDefault="009A4BC4" w:rsidP="009A4BC4">
            <w:pPr>
              <w:pStyle w:val="TableParagraph"/>
              <w:rPr>
                <w:rFonts w:ascii="Bookman Old Style" w:hAnsi="Bookman Old Style"/>
                <w:sz w:val="20"/>
                <w:szCs w:val="20"/>
              </w:rPr>
            </w:pPr>
          </w:p>
        </w:tc>
      </w:tr>
      <w:tr w:rsidR="009A4BC4" w:rsidRPr="009A4BC4" w14:paraId="379BFBAA"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9C0A650" w14:textId="35186D5C"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5.3</w:t>
            </w:r>
          </w:p>
        </w:tc>
        <w:tc>
          <w:tcPr>
            <w:tcW w:w="6946" w:type="dxa"/>
            <w:tcBorders>
              <w:top w:val="single" w:sz="4" w:space="0" w:color="000000"/>
              <w:left w:val="single" w:sz="4" w:space="0" w:color="000000"/>
              <w:bottom w:val="single" w:sz="4" w:space="0" w:color="000000"/>
              <w:right w:val="single" w:sz="4" w:space="0" w:color="000000"/>
            </w:tcBorders>
            <w:vAlign w:val="center"/>
          </w:tcPr>
          <w:p w14:paraId="6EB9377B" w14:textId="052838BE"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NSFR</w:t>
            </w:r>
            <w:r w:rsidRPr="009A4BC4">
              <w:rPr>
                <w:rFonts w:ascii="Bookman Old Style" w:hAnsi="Bookman Old Style"/>
                <w:spacing w:val="-5"/>
                <w:sz w:val="20"/>
                <w:szCs w:val="20"/>
              </w:rPr>
              <w:t xml:space="preserve"> </w:t>
            </w:r>
            <w:r w:rsidRPr="009A4BC4">
              <w:rPr>
                <w:rFonts w:ascii="Bookman Old Style" w:hAnsi="Bookman Old Style"/>
                <w:sz w:val="20"/>
                <w:szCs w:val="20"/>
              </w:rPr>
              <w:t>net aset lindung nilai (</w:t>
            </w:r>
            <w:r w:rsidRPr="009A4BC4">
              <w:rPr>
                <w:rFonts w:ascii="Bookman Old Style" w:hAnsi="Bookman Old Style"/>
                <w:i/>
                <w:iCs/>
                <w:sz w:val="20"/>
                <w:szCs w:val="20"/>
              </w:rPr>
              <w:t>hedging</w:t>
            </w:r>
            <w:r w:rsidRPr="009A4BC4">
              <w:rPr>
                <w:rFonts w:ascii="Bookman Old Style" w:hAnsi="Bookman Old Style"/>
                <w:sz w:val="20"/>
                <w:szCs w:val="20"/>
              </w:rPr>
              <w:t>) syariah</w:t>
            </w:r>
          </w:p>
        </w:tc>
        <w:tc>
          <w:tcPr>
            <w:tcW w:w="98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2926397"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5038613"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33B682A"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917BDE5" w14:textId="73158E16"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3EDCBB3B"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07AA64" w14:textId="1CF8E39F"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02207DA6"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380E913" w14:textId="13410788"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737A5857" w14:textId="77777777" w:rsidR="009A4BC4" w:rsidRPr="009A4BC4" w:rsidRDefault="009A4BC4" w:rsidP="009A4BC4">
            <w:pPr>
              <w:pStyle w:val="TableParagraph"/>
              <w:rPr>
                <w:rFonts w:ascii="Bookman Old Style" w:hAnsi="Bookman Old Style"/>
                <w:sz w:val="20"/>
                <w:szCs w:val="20"/>
              </w:rPr>
            </w:pPr>
          </w:p>
        </w:tc>
      </w:tr>
      <w:tr w:rsidR="009A4BC4" w:rsidRPr="009A4BC4" w14:paraId="7554D754"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76127E8C" w14:textId="40CAABCC"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5.4</w:t>
            </w:r>
          </w:p>
        </w:tc>
        <w:tc>
          <w:tcPr>
            <w:tcW w:w="6946" w:type="dxa"/>
            <w:tcBorders>
              <w:top w:val="single" w:sz="4" w:space="0" w:color="000000"/>
              <w:left w:val="single" w:sz="4" w:space="0" w:color="000000"/>
              <w:bottom w:val="single" w:sz="4" w:space="0" w:color="000000"/>
              <w:right w:val="single" w:sz="4" w:space="0" w:color="000000"/>
            </w:tcBorders>
            <w:vAlign w:val="center"/>
          </w:tcPr>
          <w:p w14:paraId="3E8DC03D" w14:textId="3A2D7E36"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20%</w:t>
            </w:r>
            <w:r w:rsidRPr="009A4BC4">
              <w:rPr>
                <w:rFonts w:ascii="Bookman Old Style" w:hAnsi="Bookman Old Style"/>
                <w:spacing w:val="-5"/>
                <w:sz w:val="20"/>
                <w:szCs w:val="20"/>
              </w:rPr>
              <w:t xml:space="preserve"> </w:t>
            </w:r>
            <w:r w:rsidRPr="009A4BC4">
              <w:rPr>
                <w:rFonts w:ascii="Bookman Old Style" w:hAnsi="Bookman Old Style"/>
                <w:sz w:val="20"/>
                <w:szCs w:val="20"/>
              </w:rPr>
              <w:t>liabilitas</w:t>
            </w:r>
            <w:r w:rsidRPr="009A4BC4">
              <w:rPr>
                <w:rFonts w:ascii="Bookman Old Style" w:hAnsi="Bookman Old Style"/>
                <w:spacing w:val="-4"/>
                <w:sz w:val="20"/>
                <w:szCs w:val="20"/>
              </w:rPr>
              <w:t xml:space="preserve"> </w:t>
            </w:r>
            <w:r w:rsidRPr="009A4BC4">
              <w:rPr>
                <w:rFonts w:ascii="Bookman Old Style" w:hAnsi="Bookman Old Style"/>
                <w:i/>
                <w:iCs/>
                <w:sz w:val="20"/>
                <w:szCs w:val="20"/>
              </w:rPr>
              <w:t xml:space="preserve">hedging </w:t>
            </w:r>
            <w:r w:rsidRPr="009A4BC4">
              <w:rPr>
                <w:rFonts w:ascii="Bookman Old Style" w:hAnsi="Bookman Old Style"/>
                <w:sz w:val="20"/>
                <w:szCs w:val="20"/>
              </w:rPr>
              <w:t>syariah</w:t>
            </w:r>
            <w:r w:rsidRPr="009A4BC4">
              <w:rPr>
                <w:rFonts w:ascii="Bookman Old Style" w:hAnsi="Bookman Old Style"/>
                <w:spacing w:val="41"/>
                <w:sz w:val="20"/>
                <w:szCs w:val="20"/>
              </w:rPr>
              <w:t xml:space="preserve"> </w:t>
            </w:r>
            <w:r w:rsidRPr="009A4BC4">
              <w:rPr>
                <w:rFonts w:ascii="Bookman Old Style" w:hAnsi="Bookman Old Style"/>
                <w:sz w:val="20"/>
                <w:szCs w:val="20"/>
              </w:rPr>
              <w:t>sebelum</w:t>
            </w:r>
            <w:r w:rsidRPr="009A4BC4">
              <w:rPr>
                <w:rFonts w:ascii="Bookman Old Style" w:hAnsi="Bookman Old Style"/>
                <w:spacing w:val="-4"/>
                <w:sz w:val="20"/>
                <w:szCs w:val="20"/>
              </w:rPr>
              <w:t xml:space="preserve"> </w:t>
            </w:r>
            <w:r w:rsidRPr="009A4BC4">
              <w:rPr>
                <w:rFonts w:ascii="Bookman Old Style" w:hAnsi="Bookman Old Style"/>
                <w:sz w:val="20"/>
                <w:szCs w:val="20"/>
              </w:rPr>
              <w:t>dikurangi</w:t>
            </w:r>
            <w:r w:rsidRPr="009A4BC4">
              <w:rPr>
                <w:rFonts w:ascii="Bookman Old Style" w:hAnsi="Bookman Old Style"/>
                <w:spacing w:val="-3"/>
                <w:sz w:val="20"/>
                <w:szCs w:val="20"/>
              </w:rPr>
              <w:t xml:space="preserve"> </w:t>
            </w:r>
            <w:r w:rsidRPr="009A4BC4">
              <w:rPr>
                <w:rFonts w:ascii="Bookman Old Style" w:hAnsi="Bookman Old Style"/>
                <w:sz w:val="20"/>
                <w:szCs w:val="20"/>
              </w:rPr>
              <w:t xml:space="preserve">dengan </w:t>
            </w:r>
            <w:r w:rsidRPr="009A4BC4">
              <w:rPr>
                <w:rFonts w:ascii="Bookman Old Style" w:hAnsi="Bookman Old Style"/>
                <w:i/>
                <w:sz w:val="20"/>
                <w:szCs w:val="20"/>
              </w:rPr>
              <w:t>variation</w:t>
            </w:r>
            <w:r w:rsidRPr="009A4BC4">
              <w:rPr>
                <w:rFonts w:ascii="Bookman Old Style" w:hAnsi="Bookman Old Style"/>
                <w:i/>
                <w:spacing w:val="-3"/>
                <w:sz w:val="20"/>
                <w:szCs w:val="20"/>
              </w:rPr>
              <w:t xml:space="preserve"> </w:t>
            </w:r>
            <w:r w:rsidRPr="009A4BC4">
              <w:rPr>
                <w:rFonts w:ascii="Bookman Old Style" w:hAnsi="Bookman Old Style"/>
                <w:i/>
                <w:sz w:val="20"/>
                <w:szCs w:val="20"/>
              </w:rPr>
              <w:t>margin</w:t>
            </w:r>
          </w:p>
        </w:tc>
        <w:tc>
          <w:tcPr>
            <w:tcW w:w="989"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F14B5E8"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389365A4"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9AF0EB0"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BD31BB4" w14:textId="7E4FB3EE"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0CDA90DA"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F3A11C" w14:textId="52B6BB41"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1878859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2A8CFB5" w14:textId="473A87F3"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1355043" w14:textId="77777777" w:rsidR="009A4BC4" w:rsidRPr="009A4BC4" w:rsidRDefault="009A4BC4" w:rsidP="009A4BC4">
            <w:pPr>
              <w:pStyle w:val="TableParagraph"/>
              <w:rPr>
                <w:rFonts w:ascii="Bookman Old Style" w:hAnsi="Bookman Old Style"/>
                <w:sz w:val="20"/>
                <w:szCs w:val="20"/>
              </w:rPr>
            </w:pPr>
          </w:p>
        </w:tc>
      </w:tr>
      <w:tr w:rsidR="009A4BC4" w:rsidRPr="009A4BC4" w14:paraId="0A7D3A58"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2D5AC2C" w14:textId="2B7E5F3A"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5.5</w:t>
            </w:r>
          </w:p>
        </w:tc>
        <w:tc>
          <w:tcPr>
            <w:tcW w:w="6946" w:type="dxa"/>
            <w:tcBorders>
              <w:top w:val="single" w:sz="4" w:space="0" w:color="000000"/>
              <w:left w:val="single" w:sz="4" w:space="0" w:color="000000"/>
              <w:bottom w:val="single" w:sz="4" w:space="0" w:color="000000"/>
              <w:right w:val="single" w:sz="4" w:space="0" w:color="000000"/>
            </w:tcBorders>
            <w:vAlign w:val="center"/>
          </w:tcPr>
          <w:p w14:paraId="6A3B06B3" w14:textId="2A1807C4"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Piutang</w:t>
            </w:r>
            <w:r w:rsidRPr="009A4BC4">
              <w:rPr>
                <w:rFonts w:ascii="Bookman Old Style" w:hAnsi="Bookman Old Style"/>
                <w:spacing w:val="-4"/>
                <w:sz w:val="20"/>
                <w:szCs w:val="20"/>
              </w:rPr>
              <w:t xml:space="preserve"> </w:t>
            </w:r>
            <w:r w:rsidRPr="009A4BC4">
              <w:rPr>
                <w:rFonts w:ascii="Bookman Old Style" w:hAnsi="Bookman Old Style"/>
                <w:sz w:val="20"/>
                <w:szCs w:val="20"/>
              </w:rPr>
              <w:t>tanggal</w:t>
            </w:r>
            <w:r w:rsidRPr="009A4BC4">
              <w:rPr>
                <w:rFonts w:ascii="Bookman Old Style" w:hAnsi="Bookman Old Style"/>
                <w:spacing w:val="-4"/>
                <w:sz w:val="20"/>
                <w:szCs w:val="20"/>
              </w:rPr>
              <w:t xml:space="preserve"> </w:t>
            </w:r>
            <w:r w:rsidRPr="009A4BC4">
              <w:rPr>
                <w:rFonts w:ascii="Bookman Old Style" w:hAnsi="Bookman Old Style"/>
                <w:sz w:val="20"/>
                <w:szCs w:val="20"/>
              </w:rPr>
              <w:t>perdagangan</w:t>
            </w:r>
          </w:p>
        </w:tc>
        <w:tc>
          <w:tcPr>
            <w:tcW w:w="989" w:type="dxa"/>
            <w:tcBorders>
              <w:top w:val="single" w:sz="4" w:space="0" w:color="000000"/>
              <w:left w:val="single" w:sz="4" w:space="0" w:color="000000"/>
              <w:bottom w:val="single" w:sz="4" w:space="0" w:color="000000"/>
              <w:right w:val="single" w:sz="4" w:space="0" w:color="000000"/>
            </w:tcBorders>
            <w:vAlign w:val="center"/>
          </w:tcPr>
          <w:p w14:paraId="757CDE63"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26C623E" w14:textId="76EEBFEB"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2301BC1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49A8B57" w14:textId="404592C8"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07E0442D"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A43555" w14:textId="481CD899"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539EE68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1FFA5EA" w14:textId="15AE4C89"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0%</w:t>
            </w:r>
          </w:p>
        </w:tc>
        <w:tc>
          <w:tcPr>
            <w:tcW w:w="1457" w:type="dxa"/>
            <w:tcBorders>
              <w:top w:val="single" w:sz="4" w:space="0" w:color="000000"/>
              <w:left w:val="single" w:sz="4" w:space="0" w:color="000000"/>
              <w:bottom w:val="single" w:sz="4" w:space="0" w:color="000000"/>
            </w:tcBorders>
            <w:vAlign w:val="center"/>
          </w:tcPr>
          <w:p w14:paraId="178CAAB2" w14:textId="77777777" w:rsidR="009A4BC4" w:rsidRPr="009A4BC4" w:rsidRDefault="009A4BC4" w:rsidP="009A4BC4">
            <w:pPr>
              <w:pStyle w:val="TableParagraph"/>
              <w:rPr>
                <w:rFonts w:ascii="Bookman Old Style" w:hAnsi="Bookman Old Style"/>
                <w:sz w:val="20"/>
                <w:szCs w:val="20"/>
              </w:rPr>
            </w:pPr>
          </w:p>
        </w:tc>
      </w:tr>
      <w:tr w:rsidR="009A4BC4" w:rsidRPr="009A4BC4" w14:paraId="4F2DCE23"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13406FB" w14:textId="5ABAED46"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5.6</w:t>
            </w:r>
          </w:p>
        </w:tc>
        <w:tc>
          <w:tcPr>
            <w:tcW w:w="6946" w:type="dxa"/>
            <w:tcBorders>
              <w:top w:val="single" w:sz="4" w:space="0" w:color="000000"/>
              <w:left w:val="single" w:sz="4" w:space="0" w:color="000000"/>
              <w:bottom w:val="single" w:sz="4" w:space="0" w:color="000000"/>
              <w:right w:val="single" w:sz="4" w:space="0" w:color="000000"/>
            </w:tcBorders>
            <w:vAlign w:val="center"/>
          </w:tcPr>
          <w:p w14:paraId="502D7789" w14:textId="77777777" w:rsidR="009A4BC4" w:rsidRPr="009A4BC4" w:rsidRDefault="009A4BC4" w:rsidP="009A4BC4">
            <w:pPr>
              <w:pStyle w:val="TableParagraph"/>
              <w:ind w:left="748"/>
              <w:rPr>
                <w:rFonts w:ascii="Bookman Old Style" w:hAnsi="Bookman Old Style"/>
                <w:sz w:val="20"/>
                <w:szCs w:val="20"/>
              </w:rPr>
            </w:pPr>
            <w:r w:rsidRPr="009A4BC4">
              <w:rPr>
                <w:rFonts w:ascii="Bookman Old Style" w:hAnsi="Bookman Old Style"/>
                <w:sz w:val="20"/>
                <w:szCs w:val="20"/>
              </w:rPr>
              <w:t>Kredit</w:t>
            </w:r>
            <w:r w:rsidRPr="009A4BC4">
              <w:rPr>
                <w:rFonts w:ascii="Bookman Old Style" w:hAnsi="Bookman Old Style"/>
                <w:spacing w:val="-3"/>
                <w:sz w:val="20"/>
                <w:szCs w:val="20"/>
              </w:rPr>
              <w:t xml:space="preserve"> </w:t>
            </w:r>
            <w:r w:rsidRPr="009A4BC4">
              <w:rPr>
                <w:rFonts w:ascii="Bookman Old Style" w:hAnsi="Bookman Old Style"/>
                <w:sz w:val="20"/>
                <w:szCs w:val="20"/>
              </w:rPr>
              <w:t>atau</w:t>
            </w:r>
            <w:r w:rsidRPr="009A4BC4">
              <w:rPr>
                <w:rFonts w:ascii="Bookman Old Style" w:hAnsi="Bookman Old Style"/>
                <w:spacing w:val="-3"/>
                <w:sz w:val="20"/>
                <w:szCs w:val="20"/>
              </w:rPr>
              <w:t xml:space="preserve"> </w:t>
            </w:r>
            <w:r w:rsidRPr="009A4BC4">
              <w:rPr>
                <w:rFonts w:ascii="Bookman Old Style" w:hAnsi="Bookman Old Style"/>
                <w:sz w:val="20"/>
                <w:szCs w:val="20"/>
              </w:rPr>
              <w:t>pinjaman</w:t>
            </w:r>
            <w:r w:rsidRPr="009A4BC4">
              <w:rPr>
                <w:rFonts w:ascii="Bookman Old Style" w:hAnsi="Bookman Old Style"/>
                <w:spacing w:val="-3"/>
                <w:sz w:val="20"/>
                <w:szCs w:val="20"/>
              </w:rPr>
              <w:t xml:space="preserve"> </w:t>
            </w:r>
            <w:r w:rsidRPr="009A4BC4">
              <w:rPr>
                <w:rFonts w:ascii="Bookman Old Style" w:hAnsi="Bookman Old Style"/>
                <w:sz w:val="20"/>
                <w:szCs w:val="20"/>
              </w:rPr>
              <w:t>dengan</w:t>
            </w:r>
            <w:r w:rsidRPr="009A4BC4">
              <w:rPr>
                <w:rFonts w:ascii="Bookman Old Style" w:hAnsi="Bookman Old Style"/>
                <w:spacing w:val="-1"/>
                <w:sz w:val="20"/>
                <w:szCs w:val="20"/>
              </w:rPr>
              <w:t xml:space="preserve"> </w:t>
            </w:r>
            <w:r w:rsidRPr="009A4BC4">
              <w:rPr>
                <w:rFonts w:ascii="Bookman Old Style" w:hAnsi="Bookman Old Style"/>
                <w:sz w:val="20"/>
                <w:szCs w:val="20"/>
              </w:rPr>
              <w:t>kualitas</w:t>
            </w:r>
            <w:r w:rsidRPr="009A4BC4">
              <w:rPr>
                <w:rFonts w:ascii="Bookman Old Style" w:hAnsi="Bookman Old Style"/>
                <w:spacing w:val="-3"/>
                <w:sz w:val="20"/>
                <w:szCs w:val="20"/>
              </w:rPr>
              <w:t xml:space="preserve"> </w:t>
            </w:r>
            <w:r w:rsidRPr="009A4BC4">
              <w:rPr>
                <w:rFonts w:ascii="Bookman Old Style" w:hAnsi="Bookman Old Style"/>
                <w:sz w:val="20"/>
                <w:szCs w:val="20"/>
              </w:rPr>
              <w:t>Kurang</w:t>
            </w:r>
            <w:r w:rsidRPr="009A4BC4">
              <w:rPr>
                <w:rFonts w:ascii="Bookman Old Style" w:hAnsi="Bookman Old Style"/>
                <w:spacing w:val="-4"/>
                <w:sz w:val="20"/>
                <w:szCs w:val="20"/>
              </w:rPr>
              <w:t xml:space="preserve"> </w:t>
            </w:r>
            <w:r w:rsidRPr="009A4BC4">
              <w:rPr>
                <w:rFonts w:ascii="Bookman Old Style" w:hAnsi="Bookman Old Style"/>
                <w:sz w:val="20"/>
                <w:szCs w:val="20"/>
              </w:rPr>
              <w:t>Lancar,</w:t>
            </w:r>
            <w:r w:rsidRPr="009A4BC4">
              <w:rPr>
                <w:rFonts w:ascii="Bookman Old Style" w:hAnsi="Bookman Old Style"/>
                <w:spacing w:val="-2"/>
                <w:sz w:val="20"/>
                <w:szCs w:val="20"/>
              </w:rPr>
              <w:t xml:space="preserve"> </w:t>
            </w:r>
            <w:r w:rsidRPr="009A4BC4">
              <w:rPr>
                <w:rFonts w:ascii="Bookman Old Style" w:hAnsi="Bookman Old Style"/>
                <w:sz w:val="20"/>
                <w:szCs w:val="20"/>
              </w:rPr>
              <w:t>Diragukan,</w:t>
            </w:r>
            <w:r w:rsidRPr="009A4BC4">
              <w:rPr>
                <w:rFonts w:ascii="Bookman Old Style" w:hAnsi="Bookman Old Style"/>
                <w:spacing w:val="-1"/>
                <w:sz w:val="20"/>
                <w:szCs w:val="20"/>
              </w:rPr>
              <w:t xml:space="preserve"> </w:t>
            </w:r>
            <w:r w:rsidRPr="009A4BC4">
              <w:rPr>
                <w:rFonts w:ascii="Bookman Old Style" w:hAnsi="Bookman Old Style"/>
                <w:sz w:val="20"/>
                <w:szCs w:val="20"/>
              </w:rPr>
              <w:t>dan</w:t>
            </w:r>
          </w:p>
          <w:p w14:paraId="43FC89D3" w14:textId="7B4FAC31"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Macet</w:t>
            </w:r>
            <w:r w:rsidRPr="009A4BC4">
              <w:rPr>
                <w:rFonts w:ascii="Bookman Old Style" w:hAnsi="Bookman Old Style"/>
                <w:spacing w:val="-3"/>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Non-Performing</w:t>
            </w:r>
            <w:r w:rsidRPr="009A4BC4">
              <w:rPr>
                <w:rFonts w:ascii="Bookman Old Style" w:hAnsi="Bookman Old Style"/>
                <w:i/>
                <w:spacing w:val="-2"/>
                <w:sz w:val="20"/>
                <w:szCs w:val="20"/>
              </w:rPr>
              <w:t xml:space="preserve"> </w:t>
            </w:r>
            <w:r w:rsidRPr="009A4BC4">
              <w:rPr>
                <w:rFonts w:ascii="Bookman Old Style" w:hAnsi="Bookman Old Style"/>
                <w:i/>
                <w:sz w:val="20"/>
                <w:szCs w:val="20"/>
              </w:rPr>
              <w:t>Loan</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4A4037CC"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A8DC372" w14:textId="77777777" w:rsidR="009A4BC4" w:rsidRPr="009A4BC4" w:rsidRDefault="009A4BC4" w:rsidP="009A4BC4">
            <w:pPr>
              <w:pStyle w:val="TableParagraph"/>
              <w:rPr>
                <w:rFonts w:ascii="Bookman Old Style" w:hAnsi="Bookman Old Style"/>
                <w:sz w:val="20"/>
                <w:szCs w:val="20"/>
              </w:rPr>
            </w:pPr>
          </w:p>
          <w:p w14:paraId="1CA971BE" w14:textId="6B8FB8C3"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8" w:type="dxa"/>
            <w:tcBorders>
              <w:top w:val="single" w:sz="4" w:space="0" w:color="000000"/>
              <w:left w:val="single" w:sz="4" w:space="0" w:color="000000"/>
              <w:bottom w:val="single" w:sz="4" w:space="0" w:color="000000"/>
              <w:right w:val="single" w:sz="4" w:space="0" w:color="000000"/>
            </w:tcBorders>
            <w:vAlign w:val="center"/>
          </w:tcPr>
          <w:p w14:paraId="2B7D3754"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3B01491" w14:textId="77777777" w:rsidR="009A4BC4" w:rsidRPr="009A4BC4" w:rsidRDefault="009A4BC4" w:rsidP="009A4BC4">
            <w:pPr>
              <w:pStyle w:val="TableParagraph"/>
              <w:rPr>
                <w:rFonts w:ascii="Bookman Old Style" w:hAnsi="Bookman Old Style"/>
                <w:sz w:val="20"/>
                <w:szCs w:val="20"/>
              </w:rPr>
            </w:pPr>
          </w:p>
          <w:p w14:paraId="7DC058EB" w14:textId="1511BEBE"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5720338B"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CF3E1C" w14:textId="77777777" w:rsidR="009A4BC4" w:rsidRPr="009A4BC4" w:rsidRDefault="009A4BC4" w:rsidP="009A4BC4">
            <w:pPr>
              <w:pStyle w:val="TableParagraph"/>
              <w:rPr>
                <w:rFonts w:ascii="Bookman Old Style" w:hAnsi="Bookman Old Style"/>
                <w:sz w:val="20"/>
                <w:szCs w:val="20"/>
              </w:rPr>
            </w:pPr>
          </w:p>
          <w:p w14:paraId="09664539" w14:textId="7D8EB61F"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337A5A7F"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6EDD06D" w14:textId="77777777" w:rsidR="009A4BC4" w:rsidRPr="009A4BC4" w:rsidRDefault="009A4BC4" w:rsidP="009A4BC4">
            <w:pPr>
              <w:pStyle w:val="TableParagraph"/>
              <w:rPr>
                <w:rFonts w:ascii="Bookman Old Style" w:hAnsi="Bookman Old Style"/>
                <w:sz w:val="20"/>
                <w:szCs w:val="20"/>
              </w:rPr>
            </w:pPr>
          </w:p>
          <w:p w14:paraId="77EE9C37" w14:textId="4C61C787"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17EBE145" w14:textId="77777777" w:rsidR="009A4BC4" w:rsidRPr="009A4BC4" w:rsidRDefault="009A4BC4" w:rsidP="009A4BC4">
            <w:pPr>
              <w:pStyle w:val="TableParagraph"/>
              <w:rPr>
                <w:rFonts w:ascii="Bookman Old Style" w:hAnsi="Bookman Old Style"/>
                <w:sz w:val="20"/>
                <w:szCs w:val="20"/>
              </w:rPr>
            </w:pPr>
          </w:p>
        </w:tc>
      </w:tr>
      <w:tr w:rsidR="009A4BC4" w:rsidRPr="009A4BC4" w14:paraId="7CFB6188"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2B49E5CA" w14:textId="5E306F64"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5.7</w:t>
            </w:r>
          </w:p>
        </w:tc>
        <w:tc>
          <w:tcPr>
            <w:tcW w:w="6946" w:type="dxa"/>
            <w:tcBorders>
              <w:top w:val="single" w:sz="4" w:space="0" w:color="000000"/>
              <w:left w:val="single" w:sz="4" w:space="0" w:color="000000"/>
              <w:bottom w:val="single" w:sz="4" w:space="0" w:color="000000"/>
              <w:right w:val="single" w:sz="4" w:space="0" w:color="000000"/>
            </w:tcBorders>
            <w:vAlign w:val="center"/>
          </w:tcPr>
          <w:p w14:paraId="4D013E63" w14:textId="032E3802"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Saham</w:t>
            </w:r>
            <w:r w:rsidRPr="009A4BC4">
              <w:rPr>
                <w:rFonts w:ascii="Bookman Old Style" w:hAnsi="Bookman Old Style"/>
                <w:spacing w:val="-4"/>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diperdagangkan</w:t>
            </w:r>
            <w:r w:rsidRPr="009A4BC4">
              <w:rPr>
                <w:rFonts w:ascii="Bookman Old Style" w:hAnsi="Bookman Old Style"/>
                <w:spacing w:val="-2"/>
                <w:sz w:val="20"/>
                <w:szCs w:val="20"/>
              </w:rPr>
              <w:t xml:space="preserve"> </w:t>
            </w:r>
            <w:r w:rsidRPr="009A4BC4">
              <w:rPr>
                <w:rFonts w:ascii="Bookman Old Style" w:hAnsi="Bookman Old Style"/>
                <w:sz w:val="20"/>
                <w:szCs w:val="20"/>
              </w:rPr>
              <w:t>di</w:t>
            </w:r>
            <w:r w:rsidRPr="009A4BC4">
              <w:rPr>
                <w:rFonts w:ascii="Bookman Old Style" w:hAnsi="Bookman Old Style"/>
                <w:spacing w:val="-3"/>
                <w:sz w:val="20"/>
                <w:szCs w:val="20"/>
              </w:rPr>
              <w:t xml:space="preserve"> </w:t>
            </w:r>
            <w:r w:rsidRPr="009A4BC4">
              <w:rPr>
                <w:rFonts w:ascii="Bookman Old Style" w:hAnsi="Bookman Old Style"/>
                <w:sz w:val="20"/>
                <w:szCs w:val="20"/>
              </w:rPr>
              <w:t>bursa</w:t>
            </w:r>
          </w:p>
        </w:tc>
        <w:tc>
          <w:tcPr>
            <w:tcW w:w="989" w:type="dxa"/>
            <w:tcBorders>
              <w:top w:val="single" w:sz="4" w:space="0" w:color="000000"/>
              <w:left w:val="single" w:sz="4" w:space="0" w:color="000000"/>
              <w:bottom w:val="single" w:sz="4" w:space="0" w:color="000000"/>
              <w:right w:val="single" w:sz="4" w:space="0" w:color="000000"/>
            </w:tcBorders>
            <w:vAlign w:val="center"/>
          </w:tcPr>
          <w:p w14:paraId="43C34B29"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6272CA7" w14:textId="1F274EB0"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7E8C475"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7C58269" w14:textId="420284FD"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4F28E20A"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74890C" w14:textId="75B4C096"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07BA9563"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C01AC8B" w14:textId="324D432A"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0744FF1B" w14:textId="77777777" w:rsidR="009A4BC4" w:rsidRPr="009A4BC4" w:rsidRDefault="009A4BC4" w:rsidP="009A4BC4">
            <w:pPr>
              <w:pStyle w:val="TableParagraph"/>
              <w:rPr>
                <w:rFonts w:ascii="Bookman Old Style" w:hAnsi="Bookman Old Style"/>
                <w:sz w:val="20"/>
                <w:szCs w:val="20"/>
              </w:rPr>
            </w:pPr>
          </w:p>
        </w:tc>
      </w:tr>
      <w:tr w:rsidR="009A4BC4" w:rsidRPr="009A4BC4" w14:paraId="77C4C337"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2D99D7C" w14:textId="591661B9"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5.8</w:t>
            </w:r>
          </w:p>
        </w:tc>
        <w:tc>
          <w:tcPr>
            <w:tcW w:w="6946" w:type="dxa"/>
            <w:tcBorders>
              <w:top w:val="single" w:sz="4" w:space="0" w:color="000000"/>
              <w:left w:val="single" w:sz="4" w:space="0" w:color="000000"/>
              <w:bottom w:val="single" w:sz="4" w:space="0" w:color="000000"/>
              <w:right w:val="single" w:sz="4" w:space="0" w:color="000000"/>
            </w:tcBorders>
            <w:vAlign w:val="center"/>
          </w:tcPr>
          <w:p w14:paraId="017B7A4A" w14:textId="4AAFCA47"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tetap</w:t>
            </w:r>
          </w:p>
        </w:tc>
        <w:tc>
          <w:tcPr>
            <w:tcW w:w="989" w:type="dxa"/>
            <w:tcBorders>
              <w:top w:val="single" w:sz="4" w:space="0" w:color="000000"/>
              <w:left w:val="single" w:sz="4" w:space="0" w:color="000000"/>
              <w:bottom w:val="single" w:sz="4" w:space="0" w:color="000000"/>
              <w:right w:val="single" w:sz="4" w:space="0" w:color="000000"/>
            </w:tcBorders>
            <w:vAlign w:val="center"/>
          </w:tcPr>
          <w:p w14:paraId="790F0CFF"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172819B" w14:textId="54EFD7FD"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30E2FD23"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F15FBCA" w14:textId="103DE8B8"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59692037"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05C1C9" w14:textId="32158C39"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44E813C3"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64AEE38" w14:textId="7FB13514"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53A18DAB" w14:textId="77777777" w:rsidR="009A4BC4" w:rsidRPr="009A4BC4" w:rsidRDefault="009A4BC4" w:rsidP="009A4BC4">
            <w:pPr>
              <w:pStyle w:val="TableParagraph"/>
              <w:rPr>
                <w:rFonts w:ascii="Bookman Old Style" w:hAnsi="Bookman Old Style"/>
                <w:sz w:val="20"/>
                <w:szCs w:val="20"/>
              </w:rPr>
            </w:pPr>
          </w:p>
        </w:tc>
      </w:tr>
      <w:tr w:rsidR="009A4BC4" w:rsidRPr="009A4BC4" w14:paraId="1B0E0E6D"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52821CF9" w14:textId="4C4E4051"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5.9</w:t>
            </w:r>
          </w:p>
        </w:tc>
        <w:tc>
          <w:tcPr>
            <w:tcW w:w="6946" w:type="dxa"/>
            <w:tcBorders>
              <w:top w:val="single" w:sz="4" w:space="0" w:color="000000"/>
              <w:left w:val="single" w:sz="4" w:space="0" w:color="000000"/>
              <w:bottom w:val="single" w:sz="4" w:space="0" w:color="000000"/>
              <w:right w:val="single" w:sz="4" w:space="0" w:color="000000"/>
            </w:tcBorders>
            <w:vAlign w:val="center"/>
          </w:tcPr>
          <w:p w14:paraId="649E705F" w14:textId="71064D99"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Faktor</w:t>
            </w:r>
            <w:r w:rsidRPr="009A4BC4">
              <w:rPr>
                <w:rFonts w:ascii="Bookman Old Style" w:hAnsi="Bookman Old Style"/>
                <w:spacing w:val="-4"/>
                <w:sz w:val="20"/>
                <w:szCs w:val="20"/>
              </w:rPr>
              <w:t xml:space="preserve"> </w:t>
            </w:r>
            <w:r w:rsidRPr="009A4BC4">
              <w:rPr>
                <w:rFonts w:ascii="Bookman Old Style" w:hAnsi="Bookman Old Style"/>
                <w:sz w:val="20"/>
                <w:szCs w:val="20"/>
              </w:rPr>
              <w:t>pengurang</w:t>
            </w:r>
            <w:r w:rsidRPr="009A4BC4">
              <w:rPr>
                <w:rFonts w:ascii="Bookman Old Style" w:hAnsi="Bookman Old Style"/>
                <w:spacing w:val="-5"/>
                <w:sz w:val="20"/>
                <w:szCs w:val="20"/>
              </w:rPr>
              <w:t xml:space="preserve"> </w:t>
            </w:r>
            <w:r w:rsidRPr="009A4BC4">
              <w:rPr>
                <w:rFonts w:ascii="Bookman Old Style" w:hAnsi="Bookman Old Style"/>
                <w:sz w:val="20"/>
                <w:szCs w:val="20"/>
              </w:rPr>
              <w:t>modal</w:t>
            </w:r>
          </w:p>
        </w:tc>
        <w:tc>
          <w:tcPr>
            <w:tcW w:w="989" w:type="dxa"/>
            <w:tcBorders>
              <w:top w:val="single" w:sz="4" w:space="0" w:color="000000"/>
              <w:left w:val="single" w:sz="4" w:space="0" w:color="000000"/>
              <w:bottom w:val="single" w:sz="4" w:space="0" w:color="000000"/>
              <w:right w:val="single" w:sz="4" w:space="0" w:color="000000"/>
            </w:tcBorders>
            <w:vAlign w:val="center"/>
          </w:tcPr>
          <w:p w14:paraId="2D49C647"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02485C80" w14:textId="19DBCF2F"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2D1151A6"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0C761B29" w14:textId="20A8076E"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29FCB3CF"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AE3B7" w14:textId="6931DA21"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114EC35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5A7BA1E" w14:textId="388A15A8"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5E9BD382" w14:textId="77777777" w:rsidR="009A4BC4" w:rsidRPr="009A4BC4" w:rsidRDefault="009A4BC4" w:rsidP="009A4BC4">
            <w:pPr>
              <w:pStyle w:val="TableParagraph"/>
              <w:rPr>
                <w:rFonts w:ascii="Bookman Old Style" w:hAnsi="Bookman Old Style"/>
                <w:sz w:val="20"/>
                <w:szCs w:val="20"/>
              </w:rPr>
            </w:pPr>
          </w:p>
        </w:tc>
      </w:tr>
      <w:tr w:rsidR="009A4BC4" w:rsidRPr="009A4BC4" w14:paraId="251B63A1"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54C2A2B" w14:textId="246D9690"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5.10</w:t>
            </w:r>
          </w:p>
        </w:tc>
        <w:tc>
          <w:tcPr>
            <w:tcW w:w="6946" w:type="dxa"/>
            <w:tcBorders>
              <w:top w:val="single" w:sz="4" w:space="0" w:color="000000"/>
              <w:left w:val="single" w:sz="4" w:space="0" w:color="000000"/>
              <w:bottom w:val="single" w:sz="4" w:space="0" w:color="000000"/>
              <w:right w:val="single" w:sz="4" w:space="0" w:color="000000"/>
            </w:tcBorders>
            <w:vAlign w:val="center"/>
          </w:tcPr>
          <w:p w14:paraId="55FA5A6F" w14:textId="1B35E58F"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Surat</w:t>
            </w:r>
            <w:r w:rsidRPr="009A4BC4">
              <w:rPr>
                <w:rFonts w:ascii="Bookman Old Style" w:hAnsi="Bookman Old Style"/>
                <w:spacing w:val="-2"/>
                <w:sz w:val="20"/>
                <w:szCs w:val="20"/>
              </w:rPr>
              <w:t xml:space="preserve"> </w:t>
            </w:r>
            <w:r w:rsidRPr="009A4BC4">
              <w:rPr>
                <w:rFonts w:ascii="Bookman Old Style" w:hAnsi="Bookman Old Style"/>
                <w:sz w:val="20"/>
                <w:szCs w:val="20"/>
              </w:rPr>
              <w:t>berharga syariah</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gagal</w:t>
            </w:r>
            <w:r w:rsidRPr="009A4BC4">
              <w:rPr>
                <w:rFonts w:ascii="Bookman Old Style" w:hAnsi="Bookman Old Style"/>
                <w:spacing w:val="-2"/>
                <w:sz w:val="20"/>
                <w:szCs w:val="20"/>
              </w:rPr>
              <w:t xml:space="preserve"> </w:t>
            </w:r>
            <w:r w:rsidRPr="009A4BC4">
              <w:rPr>
                <w:rFonts w:ascii="Bookman Old Style" w:hAnsi="Bookman Old Style"/>
                <w:sz w:val="20"/>
                <w:szCs w:val="20"/>
              </w:rPr>
              <w:t>bayar</w:t>
            </w:r>
          </w:p>
        </w:tc>
        <w:tc>
          <w:tcPr>
            <w:tcW w:w="989" w:type="dxa"/>
            <w:tcBorders>
              <w:top w:val="single" w:sz="4" w:space="0" w:color="000000"/>
              <w:left w:val="single" w:sz="4" w:space="0" w:color="000000"/>
              <w:bottom w:val="single" w:sz="4" w:space="0" w:color="000000"/>
              <w:right w:val="single" w:sz="4" w:space="0" w:color="000000"/>
            </w:tcBorders>
            <w:vAlign w:val="center"/>
          </w:tcPr>
          <w:p w14:paraId="006C319D"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1B80CFB" w14:textId="7DB47138"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n.a</w:t>
            </w:r>
          </w:p>
        </w:tc>
        <w:tc>
          <w:tcPr>
            <w:tcW w:w="998" w:type="dxa"/>
            <w:tcBorders>
              <w:top w:val="single" w:sz="4" w:space="0" w:color="000000"/>
              <w:left w:val="single" w:sz="4" w:space="0" w:color="000000"/>
              <w:bottom w:val="single" w:sz="4" w:space="0" w:color="000000"/>
              <w:right w:val="single" w:sz="4" w:space="0" w:color="000000"/>
            </w:tcBorders>
            <w:vAlign w:val="center"/>
          </w:tcPr>
          <w:p w14:paraId="1CD6D4D3"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8AF6735" w14:textId="0E685C1F"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7C17642C"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6AD902" w14:textId="54A2BE98"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2613E04B"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3906A6C" w14:textId="0276A2F1"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364F8E85" w14:textId="77777777" w:rsidR="009A4BC4" w:rsidRPr="009A4BC4" w:rsidRDefault="009A4BC4" w:rsidP="009A4BC4">
            <w:pPr>
              <w:pStyle w:val="TableParagraph"/>
              <w:rPr>
                <w:rFonts w:ascii="Bookman Old Style" w:hAnsi="Bookman Old Style"/>
                <w:sz w:val="20"/>
                <w:szCs w:val="20"/>
              </w:rPr>
            </w:pPr>
          </w:p>
        </w:tc>
      </w:tr>
      <w:tr w:rsidR="009A4BC4" w:rsidRPr="009A4BC4" w14:paraId="3EE01C8F" w14:textId="77777777" w:rsidTr="008262B9">
        <w:trPr>
          <w:trHeight w:val="566"/>
        </w:trPr>
        <w:tc>
          <w:tcPr>
            <w:tcW w:w="1275" w:type="dxa"/>
            <w:tcBorders>
              <w:top w:val="single" w:sz="4" w:space="0" w:color="000000"/>
              <w:bottom w:val="single" w:sz="4" w:space="0" w:color="000000"/>
              <w:right w:val="single" w:sz="4" w:space="0" w:color="000000"/>
            </w:tcBorders>
            <w:vAlign w:val="center"/>
          </w:tcPr>
          <w:p w14:paraId="26C9CCC4" w14:textId="004548AD"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5.11</w:t>
            </w:r>
          </w:p>
        </w:tc>
        <w:tc>
          <w:tcPr>
            <w:tcW w:w="6946" w:type="dxa"/>
            <w:tcBorders>
              <w:top w:val="single" w:sz="4" w:space="0" w:color="000000"/>
              <w:left w:val="single" w:sz="4" w:space="0" w:color="000000"/>
              <w:bottom w:val="single" w:sz="4" w:space="0" w:color="000000"/>
              <w:right w:val="single" w:sz="4" w:space="0" w:color="000000"/>
            </w:tcBorders>
            <w:vAlign w:val="center"/>
          </w:tcPr>
          <w:p w14:paraId="26C1344D" w14:textId="7D01D848"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lainnya</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2"/>
                <w:sz w:val="20"/>
                <w:szCs w:val="20"/>
              </w:rPr>
              <w:t xml:space="preserve"> </w:t>
            </w:r>
            <w:r w:rsidRPr="009A4BC4">
              <w:rPr>
                <w:rFonts w:ascii="Bookman Old Style" w:hAnsi="Bookman Old Style"/>
                <w:sz w:val="20"/>
                <w:szCs w:val="20"/>
              </w:rPr>
              <w:t>bebas</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2"/>
                <w:sz w:val="20"/>
                <w:szCs w:val="20"/>
              </w:rPr>
              <w:t xml:space="preserve"> </w:t>
            </w:r>
            <w:r w:rsidRPr="009A4BC4">
              <w:rPr>
                <w:rFonts w:ascii="Bookman Old Style" w:hAnsi="Bookman Old Style"/>
                <w:sz w:val="20"/>
                <w:szCs w:val="20"/>
              </w:rPr>
              <w:t>segala</w:t>
            </w:r>
            <w:r w:rsidRPr="009A4BC4">
              <w:rPr>
                <w:rFonts w:ascii="Bookman Old Style" w:hAnsi="Bookman Old Style"/>
                <w:spacing w:val="-2"/>
                <w:sz w:val="20"/>
                <w:szCs w:val="20"/>
              </w:rPr>
              <w:t xml:space="preserve"> </w:t>
            </w:r>
            <w:r w:rsidRPr="009A4BC4">
              <w:rPr>
                <w:rFonts w:ascii="Bookman Old Style" w:hAnsi="Bookman Old Style"/>
                <w:sz w:val="20"/>
                <w:szCs w:val="20"/>
              </w:rPr>
              <w:t>klaim</w:t>
            </w:r>
            <w:r w:rsidRPr="009A4BC4">
              <w:rPr>
                <w:rFonts w:ascii="Bookman Old Style" w:hAnsi="Bookman Old Style"/>
                <w:spacing w:val="-4"/>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 xml:space="preserve">encumbered </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5D00312F" w14:textId="77777777" w:rsidR="009A4BC4" w:rsidRPr="009A4BC4" w:rsidRDefault="009A4BC4" w:rsidP="009A4BC4">
            <w:pPr>
              <w:pStyle w:val="TableParagraph"/>
              <w:rPr>
                <w:rFonts w:ascii="Bookman Old Style" w:hAnsi="Bookman Old Style"/>
                <w:sz w:val="20"/>
                <w:szCs w:val="20"/>
              </w:rPr>
            </w:pPr>
          </w:p>
        </w:tc>
        <w:tc>
          <w:tcPr>
            <w:tcW w:w="4500" w:type="dxa"/>
            <w:gridSpan w:val="5"/>
            <w:tcBorders>
              <w:top w:val="single" w:sz="4" w:space="0" w:color="000000"/>
              <w:left w:val="single" w:sz="4" w:space="0" w:color="000000"/>
              <w:bottom w:val="single" w:sz="4" w:space="0" w:color="000000"/>
              <w:right w:val="single" w:sz="4" w:space="0" w:color="000000"/>
            </w:tcBorders>
            <w:vAlign w:val="center"/>
          </w:tcPr>
          <w:p w14:paraId="1DDBF5A4" w14:textId="77777777" w:rsidR="009A4BC4" w:rsidRPr="009A4BC4" w:rsidRDefault="009A4BC4" w:rsidP="009A4BC4">
            <w:pPr>
              <w:pStyle w:val="TableParagraph"/>
              <w:ind w:left="112"/>
              <w:jc w:val="center"/>
              <w:rPr>
                <w:rFonts w:ascii="Bookman Old Style" w:hAnsi="Bookman Old Style"/>
                <w:sz w:val="20"/>
                <w:szCs w:val="20"/>
              </w:rPr>
            </w:pPr>
            <w:r w:rsidRPr="009A4BC4">
              <w:rPr>
                <w:rFonts w:ascii="Bookman Old Style" w:hAnsi="Bookman Old Style"/>
                <w:sz w:val="20"/>
                <w:szCs w:val="20"/>
              </w:rPr>
              <w:t>mengikuti RSF aset saat bebas dari segala klaim</w:t>
            </w:r>
          </w:p>
          <w:p w14:paraId="505EACDD" w14:textId="5503606D" w:rsidR="009A4BC4" w:rsidRPr="009A4BC4" w:rsidRDefault="009A4BC4" w:rsidP="009A4BC4">
            <w:pPr>
              <w:pStyle w:val="TableParagraph"/>
              <w:ind w:left="114"/>
              <w:jc w:val="center"/>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B1A6CDB"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FCEEDD8" w14:textId="24B484D9"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60873A9A" w14:textId="77777777" w:rsidR="009A4BC4" w:rsidRPr="009A4BC4" w:rsidRDefault="009A4BC4" w:rsidP="009A4BC4">
            <w:pPr>
              <w:pStyle w:val="TableParagraph"/>
              <w:rPr>
                <w:rFonts w:ascii="Bookman Old Style" w:hAnsi="Bookman Old Style"/>
                <w:sz w:val="20"/>
                <w:szCs w:val="20"/>
              </w:rPr>
            </w:pPr>
          </w:p>
        </w:tc>
      </w:tr>
      <w:tr w:rsidR="009A4BC4" w:rsidRPr="009A4BC4" w14:paraId="0A3F655B" w14:textId="77777777" w:rsidTr="008262B9">
        <w:trPr>
          <w:trHeight w:val="311"/>
        </w:trPr>
        <w:tc>
          <w:tcPr>
            <w:tcW w:w="1275" w:type="dxa"/>
            <w:tcBorders>
              <w:top w:val="single" w:sz="4" w:space="0" w:color="000000"/>
              <w:bottom w:val="single" w:sz="4" w:space="0" w:color="000000"/>
              <w:right w:val="single" w:sz="4" w:space="0" w:color="000000"/>
            </w:tcBorders>
            <w:vAlign w:val="center"/>
          </w:tcPr>
          <w:p w14:paraId="36B46208" w14:textId="6CC97F73"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lastRenderedPageBreak/>
              <w:t>5.12</w:t>
            </w:r>
          </w:p>
        </w:tc>
        <w:tc>
          <w:tcPr>
            <w:tcW w:w="6946" w:type="dxa"/>
            <w:tcBorders>
              <w:top w:val="single" w:sz="4" w:space="0" w:color="000000"/>
              <w:left w:val="single" w:sz="4" w:space="0" w:color="000000"/>
              <w:bottom w:val="single" w:sz="4" w:space="0" w:color="000000"/>
              <w:right w:val="single" w:sz="4" w:space="0" w:color="000000"/>
            </w:tcBorders>
            <w:vAlign w:val="center"/>
          </w:tcPr>
          <w:p w14:paraId="41219CB5" w14:textId="092B45F5"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lainnya</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masuk</w:t>
            </w:r>
            <w:r w:rsidRPr="009A4BC4">
              <w:rPr>
                <w:rFonts w:ascii="Bookman Old Style" w:hAnsi="Bookman Old Style"/>
                <w:spacing w:val="-2"/>
                <w:sz w:val="20"/>
                <w:szCs w:val="20"/>
              </w:rPr>
              <w:t xml:space="preserve"> </w:t>
            </w:r>
            <w:r w:rsidRPr="009A4BC4">
              <w:rPr>
                <w:rFonts w:ascii="Bookman Old Style" w:hAnsi="Bookman Old Style"/>
                <w:sz w:val="20"/>
                <w:szCs w:val="20"/>
              </w:rPr>
              <w:t>dalam</w:t>
            </w:r>
            <w:r w:rsidRPr="009A4BC4">
              <w:rPr>
                <w:rFonts w:ascii="Bookman Old Style" w:hAnsi="Bookman Old Style"/>
                <w:spacing w:val="-3"/>
                <w:sz w:val="20"/>
                <w:szCs w:val="20"/>
              </w:rPr>
              <w:t xml:space="preserve"> </w:t>
            </w:r>
            <w:r w:rsidRPr="009A4BC4">
              <w:rPr>
                <w:rFonts w:ascii="Bookman Old Style" w:hAnsi="Bookman Old Style"/>
                <w:sz w:val="20"/>
                <w:szCs w:val="20"/>
              </w:rPr>
              <w:t>kategori</w:t>
            </w:r>
            <w:r w:rsidRPr="009A4BC4">
              <w:rPr>
                <w:rFonts w:ascii="Bookman Old Style" w:hAnsi="Bookman Old Style"/>
                <w:spacing w:val="-2"/>
                <w:sz w:val="20"/>
                <w:szCs w:val="20"/>
              </w:rPr>
              <w:t xml:space="preserve"> </w:t>
            </w:r>
            <w:r w:rsidRPr="009A4BC4">
              <w:rPr>
                <w:rFonts w:ascii="Bookman Old Style" w:hAnsi="Bookman Old Style"/>
                <w:sz w:val="20"/>
                <w:szCs w:val="20"/>
              </w:rPr>
              <w:t>di</w:t>
            </w:r>
            <w:r w:rsidRPr="009A4BC4">
              <w:rPr>
                <w:rFonts w:ascii="Bookman Old Style" w:hAnsi="Bookman Old Style"/>
                <w:spacing w:val="-1"/>
                <w:sz w:val="20"/>
                <w:szCs w:val="20"/>
              </w:rPr>
              <w:t xml:space="preserve"> </w:t>
            </w:r>
            <w:r w:rsidRPr="009A4BC4">
              <w:rPr>
                <w:rFonts w:ascii="Bookman Old Style" w:hAnsi="Bookman Old Style"/>
                <w:sz w:val="20"/>
                <w:szCs w:val="20"/>
              </w:rPr>
              <w:t>atas**)</w:t>
            </w:r>
          </w:p>
        </w:tc>
        <w:tc>
          <w:tcPr>
            <w:tcW w:w="989" w:type="dxa"/>
            <w:tcBorders>
              <w:top w:val="single" w:sz="4" w:space="0" w:color="000000"/>
              <w:left w:val="single" w:sz="4" w:space="0" w:color="000000"/>
              <w:bottom w:val="single" w:sz="4" w:space="0" w:color="000000"/>
              <w:right w:val="single" w:sz="4" w:space="0" w:color="000000"/>
            </w:tcBorders>
            <w:vAlign w:val="center"/>
          </w:tcPr>
          <w:p w14:paraId="41859063"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C010E7E" w14:textId="5C278020"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8" w:type="dxa"/>
            <w:tcBorders>
              <w:top w:val="single" w:sz="4" w:space="0" w:color="000000"/>
              <w:left w:val="single" w:sz="4" w:space="0" w:color="000000"/>
              <w:bottom w:val="single" w:sz="4" w:space="0" w:color="000000"/>
              <w:right w:val="single" w:sz="4" w:space="0" w:color="000000"/>
            </w:tcBorders>
            <w:vAlign w:val="center"/>
          </w:tcPr>
          <w:p w14:paraId="0F95BA2A"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E138E2F" w14:textId="726B2756"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100%</w:t>
            </w:r>
          </w:p>
        </w:tc>
        <w:tc>
          <w:tcPr>
            <w:tcW w:w="991" w:type="dxa"/>
            <w:tcBorders>
              <w:top w:val="single" w:sz="4" w:space="0" w:color="000000"/>
              <w:left w:val="single" w:sz="4" w:space="0" w:color="000000"/>
              <w:bottom w:val="single" w:sz="4" w:space="0" w:color="000000"/>
              <w:right w:val="single" w:sz="4" w:space="0" w:color="000000"/>
            </w:tcBorders>
            <w:vAlign w:val="center"/>
          </w:tcPr>
          <w:p w14:paraId="4F42925D"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7F5EC33" w14:textId="13D0F4AC"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tcPr>
          <w:p w14:paraId="4073486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1AC81A3" w14:textId="524729A6"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100%</w:t>
            </w:r>
          </w:p>
        </w:tc>
        <w:tc>
          <w:tcPr>
            <w:tcW w:w="1457" w:type="dxa"/>
            <w:tcBorders>
              <w:top w:val="single" w:sz="4" w:space="0" w:color="000000"/>
              <w:left w:val="single" w:sz="4" w:space="0" w:color="000000"/>
              <w:bottom w:val="single" w:sz="4" w:space="0" w:color="000000"/>
            </w:tcBorders>
            <w:vAlign w:val="center"/>
          </w:tcPr>
          <w:p w14:paraId="71F6203B" w14:textId="77777777" w:rsidR="009A4BC4" w:rsidRPr="009A4BC4" w:rsidRDefault="009A4BC4" w:rsidP="009A4BC4">
            <w:pPr>
              <w:pStyle w:val="TableParagraph"/>
              <w:rPr>
                <w:rFonts w:ascii="Bookman Old Style" w:hAnsi="Bookman Old Style"/>
                <w:sz w:val="20"/>
                <w:szCs w:val="20"/>
              </w:rPr>
            </w:pPr>
          </w:p>
        </w:tc>
      </w:tr>
      <w:tr w:rsidR="009A4BC4" w:rsidRPr="009A4BC4" w14:paraId="3BFAEBDD" w14:textId="77777777" w:rsidTr="008262B9">
        <w:trPr>
          <w:trHeight w:val="377"/>
        </w:trPr>
        <w:tc>
          <w:tcPr>
            <w:tcW w:w="1275" w:type="dxa"/>
            <w:tcBorders>
              <w:top w:val="single" w:sz="4" w:space="0" w:color="000000"/>
              <w:bottom w:val="single" w:sz="4" w:space="0" w:color="000000"/>
              <w:right w:val="single" w:sz="4" w:space="0" w:color="000000"/>
            </w:tcBorders>
            <w:vAlign w:val="center"/>
          </w:tcPr>
          <w:p w14:paraId="1832810A" w14:textId="0F15A3DE"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w w:val="99"/>
                <w:sz w:val="20"/>
                <w:szCs w:val="20"/>
              </w:rPr>
              <w:t>6</w:t>
            </w:r>
          </w:p>
        </w:tc>
        <w:tc>
          <w:tcPr>
            <w:tcW w:w="6946" w:type="dxa"/>
            <w:tcBorders>
              <w:top w:val="single" w:sz="4" w:space="0" w:color="000000"/>
              <w:left w:val="single" w:sz="4" w:space="0" w:color="000000"/>
              <w:bottom w:val="single" w:sz="4" w:space="0" w:color="000000"/>
              <w:right w:val="single" w:sz="4" w:space="0" w:color="000000"/>
            </w:tcBorders>
            <w:vAlign w:val="center"/>
          </w:tcPr>
          <w:p w14:paraId="648D247D" w14:textId="4C3C37F7"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Total</w:t>
            </w:r>
            <w:r w:rsidRPr="009A4BC4">
              <w:rPr>
                <w:rFonts w:ascii="Bookman Old Style" w:hAnsi="Bookman Old Style"/>
                <w:spacing w:val="-4"/>
                <w:sz w:val="20"/>
                <w:szCs w:val="20"/>
              </w:rPr>
              <w:t xml:space="preserve"> </w:t>
            </w:r>
            <w:r w:rsidRPr="009A4BC4">
              <w:rPr>
                <w:rFonts w:ascii="Bookman Old Style" w:hAnsi="Bookman Old Style"/>
                <w:sz w:val="20"/>
                <w:szCs w:val="20"/>
              </w:rPr>
              <w:t>aset</w:t>
            </w:r>
          </w:p>
        </w:tc>
        <w:tc>
          <w:tcPr>
            <w:tcW w:w="989" w:type="dxa"/>
            <w:tcBorders>
              <w:top w:val="single" w:sz="4" w:space="0" w:color="000000"/>
              <w:left w:val="single" w:sz="4" w:space="0" w:color="000000"/>
              <w:bottom w:val="single" w:sz="4" w:space="0" w:color="000000"/>
              <w:right w:val="single" w:sz="4" w:space="0" w:color="000000"/>
            </w:tcBorders>
            <w:vAlign w:val="center"/>
          </w:tcPr>
          <w:p w14:paraId="15BDB0AC"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92F611F"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9ADA34D"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55E8DED"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777857B"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4884FF"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C22DEC9"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0C9AF0C"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vAlign w:val="center"/>
          </w:tcPr>
          <w:p w14:paraId="244D13BC" w14:textId="77777777" w:rsidR="009A4BC4" w:rsidRPr="009A4BC4" w:rsidRDefault="009A4BC4" w:rsidP="009A4BC4">
            <w:pPr>
              <w:pStyle w:val="TableParagraph"/>
              <w:rPr>
                <w:rFonts w:ascii="Bookman Old Style" w:hAnsi="Bookman Old Style"/>
                <w:sz w:val="20"/>
                <w:szCs w:val="20"/>
              </w:rPr>
            </w:pPr>
          </w:p>
        </w:tc>
      </w:tr>
      <w:tr w:rsidR="009A4BC4" w:rsidRPr="009A4BC4" w14:paraId="3AF5E28B" w14:textId="77777777" w:rsidTr="008262B9">
        <w:trPr>
          <w:trHeight w:val="387"/>
        </w:trPr>
        <w:tc>
          <w:tcPr>
            <w:tcW w:w="8221" w:type="dxa"/>
            <w:gridSpan w:val="2"/>
            <w:tcBorders>
              <w:top w:val="single" w:sz="4" w:space="0" w:color="000000"/>
              <w:bottom w:val="single" w:sz="4" w:space="0" w:color="000000"/>
              <w:right w:val="single" w:sz="4" w:space="0" w:color="000000"/>
            </w:tcBorders>
            <w:shd w:val="clear" w:color="auto" w:fill="C9C9C9" w:themeFill="accent3" w:themeFillTint="99"/>
            <w:vAlign w:val="center"/>
          </w:tcPr>
          <w:p w14:paraId="785B8C36" w14:textId="17FF8F76"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b/>
                <w:sz w:val="20"/>
                <w:szCs w:val="20"/>
              </w:rPr>
              <w:t>Transaksi</w:t>
            </w:r>
            <w:r w:rsidRPr="009A4BC4">
              <w:rPr>
                <w:rFonts w:ascii="Bookman Old Style" w:hAnsi="Bookman Old Style"/>
                <w:b/>
                <w:spacing w:val="-5"/>
                <w:sz w:val="20"/>
                <w:szCs w:val="20"/>
              </w:rPr>
              <w:t xml:space="preserve"> </w:t>
            </w:r>
            <w:r w:rsidRPr="009A4BC4">
              <w:rPr>
                <w:rFonts w:ascii="Bookman Old Style" w:hAnsi="Bookman Old Style"/>
                <w:b/>
                <w:sz w:val="20"/>
                <w:szCs w:val="20"/>
              </w:rPr>
              <w:t>Rekening</w:t>
            </w:r>
            <w:r w:rsidRPr="009A4BC4">
              <w:rPr>
                <w:rFonts w:ascii="Bookman Old Style" w:hAnsi="Bookman Old Style"/>
                <w:b/>
                <w:spacing w:val="-5"/>
                <w:sz w:val="20"/>
                <w:szCs w:val="20"/>
              </w:rPr>
              <w:t xml:space="preserve"> </w:t>
            </w:r>
            <w:r w:rsidRPr="009A4BC4">
              <w:rPr>
                <w:rFonts w:ascii="Bookman Old Style" w:hAnsi="Bookman Old Style"/>
                <w:b/>
                <w:sz w:val="20"/>
                <w:szCs w:val="20"/>
              </w:rPr>
              <w:t>Administratif</w:t>
            </w:r>
          </w:p>
        </w:tc>
        <w:tc>
          <w:tcPr>
            <w:tcW w:w="98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B1EE1D6"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ACAB014"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CD1A0F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411827CD"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56BBACD4"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78E2142F"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142D40B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271981A1"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shd w:val="clear" w:color="auto" w:fill="C9C9C9" w:themeFill="accent3" w:themeFillTint="99"/>
            <w:vAlign w:val="center"/>
          </w:tcPr>
          <w:p w14:paraId="188ED7B4" w14:textId="77777777" w:rsidR="009A4BC4" w:rsidRPr="009A4BC4" w:rsidRDefault="009A4BC4" w:rsidP="009A4BC4">
            <w:pPr>
              <w:pStyle w:val="TableParagraph"/>
              <w:rPr>
                <w:rFonts w:ascii="Bookman Old Style" w:hAnsi="Bookman Old Style"/>
                <w:sz w:val="20"/>
                <w:szCs w:val="20"/>
              </w:rPr>
            </w:pPr>
          </w:p>
        </w:tc>
      </w:tr>
      <w:tr w:rsidR="009A4BC4" w:rsidRPr="009A4BC4" w14:paraId="008847A2" w14:textId="77777777" w:rsidTr="008262B9">
        <w:trPr>
          <w:trHeight w:val="1076"/>
        </w:trPr>
        <w:tc>
          <w:tcPr>
            <w:tcW w:w="1275" w:type="dxa"/>
            <w:tcBorders>
              <w:top w:val="single" w:sz="4" w:space="0" w:color="000000"/>
              <w:bottom w:val="single" w:sz="4" w:space="0" w:color="000000"/>
              <w:right w:val="single" w:sz="4" w:space="0" w:color="000000"/>
            </w:tcBorders>
            <w:vAlign w:val="center"/>
          </w:tcPr>
          <w:p w14:paraId="0600B349" w14:textId="3D34FC19"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w w:val="99"/>
                <w:sz w:val="20"/>
                <w:szCs w:val="20"/>
              </w:rPr>
              <w:t>7</w:t>
            </w:r>
          </w:p>
        </w:tc>
        <w:tc>
          <w:tcPr>
            <w:tcW w:w="6946" w:type="dxa"/>
            <w:tcBorders>
              <w:top w:val="single" w:sz="4" w:space="0" w:color="000000"/>
              <w:left w:val="single" w:sz="4" w:space="0" w:color="000000"/>
              <w:bottom w:val="single" w:sz="4" w:space="0" w:color="000000"/>
              <w:right w:val="single" w:sz="4" w:space="0" w:color="000000"/>
            </w:tcBorders>
            <w:vAlign w:val="center"/>
          </w:tcPr>
          <w:p w14:paraId="63EAA141" w14:textId="34B81F27"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Kewajiban komitmen dalam bentuk fasilitas</w:t>
            </w:r>
            <w:r w:rsidRPr="009A4BC4">
              <w:rPr>
                <w:rFonts w:ascii="Bookman Old Style" w:hAnsi="Bookman Old Style"/>
                <w:spacing w:val="1"/>
                <w:sz w:val="20"/>
                <w:szCs w:val="20"/>
              </w:rPr>
              <w:t xml:space="preserve"> </w:t>
            </w:r>
            <w:r w:rsidRPr="009A4BC4">
              <w:rPr>
                <w:rFonts w:ascii="Bookman Old Style" w:hAnsi="Bookman Old Style"/>
                <w:sz w:val="20"/>
                <w:szCs w:val="20"/>
              </w:rPr>
              <w:t>kredit dan fasilitas likuiditas yang</w:t>
            </w:r>
            <w:r w:rsidRPr="009A4BC4">
              <w:rPr>
                <w:rFonts w:ascii="Bookman Old Style" w:hAnsi="Bookman Old Style"/>
                <w:spacing w:val="1"/>
                <w:sz w:val="20"/>
                <w:szCs w:val="20"/>
              </w:rPr>
              <w:t xml:space="preserve"> </w:t>
            </w:r>
            <w:r w:rsidRPr="009A4BC4">
              <w:rPr>
                <w:rFonts w:ascii="Bookman Old Style" w:hAnsi="Bookman Old Style"/>
                <w:sz w:val="20"/>
                <w:szCs w:val="20"/>
              </w:rPr>
              <w:t>bersifat</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dapat</w:t>
            </w:r>
            <w:r w:rsidRPr="009A4BC4">
              <w:rPr>
                <w:rFonts w:ascii="Bookman Old Style" w:hAnsi="Bookman Old Style"/>
                <w:spacing w:val="-3"/>
                <w:sz w:val="20"/>
                <w:szCs w:val="20"/>
              </w:rPr>
              <w:t xml:space="preserve"> </w:t>
            </w:r>
            <w:r w:rsidRPr="009A4BC4">
              <w:rPr>
                <w:rFonts w:ascii="Bookman Old Style" w:hAnsi="Bookman Old Style"/>
                <w:sz w:val="20"/>
                <w:szCs w:val="20"/>
              </w:rPr>
              <w:t>dibatalkan</w:t>
            </w:r>
            <w:r w:rsidRPr="009A4BC4">
              <w:rPr>
                <w:rFonts w:ascii="Bookman Old Style" w:hAnsi="Bookman Old Style"/>
                <w:spacing w:val="-2"/>
                <w:sz w:val="20"/>
                <w:szCs w:val="20"/>
              </w:rPr>
              <w:t xml:space="preserve"> </w:t>
            </w:r>
            <w:r w:rsidRPr="009A4BC4">
              <w:rPr>
                <w:rFonts w:ascii="Bookman Old Style" w:hAnsi="Bookman Old Style"/>
                <w:i/>
                <w:sz w:val="20"/>
                <w:szCs w:val="20"/>
              </w:rPr>
              <w:t>(irrevocable)</w:t>
            </w:r>
            <w:r w:rsidRPr="009A4BC4">
              <w:rPr>
                <w:rFonts w:ascii="Bookman Old Style" w:hAnsi="Bookman Old Style"/>
                <w:i/>
                <w:spacing w:val="41"/>
                <w:sz w:val="20"/>
                <w:szCs w:val="20"/>
              </w:rPr>
              <w:t xml:space="preserve"> </w:t>
            </w:r>
            <w:r w:rsidRPr="009A4BC4">
              <w:rPr>
                <w:rFonts w:ascii="Bookman Old Style" w:hAnsi="Bookman Old Style"/>
                <w:sz w:val="20"/>
                <w:szCs w:val="20"/>
              </w:rPr>
              <w:t>atau</w:t>
            </w:r>
            <w:r w:rsidRPr="009A4BC4">
              <w:rPr>
                <w:rFonts w:ascii="Bookman Old Style" w:hAnsi="Bookman Old Style"/>
                <w:spacing w:val="-2"/>
                <w:sz w:val="20"/>
                <w:szCs w:val="20"/>
              </w:rPr>
              <w:t xml:space="preserve"> </w:t>
            </w:r>
            <w:r w:rsidRPr="009A4BC4">
              <w:rPr>
                <w:rFonts w:ascii="Bookman Old Style" w:hAnsi="Bookman Old Style"/>
                <w:sz w:val="20"/>
                <w:szCs w:val="20"/>
              </w:rPr>
              <w:t>dapat</w:t>
            </w:r>
            <w:r w:rsidRPr="009A4BC4">
              <w:rPr>
                <w:rFonts w:ascii="Bookman Old Style" w:hAnsi="Bookman Old Style"/>
                <w:spacing w:val="-5"/>
                <w:sz w:val="20"/>
                <w:szCs w:val="20"/>
              </w:rPr>
              <w:t xml:space="preserve"> </w:t>
            </w:r>
            <w:r w:rsidRPr="009A4BC4">
              <w:rPr>
                <w:rFonts w:ascii="Bookman Old Style" w:hAnsi="Bookman Old Style"/>
                <w:sz w:val="20"/>
                <w:szCs w:val="20"/>
              </w:rPr>
              <w:t>dibatalkan</w:t>
            </w:r>
            <w:r w:rsidRPr="009A4BC4">
              <w:rPr>
                <w:rFonts w:ascii="Bookman Old Style" w:hAnsi="Bookman Old Style"/>
                <w:spacing w:val="-2"/>
                <w:sz w:val="20"/>
                <w:szCs w:val="20"/>
              </w:rPr>
              <w:t xml:space="preserve"> </w:t>
            </w:r>
            <w:r w:rsidRPr="009A4BC4">
              <w:rPr>
                <w:rFonts w:ascii="Bookman Old Style" w:hAnsi="Bookman Old Style"/>
                <w:sz w:val="20"/>
                <w:szCs w:val="20"/>
              </w:rPr>
              <w:t>dengan</w:t>
            </w:r>
            <w:r w:rsidRPr="009A4BC4">
              <w:rPr>
                <w:rFonts w:ascii="Bookman Old Style" w:hAnsi="Bookman Old Style"/>
                <w:spacing w:val="-2"/>
                <w:sz w:val="20"/>
                <w:szCs w:val="20"/>
              </w:rPr>
              <w:t xml:space="preserve"> </w:t>
            </w:r>
            <w:r w:rsidRPr="009A4BC4">
              <w:rPr>
                <w:rFonts w:ascii="Bookman Old Style" w:hAnsi="Bookman Old Style"/>
                <w:sz w:val="20"/>
                <w:szCs w:val="20"/>
              </w:rPr>
              <w:t>syarat</w:t>
            </w:r>
            <w:r w:rsidRPr="009A4BC4">
              <w:rPr>
                <w:rFonts w:ascii="Bookman Old Style" w:hAnsi="Bookman Old Style"/>
                <w:sz w:val="20"/>
                <w:szCs w:val="20"/>
                <w:lang w:val="en-US"/>
              </w:rPr>
              <w:t xml:space="preserve"> </w:t>
            </w:r>
            <w:r w:rsidRPr="009A4BC4">
              <w:rPr>
                <w:rFonts w:ascii="Bookman Old Style" w:hAnsi="Bookman Old Style"/>
                <w:sz w:val="20"/>
                <w:szCs w:val="20"/>
              </w:rPr>
              <w:t>(</w:t>
            </w:r>
            <w:r w:rsidRPr="009A4BC4">
              <w:rPr>
                <w:rFonts w:ascii="Bookman Old Style" w:hAnsi="Bookman Old Style"/>
                <w:i/>
                <w:sz w:val="20"/>
                <w:szCs w:val="20"/>
              </w:rPr>
              <w:t>conditionally</w:t>
            </w:r>
            <w:r w:rsidRPr="009A4BC4">
              <w:rPr>
                <w:rFonts w:ascii="Bookman Old Style" w:hAnsi="Bookman Old Style"/>
                <w:i/>
                <w:spacing w:val="-3"/>
                <w:sz w:val="20"/>
                <w:szCs w:val="20"/>
              </w:rPr>
              <w:t xml:space="preserve"> </w:t>
            </w:r>
            <w:r w:rsidRPr="009A4BC4">
              <w:rPr>
                <w:rFonts w:ascii="Bookman Old Style" w:hAnsi="Bookman Old Style"/>
                <w:i/>
                <w:sz w:val="20"/>
                <w:szCs w:val="20"/>
              </w:rPr>
              <w:t>revocable</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3B391B1F"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18D24C4E"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6C61038"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168FED5E" w14:textId="77777777" w:rsidR="009A4BC4" w:rsidRPr="009A4BC4" w:rsidRDefault="009A4BC4" w:rsidP="009A4BC4">
            <w:pPr>
              <w:pStyle w:val="TableParagraph"/>
              <w:rPr>
                <w:rFonts w:ascii="Bookman Old Style" w:hAnsi="Bookman Old Style"/>
                <w:sz w:val="20"/>
                <w:szCs w:val="20"/>
              </w:rPr>
            </w:pPr>
          </w:p>
          <w:p w14:paraId="2A91EC97" w14:textId="77777777" w:rsidR="009A4BC4" w:rsidRPr="009A4BC4" w:rsidRDefault="009A4BC4" w:rsidP="009A4BC4">
            <w:pPr>
              <w:pStyle w:val="TableParagraph"/>
              <w:rPr>
                <w:rFonts w:ascii="Bookman Old Style" w:hAnsi="Bookman Old Style"/>
                <w:sz w:val="20"/>
                <w:szCs w:val="20"/>
              </w:rPr>
            </w:pPr>
          </w:p>
          <w:p w14:paraId="076923EA" w14:textId="3B2E3499"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5%</w:t>
            </w:r>
          </w:p>
        </w:tc>
        <w:tc>
          <w:tcPr>
            <w:tcW w:w="991" w:type="dxa"/>
            <w:tcBorders>
              <w:top w:val="single" w:sz="4" w:space="0" w:color="000000"/>
              <w:left w:val="single" w:sz="4" w:space="0" w:color="000000"/>
              <w:bottom w:val="single" w:sz="4" w:space="0" w:color="000000"/>
              <w:right w:val="single" w:sz="4" w:space="0" w:color="000000"/>
            </w:tcBorders>
            <w:vAlign w:val="center"/>
          </w:tcPr>
          <w:p w14:paraId="67938D3D"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A49FF4" w14:textId="77777777" w:rsidR="009A4BC4" w:rsidRPr="009A4BC4" w:rsidRDefault="009A4BC4" w:rsidP="009A4BC4">
            <w:pPr>
              <w:pStyle w:val="TableParagraph"/>
              <w:rPr>
                <w:rFonts w:ascii="Bookman Old Style" w:hAnsi="Bookman Old Style"/>
                <w:sz w:val="20"/>
                <w:szCs w:val="20"/>
              </w:rPr>
            </w:pPr>
          </w:p>
          <w:p w14:paraId="249953B2" w14:textId="77777777" w:rsidR="009A4BC4" w:rsidRPr="009A4BC4" w:rsidRDefault="009A4BC4" w:rsidP="009A4BC4">
            <w:pPr>
              <w:pStyle w:val="TableParagraph"/>
              <w:rPr>
                <w:rFonts w:ascii="Bookman Old Style" w:hAnsi="Bookman Old Style"/>
                <w:sz w:val="20"/>
                <w:szCs w:val="20"/>
              </w:rPr>
            </w:pPr>
          </w:p>
          <w:p w14:paraId="229E5712" w14:textId="292C977A"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2F7F1552"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EBBE58F" w14:textId="77777777" w:rsidR="009A4BC4" w:rsidRPr="009A4BC4" w:rsidRDefault="009A4BC4" w:rsidP="009A4BC4">
            <w:pPr>
              <w:pStyle w:val="TableParagraph"/>
              <w:rPr>
                <w:rFonts w:ascii="Bookman Old Style" w:hAnsi="Bookman Old Style"/>
                <w:sz w:val="20"/>
                <w:szCs w:val="20"/>
              </w:rPr>
            </w:pPr>
          </w:p>
          <w:p w14:paraId="7962684D" w14:textId="77777777" w:rsidR="009A4BC4" w:rsidRPr="009A4BC4" w:rsidRDefault="009A4BC4" w:rsidP="009A4BC4">
            <w:pPr>
              <w:pStyle w:val="TableParagraph"/>
              <w:rPr>
                <w:rFonts w:ascii="Bookman Old Style" w:hAnsi="Bookman Old Style"/>
                <w:sz w:val="20"/>
                <w:szCs w:val="20"/>
              </w:rPr>
            </w:pPr>
          </w:p>
          <w:p w14:paraId="3961C514" w14:textId="4F484B81"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5%</w:t>
            </w:r>
          </w:p>
        </w:tc>
        <w:tc>
          <w:tcPr>
            <w:tcW w:w="1457" w:type="dxa"/>
            <w:tcBorders>
              <w:top w:val="single" w:sz="4" w:space="0" w:color="000000"/>
              <w:left w:val="single" w:sz="4" w:space="0" w:color="000000"/>
              <w:bottom w:val="single" w:sz="4" w:space="0" w:color="000000"/>
            </w:tcBorders>
            <w:vAlign w:val="center"/>
          </w:tcPr>
          <w:p w14:paraId="76D26562" w14:textId="77777777" w:rsidR="009A4BC4" w:rsidRPr="009A4BC4" w:rsidRDefault="009A4BC4" w:rsidP="009A4BC4">
            <w:pPr>
              <w:pStyle w:val="TableParagraph"/>
              <w:rPr>
                <w:rFonts w:ascii="Bookman Old Style" w:hAnsi="Bookman Old Style"/>
                <w:sz w:val="20"/>
                <w:szCs w:val="20"/>
              </w:rPr>
            </w:pPr>
          </w:p>
        </w:tc>
      </w:tr>
      <w:tr w:rsidR="009A4BC4" w:rsidRPr="009A4BC4" w14:paraId="3B440E2E" w14:textId="77777777" w:rsidTr="008262B9">
        <w:trPr>
          <w:trHeight w:val="244"/>
        </w:trPr>
        <w:tc>
          <w:tcPr>
            <w:tcW w:w="1275" w:type="dxa"/>
            <w:tcBorders>
              <w:top w:val="single" w:sz="4" w:space="0" w:color="000000"/>
              <w:bottom w:val="single" w:sz="4" w:space="0" w:color="000000"/>
              <w:right w:val="single" w:sz="4" w:space="0" w:color="000000"/>
            </w:tcBorders>
            <w:vAlign w:val="center"/>
          </w:tcPr>
          <w:p w14:paraId="0730BC0A" w14:textId="238585AE"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w w:val="99"/>
                <w:sz w:val="20"/>
                <w:szCs w:val="20"/>
              </w:rPr>
              <w:t>8</w:t>
            </w:r>
          </w:p>
        </w:tc>
        <w:tc>
          <w:tcPr>
            <w:tcW w:w="6946" w:type="dxa"/>
            <w:tcBorders>
              <w:top w:val="single" w:sz="4" w:space="0" w:color="000000"/>
              <w:left w:val="single" w:sz="4" w:space="0" w:color="000000"/>
              <w:bottom w:val="single" w:sz="4" w:space="0" w:color="000000"/>
              <w:right w:val="single" w:sz="4" w:space="0" w:color="000000"/>
            </w:tcBorders>
            <w:vAlign w:val="center"/>
          </w:tcPr>
          <w:p w14:paraId="73AA8939" w14:textId="54663AAD"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fasilitas</w:t>
            </w:r>
            <w:r w:rsidRPr="009A4BC4">
              <w:rPr>
                <w:rFonts w:ascii="Bookman Old Style" w:hAnsi="Bookman Old Style"/>
                <w:spacing w:val="-4"/>
                <w:sz w:val="20"/>
                <w:szCs w:val="20"/>
              </w:rPr>
              <w:t xml:space="preserve"> </w:t>
            </w:r>
            <w:r w:rsidRPr="009A4BC4">
              <w:rPr>
                <w:rFonts w:ascii="Bookman Old Style" w:hAnsi="Bookman Old Style"/>
                <w:sz w:val="20"/>
                <w:szCs w:val="20"/>
              </w:rPr>
              <w:t>kredit</w:t>
            </w:r>
            <w:r w:rsidRPr="009A4BC4">
              <w:rPr>
                <w:rFonts w:ascii="Bookman Old Style" w:hAnsi="Bookman Old Style"/>
                <w:spacing w:val="-2"/>
                <w:sz w:val="20"/>
                <w:szCs w:val="20"/>
              </w:rPr>
              <w:t xml:space="preserve"> </w:t>
            </w:r>
            <w:r w:rsidRPr="009A4BC4">
              <w:rPr>
                <w:rFonts w:ascii="Bookman Old Style" w:hAnsi="Bookman Old Style"/>
                <w:sz w:val="20"/>
                <w:szCs w:val="20"/>
              </w:rPr>
              <w:t>dan</w:t>
            </w:r>
            <w:r w:rsidRPr="009A4BC4">
              <w:rPr>
                <w:rFonts w:ascii="Bookman Old Style" w:hAnsi="Bookman Old Style"/>
                <w:spacing w:val="44"/>
                <w:sz w:val="20"/>
                <w:szCs w:val="20"/>
              </w:rPr>
              <w:t xml:space="preserve"> </w:t>
            </w:r>
            <w:r w:rsidRPr="009A4BC4">
              <w:rPr>
                <w:rFonts w:ascii="Bookman Old Style" w:hAnsi="Bookman Old Style"/>
                <w:sz w:val="20"/>
                <w:szCs w:val="20"/>
              </w:rPr>
              <w:t>fasilitas</w:t>
            </w:r>
            <w:r w:rsidRPr="009A4BC4">
              <w:rPr>
                <w:rFonts w:ascii="Bookman Old Style" w:hAnsi="Bookman Old Style"/>
                <w:spacing w:val="41"/>
                <w:sz w:val="20"/>
                <w:szCs w:val="20"/>
              </w:rPr>
              <w:t xml:space="preserve"> </w:t>
            </w:r>
            <w:r w:rsidRPr="009A4BC4">
              <w:rPr>
                <w:rFonts w:ascii="Bookman Old Style" w:hAnsi="Bookman Old Style"/>
                <w:sz w:val="20"/>
                <w:szCs w:val="20"/>
              </w:rPr>
              <w:t>likuiditas</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bersifat</w:t>
            </w:r>
            <w:r w:rsidRPr="009A4BC4">
              <w:rPr>
                <w:rFonts w:ascii="Bookman Old Style" w:hAnsi="Bookman Old Style"/>
                <w:spacing w:val="43"/>
                <w:sz w:val="20"/>
                <w:szCs w:val="20"/>
              </w:rPr>
              <w:t xml:space="preserve"> </w:t>
            </w:r>
            <w:r w:rsidRPr="009A4BC4">
              <w:rPr>
                <w:rFonts w:ascii="Bookman Old Style" w:hAnsi="Bookman Old Style"/>
                <w:sz w:val="20"/>
                <w:szCs w:val="20"/>
              </w:rPr>
              <w:t>dapat</w:t>
            </w:r>
            <w:r w:rsidRPr="009A4BC4">
              <w:rPr>
                <w:rFonts w:ascii="Bookman Old Style" w:hAnsi="Bookman Old Style"/>
                <w:spacing w:val="-1"/>
                <w:sz w:val="20"/>
                <w:szCs w:val="20"/>
              </w:rPr>
              <w:t xml:space="preserve"> </w:t>
            </w:r>
            <w:r w:rsidRPr="009A4BC4">
              <w:rPr>
                <w:rFonts w:ascii="Bookman Old Style" w:hAnsi="Bookman Old Style"/>
                <w:sz w:val="20"/>
                <w:szCs w:val="20"/>
              </w:rPr>
              <w:t>dibatalkan</w:t>
            </w:r>
            <w:r w:rsidRPr="009A4BC4">
              <w:rPr>
                <w:rFonts w:ascii="Bookman Old Style" w:hAnsi="Bookman Old Style"/>
                <w:spacing w:val="-1"/>
                <w:sz w:val="20"/>
                <w:szCs w:val="20"/>
              </w:rPr>
              <w:t xml:space="preserve"> </w:t>
            </w:r>
            <w:r w:rsidRPr="009A4BC4">
              <w:rPr>
                <w:rFonts w:ascii="Bookman Old Style" w:hAnsi="Bookman Old Style"/>
                <w:sz w:val="20"/>
                <w:szCs w:val="20"/>
              </w:rPr>
              <w:t>tanpa</w:t>
            </w:r>
            <w:r w:rsidRPr="009A4BC4">
              <w:rPr>
                <w:rFonts w:ascii="Bookman Old Style" w:hAnsi="Bookman Old Style"/>
                <w:spacing w:val="-4"/>
                <w:sz w:val="20"/>
                <w:szCs w:val="20"/>
              </w:rPr>
              <w:t xml:space="preserve"> </w:t>
            </w:r>
            <w:r w:rsidRPr="009A4BC4">
              <w:rPr>
                <w:rFonts w:ascii="Bookman Old Style" w:hAnsi="Bookman Old Style"/>
                <w:sz w:val="20"/>
                <w:szCs w:val="20"/>
              </w:rPr>
              <w:t>syarat</w:t>
            </w:r>
            <w:r w:rsidRPr="009A4BC4">
              <w:rPr>
                <w:rFonts w:ascii="Bookman Old Style" w:hAnsi="Bookman Old Style"/>
                <w:sz w:val="20"/>
                <w:szCs w:val="20"/>
                <w:lang w:val="en-US"/>
              </w:rPr>
              <w:t xml:space="preserve"> </w:t>
            </w:r>
            <w:r w:rsidRPr="009A4BC4">
              <w:rPr>
                <w:rFonts w:ascii="Bookman Old Style" w:hAnsi="Bookman Old Style"/>
                <w:sz w:val="20"/>
                <w:szCs w:val="20"/>
              </w:rPr>
              <w:t>(</w:t>
            </w:r>
            <w:r w:rsidRPr="009A4BC4">
              <w:rPr>
                <w:rFonts w:ascii="Bookman Old Style" w:hAnsi="Bookman Old Style"/>
                <w:i/>
                <w:sz w:val="20"/>
                <w:szCs w:val="20"/>
              </w:rPr>
              <w:t>unconditionally</w:t>
            </w:r>
            <w:r w:rsidRPr="009A4BC4">
              <w:rPr>
                <w:rFonts w:ascii="Bookman Old Style" w:hAnsi="Bookman Old Style"/>
                <w:i/>
                <w:spacing w:val="-3"/>
                <w:sz w:val="20"/>
                <w:szCs w:val="20"/>
              </w:rPr>
              <w:t xml:space="preserve"> </w:t>
            </w:r>
            <w:r w:rsidRPr="009A4BC4">
              <w:rPr>
                <w:rFonts w:ascii="Bookman Old Style" w:hAnsi="Bookman Old Style"/>
                <w:i/>
                <w:sz w:val="20"/>
                <w:szCs w:val="20"/>
              </w:rPr>
              <w:t>revocable</w:t>
            </w:r>
            <w:r w:rsidRPr="009A4BC4">
              <w:rPr>
                <w:rFonts w:ascii="Bookman Old Style" w:hAnsi="Bookman Old Style"/>
                <w:sz w:val="20"/>
                <w:szCs w:val="20"/>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705F40E2"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1149195D"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C5EB09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70E5F036" w14:textId="77777777" w:rsidR="009A4BC4" w:rsidRPr="009A4BC4" w:rsidRDefault="009A4BC4" w:rsidP="009A4BC4">
            <w:pPr>
              <w:pStyle w:val="TableParagraph"/>
              <w:rPr>
                <w:rFonts w:ascii="Bookman Old Style" w:hAnsi="Bookman Old Style"/>
                <w:sz w:val="20"/>
                <w:szCs w:val="20"/>
              </w:rPr>
            </w:pPr>
          </w:p>
          <w:p w14:paraId="17AA8135" w14:textId="403D4100"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032B7FA3"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F380BC" w14:textId="77777777" w:rsidR="009A4BC4" w:rsidRPr="009A4BC4" w:rsidRDefault="009A4BC4" w:rsidP="009A4BC4">
            <w:pPr>
              <w:pStyle w:val="TableParagraph"/>
              <w:rPr>
                <w:rFonts w:ascii="Bookman Old Style" w:hAnsi="Bookman Old Style"/>
                <w:sz w:val="20"/>
                <w:szCs w:val="20"/>
              </w:rPr>
            </w:pPr>
          </w:p>
          <w:p w14:paraId="36CC383A" w14:textId="009E56B6"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5395E2C3"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5713040" w14:textId="77777777" w:rsidR="009A4BC4" w:rsidRPr="009A4BC4" w:rsidRDefault="009A4BC4" w:rsidP="009A4BC4">
            <w:pPr>
              <w:pStyle w:val="TableParagraph"/>
              <w:rPr>
                <w:rFonts w:ascii="Bookman Old Style" w:hAnsi="Bookman Old Style"/>
                <w:sz w:val="20"/>
                <w:szCs w:val="20"/>
              </w:rPr>
            </w:pPr>
          </w:p>
          <w:p w14:paraId="38292D94" w14:textId="7254E090"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0%</w:t>
            </w:r>
          </w:p>
        </w:tc>
        <w:tc>
          <w:tcPr>
            <w:tcW w:w="1457" w:type="dxa"/>
            <w:tcBorders>
              <w:top w:val="single" w:sz="4" w:space="0" w:color="000000"/>
              <w:left w:val="single" w:sz="4" w:space="0" w:color="000000"/>
              <w:bottom w:val="single" w:sz="4" w:space="0" w:color="000000"/>
            </w:tcBorders>
            <w:vAlign w:val="center"/>
          </w:tcPr>
          <w:p w14:paraId="1EC65F55" w14:textId="77777777" w:rsidR="009A4BC4" w:rsidRPr="009A4BC4" w:rsidRDefault="009A4BC4" w:rsidP="009A4BC4">
            <w:pPr>
              <w:pStyle w:val="TableParagraph"/>
              <w:rPr>
                <w:rFonts w:ascii="Bookman Old Style" w:hAnsi="Bookman Old Style"/>
                <w:sz w:val="20"/>
                <w:szCs w:val="20"/>
              </w:rPr>
            </w:pPr>
          </w:p>
        </w:tc>
      </w:tr>
      <w:tr w:rsidR="009A4BC4" w:rsidRPr="009A4BC4" w14:paraId="70484596" w14:textId="77777777" w:rsidTr="008262B9">
        <w:trPr>
          <w:trHeight w:val="311"/>
        </w:trPr>
        <w:tc>
          <w:tcPr>
            <w:tcW w:w="1275" w:type="dxa"/>
            <w:tcBorders>
              <w:top w:val="single" w:sz="4" w:space="0" w:color="000000"/>
              <w:bottom w:val="single" w:sz="4" w:space="0" w:color="000000"/>
              <w:right w:val="single" w:sz="4" w:space="0" w:color="000000"/>
            </w:tcBorders>
            <w:vAlign w:val="center"/>
          </w:tcPr>
          <w:p w14:paraId="3CE0CD6F" w14:textId="3D37ED66"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w w:val="99"/>
                <w:sz w:val="20"/>
                <w:szCs w:val="20"/>
              </w:rPr>
              <w:t>9</w:t>
            </w:r>
          </w:p>
        </w:tc>
        <w:tc>
          <w:tcPr>
            <w:tcW w:w="6946" w:type="dxa"/>
            <w:tcBorders>
              <w:top w:val="single" w:sz="4" w:space="0" w:color="000000"/>
              <w:left w:val="single" w:sz="4" w:space="0" w:color="000000"/>
              <w:bottom w:val="single" w:sz="4" w:space="0" w:color="000000"/>
              <w:right w:val="single" w:sz="4" w:space="0" w:color="000000"/>
            </w:tcBorders>
            <w:vAlign w:val="center"/>
          </w:tcPr>
          <w:p w14:paraId="1735E32F" w14:textId="259B29EA"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kewajiban</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berasal</w:t>
            </w:r>
            <w:r w:rsidRPr="009A4BC4">
              <w:rPr>
                <w:rFonts w:ascii="Bookman Old Style" w:hAnsi="Bookman Old Style"/>
                <w:spacing w:val="-3"/>
                <w:sz w:val="20"/>
                <w:szCs w:val="20"/>
              </w:rPr>
              <w:t xml:space="preserve"> </w:t>
            </w:r>
            <w:r w:rsidRPr="009A4BC4">
              <w:rPr>
                <w:rFonts w:ascii="Bookman Old Style" w:hAnsi="Bookman Old Style"/>
                <w:sz w:val="20"/>
                <w:szCs w:val="20"/>
              </w:rPr>
              <w:t>dari</w:t>
            </w:r>
            <w:r w:rsidRPr="009A4BC4">
              <w:rPr>
                <w:rFonts w:ascii="Bookman Old Style" w:hAnsi="Bookman Old Style"/>
                <w:spacing w:val="39"/>
                <w:sz w:val="20"/>
                <w:szCs w:val="20"/>
              </w:rPr>
              <w:t xml:space="preserve"> </w:t>
            </w:r>
            <w:r w:rsidRPr="009A4BC4">
              <w:rPr>
                <w:rFonts w:ascii="Bookman Old Style" w:hAnsi="Bookman Old Style"/>
                <w:sz w:val="20"/>
                <w:szCs w:val="20"/>
              </w:rPr>
              <w:t xml:space="preserve">instrumen </w:t>
            </w:r>
            <w:r w:rsidRPr="009A4BC4">
              <w:rPr>
                <w:rFonts w:ascii="Bookman Old Style" w:hAnsi="Bookman Old Style"/>
                <w:i/>
                <w:sz w:val="20"/>
                <w:szCs w:val="20"/>
              </w:rPr>
              <w:t>trade</w:t>
            </w:r>
            <w:r w:rsidRPr="009A4BC4">
              <w:rPr>
                <w:rFonts w:ascii="Bookman Old Style" w:hAnsi="Bookman Old Style"/>
                <w:i/>
                <w:spacing w:val="-3"/>
                <w:sz w:val="20"/>
                <w:szCs w:val="20"/>
              </w:rPr>
              <w:t xml:space="preserve"> </w:t>
            </w:r>
            <w:r w:rsidRPr="009A4BC4">
              <w:rPr>
                <w:rFonts w:ascii="Bookman Old Style" w:hAnsi="Bookman Old Style"/>
                <w:i/>
                <w:sz w:val="20"/>
                <w:szCs w:val="20"/>
              </w:rPr>
              <w:t>finance</w:t>
            </w:r>
            <w:r w:rsidRPr="009A4BC4">
              <w:rPr>
                <w:rFonts w:ascii="Bookman Old Style" w:hAnsi="Bookman Old Style"/>
                <w:i/>
                <w:spacing w:val="-1"/>
                <w:sz w:val="20"/>
                <w:szCs w:val="20"/>
              </w:rPr>
              <w:t xml:space="preserve"> </w:t>
            </w:r>
            <w:r w:rsidRPr="009A4BC4">
              <w:rPr>
                <w:rFonts w:ascii="Bookman Old Style" w:hAnsi="Bookman Old Style"/>
                <w:sz w:val="20"/>
                <w:szCs w:val="20"/>
              </w:rPr>
              <w:t>(termasuk</w:t>
            </w:r>
            <w:r w:rsidRPr="009A4BC4">
              <w:rPr>
                <w:rFonts w:ascii="Bookman Old Style" w:hAnsi="Bookman Old Style"/>
                <w:spacing w:val="-3"/>
                <w:sz w:val="20"/>
                <w:szCs w:val="20"/>
              </w:rPr>
              <w:t xml:space="preserve"> </w:t>
            </w:r>
            <w:r w:rsidRPr="009A4BC4">
              <w:rPr>
                <w:rFonts w:ascii="Bookman Old Style" w:hAnsi="Bookman Old Style"/>
                <w:sz w:val="20"/>
                <w:szCs w:val="20"/>
              </w:rPr>
              <w:t>garansi</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z w:val="20"/>
                <w:szCs w:val="20"/>
                <w:lang w:val="en-US"/>
              </w:rPr>
              <w:t xml:space="preserve"> </w:t>
            </w:r>
            <w:r w:rsidRPr="009A4BC4">
              <w:rPr>
                <w:rFonts w:ascii="Bookman Old Style" w:hAnsi="Bookman Old Style"/>
                <w:i/>
                <w:sz w:val="20"/>
                <w:szCs w:val="20"/>
              </w:rPr>
              <w:t>letters</w:t>
            </w:r>
            <w:r w:rsidRPr="009A4BC4">
              <w:rPr>
                <w:rFonts w:ascii="Bookman Old Style" w:hAnsi="Bookman Old Style"/>
                <w:i/>
                <w:spacing w:val="-4"/>
                <w:sz w:val="20"/>
                <w:szCs w:val="20"/>
              </w:rPr>
              <w:t xml:space="preserve"> </w:t>
            </w:r>
            <w:r w:rsidRPr="009A4BC4">
              <w:rPr>
                <w:rFonts w:ascii="Bookman Old Style" w:hAnsi="Bookman Old Style"/>
                <w:i/>
                <w:sz w:val="20"/>
                <w:szCs w:val="20"/>
              </w:rPr>
              <w:t>of</w:t>
            </w:r>
            <w:r w:rsidRPr="009A4BC4">
              <w:rPr>
                <w:rFonts w:ascii="Bookman Old Style" w:hAnsi="Bookman Old Style"/>
                <w:i/>
                <w:spacing w:val="-4"/>
                <w:sz w:val="20"/>
                <w:szCs w:val="20"/>
              </w:rPr>
              <w:t xml:space="preserve"> </w:t>
            </w:r>
            <w:r w:rsidRPr="009A4BC4">
              <w:rPr>
                <w:rFonts w:ascii="Bookman Old Style" w:hAnsi="Bookman Old Style"/>
                <w:i/>
                <w:sz w:val="20"/>
                <w:szCs w:val="20"/>
              </w:rPr>
              <w:t>credit</w:t>
            </w:r>
            <w:r w:rsidRPr="009A4BC4">
              <w:rPr>
                <w:rFonts w:ascii="Bookman Old Style" w:hAnsi="Bookman Old Style"/>
                <w:i/>
                <w:spacing w:val="-1"/>
                <w:sz w:val="20"/>
                <w:szCs w:val="20"/>
              </w:rPr>
              <w:t xml:space="preserve"> </w:t>
            </w:r>
            <w:r w:rsidRPr="009A4BC4">
              <w:rPr>
                <w:rFonts w:ascii="Bookman Old Style" w:hAnsi="Bookman Old Style"/>
                <w:sz w:val="20"/>
                <w:szCs w:val="20"/>
              </w:rPr>
              <w:t>(L/C))</w:t>
            </w:r>
          </w:p>
        </w:tc>
        <w:tc>
          <w:tcPr>
            <w:tcW w:w="989" w:type="dxa"/>
            <w:tcBorders>
              <w:top w:val="single" w:sz="4" w:space="0" w:color="000000"/>
              <w:left w:val="single" w:sz="4" w:space="0" w:color="000000"/>
              <w:bottom w:val="single" w:sz="4" w:space="0" w:color="000000"/>
              <w:right w:val="single" w:sz="4" w:space="0" w:color="000000"/>
            </w:tcBorders>
            <w:vAlign w:val="center"/>
          </w:tcPr>
          <w:p w14:paraId="09593CF9"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F84C717"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3D6A4C1"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4CA3B0E7" w14:textId="77777777" w:rsidR="009A4BC4" w:rsidRPr="009A4BC4" w:rsidRDefault="009A4BC4" w:rsidP="009A4BC4">
            <w:pPr>
              <w:pStyle w:val="TableParagraph"/>
              <w:rPr>
                <w:rFonts w:ascii="Bookman Old Style" w:hAnsi="Bookman Old Style"/>
                <w:sz w:val="20"/>
                <w:szCs w:val="20"/>
              </w:rPr>
            </w:pPr>
          </w:p>
          <w:p w14:paraId="3C7B736E" w14:textId="3EC65EEA"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3%</w:t>
            </w:r>
          </w:p>
        </w:tc>
        <w:tc>
          <w:tcPr>
            <w:tcW w:w="991" w:type="dxa"/>
            <w:tcBorders>
              <w:top w:val="single" w:sz="4" w:space="0" w:color="000000"/>
              <w:left w:val="single" w:sz="4" w:space="0" w:color="000000"/>
              <w:bottom w:val="single" w:sz="4" w:space="0" w:color="000000"/>
              <w:right w:val="single" w:sz="4" w:space="0" w:color="000000"/>
            </w:tcBorders>
            <w:vAlign w:val="center"/>
          </w:tcPr>
          <w:p w14:paraId="67080B57"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341E68" w14:textId="77777777" w:rsidR="009A4BC4" w:rsidRPr="009A4BC4" w:rsidRDefault="009A4BC4" w:rsidP="009A4BC4">
            <w:pPr>
              <w:pStyle w:val="TableParagraph"/>
              <w:rPr>
                <w:rFonts w:ascii="Bookman Old Style" w:hAnsi="Bookman Old Style"/>
                <w:sz w:val="20"/>
                <w:szCs w:val="20"/>
              </w:rPr>
            </w:pPr>
          </w:p>
          <w:p w14:paraId="3AA7F447" w14:textId="797F6F18"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5853224E"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8D5DA77" w14:textId="77777777" w:rsidR="009A4BC4" w:rsidRPr="009A4BC4" w:rsidRDefault="009A4BC4" w:rsidP="009A4BC4">
            <w:pPr>
              <w:pStyle w:val="TableParagraph"/>
              <w:rPr>
                <w:rFonts w:ascii="Bookman Old Style" w:hAnsi="Bookman Old Style"/>
                <w:sz w:val="20"/>
                <w:szCs w:val="20"/>
              </w:rPr>
            </w:pPr>
          </w:p>
          <w:p w14:paraId="0857F45D" w14:textId="2F2ACCB1"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3%</w:t>
            </w:r>
          </w:p>
        </w:tc>
        <w:tc>
          <w:tcPr>
            <w:tcW w:w="1457" w:type="dxa"/>
            <w:tcBorders>
              <w:top w:val="single" w:sz="4" w:space="0" w:color="000000"/>
              <w:left w:val="single" w:sz="4" w:space="0" w:color="000000"/>
              <w:bottom w:val="single" w:sz="4" w:space="0" w:color="000000"/>
            </w:tcBorders>
            <w:vAlign w:val="center"/>
          </w:tcPr>
          <w:p w14:paraId="31464816" w14:textId="77777777" w:rsidR="009A4BC4" w:rsidRPr="009A4BC4" w:rsidRDefault="009A4BC4" w:rsidP="009A4BC4">
            <w:pPr>
              <w:pStyle w:val="TableParagraph"/>
              <w:rPr>
                <w:rFonts w:ascii="Bookman Old Style" w:hAnsi="Bookman Old Style"/>
                <w:sz w:val="20"/>
                <w:szCs w:val="20"/>
              </w:rPr>
            </w:pPr>
          </w:p>
        </w:tc>
      </w:tr>
      <w:tr w:rsidR="009A4BC4" w:rsidRPr="009A4BC4" w14:paraId="1DB0E7AC" w14:textId="77777777" w:rsidTr="008262B9">
        <w:trPr>
          <w:trHeight w:val="491"/>
        </w:trPr>
        <w:tc>
          <w:tcPr>
            <w:tcW w:w="1275" w:type="dxa"/>
            <w:tcBorders>
              <w:top w:val="single" w:sz="4" w:space="0" w:color="000000"/>
              <w:bottom w:val="single" w:sz="4" w:space="0" w:color="000000"/>
              <w:right w:val="single" w:sz="4" w:space="0" w:color="000000"/>
            </w:tcBorders>
          </w:tcPr>
          <w:p w14:paraId="1FA28447" w14:textId="17FB6464"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10</w:t>
            </w:r>
          </w:p>
        </w:tc>
        <w:tc>
          <w:tcPr>
            <w:tcW w:w="6946" w:type="dxa"/>
            <w:tcBorders>
              <w:top w:val="single" w:sz="4" w:space="0" w:color="000000"/>
              <w:left w:val="single" w:sz="4" w:space="0" w:color="000000"/>
              <w:bottom w:val="single" w:sz="4" w:space="0" w:color="000000"/>
              <w:right w:val="single" w:sz="4" w:space="0" w:color="000000"/>
            </w:tcBorders>
          </w:tcPr>
          <w:p w14:paraId="38B96A24" w14:textId="22470BC0"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i/>
                <w:sz w:val="20"/>
                <w:szCs w:val="20"/>
              </w:rPr>
              <w:t>letters</w:t>
            </w:r>
            <w:r w:rsidRPr="009A4BC4">
              <w:rPr>
                <w:rFonts w:ascii="Bookman Old Style" w:hAnsi="Bookman Old Style"/>
                <w:i/>
                <w:spacing w:val="-4"/>
                <w:sz w:val="20"/>
                <w:szCs w:val="20"/>
              </w:rPr>
              <w:t xml:space="preserve"> </w:t>
            </w:r>
            <w:r w:rsidRPr="009A4BC4">
              <w:rPr>
                <w:rFonts w:ascii="Bookman Old Style" w:hAnsi="Bookman Old Style"/>
                <w:i/>
                <w:sz w:val="20"/>
                <w:szCs w:val="20"/>
              </w:rPr>
              <w:t>of</w:t>
            </w:r>
            <w:r w:rsidRPr="009A4BC4">
              <w:rPr>
                <w:rFonts w:ascii="Bookman Old Style" w:hAnsi="Bookman Old Style"/>
                <w:i/>
                <w:spacing w:val="-4"/>
                <w:sz w:val="20"/>
                <w:szCs w:val="20"/>
              </w:rPr>
              <w:t xml:space="preserve"> </w:t>
            </w:r>
            <w:r w:rsidRPr="009A4BC4">
              <w:rPr>
                <w:rFonts w:ascii="Bookman Old Style" w:hAnsi="Bookman Old Style"/>
                <w:i/>
                <w:sz w:val="20"/>
                <w:szCs w:val="20"/>
              </w:rPr>
              <w:t>credit</w:t>
            </w:r>
            <w:r w:rsidRPr="009A4BC4">
              <w:rPr>
                <w:rFonts w:ascii="Bookman Old Style" w:hAnsi="Bookman Old Style"/>
                <w:i/>
                <w:spacing w:val="-1"/>
                <w:sz w:val="20"/>
                <w:szCs w:val="20"/>
              </w:rPr>
              <w:t xml:space="preserve"> </w:t>
            </w:r>
            <w:r w:rsidRPr="009A4BC4">
              <w:rPr>
                <w:rFonts w:ascii="Bookman Old Style" w:hAnsi="Bookman Old Style"/>
                <w:sz w:val="20"/>
                <w:szCs w:val="20"/>
              </w:rPr>
              <w:t>(L/C)</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2"/>
                <w:sz w:val="20"/>
                <w:szCs w:val="20"/>
              </w:rPr>
              <w:t xml:space="preserve"> </w:t>
            </w:r>
            <w:r w:rsidRPr="009A4BC4">
              <w:rPr>
                <w:rFonts w:ascii="Bookman Old Style" w:hAnsi="Bookman Old Style"/>
                <w:sz w:val="20"/>
                <w:szCs w:val="20"/>
              </w:rPr>
              <w:t>garansi</w:t>
            </w:r>
            <w:r w:rsidRPr="009A4BC4">
              <w:rPr>
                <w:rFonts w:ascii="Bookman Old Style" w:hAnsi="Bookman Old Style"/>
                <w:spacing w:val="-2"/>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tidak</w:t>
            </w:r>
            <w:r w:rsidRPr="009A4BC4">
              <w:rPr>
                <w:rFonts w:ascii="Bookman Old Style" w:hAnsi="Bookman Old Style"/>
                <w:spacing w:val="-3"/>
                <w:sz w:val="20"/>
                <w:szCs w:val="20"/>
              </w:rPr>
              <w:t xml:space="preserve"> </w:t>
            </w:r>
            <w:r w:rsidRPr="009A4BC4">
              <w:rPr>
                <w:rFonts w:ascii="Bookman Old Style" w:hAnsi="Bookman Old Style"/>
                <w:sz w:val="20"/>
                <w:szCs w:val="20"/>
              </w:rPr>
              <w:t>terkait</w:t>
            </w:r>
            <w:r w:rsidRPr="009A4BC4">
              <w:rPr>
                <w:rFonts w:ascii="Bookman Old Style" w:hAnsi="Bookman Old Style"/>
                <w:spacing w:val="-2"/>
                <w:sz w:val="20"/>
                <w:szCs w:val="20"/>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kewajiban</w:t>
            </w:r>
            <w:r w:rsidRPr="009A4BC4">
              <w:rPr>
                <w:rFonts w:ascii="Bookman Old Style" w:hAnsi="Bookman Old Style"/>
                <w:spacing w:val="2"/>
                <w:sz w:val="20"/>
                <w:szCs w:val="20"/>
              </w:rPr>
              <w:t xml:space="preserve"> </w:t>
            </w:r>
            <w:r w:rsidRPr="009A4BC4">
              <w:rPr>
                <w:rFonts w:ascii="Bookman Old Style" w:hAnsi="Bookman Old Style"/>
                <w:i/>
                <w:sz w:val="20"/>
                <w:szCs w:val="20"/>
              </w:rPr>
              <w:t>trade</w:t>
            </w:r>
            <w:r w:rsidRPr="009A4BC4">
              <w:rPr>
                <w:rFonts w:ascii="Bookman Old Style" w:hAnsi="Bookman Old Style"/>
                <w:i/>
                <w:sz w:val="20"/>
                <w:szCs w:val="20"/>
                <w:lang w:val="en-US"/>
              </w:rPr>
              <w:t xml:space="preserve"> </w:t>
            </w:r>
            <w:r w:rsidRPr="009A4BC4">
              <w:rPr>
                <w:rFonts w:ascii="Bookman Old Style" w:hAnsi="Bookman Old Style"/>
                <w:i/>
                <w:sz w:val="20"/>
                <w:szCs w:val="20"/>
              </w:rPr>
              <w:t>finance</w:t>
            </w:r>
          </w:p>
        </w:tc>
        <w:tc>
          <w:tcPr>
            <w:tcW w:w="989" w:type="dxa"/>
            <w:tcBorders>
              <w:top w:val="single" w:sz="4" w:space="0" w:color="000000"/>
              <w:left w:val="single" w:sz="4" w:space="0" w:color="000000"/>
              <w:bottom w:val="single" w:sz="4" w:space="0" w:color="000000"/>
              <w:right w:val="single" w:sz="4" w:space="0" w:color="000000"/>
            </w:tcBorders>
          </w:tcPr>
          <w:p w14:paraId="3C29B275"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tcPr>
          <w:p w14:paraId="26B00201"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4949AF7D"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1A9A79CD" w14:textId="77777777" w:rsidR="009A4BC4" w:rsidRPr="009A4BC4" w:rsidRDefault="009A4BC4" w:rsidP="009A4BC4">
            <w:pPr>
              <w:pStyle w:val="TableParagraph"/>
              <w:rPr>
                <w:rFonts w:ascii="Bookman Old Style" w:hAnsi="Bookman Old Style"/>
                <w:sz w:val="20"/>
                <w:szCs w:val="20"/>
              </w:rPr>
            </w:pPr>
          </w:p>
          <w:p w14:paraId="2ADE210F" w14:textId="333F7807"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5%</w:t>
            </w:r>
          </w:p>
        </w:tc>
        <w:tc>
          <w:tcPr>
            <w:tcW w:w="991" w:type="dxa"/>
            <w:tcBorders>
              <w:top w:val="single" w:sz="4" w:space="0" w:color="000000"/>
              <w:left w:val="single" w:sz="4" w:space="0" w:color="000000"/>
              <w:bottom w:val="single" w:sz="4" w:space="0" w:color="000000"/>
              <w:right w:val="single" w:sz="4" w:space="0" w:color="000000"/>
            </w:tcBorders>
          </w:tcPr>
          <w:p w14:paraId="26A6FD57"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4EC741E" w14:textId="77777777" w:rsidR="009A4BC4" w:rsidRPr="009A4BC4" w:rsidRDefault="009A4BC4" w:rsidP="009A4BC4">
            <w:pPr>
              <w:pStyle w:val="TableParagraph"/>
              <w:rPr>
                <w:rFonts w:ascii="Bookman Old Style" w:hAnsi="Bookman Old Style"/>
                <w:sz w:val="20"/>
                <w:szCs w:val="20"/>
              </w:rPr>
            </w:pPr>
          </w:p>
          <w:p w14:paraId="6F51B19E" w14:textId="1E2F78FE"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14:paraId="2C17F163"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1E4176CD" w14:textId="77777777" w:rsidR="009A4BC4" w:rsidRPr="009A4BC4" w:rsidRDefault="009A4BC4" w:rsidP="009A4BC4">
            <w:pPr>
              <w:pStyle w:val="TableParagraph"/>
              <w:rPr>
                <w:rFonts w:ascii="Bookman Old Style" w:hAnsi="Bookman Old Style"/>
                <w:sz w:val="20"/>
                <w:szCs w:val="20"/>
              </w:rPr>
            </w:pPr>
          </w:p>
          <w:p w14:paraId="2D942787" w14:textId="507757BC"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5%</w:t>
            </w:r>
          </w:p>
        </w:tc>
        <w:tc>
          <w:tcPr>
            <w:tcW w:w="1457" w:type="dxa"/>
            <w:tcBorders>
              <w:top w:val="single" w:sz="4" w:space="0" w:color="000000"/>
              <w:left w:val="single" w:sz="4" w:space="0" w:color="000000"/>
              <w:bottom w:val="single" w:sz="4" w:space="0" w:color="000000"/>
            </w:tcBorders>
          </w:tcPr>
          <w:p w14:paraId="27BD213D" w14:textId="77777777" w:rsidR="009A4BC4" w:rsidRPr="009A4BC4" w:rsidRDefault="009A4BC4" w:rsidP="009A4BC4">
            <w:pPr>
              <w:pStyle w:val="TableParagraph"/>
              <w:rPr>
                <w:rFonts w:ascii="Bookman Old Style" w:hAnsi="Bookman Old Style"/>
                <w:sz w:val="20"/>
                <w:szCs w:val="20"/>
              </w:rPr>
            </w:pPr>
          </w:p>
        </w:tc>
      </w:tr>
      <w:tr w:rsidR="009A4BC4" w:rsidRPr="009A4BC4" w14:paraId="3F273809" w14:textId="77777777" w:rsidTr="008262B9">
        <w:trPr>
          <w:trHeight w:val="244"/>
        </w:trPr>
        <w:tc>
          <w:tcPr>
            <w:tcW w:w="1275" w:type="dxa"/>
            <w:tcBorders>
              <w:top w:val="single" w:sz="4" w:space="0" w:color="000000"/>
              <w:bottom w:val="single" w:sz="4" w:space="0" w:color="000000"/>
              <w:right w:val="single" w:sz="4" w:space="0" w:color="000000"/>
            </w:tcBorders>
          </w:tcPr>
          <w:p w14:paraId="26B4620A" w14:textId="0D6DA928"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11</w:t>
            </w:r>
          </w:p>
        </w:tc>
        <w:tc>
          <w:tcPr>
            <w:tcW w:w="6946" w:type="dxa"/>
            <w:tcBorders>
              <w:top w:val="single" w:sz="4" w:space="0" w:color="000000"/>
              <w:left w:val="single" w:sz="4" w:space="0" w:color="000000"/>
              <w:bottom w:val="single" w:sz="4" w:space="0" w:color="000000"/>
              <w:right w:val="single" w:sz="4" w:space="0" w:color="000000"/>
            </w:tcBorders>
          </w:tcPr>
          <w:p w14:paraId="7121E814" w14:textId="42FF1F8D"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kewajiban</w:t>
            </w:r>
            <w:r w:rsidRPr="009A4BC4">
              <w:rPr>
                <w:rFonts w:ascii="Bookman Old Style" w:hAnsi="Bookman Old Style"/>
                <w:spacing w:val="-3"/>
                <w:sz w:val="20"/>
                <w:szCs w:val="20"/>
              </w:rPr>
              <w:t xml:space="preserve"> </w:t>
            </w:r>
            <w:r w:rsidRPr="009A4BC4">
              <w:rPr>
                <w:rFonts w:ascii="Bookman Old Style" w:hAnsi="Bookman Old Style"/>
                <w:sz w:val="20"/>
                <w:szCs w:val="20"/>
              </w:rPr>
              <w:t>non-kontraktual</w:t>
            </w:r>
          </w:p>
        </w:tc>
        <w:tc>
          <w:tcPr>
            <w:tcW w:w="989" w:type="dxa"/>
            <w:tcBorders>
              <w:top w:val="single" w:sz="4" w:space="0" w:color="000000"/>
              <w:left w:val="single" w:sz="4" w:space="0" w:color="000000"/>
              <w:bottom w:val="single" w:sz="4" w:space="0" w:color="000000"/>
              <w:right w:val="single" w:sz="4" w:space="0" w:color="000000"/>
            </w:tcBorders>
          </w:tcPr>
          <w:p w14:paraId="3CD14E49"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tcPr>
          <w:p w14:paraId="44B52CA6"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757EA5E2"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16AEB72E" w14:textId="506A2AA8" w:rsidR="009A4BC4" w:rsidRPr="009A4BC4" w:rsidRDefault="009A4BC4" w:rsidP="009A4BC4">
            <w:pPr>
              <w:pStyle w:val="TableParagraph"/>
              <w:ind w:left="112"/>
              <w:rPr>
                <w:rFonts w:ascii="Bookman Old Style" w:hAnsi="Bookman Old Style"/>
                <w:sz w:val="20"/>
                <w:szCs w:val="20"/>
              </w:rPr>
            </w:pPr>
            <w:r w:rsidRPr="009A4BC4">
              <w:rPr>
                <w:rFonts w:ascii="Bookman Old Style" w:hAnsi="Bookman Old Style"/>
                <w:sz w:val="20"/>
                <w:szCs w:val="20"/>
              </w:rPr>
              <w:t>5%</w:t>
            </w:r>
          </w:p>
        </w:tc>
        <w:tc>
          <w:tcPr>
            <w:tcW w:w="991" w:type="dxa"/>
            <w:tcBorders>
              <w:top w:val="single" w:sz="4" w:space="0" w:color="000000"/>
              <w:left w:val="single" w:sz="4" w:space="0" w:color="000000"/>
              <w:bottom w:val="single" w:sz="4" w:space="0" w:color="000000"/>
              <w:right w:val="single" w:sz="4" w:space="0" w:color="000000"/>
            </w:tcBorders>
          </w:tcPr>
          <w:p w14:paraId="47B61EBA"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0C59632" w14:textId="13F33EFC" w:rsidR="009A4BC4" w:rsidRPr="009A4BC4" w:rsidRDefault="009A4BC4" w:rsidP="009A4BC4">
            <w:pPr>
              <w:pStyle w:val="TableParagraph"/>
              <w:ind w:left="114"/>
              <w:rPr>
                <w:rFonts w:ascii="Bookman Old Style" w:hAnsi="Bookman Old Style"/>
                <w:sz w:val="20"/>
                <w:szCs w:val="20"/>
              </w:rPr>
            </w:pPr>
            <w:r w:rsidRPr="009A4BC4">
              <w:rPr>
                <w:rFonts w:ascii="Bookman Old Style" w:hAnsi="Bookman Old Style"/>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14:paraId="271FC0BA"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08315AC4" w14:textId="75C3F5C0" w:rsidR="009A4BC4" w:rsidRPr="009A4BC4" w:rsidRDefault="009A4BC4" w:rsidP="009A4BC4">
            <w:pPr>
              <w:pStyle w:val="TableParagraph"/>
              <w:ind w:left="116"/>
              <w:rPr>
                <w:rFonts w:ascii="Bookman Old Style" w:hAnsi="Bookman Old Style"/>
                <w:sz w:val="20"/>
                <w:szCs w:val="20"/>
              </w:rPr>
            </w:pPr>
            <w:r w:rsidRPr="009A4BC4">
              <w:rPr>
                <w:rFonts w:ascii="Bookman Old Style" w:hAnsi="Bookman Old Style"/>
                <w:sz w:val="20"/>
                <w:szCs w:val="20"/>
              </w:rPr>
              <w:t>5%</w:t>
            </w:r>
          </w:p>
        </w:tc>
        <w:tc>
          <w:tcPr>
            <w:tcW w:w="1457" w:type="dxa"/>
            <w:tcBorders>
              <w:top w:val="single" w:sz="4" w:space="0" w:color="000000"/>
              <w:left w:val="single" w:sz="4" w:space="0" w:color="000000"/>
              <w:bottom w:val="single" w:sz="4" w:space="0" w:color="000000"/>
            </w:tcBorders>
          </w:tcPr>
          <w:p w14:paraId="6873D7B5" w14:textId="77777777" w:rsidR="009A4BC4" w:rsidRPr="009A4BC4" w:rsidRDefault="009A4BC4" w:rsidP="009A4BC4">
            <w:pPr>
              <w:pStyle w:val="TableParagraph"/>
              <w:rPr>
                <w:rFonts w:ascii="Bookman Old Style" w:hAnsi="Bookman Old Style"/>
                <w:sz w:val="20"/>
                <w:szCs w:val="20"/>
              </w:rPr>
            </w:pPr>
          </w:p>
        </w:tc>
      </w:tr>
      <w:tr w:rsidR="009A4BC4" w:rsidRPr="009A4BC4" w14:paraId="42CAFA2C" w14:textId="77777777" w:rsidTr="008262B9">
        <w:trPr>
          <w:trHeight w:val="244"/>
        </w:trPr>
        <w:tc>
          <w:tcPr>
            <w:tcW w:w="1275" w:type="dxa"/>
            <w:tcBorders>
              <w:top w:val="single" w:sz="4" w:space="0" w:color="000000"/>
              <w:bottom w:val="single" w:sz="4" w:space="0" w:color="000000"/>
              <w:right w:val="single" w:sz="4" w:space="0" w:color="000000"/>
            </w:tcBorders>
          </w:tcPr>
          <w:p w14:paraId="5E9D7FB8" w14:textId="79B7CD65"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12</w:t>
            </w:r>
          </w:p>
        </w:tc>
        <w:tc>
          <w:tcPr>
            <w:tcW w:w="6946" w:type="dxa"/>
            <w:tcBorders>
              <w:top w:val="single" w:sz="4" w:space="0" w:color="000000"/>
              <w:left w:val="single" w:sz="4" w:space="0" w:color="000000"/>
              <w:bottom w:val="single" w:sz="4" w:space="0" w:color="000000"/>
              <w:right w:val="single" w:sz="4" w:space="0" w:color="000000"/>
            </w:tcBorders>
          </w:tcPr>
          <w:p w14:paraId="5B399680" w14:textId="1B4F8545"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sz w:val="20"/>
                <w:szCs w:val="20"/>
              </w:rPr>
              <w:t>Total</w:t>
            </w:r>
            <w:r w:rsidRPr="009A4BC4">
              <w:rPr>
                <w:rFonts w:ascii="Bookman Old Style" w:hAnsi="Bookman Old Style"/>
                <w:spacing w:val="-4"/>
                <w:sz w:val="20"/>
                <w:szCs w:val="20"/>
              </w:rPr>
              <w:t xml:space="preserve"> </w:t>
            </w:r>
            <w:r w:rsidRPr="009A4BC4">
              <w:rPr>
                <w:rFonts w:ascii="Bookman Old Style" w:hAnsi="Bookman Old Style"/>
                <w:sz w:val="20"/>
                <w:szCs w:val="20"/>
              </w:rPr>
              <w:t>transaksi</w:t>
            </w:r>
            <w:r w:rsidRPr="009A4BC4">
              <w:rPr>
                <w:rFonts w:ascii="Bookman Old Style" w:hAnsi="Bookman Old Style"/>
                <w:spacing w:val="-3"/>
                <w:sz w:val="20"/>
                <w:szCs w:val="20"/>
              </w:rPr>
              <w:t xml:space="preserve"> </w:t>
            </w:r>
            <w:r w:rsidRPr="009A4BC4">
              <w:rPr>
                <w:rFonts w:ascii="Bookman Old Style" w:hAnsi="Bookman Old Style"/>
                <w:sz w:val="20"/>
                <w:szCs w:val="20"/>
              </w:rPr>
              <w:t>rekening</w:t>
            </w:r>
            <w:r w:rsidRPr="009A4BC4">
              <w:rPr>
                <w:rFonts w:ascii="Bookman Old Style" w:hAnsi="Bookman Old Style"/>
                <w:spacing w:val="-5"/>
                <w:sz w:val="20"/>
                <w:szCs w:val="20"/>
              </w:rPr>
              <w:t xml:space="preserve"> </w:t>
            </w:r>
            <w:r w:rsidRPr="009A4BC4">
              <w:rPr>
                <w:rFonts w:ascii="Bookman Old Style" w:hAnsi="Bookman Old Style"/>
                <w:sz w:val="20"/>
                <w:szCs w:val="20"/>
              </w:rPr>
              <w:t>administratif</w:t>
            </w:r>
          </w:p>
        </w:tc>
        <w:tc>
          <w:tcPr>
            <w:tcW w:w="989" w:type="dxa"/>
            <w:tcBorders>
              <w:top w:val="single" w:sz="4" w:space="0" w:color="000000"/>
              <w:left w:val="single" w:sz="4" w:space="0" w:color="000000"/>
              <w:bottom w:val="single" w:sz="4" w:space="0" w:color="000000"/>
              <w:right w:val="single" w:sz="4" w:space="0" w:color="000000"/>
            </w:tcBorders>
          </w:tcPr>
          <w:p w14:paraId="4B4F927A"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tcPr>
          <w:p w14:paraId="46B33454"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63EB4478"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53AE9426"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6B764680"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37B8E64"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6126FC4"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2C567916"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0C701464" w14:textId="77777777" w:rsidR="009A4BC4" w:rsidRPr="009A4BC4" w:rsidRDefault="009A4BC4" w:rsidP="009A4BC4">
            <w:pPr>
              <w:pStyle w:val="TableParagraph"/>
              <w:rPr>
                <w:rFonts w:ascii="Bookman Old Style" w:hAnsi="Bookman Old Style"/>
                <w:sz w:val="20"/>
                <w:szCs w:val="20"/>
              </w:rPr>
            </w:pPr>
          </w:p>
        </w:tc>
      </w:tr>
      <w:tr w:rsidR="009A4BC4" w:rsidRPr="009A4BC4" w14:paraId="583F8B99" w14:textId="77777777" w:rsidTr="008262B9">
        <w:trPr>
          <w:trHeight w:val="279"/>
        </w:trPr>
        <w:tc>
          <w:tcPr>
            <w:tcW w:w="1275" w:type="dxa"/>
            <w:tcBorders>
              <w:top w:val="single" w:sz="4" w:space="0" w:color="000000"/>
              <w:bottom w:val="single" w:sz="4" w:space="0" w:color="000000"/>
              <w:right w:val="single" w:sz="4" w:space="0" w:color="000000"/>
            </w:tcBorders>
          </w:tcPr>
          <w:p w14:paraId="7FEC4C83" w14:textId="54B858FE"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13</w:t>
            </w:r>
          </w:p>
        </w:tc>
        <w:tc>
          <w:tcPr>
            <w:tcW w:w="6946" w:type="dxa"/>
            <w:tcBorders>
              <w:top w:val="single" w:sz="4" w:space="0" w:color="000000"/>
              <w:left w:val="single" w:sz="4" w:space="0" w:color="000000"/>
              <w:bottom w:val="single" w:sz="4" w:space="0" w:color="000000"/>
              <w:right w:val="single" w:sz="4" w:space="0" w:color="000000"/>
            </w:tcBorders>
          </w:tcPr>
          <w:p w14:paraId="27403853" w14:textId="3F3AF991"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b/>
                <w:sz w:val="20"/>
                <w:szCs w:val="20"/>
              </w:rPr>
              <w:t>Total</w:t>
            </w:r>
            <w:r w:rsidRPr="009A4BC4">
              <w:rPr>
                <w:rFonts w:ascii="Bookman Old Style" w:hAnsi="Bookman Old Style"/>
                <w:b/>
                <w:spacing w:val="-3"/>
                <w:sz w:val="20"/>
                <w:szCs w:val="20"/>
              </w:rPr>
              <w:t xml:space="preserve"> </w:t>
            </w:r>
            <w:r w:rsidRPr="009A4BC4">
              <w:rPr>
                <w:rFonts w:ascii="Bookman Old Style" w:hAnsi="Bookman Old Style"/>
                <w:b/>
                <w:sz w:val="20"/>
                <w:szCs w:val="20"/>
              </w:rPr>
              <w:t>RSF</w:t>
            </w:r>
          </w:p>
        </w:tc>
        <w:tc>
          <w:tcPr>
            <w:tcW w:w="989" w:type="dxa"/>
            <w:tcBorders>
              <w:top w:val="single" w:sz="4" w:space="0" w:color="000000"/>
              <w:left w:val="single" w:sz="4" w:space="0" w:color="000000"/>
              <w:bottom w:val="single" w:sz="4" w:space="0" w:color="000000"/>
              <w:right w:val="single" w:sz="4" w:space="0" w:color="000000"/>
            </w:tcBorders>
          </w:tcPr>
          <w:p w14:paraId="65BD9002"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tcPr>
          <w:p w14:paraId="344A7DFC"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28CFFD8C"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4E3EA4E6"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5448D881"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9A6BB9C"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C7814FB"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05C9BBB3"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273285B0" w14:textId="77777777" w:rsidR="009A4BC4" w:rsidRPr="009A4BC4" w:rsidRDefault="009A4BC4" w:rsidP="009A4BC4">
            <w:pPr>
              <w:pStyle w:val="TableParagraph"/>
              <w:rPr>
                <w:rFonts w:ascii="Bookman Old Style" w:hAnsi="Bookman Old Style"/>
                <w:sz w:val="20"/>
                <w:szCs w:val="20"/>
              </w:rPr>
            </w:pPr>
          </w:p>
        </w:tc>
      </w:tr>
      <w:tr w:rsidR="009A4BC4" w:rsidRPr="009A4BC4" w14:paraId="6A4BE064" w14:textId="77777777" w:rsidTr="008262B9">
        <w:trPr>
          <w:trHeight w:val="568"/>
        </w:trPr>
        <w:tc>
          <w:tcPr>
            <w:tcW w:w="1275" w:type="dxa"/>
            <w:tcBorders>
              <w:top w:val="single" w:sz="4" w:space="0" w:color="000000"/>
              <w:bottom w:val="single" w:sz="4" w:space="0" w:color="000000"/>
              <w:right w:val="single" w:sz="4" w:space="0" w:color="000000"/>
            </w:tcBorders>
          </w:tcPr>
          <w:p w14:paraId="18DB648C" w14:textId="5484FBBA" w:rsidR="009A4BC4" w:rsidRPr="009A4BC4" w:rsidRDefault="009A4BC4" w:rsidP="009A4BC4">
            <w:pPr>
              <w:pStyle w:val="TableParagraph"/>
              <w:ind w:left="107"/>
              <w:rPr>
                <w:rFonts w:ascii="Bookman Old Style" w:hAnsi="Bookman Old Style"/>
                <w:sz w:val="20"/>
                <w:szCs w:val="20"/>
              </w:rPr>
            </w:pPr>
            <w:r w:rsidRPr="009A4BC4">
              <w:rPr>
                <w:rFonts w:ascii="Bookman Old Style" w:hAnsi="Bookman Old Style"/>
                <w:sz w:val="20"/>
                <w:szCs w:val="20"/>
              </w:rPr>
              <w:t>14</w:t>
            </w:r>
          </w:p>
        </w:tc>
        <w:tc>
          <w:tcPr>
            <w:tcW w:w="6946" w:type="dxa"/>
            <w:tcBorders>
              <w:top w:val="single" w:sz="4" w:space="0" w:color="000000"/>
              <w:left w:val="single" w:sz="4" w:space="0" w:color="000000"/>
              <w:bottom w:val="single" w:sz="4" w:space="0" w:color="000000"/>
              <w:right w:val="single" w:sz="4" w:space="0" w:color="000000"/>
            </w:tcBorders>
          </w:tcPr>
          <w:p w14:paraId="33ACFAEB" w14:textId="0CB9F66D" w:rsidR="009A4BC4" w:rsidRPr="009A4BC4" w:rsidRDefault="009A4BC4" w:rsidP="009A4BC4">
            <w:pPr>
              <w:pStyle w:val="TableParagraph"/>
              <w:ind w:left="928"/>
              <w:rPr>
                <w:rFonts w:ascii="Bookman Old Style" w:hAnsi="Bookman Old Style"/>
                <w:sz w:val="20"/>
                <w:szCs w:val="20"/>
              </w:rPr>
            </w:pPr>
            <w:r w:rsidRPr="009A4BC4">
              <w:rPr>
                <w:rFonts w:ascii="Bookman Old Style" w:hAnsi="Bookman Old Style"/>
                <w:b/>
                <w:sz w:val="20"/>
                <w:szCs w:val="20"/>
              </w:rPr>
              <w:t>Rasio</w:t>
            </w:r>
            <w:r w:rsidRPr="009A4BC4">
              <w:rPr>
                <w:rFonts w:ascii="Bookman Old Style" w:hAnsi="Bookman Old Style"/>
                <w:b/>
                <w:spacing w:val="-2"/>
                <w:sz w:val="20"/>
                <w:szCs w:val="20"/>
              </w:rPr>
              <w:t xml:space="preserve"> </w:t>
            </w:r>
            <w:r w:rsidRPr="009A4BC4">
              <w:rPr>
                <w:rFonts w:ascii="Bookman Old Style" w:hAnsi="Bookman Old Style"/>
                <w:b/>
                <w:sz w:val="20"/>
                <w:szCs w:val="20"/>
              </w:rPr>
              <w:t>Pendanaan</w:t>
            </w:r>
            <w:r w:rsidRPr="009A4BC4">
              <w:rPr>
                <w:rFonts w:ascii="Bookman Old Style" w:hAnsi="Bookman Old Style"/>
                <w:b/>
                <w:spacing w:val="-2"/>
                <w:sz w:val="20"/>
                <w:szCs w:val="20"/>
              </w:rPr>
              <w:t xml:space="preserve"> </w:t>
            </w:r>
            <w:r w:rsidRPr="009A4BC4">
              <w:rPr>
                <w:rFonts w:ascii="Bookman Old Style" w:hAnsi="Bookman Old Style"/>
                <w:b/>
                <w:sz w:val="20"/>
                <w:szCs w:val="20"/>
              </w:rPr>
              <w:t>Stabil</w:t>
            </w:r>
            <w:r w:rsidRPr="009A4BC4">
              <w:rPr>
                <w:rFonts w:ascii="Bookman Old Style" w:hAnsi="Bookman Old Style"/>
                <w:b/>
                <w:spacing w:val="-4"/>
                <w:sz w:val="20"/>
                <w:szCs w:val="20"/>
              </w:rPr>
              <w:t xml:space="preserve"> </w:t>
            </w:r>
            <w:r w:rsidRPr="009A4BC4">
              <w:rPr>
                <w:rFonts w:ascii="Bookman Old Style" w:hAnsi="Bookman Old Style"/>
                <w:b/>
                <w:sz w:val="20"/>
                <w:szCs w:val="20"/>
              </w:rPr>
              <w:t>Bersih</w:t>
            </w:r>
            <w:r w:rsidRPr="009A4BC4">
              <w:rPr>
                <w:rFonts w:ascii="Bookman Old Style" w:hAnsi="Bookman Old Style"/>
                <w:b/>
                <w:spacing w:val="-2"/>
                <w:sz w:val="20"/>
                <w:szCs w:val="20"/>
              </w:rPr>
              <w:t xml:space="preserve"> </w:t>
            </w:r>
            <w:r w:rsidRPr="009A4BC4">
              <w:rPr>
                <w:rFonts w:ascii="Bookman Old Style" w:hAnsi="Bookman Old Style"/>
                <w:b/>
                <w:sz w:val="20"/>
                <w:szCs w:val="20"/>
              </w:rPr>
              <w:t>(</w:t>
            </w:r>
            <w:r w:rsidRPr="009A4BC4">
              <w:rPr>
                <w:rFonts w:ascii="Bookman Old Style" w:hAnsi="Bookman Old Style"/>
                <w:b/>
                <w:i/>
                <w:sz w:val="20"/>
                <w:szCs w:val="20"/>
              </w:rPr>
              <w:t>Net</w:t>
            </w:r>
            <w:r w:rsidRPr="009A4BC4">
              <w:rPr>
                <w:rFonts w:ascii="Bookman Old Style" w:hAnsi="Bookman Old Style"/>
                <w:b/>
                <w:i/>
                <w:spacing w:val="-2"/>
                <w:sz w:val="20"/>
                <w:szCs w:val="20"/>
              </w:rPr>
              <w:t xml:space="preserve"> </w:t>
            </w:r>
            <w:r w:rsidRPr="009A4BC4">
              <w:rPr>
                <w:rFonts w:ascii="Bookman Old Style" w:hAnsi="Bookman Old Style"/>
                <w:b/>
                <w:i/>
                <w:sz w:val="20"/>
                <w:szCs w:val="20"/>
              </w:rPr>
              <w:t>Stable</w:t>
            </w:r>
            <w:r w:rsidRPr="009A4BC4">
              <w:rPr>
                <w:rFonts w:ascii="Bookman Old Style" w:hAnsi="Bookman Old Style"/>
                <w:b/>
                <w:i/>
                <w:spacing w:val="-2"/>
                <w:sz w:val="20"/>
                <w:szCs w:val="20"/>
              </w:rPr>
              <w:t xml:space="preserve"> </w:t>
            </w:r>
            <w:r w:rsidRPr="009A4BC4">
              <w:rPr>
                <w:rFonts w:ascii="Bookman Old Style" w:hAnsi="Bookman Old Style"/>
                <w:b/>
                <w:i/>
                <w:sz w:val="20"/>
                <w:szCs w:val="20"/>
              </w:rPr>
              <w:t>Funding</w:t>
            </w:r>
            <w:r w:rsidRPr="009A4BC4">
              <w:rPr>
                <w:rFonts w:ascii="Bookman Old Style" w:hAnsi="Bookman Old Style"/>
                <w:b/>
                <w:i/>
                <w:spacing w:val="-4"/>
                <w:sz w:val="20"/>
                <w:szCs w:val="20"/>
              </w:rPr>
              <w:t xml:space="preserve"> </w:t>
            </w:r>
            <w:r w:rsidRPr="009A4BC4">
              <w:rPr>
                <w:rFonts w:ascii="Bookman Old Style" w:hAnsi="Bookman Old Style"/>
                <w:b/>
                <w:i/>
                <w:sz w:val="20"/>
                <w:szCs w:val="20"/>
              </w:rPr>
              <w:t>Ratio</w:t>
            </w:r>
            <w:r w:rsidRPr="009A4BC4">
              <w:rPr>
                <w:rFonts w:ascii="Bookman Old Style" w:hAnsi="Bookman Old Style"/>
                <w:b/>
                <w:spacing w:val="-2"/>
                <w:sz w:val="20"/>
                <w:szCs w:val="20"/>
              </w:rPr>
              <w:t xml:space="preserve"> </w:t>
            </w:r>
            <w:r w:rsidRPr="009A4BC4">
              <w:rPr>
                <w:rFonts w:ascii="Bookman Old Style" w:hAnsi="Bookman Old Style"/>
                <w:b/>
                <w:sz w:val="20"/>
                <w:szCs w:val="20"/>
              </w:rPr>
              <w:t>(%))</w:t>
            </w:r>
          </w:p>
        </w:tc>
        <w:tc>
          <w:tcPr>
            <w:tcW w:w="989" w:type="dxa"/>
            <w:tcBorders>
              <w:top w:val="single" w:sz="4" w:space="0" w:color="000000"/>
              <w:left w:val="single" w:sz="4" w:space="0" w:color="000000"/>
              <w:bottom w:val="single" w:sz="4" w:space="0" w:color="000000"/>
              <w:right w:val="single" w:sz="4" w:space="0" w:color="000000"/>
            </w:tcBorders>
          </w:tcPr>
          <w:p w14:paraId="0E22DBB8" w14:textId="77777777" w:rsidR="009A4BC4" w:rsidRPr="009A4BC4" w:rsidRDefault="009A4BC4" w:rsidP="009A4BC4">
            <w:pPr>
              <w:pStyle w:val="TableParagraph"/>
              <w:rPr>
                <w:rFonts w:ascii="Bookman Old Style" w:hAnsi="Bookman Old Style"/>
                <w:sz w:val="20"/>
                <w:szCs w:val="20"/>
              </w:rPr>
            </w:pPr>
          </w:p>
        </w:tc>
        <w:tc>
          <w:tcPr>
            <w:tcW w:w="811" w:type="dxa"/>
            <w:tcBorders>
              <w:top w:val="single" w:sz="4" w:space="0" w:color="000000"/>
              <w:left w:val="single" w:sz="4" w:space="0" w:color="000000"/>
              <w:bottom w:val="single" w:sz="4" w:space="0" w:color="000000"/>
              <w:right w:val="single" w:sz="4" w:space="0" w:color="000000"/>
            </w:tcBorders>
          </w:tcPr>
          <w:p w14:paraId="6A53ED38" w14:textId="77777777" w:rsidR="009A4BC4" w:rsidRPr="009A4BC4" w:rsidRDefault="009A4BC4" w:rsidP="009A4BC4">
            <w:pPr>
              <w:pStyle w:val="TableParagraph"/>
              <w:ind w:left="112"/>
              <w:rPr>
                <w:rFonts w:ascii="Bookman Old Style" w:hAnsi="Bookman Old Style"/>
                <w:sz w:val="20"/>
                <w:szCs w:val="20"/>
              </w:rPr>
            </w:pPr>
          </w:p>
        </w:tc>
        <w:tc>
          <w:tcPr>
            <w:tcW w:w="998" w:type="dxa"/>
            <w:tcBorders>
              <w:top w:val="single" w:sz="4" w:space="0" w:color="000000"/>
              <w:left w:val="single" w:sz="4" w:space="0" w:color="000000"/>
              <w:bottom w:val="single" w:sz="4" w:space="0" w:color="000000"/>
              <w:right w:val="single" w:sz="4" w:space="0" w:color="000000"/>
            </w:tcBorders>
          </w:tcPr>
          <w:p w14:paraId="30C07335"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62108760" w14:textId="77777777" w:rsidR="009A4BC4" w:rsidRPr="009A4BC4" w:rsidRDefault="009A4BC4" w:rsidP="009A4BC4">
            <w:pPr>
              <w:pStyle w:val="TableParagraph"/>
              <w:ind w:left="112"/>
              <w:rPr>
                <w:rFonts w:ascii="Bookman Old Style" w:hAnsi="Bookman Old Style"/>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2F2666E3" w14:textId="77777777" w:rsidR="009A4BC4" w:rsidRPr="009A4BC4" w:rsidRDefault="009A4BC4" w:rsidP="009A4BC4">
            <w:pPr>
              <w:pStyle w:val="TableParagraph"/>
              <w:rPr>
                <w:rFonts w:ascii="Bookman Old Style" w:hAnsi="Bookman Old Style"/>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F45D35A" w14:textId="77777777" w:rsidR="009A4BC4" w:rsidRPr="009A4BC4" w:rsidRDefault="009A4BC4" w:rsidP="009A4BC4">
            <w:pPr>
              <w:pStyle w:val="TableParagraph"/>
              <w:ind w:left="114"/>
              <w:rPr>
                <w:rFonts w:ascii="Bookman Old Style" w:hAnsi="Bookman Old Style"/>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4CA0912" w14:textId="77777777" w:rsidR="009A4BC4" w:rsidRPr="009A4BC4" w:rsidRDefault="009A4BC4" w:rsidP="009A4BC4">
            <w:pPr>
              <w:pStyle w:val="TableParagraph"/>
              <w:rPr>
                <w:rFonts w:ascii="Bookman Old Style" w:hAnsi="Bookman Old Style"/>
                <w:sz w:val="20"/>
                <w:szCs w:val="20"/>
              </w:rPr>
            </w:pPr>
          </w:p>
        </w:tc>
        <w:tc>
          <w:tcPr>
            <w:tcW w:w="849" w:type="dxa"/>
            <w:tcBorders>
              <w:top w:val="single" w:sz="4" w:space="0" w:color="000000"/>
              <w:left w:val="single" w:sz="4" w:space="0" w:color="000000"/>
              <w:bottom w:val="single" w:sz="4" w:space="0" w:color="000000"/>
              <w:right w:val="single" w:sz="4" w:space="0" w:color="000000"/>
            </w:tcBorders>
          </w:tcPr>
          <w:p w14:paraId="35CAEE9A" w14:textId="77777777" w:rsidR="009A4BC4" w:rsidRPr="009A4BC4" w:rsidRDefault="009A4BC4" w:rsidP="009A4BC4">
            <w:pPr>
              <w:pStyle w:val="TableParagraph"/>
              <w:ind w:left="116"/>
              <w:rPr>
                <w:rFonts w:ascii="Bookman Old Style" w:hAnsi="Bookman Old Style"/>
                <w:sz w:val="20"/>
                <w:szCs w:val="20"/>
              </w:rPr>
            </w:pPr>
          </w:p>
        </w:tc>
        <w:tc>
          <w:tcPr>
            <w:tcW w:w="1457" w:type="dxa"/>
            <w:tcBorders>
              <w:top w:val="single" w:sz="4" w:space="0" w:color="000000"/>
              <w:left w:val="single" w:sz="4" w:space="0" w:color="000000"/>
              <w:bottom w:val="single" w:sz="4" w:space="0" w:color="000000"/>
            </w:tcBorders>
          </w:tcPr>
          <w:p w14:paraId="45305579" w14:textId="77777777" w:rsidR="009A4BC4" w:rsidRPr="009A4BC4" w:rsidRDefault="009A4BC4" w:rsidP="009A4BC4">
            <w:pPr>
              <w:pStyle w:val="TableParagraph"/>
              <w:rPr>
                <w:rFonts w:ascii="Bookman Old Style" w:hAnsi="Bookman Old Style"/>
                <w:sz w:val="20"/>
                <w:szCs w:val="20"/>
              </w:rPr>
            </w:pPr>
          </w:p>
        </w:tc>
      </w:tr>
    </w:tbl>
    <w:p w14:paraId="4BECE0D2" w14:textId="5979B69F"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4D2256F0" w14:textId="77777777" w:rsidR="009A4BC4" w:rsidRPr="009A4BC4" w:rsidRDefault="009A4BC4" w:rsidP="009A4BC4">
      <w:pPr>
        <w:pStyle w:val="BodyText"/>
        <w:ind w:left="567" w:hanging="567"/>
        <w:rPr>
          <w:rFonts w:ascii="Bookman Old Style" w:hAnsi="Bookman Old Style"/>
          <w:sz w:val="20"/>
          <w:szCs w:val="20"/>
        </w:rPr>
      </w:pPr>
      <w:r w:rsidRPr="009A4BC4">
        <w:rPr>
          <w:rFonts w:ascii="Bookman Old Style" w:hAnsi="Bookman Old Style"/>
          <w:sz w:val="20"/>
          <w:szCs w:val="20"/>
        </w:rPr>
        <w:t xml:space="preserve">*) </w:t>
      </w:r>
      <w:r w:rsidRPr="009A4BC4">
        <w:rPr>
          <w:rFonts w:ascii="Bookman Old Style" w:hAnsi="Bookman Old Style"/>
          <w:sz w:val="20"/>
          <w:szCs w:val="20"/>
        </w:rPr>
        <w:tab/>
        <w:t>Pilih</w:t>
      </w:r>
      <w:r w:rsidRPr="009A4BC4">
        <w:rPr>
          <w:rFonts w:ascii="Bookman Old Style" w:hAnsi="Bookman Old Style"/>
          <w:spacing w:val="-2"/>
          <w:sz w:val="20"/>
          <w:szCs w:val="20"/>
        </w:rPr>
        <w:t xml:space="preserve"> </w:t>
      </w:r>
      <w:r w:rsidRPr="009A4BC4">
        <w:rPr>
          <w:rFonts w:ascii="Bookman Old Style" w:hAnsi="Bookman Old Style"/>
          <w:sz w:val="20"/>
          <w:szCs w:val="20"/>
        </w:rPr>
        <w:t>sesuai</w:t>
      </w:r>
      <w:r w:rsidRPr="009A4BC4">
        <w:rPr>
          <w:rFonts w:ascii="Bookman Old Style" w:hAnsi="Bookman Old Style"/>
          <w:spacing w:val="-1"/>
          <w:sz w:val="20"/>
          <w:szCs w:val="20"/>
        </w:rPr>
        <w:t xml:space="preserve"> </w:t>
      </w:r>
      <w:r w:rsidRPr="009A4BC4">
        <w:rPr>
          <w:rFonts w:ascii="Bookman Old Style" w:hAnsi="Bookman Old Style"/>
          <w:sz w:val="20"/>
          <w:szCs w:val="20"/>
        </w:rPr>
        <w:t>cakupan</w:t>
      </w:r>
      <w:r w:rsidRPr="009A4BC4">
        <w:rPr>
          <w:rFonts w:ascii="Bookman Old Style" w:hAnsi="Bookman Old Style"/>
          <w:spacing w:val="-1"/>
          <w:sz w:val="20"/>
          <w:szCs w:val="20"/>
        </w:rPr>
        <w:t xml:space="preserve"> </w:t>
      </w:r>
      <w:r w:rsidRPr="009A4BC4">
        <w:rPr>
          <w:rFonts w:ascii="Bookman Old Style" w:hAnsi="Bookman Old Style"/>
          <w:sz w:val="20"/>
          <w:szCs w:val="20"/>
        </w:rPr>
        <w:t>laporan.</w:t>
      </w:r>
    </w:p>
    <w:p w14:paraId="2D5FE5E7" w14:textId="396E20EF" w:rsidR="00EB4FBC" w:rsidRPr="009A4BC4" w:rsidRDefault="009A4BC4" w:rsidP="009A4BC4">
      <w:pPr>
        <w:tabs>
          <w:tab w:val="left" w:pos="1256"/>
        </w:tabs>
        <w:spacing w:after="0" w:line="240" w:lineRule="auto"/>
        <w:ind w:left="567" w:hanging="567"/>
        <w:rPr>
          <w:rFonts w:ascii="Bookman Old Style" w:eastAsia="Bookman Old Style" w:hAnsi="Bookman Old Style" w:cs="Bookman Old Style"/>
          <w:sz w:val="20"/>
          <w:szCs w:val="20"/>
        </w:rPr>
      </w:pPr>
      <w:r w:rsidRPr="009A4BC4">
        <w:rPr>
          <w:rFonts w:ascii="Bookman Old Style" w:hAnsi="Bookman Old Style"/>
          <w:sz w:val="20"/>
          <w:szCs w:val="20"/>
        </w:rPr>
        <w:t xml:space="preserve">**) </w:t>
      </w:r>
      <w:r w:rsidRPr="009A4BC4">
        <w:rPr>
          <w:rFonts w:ascii="Bookman Old Style" w:hAnsi="Bookman Old Style"/>
          <w:sz w:val="20"/>
          <w:szCs w:val="20"/>
        </w:rPr>
        <w:tab/>
        <w:t>Liabilitas lainnya yang tidak masuk dalam kategori di atas, antara lain liabilitas kepada pemerintah yang belum dipindahbukukan,</w:t>
      </w:r>
      <w:r w:rsidRPr="009A4BC4">
        <w:rPr>
          <w:rFonts w:ascii="Bookman Old Style" w:hAnsi="Bookman Old Style"/>
          <w:spacing w:val="-74"/>
          <w:sz w:val="20"/>
          <w:szCs w:val="20"/>
        </w:rPr>
        <w:t xml:space="preserve"> </w:t>
      </w:r>
      <w:r w:rsidRPr="009A4BC4">
        <w:rPr>
          <w:rFonts w:ascii="Bookman Old Style" w:hAnsi="Bookman Old Style"/>
          <w:sz w:val="20"/>
          <w:szCs w:val="20"/>
        </w:rPr>
        <w:t>bunga</w:t>
      </w:r>
      <w:r w:rsidRPr="009A4BC4">
        <w:rPr>
          <w:rFonts w:ascii="Bookman Old Style" w:hAnsi="Bookman Old Style"/>
          <w:spacing w:val="11"/>
          <w:sz w:val="20"/>
          <w:szCs w:val="20"/>
        </w:rPr>
        <w:t xml:space="preserve"> </w:t>
      </w:r>
      <w:r w:rsidRPr="009A4BC4">
        <w:rPr>
          <w:rFonts w:ascii="Bookman Old Style" w:hAnsi="Bookman Old Style"/>
          <w:sz w:val="20"/>
          <w:szCs w:val="20"/>
        </w:rPr>
        <w:t>simpanan</w:t>
      </w:r>
      <w:r w:rsidRPr="009A4BC4">
        <w:rPr>
          <w:rFonts w:ascii="Bookman Old Style" w:hAnsi="Bookman Old Style"/>
          <w:spacing w:val="11"/>
          <w:sz w:val="20"/>
          <w:szCs w:val="20"/>
        </w:rPr>
        <w:t xml:space="preserve"> </w:t>
      </w:r>
      <w:r w:rsidRPr="009A4BC4">
        <w:rPr>
          <w:rFonts w:ascii="Bookman Old Style" w:hAnsi="Bookman Old Style"/>
          <w:sz w:val="20"/>
          <w:szCs w:val="20"/>
        </w:rPr>
        <w:t>berjangka</w:t>
      </w:r>
      <w:r w:rsidRPr="009A4BC4">
        <w:rPr>
          <w:rFonts w:ascii="Bookman Old Style" w:hAnsi="Bookman Old Style"/>
          <w:spacing w:val="11"/>
          <w:sz w:val="20"/>
          <w:szCs w:val="20"/>
        </w:rPr>
        <w:t xml:space="preserve"> </w:t>
      </w:r>
      <w:r w:rsidRPr="009A4BC4">
        <w:rPr>
          <w:rFonts w:ascii="Bookman Old Style" w:hAnsi="Bookman Old Style"/>
          <w:sz w:val="20"/>
          <w:szCs w:val="20"/>
        </w:rPr>
        <w:t>yang</w:t>
      </w:r>
      <w:r w:rsidRPr="009A4BC4">
        <w:rPr>
          <w:rFonts w:ascii="Bookman Old Style" w:hAnsi="Bookman Old Style"/>
          <w:spacing w:val="12"/>
          <w:sz w:val="20"/>
          <w:szCs w:val="20"/>
        </w:rPr>
        <w:t xml:space="preserve"> </w:t>
      </w:r>
      <w:r w:rsidRPr="009A4BC4">
        <w:rPr>
          <w:rFonts w:ascii="Bookman Old Style" w:hAnsi="Bookman Old Style"/>
          <w:sz w:val="20"/>
          <w:szCs w:val="20"/>
        </w:rPr>
        <w:t>sudah</w:t>
      </w:r>
      <w:r w:rsidRPr="009A4BC4">
        <w:rPr>
          <w:rFonts w:ascii="Bookman Old Style" w:hAnsi="Bookman Old Style"/>
          <w:spacing w:val="11"/>
          <w:sz w:val="20"/>
          <w:szCs w:val="20"/>
        </w:rPr>
        <w:t xml:space="preserve"> </w:t>
      </w:r>
      <w:r w:rsidRPr="009A4BC4">
        <w:rPr>
          <w:rFonts w:ascii="Bookman Old Style" w:hAnsi="Bookman Old Style"/>
          <w:sz w:val="20"/>
          <w:szCs w:val="20"/>
        </w:rPr>
        <w:t>jatuh</w:t>
      </w:r>
      <w:r w:rsidRPr="009A4BC4">
        <w:rPr>
          <w:rFonts w:ascii="Bookman Old Style" w:hAnsi="Bookman Old Style"/>
          <w:spacing w:val="11"/>
          <w:sz w:val="20"/>
          <w:szCs w:val="20"/>
        </w:rPr>
        <w:t xml:space="preserve"> </w:t>
      </w:r>
      <w:r w:rsidRPr="009A4BC4">
        <w:rPr>
          <w:rFonts w:ascii="Bookman Old Style" w:hAnsi="Bookman Old Style"/>
          <w:sz w:val="20"/>
          <w:szCs w:val="20"/>
        </w:rPr>
        <w:t>tempo,</w:t>
      </w:r>
      <w:r w:rsidRPr="009A4BC4">
        <w:rPr>
          <w:rFonts w:ascii="Bookman Old Style" w:hAnsi="Bookman Old Style"/>
          <w:spacing w:val="11"/>
          <w:sz w:val="20"/>
          <w:szCs w:val="20"/>
        </w:rPr>
        <w:t xml:space="preserve"> </w:t>
      </w:r>
      <w:r w:rsidRPr="009A4BC4">
        <w:rPr>
          <w:rFonts w:ascii="Bookman Old Style" w:hAnsi="Bookman Old Style"/>
          <w:sz w:val="20"/>
          <w:szCs w:val="20"/>
        </w:rPr>
        <w:t>transfer,</w:t>
      </w:r>
      <w:r w:rsidRPr="009A4BC4">
        <w:rPr>
          <w:rFonts w:ascii="Bookman Old Style" w:hAnsi="Bookman Old Style"/>
          <w:spacing w:val="12"/>
          <w:sz w:val="20"/>
          <w:szCs w:val="20"/>
        </w:rPr>
        <w:t xml:space="preserve"> </w:t>
      </w:r>
      <w:r w:rsidRPr="009A4BC4">
        <w:rPr>
          <w:rFonts w:ascii="Bookman Old Style" w:hAnsi="Bookman Old Style"/>
          <w:sz w:val="20"/>
          <w:szCs w:val="20"/>
        </w:rPr>
        <w:t>cek</w:t>
      </w:r>
      <w:r w:rsidRPr="009A4BC4">
        <w:rPr>
          <w:rFonts w:ascii="Bookman Old Style" w:hAnsi="Bookman Old Style"/>
          <w:spacing w:val="11"/>
          <w:sz w:val="20"/>
          <w:szCs w:val="20"/>
        </w:rPr>
        <w:t xml:space="preserve"> </w:t>
      </w:r>
      <w:r w:rsidRPr="009A4BC4">
        <w:rPr>
          <w:rFonts w:ascii="Bookman Old Style" w:hAnsi="Bookman Old Style"/>
          <w:sz w:val="20"/>
          <w:szCs w:val="20"/>
        </w:rPr>
        <w:t>perjalanan</w:t>
      </w:r>
      <w:r w:rsidRPr="009A4BC4">
        <w:rPr>
          <w:rFonts w:ascii="Bookman Old Style" w:hAnsi="Bookman Old Style"/>
          <w:spacing w:val="11"/>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traveller’s</w:t>
      </w:r>
      <w:r w:rsidRPr="009A4BC4">
        <w:rPr>
          <w:rFonts w:ascii="Bookman Old Style" w:hAnsi="Bookman Old Style"/>
          <w:i/>
          <w:spacing w:val="12"/>
          <w:sz w:val="20"/>
          <w:szCs w:val="20"/>
        </w:rPr>
        <w:t xml:space="preserve"> </w:t>
      </w:r>
      <w:r w:rsidRPr="009A4BC4">
        <w:rPr>
          <w:rFonts w:ascii="Bookman Old Style" w:hAnsi="Bookman Old Style"/>
          <w:i/>
          <w:sz w:val="20"/>
          <w:szCs w:val="20"/>
        </w:rPr>
        <w:t>cheques</w:t>
      </w:r>
      <w:r w:rsidRPr="009A4BC4">
        <w:rPr>
          <w:rFonts w:ascii="Bookman Old Style" w:hAnsi="Bookman Old Style"/>
          <w:sz w:val="20"/>
          <w:szCs w:val="20"/>
        </w:rPr>
        <w:t>)</w:t>
      </w:r>
      <w:r w:rsidRPr="009A4BC4">
        <w:rPr>
          <w:rFonts w:ascii="Bookman Old Style" w:hAnsi="Bookman Old Style"/>
          <w:spacing w:val="11"/>
          <w:sz w:val="20"/>
          <w:szCs w:val="20"/>
        </w:rPr>
        <w:t xml:space="preserve"> </w:t>
      </w:r>
      <w:r w:rsidRPr="009A4BC4">
        <w:rPr>
          <w:rFonts w:ascii="Bookman Old Style" w:hAnsi="Bookman Old Style"/>
          <w:sz w:val="20"/>
          <w:szCs w:val="20"/>
        </w:rPr>
        <w:t>yang</w:t>
      </w:r>
      <w:r w:rsidRPr="009A4BC4">
        <w:rPr>
          <w:rFonts w:ascii="Bookman Old Style" w:hAnsi="Bookman Old Style"/>
          <w:spacing w:val="11"/>
          <w:sz w:val="20"/>
          <w:szCs w:val="20"/>
        </w:rPr>
        <w:t xml:space="preserve"> </w:t>
      </w:r>
      <w:r w:rsidRPr="009A4BC4">
        <w:rPr>
          <w:rFonts w:ascii="Bookman Old Style" w:hAnsi="Bookman Old Style"/>
          <w:sz w:val="20"/>
          <w:szCs w:val="20"/>
        </w:rPr>
        <w:t>telah</w:t>
      </w:r>
      <w:r w:rsidRPr="009A4BC4">
        <w:rPr>
          <w:rFonts w:ascii="Bookman Old Style" w:hAnsi="Bookman Old Style"/>
          <w:spacing w:val="12"/>
          <w:sz w:val="20"/>
          <w:szCs w:val="20"/>
        </w:rPr>
        <w:t xml:space="preserve"> </w:t>
      </w:r>
      <w:r w:rsidRPr="009A4BC4">
        <w:rPr>
          <w:rFonts w:ascii="Bookman Old Style" w:hAnsi="Bookman Old Style"/>
          <w:sz w:val="20"/>
          <w:szCs w:val="20"/>
        </w:rPr>
        <w:t>dijual,</w:t>
      </w:r>
      <w:r w:rsidRPr="009A4BC4">
        <w:rPr>
          <w:rFonts w:ascii="Bookman Old Style" w:hAnsi="Bookman Old Style"/>
          <w:spacing w:val="11"/>
          <w:sz w:val="20"/>
          <w:szCs w:val="20"/>
        </w:rPr>
        <w:t xml:space="preserve"> </w:t>
      </w:r>
      <w:r w:rsidRPr="009A4BC4">
        <w:rPr>
          <w:rFonts w:ascii="Bookman Old Style" w:hAnsi="Bookman Old Style"/>
          <w:sz w:val="20"/>
          <w:szCs w:val="20"/>
        </w:rPr>
        <w:t>beban</w:t>
      </w:r>
      <w:r w:rsidRPr="009A4BC4">
        <w:rPr>
          <w:rFonts w:ascii="Bookman Old Style" w:hAnsi="Bookman Old Style"/>
          <w:spacing w:val="11"/>
          <w:sz w:val="20"/>
          <w:szCs w:val="20"/>
        </w:rPr>
        <w:t xml:space="preserve"> </w:t>
      </w:r>
      <w:r w:rsidRPr="009A4BC4">
        <w:rPr>
          <w:rFonts w:ascii="Bookman Old Style" w:hAnsi="Bookman Old Style"/>
          <w:sz w:val="20"/>
          <w:szCs w:val="20"/>
        </w:rPr>
        <w:t>bunga</w:t>
      </w:r>
      <w:r w:rsidRPr="009A4BC4">
        <w:rPr>
          <w:rFonts w:ascii="Bookman Old Style" w:hAnsi="Bookman Old Style"/>
          <w:sz w:val="20"/>
          <w:szCs w:val="20"/>
          <w:lang w:val="en-US"/>
        </w:rPr>
        <w:t xml:space="preserve"> </w:t>
      </w:r>
      <w:r w:rsidRPr="009A4BC4">
        <w:rPr>
          <w:rFonts w:ascii="Bookman Old Style" w:hAnsi="Bookman Old Style"/>
          <w:sz w:val="20"/>
          <w:szCs w:val="20"/>
        </w:rPr>
        <w:t>yang masih harus dibayar, dividen yang belum dibayar, taksiran pajak penghasilan, pendapatan yang ditangguhkan, penyisihan</w:t>
      </w:r>
      <w:r w:rsidRPr="009A4BC4">
        <w:rPr>
          <w:rFonts w:ascii="Bookman Old Style" w:hAnsi="Bookman Old Style"/>
          <w:spacing w:val="1"/>
          <w:sz w:val="20"/>
          <w:szCs w:val="20"/>
        </w:rPr>
        <w:t xml:space="preserve"> </w:t>
      </w:r>
      <w:r w:rsidRPr="009A4BC4">
        <w:rPr>
          <w:rFonts w:ascii="Bookman Old Style" w:hAnsi="Bookman Old Style"/>
          <w:sz w:val="20"/>
          <w:szCs w:val="20"/>
        </w:rPr>
        <w:t>kerugian untuk risiko operasional, rekening tunda (</w:t>
      </w:r>
      <w:r w:rsidRPr="009A4BC4">
        <w:rPr>
          <w:rFonts w:ascii="Bookman Old Style" w:hAnsi="Bookman Old Style"/>
          <w:i/>
          <w:sz w:val="20"/>
          <w:szCs w:val="20"/>
        </w:rPr>
        <w:t>suspense</w:t>
      </w:r>
      <w:r w:rsidRPr="009A4BC4">
        <w:rPr>
          <w:rFonts w:ascii="Bookman Old Style" w:hAnsi="Bookman Old Style"/>
          <w:i/>
          <w:spacing w:val="1"/>
          <w:sz w:val="20"/>
          <w:szCs w:val="20"/>
        </w:rPr>
        <w:t xml:space="preserve"> </w:t>
      </w:r>
      <w:r w:rsidRPr="009A4BC4">
        <w:rPr>
          <w:rFonts w:ascii="Bookman Old Style" w:hAnsi="Bookman Old Style"/>
          <w:i/>
          <w:sz w:val="20"/>
          <w:szCs w:val="20"/>
        </w:rPr>
        <w:t>account)</w:t>
      </w:r>
      <w:r w:rsidRPr="009A4BC4">
        <w:rPr>
          <w:rFonts w:ascii="Bookman Old Style" w:hAnsi="Bookman Old Style"/>
          <w:sz w:val="20"/>
          <w:szCs w:val="20"/>
        </w:rPr>
        <w:t>, liabilitas pajak penghasilan, liabilitas imbalan kerja,</w:t>
      </w:r>
      <w:r w:rsidRPr="009A4BC4">
        <w:rPr>
          <w:rFonts w:ascii="Bookman Old Style" w:hAnsi="Bookman Old Style"/>
          <w:spacing w:val="1"/>
          <w:sz w:val="20"/>
          <w:szCs w:val="20"/>
        </w:rPr>
        <w:t xml:space="preserve"> </w:t>
      </w:r>
      <w:r w:rsidRPr="009A4BC4">
        <w:rPr>
          <w:rFonts w:ascii="Bookman Old Style" w:hAnsi="Bookman Old Style"/>
          <w:i/>
          <w:sz w:val="20"/>
          <w:szCs w:val="20"/>
        </w:rPr>
        <w:t>electronic</w:t>
      </w:r>
      <w:r w:rsidRPr="009A4BC4">
        <w:rPr>
          <w:rFonts w:ascii="Bookman Old Style" w:hAnsi="Bookman Old Style"/>
          <w:i/>
          <w:spacing w:val="4"/>
          <w:sz w:val="20"/>
          <w:szCs w:val="20"/>
        </w:rPr>
        <w:t xml:space="preserve"> </w:t>
      </w:r>
      <w:r w:rsidRPr="009A4BC4">
        <w:rPr>
          <w:rFonts w:ascii="Bookman Old Style" w:hAnsi="Bookman Old Style"/>
          <w:i/>
          <w:sz w:val="20"/>
          <w:szCs w:val="20"/>
        </w:rPr>
        <w:t>money</w:t>
      </w:r>
      <w:r w:rsidRPr="009A4BC4">
        <w:rPr>
          <w:rFonts w:ascii="Bookman Old Style" w:hAnsi="Bookman Old Style"/>
          <w:sz w:val="20"/>
          <w:szCs w:val="20"/>
        </w:rPr>
        <w:t xml:space="preserve">, </w:t>
      </w:r>
      <w:r w:rsidRPr="009A4BC4">
        <w:rPr>
          <w:rFonts w:ascii="Bookman Old Style" w:hAnsi="Bookman Old Style"/>
          <w:i/>
          <w:sz w:val="20"/>
          <w:szCs w:val="20"/>
        </w:rPr>
        <w:t xml:space="preserve">goodwill </w:t>
      </w:r>
      <w:r w:rsidRPr="009A4BC4">
        <w:rPr>
          <w:rFonts w:ascii="Bookman Old Style" w:hAnsi="Bookman Old Style"/>
          <w:sz w:val="20"/>
          <w:szCs w:val="20"/>
        </w:rPr>
        <w:t>negatif, dan liabilitas diestimasi.</w:t>
      </w:r>
    </w:p>
    <w:p w14:paraId="4BCD4A69" w14:textId="1DAC7CC8"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7D3BC7F0" w14:textId="6C105958"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0B9B52DC" w14:textId="60C67E63" w:rsidR="009A4BC4" w:rsidRDefault="009A4BC4" w:rsidP="006A283D">
      <w:pPr>
        <w:tabs>
          <w:tab w:val="left" w:pos="1256"/>
        </w:tabs>
        <w:spacing w:after="0" w:line="240" w:lineRule="auto"/>
        <w:rPr>
          <w:rFonts w:ascii="Bookman Old Style" w:eastAsia="Bookman Old Style" w:hAnsi="Bookman Old Style" w:cs="Bookman Old Style"/>
          <w:sz w:val="20"/>
          <w:szCs w:val="20"/>
        </w:rPr>
      </w:pPr>
    </w:p>
    <w:p w14:paraId="39EB8C35" w14:textId="77777777" w:rsidR="009A4BC4" w:rsidRDefault="009A4BC4" w:rsidP="006A283D">
      <w:pPr>
        <w:tabs>
          <w:tab w:val="left" w:pos="1256"/>
        </w:tabs>
        <w:spacing w:after="0" w:line="240" w:lineRule="auto"/>
        <w:rPr>
          <w:rFonts w:ascii="Bookman Old Style" w:eastAsia="Bookman Old Style" w:hAnsi="Bookman Old Style" w:cs="Bookman Old Style"/>
          <w:sz w:val="20"/>
          <w:szCs w:val="20"/>
        </w:rPr>
      </w:pPr>
    </w:p>
    <w:p w14:paraId="5C63BD6A" w14:textId="77777777" w:rsidR="009A4BC4" w:rsidRPr="008262B9" w:rsidRDefault="009A4BC4" w:rsidP="009A4BC4">
      <w:pPr>
        <w:pStyle w:val="BodyText"/>
        <w:spacing w:before="100"/>
        <w:ind w:left="488"/>
        <w:rPr>
          <w:rFonts w:ascii="Bookman Old Style" w:hAnsi="Bookman Old Style"/>
          <w:sz w:val="20"/>
          <w:szCs w:val="20"/>
        </w:rPr>
      </w:pPr>
      <w:r w:rsidRPr="008262B9">
        <w:rPr>
          <w:rFonts w:ascii="Bookman Old Style" w:hAnsi="Bookman Old Style"/>
          <w:noProof/>
          <w:sz w:val="20"/>
          <w:szCs w:val="20"/>
        </w:rPr>
        <mc:AlternateContent>
          <mc:Choice Requires="wpg">
            <w:drawing>
              <wp:anchor distT="0" distB="0" distL="114300" distR="114300" simplePos="0" relativeHeight="251662336" behindDoc="1" locked="0" layoutInCell="1" allowOverlap="1" wp14:anchorId="024D8180" wp14:editId="777D49A7">
                <wp:simplePos x="0" y="0"/>
                <wp:positionH relativeFrom="page">
                  <wp:posOffset>956930</wp:posOffset>
                </wp:positionH>
                <wp:positionV relativeFrom="paragraph">
                  <wp:posOffset>9126</wp:posOffset>
                </wp:positionV>
                <wp:extent cx="10664456" cy="2806262"/>
                <wp:effectExtent l="0" t="0" r="22860" b="13335"/>
                <wp:wrapNone/>
                <wp:docPr id="1843283275"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4456" cy="2806262"/>
                          <a:chOff x="1509" y="14"/>
                          <a:chExt cx="16006" cy="4720"/>
                        </a:xfrm>
                      </wpg:grpSpPr>
                      <wps:wsp>
                        <wps:cNvPr id="1064522089" name="docshape27"/>
                        <wps:cNvSpPr>
                          <a:spLocks noChangeArrowheads="1"/>
                        </wps:cNvSpPr>
                        <wps:spPr bwMode="auto">
                          <a:xfrm>
                            <a:off x="1517" y="21"/>
                            <a:ext cx="15991" cy="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15403" name="docshape28"/>
                        <wps:cNvSpPr>
                          <a:spLocks noChangeArrowheads="1"/>
                        </wps:cNvSpPr>
                        <wps:spPr bwMode="auto">
                          <a:xfrm>
                            <a:off x="1517" y="21"/>
                            <a:ext cx="15991" cy="4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6E7C6" id="docshapegroup26" o:spid="_x0000_s1026" style="position:absolute;margin-left:75.35pt;margin-top:.7pt;width:839.7pt;height:220.95pt;z-index:-251654144;mso-position-horizontal-relative:page" coordorigin="1509,14" coordsize="1600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">
                <v:rect id="docshape27" o:spid="_x0000_s1027" style="position:absolute;left:1517;top:21;width:1599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" stroked="f"/>
                <v:rect id="docshape28" o:spid="_x0000_s1028" style="position:absolute;left:1517;top:21;width:1599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" filled="f"/>
                <w10:wrap anchorx="page"/>
              </v:group>
            </w:pict>
          </mc:Fallback>
        </mc:AlternateContent>
      </w:r>
      <w:r w:rsidRPr="008262B9">
        <w:rPr>
          <w:rFonts w:ascii="Bookman Old Style" w:hAnsi="Bookman Old Style"/>
          <w:sz w:val="20"/>
          <w:szCs w:val="20"/>
        </w:rPr>
        <w:t>Pedoman</w:t>
      </w:r>
      <w:r w:rsidRPr="008262B9">
        <w:rPr>
          <w:rFonts w:ascii="Bookman Old Style" w:hAnsi="Bookman Old Style"/>
          <w:spacing w:val="-6"/>
          <w:sz w:val="20"/>
          <w:szCs w:val="20"/>
        </w:rPr>
        <w:t xml:space="preserve"> </w:t>
      </w:r>
      <w:r w:rsidRPr="008262B9">
        <w:rPr>
          <w:rFonts w:ascii="Bookman Old Style" w:hAnsi="Bookman Old Style"/>
          <w:sz w:val="20"/>
          <w:szCs w:val="20"/>
        </w:rPr>
        <w:t>Pengisian</w:t>
      </w:r>
      <w:r w:rsidRPr="008262B9">
        <w:rPr>
          <w:rFonts w:ascii="Bookman Old Style" w:hAnsi="Bookman Old Style"/>
          <w:spacing w:val="-4"/>
          <w:sz w:val="20"/>
          <w:szCs w:val="20"/>
        </w:rPr>
        <w:t xml:space="preserve"> </w:t>
      </w:r>
      <w:r w:rsidRPr="008262B9">
        <w:rPr>
          <w:rFonts w:ascii="Bookman Old Style" w:hAnsi="Bookman Old Style"/>
          <w:sz w:val="20"/>
          <w:szCs w:val="20"/>
        </w:rPr>
        <w:t>Kertas</w:t>
      </w:r>
      <w:r w:rsidRPr="008262B9">
        <w:rPr>
          <w:rFonts w:ascii="Bookman Old Style" w:hAnsi="Bookman Old Style"/>
          <w:spacing w:val="-6"/>
          <w:sz w:val="20"/>
          <w:szCs w:val="20"/>
        </w:rPr>
        <w:t xml:space="preserve"> </w:t>
      </w:r>
      <w:r w:rsidRPr="008262B9">
        <w:rPr>
          <w:rFonts w:ascii="Bookman Old Style" w:hAnsi="Bookman Old Style"/>
          <w:sz w:val="20"/>
          <w:szCs w:val="20"/>
        </w:rPr>
        <w:t>Kerja</w:t>
      </w:r>
      <w:r w:rsidRPr="008262B9">
        <w:rPr>
          <w:rFonts w:ascii="Bookman Old Style" w:hAnsi="Bookman Old Style"/>
          <w:spacing w:val="-4"/>
          <w:sz w:val="20"/>
          <w:szCs w:val="20"/>
        </w:rPr>
        <w:t xml:space="preserve"> </w:t>
      </w:r>
      <w:r w:rsidRPr="008262B9">
        <w:rPr>
          <w:rFonts w:ascii="Bookman Old Style" w:hAnsi="Bookman Old Style"/>
          <w:sz w:val="20"/>
          <w:szCs w:val="20"/>
        </w:rPr>
        <w:t>NSFR:</w:t>
      </w:r>
    </w:p>
    <w:p w14:paraId="79667800" w14:textId="77777777" w:rsidR="009A4BC4" w:rsidRPr="008262B9" w:rsidRDefault="009A4BC4" w:rsidP="00A32F86">
      <w:pPr>
        <w:pStyle w:val="ListParagraph"/>
        <w:widowControl w:val="0"/>
        <w:numPr>
          <w:ilvl w:val="1"/>
          <w:numId w:val="215"/>
        </w:numPr>
        <w:tabs>
          <w:tab w:val="left" w:pos="1209"/>
        </w:tabs>
        <w:autoSpaceDE w:val="0"/>
        <w:autoSpaceDN w:val="0"/>
        <w:spacing w:before="2" w:after="0" w:line="281" w:lineRule="exact"/>
        <w:ind w:hanging="361"/>
        <w:contextualSpacing w:val="0"/>
        <w:jc w:val="both"/>
        <w:rPr>
          <w:rFonts w:ascii="Bookman Old Style" w:hAnsi="Bookman Old Style"/>
          <w:sz w:val="20"/>
          <w:szCs w:val="20"/>
        </w:rPr>
      </w:pPr>
      <w:r w:rsidRPr="008262B9">
        <w:rPr>
          <w:rFonts w:ascii="Bookman Old Style" w:hAnsi="Bookman Old Style"/>
          <w:sz w:val="20"/>
          <w:szCs w:val="20"/>
        </w:rPr>
        <w:t>Format</w:t>
      </w:r>
      <w:r w:rsidRPr="008262B9">
        <w:rPr>
          <w:rFonts w:ascii="Bookman Old Style" w:hAnsi="Bookman Old Style"/>
          <w:spacing w:val="-4"/>
          <w:sz w:val="20"/>
          <w:szCs w:val="20"/>
        </w:rPr>
        <w:t xml:space="preserve"> </w:t>
      </w:r>
      <w:r w:rsidRPr="008262B9">
        <w:rPr>
          <w:rFonts w:ascii="Bookman Old Style" w:hAnsi="Bookman Old Style"/>
          <w:sz w:val="20"/>
          <w:szCs w:val="20"/>
        </w:rPr>
        <w:t>Kertas</w:t>
      </w:r>
      <w:r w:rsidRPr="008262B9">
        <w:rPr>
          <w:rFonts w:ascii="Bookman Old Style" w:hAnsi="Bookman Old Style"/>
          <w:spacing w:val="-4"/>
          <w:sz w:val="20"/>
          <w:szCs w:val="20"/>
        </w:rPr>
        <w:t xml:space="preserve"> </w:t>
      </w:r>
      <w:r w:rsidRPr="008262B9">
        <w:rPr>
          <w:rFonts w:ascii="Bookman Old Style" w:hAnsi="Bookman Old Style"/>
          <w:sz w:val="20"/>
          <w:szCs w:val="20"/>
        </w:rPr>
        <w:t>Kerja</w:t>
      </w:r>
      <w:r w:rsidRPr="008262B9">
        <w:rPr>
          <w:rFonts w:ascii="Bookman Old Style" w:hAnsi="Bookman Old Style"/>
          <w:spacing w:val="-3"/>
          <w:sz w:val="20"/>
          <w:szCs w:val="20"/>
        </w:rPr>
        <w:t xml:space="preserve"> </w:t>
      </w:r>
      <w:r w:rsidRPr="008262B9">
        <w:rPr>
          <w:rFonts w:ascii="Bookman Old Style" w:hAnsi="Bookman Old Style"/>
          <w:sz w:val="20"/>
          <w:szCs w:val="20"/>
        </w:rPr>
        <w:t>berlaku</w:t>
      </w:r>
      <w:r w:rsidRPr="008262B9">
        <w:rPr>
          <w:rFonts w:ascii="Bookman Old Style" w:hAnsi="Bookman Old Style"/>
          <w:spacing w:val="-5"/>
          <w:sz w:val="20"/>
          <w:szCs w:val="20"/>
        </w:rPr>
        <w:t xml:space="preserve"> </w:t>
      </w:r>
      <w:r w:rsidRPr="008262B9">
        <w:rPr>
          <w:rFonts w:ascii="Bookman Old Style" w:hAnsi="Bookman Old Style"/>
          <w:sz w:val="20"/>
          <w:szCs w:val="20"/>
        </w:rPr>
        <w:t>bagi</w:t>
      </w:r>
      <w:r w:rsidRPr="008262B9">
        <w:rPr>
          <w:rFonts w:ascii="Bookman Old Style" w:hAnsi="Bookman Old Style"/>
          <w:spacing w:val="-4"/>
          <w:sz w:val="20"/>
          <w:szCs w:val="20"/>
        </w:rPr>
        <w:t xml:space="preserve"> </w:t>
      </w:r>
      <w:r w:rsidRPr="008262B9">
        <w:rPr>
          <w:rFonts w:ascii="Bookman Old Style" w:hAnsi="Bookman Old Style"/>
          <w:sz w:val="20"/>
          <w:szCs w:val="20"/>
        </w:rPr>
        <w:t>seluruh</w:t>
      </w:r>
      <w:r w:rsidRPr="008262B9">
        <w:rPr>
          <w:rFonts w:ascii="Bookman Old Style" w:hAnsi="Bookman Old Style"/>
          <w:spacing w:val="-3"/>
          <w:sz w:val="20"/>
          <w:szCs w:val="20"/>
        </w:rPr>
        <w:t xml:space="preserve"> </w:t>
      </w:r>
      <w:r w:rsidRPr="008262B9">
        <w:rPr>
          <w:rFonts w:ascii="Bookman Old Style" w:hAnsi="Bookman Old Style"/>
          <w:sz w:val="20"/>
          <w:szCs w:val="20"/>
        </w:rPr>
        <w:t>Bank.</w:t>
      </w:r>
    </w:p>
    <w:p w14:paraId="6B1698CD" w14:textId="77777777" w:rsidR="009A4BC4" w:rsidRPr="008262B9" w:rsidRDefault="009A4BC4" w:rsidP="00A32F86">
      <w:pPr>
        <w:pStyle w:val="ListParagraph"/>
        <w:widowControl w:val="0"/>
        <w:numPr>
          <w:ilvl w:val="1"/>
          <w:numId w:val="215"/>
        </w:numPr>
        <w:tabs>
          <w:tab w:val="left" w:pos="1209"/>
        </w:tabs>
        <w:autoSpaceDE w:val="0"/>
        <w:autoSpaceDN w:val="0"/>
        <w:spacing w:after="0" w:line="240" w:lineRule="auto"/>
        <w:ind w:right="617"/>
        <w:contextualSpacing w:val="0"/>
        <w:jc w:val="both"/>
        <w:rPr>
          <w:rFonts w:ascii="Bookman Old Style" w:hAnsi="Bookman Old Style"/>
          <w:sz w:val="20"/>
          <w:szCs w:val="20"/>
        </w:rPr>
      </w:pPr>
      <w:r w:rsidRPr="008262B9">
        <w:rPr>
          <w:rFonts w:ascii="Bookman Old Style" w:hAnsi="Bookman Old Style"/>
          <w:sz w:val="20"/>
          <w:szCs w:val="20"/>
        </w:rPr>
        <w:t>Komponen</w:t>
      </w:r>
      <w:r w:rsidRPr="008262B9">
        <w:rPr>
          <w:rFonts w:ascii="Bookman Old Style" w:hAnsi="Bookman Old Style"/>
          <w:spacing w:val="1"/>
          <w:sz w:val="20"/>
          <w:szCs w:val="20"/>
        </w:rPr>
        <w:t xml:space="preserve"> </w:t>
      </w:r>
      <w:r w:rsidRPr="008262B9">
        <w:rPr>
          <w:rFonts w:ascii="Bookman Old Style" w:hAnsi="Bookman Old Style"/>
          <w:sz w:val="20"/>
          <w:szCs w:val="20"/>
        </w:rPr>
        <w:t>yang</w:t>
      </w:r>
      <w:r w:rsidRPr="008262B9">
        <w:rPr>
          <w:rFonts w:ascii="Bookman Old Style" w:hAnsi="Bookman Old Style"/>
          <w:spacing w:val="1"/>
          <w:sz w:val="20"/>
          <w:szCs w:val="20"/>
        </w:rPr>
        <w:t xml:space="preserve"> </w:t>
      </w:r>
      <w:r w:rsidRPr="008262B9">
        <w:rPr>
          <w:rFonts w:ascii="Bookman Old Style" w:hAnsi="Bookman Old Style"/>
          <w:sz w:val="20"/>
          <w:szCs w:val="20"/>
        </w:rPr>
        <w:t>dilaporkan</w:t>
      </w:r>
      <w:r w:rsidRPr="008262B9">
        <w:rPr>
          <w:rFonts w:ascii="Bookman Old Style" w:hAnsi="Bookman Old Style"/>
          <w:spacing w:val="1"/>
          <w:sz w:val="20"/>
          <w:szCs w:val="20"/>
        </w:rPr>
        <w:t xml:space="preserve"> </w:t>
      </w:r>
      <w:r w:rsidRPr="008262B9">
        <w:rPr>
          <w:rFonts w:ascii="Bookman Old Style" w:hAnsi="Bookman Old Style"/>
          <w:sz w:val="20"/>
          <w:szCs w:val="20"/>
        </w:rPr>
        <w:t>dalam</w:t>
      </w:r>
      <w:r w:rsidRPr="008262B9">
        <w:rPr>
          <w:rFonts w:ascii="Bookman Old Style" w:hAnsi="Bookman Old Style"/>
          <w:spacing w:val="1"/>
          <w:sz w:val="20"/>
          <w:szCs w:val="20"/>
        </w:rPr>
        <w:t xml:space="preserve"> </w:t>
      </w:r>
      <w:r w:rsidRPr="008262B9">
        <w:rPr>
          <w:rFonts w:ascii="Bookman Old Style" w:hAnsi="Bookman Old Style"/>
          <w:sz w:val="20"/>
          <w:szCs w:val="20"/>
        </w:rPr>
        <w:t>kategori</w:t>
      </w:r>
      <w:r w:rsidRPr="008262B9">
        <w:rPr>
          <w:rFonts w:ascii="Bookman Old Style" w:hAnsi="Bookman Old Style"/>
          <w:spacing w:val="1"/>
          <w:sz w:val="20"/>
          <w:szCs w:val="20"/>
        </w:rPr>
        <w:t xml:space="preserve"> </w:t>
      </w:r>
      <w:r w:rsidRPr="008262B9">
        <w:rPr>
          <w:rFonts w:ascii="Bookman Old Style" w:hAnsi="Bookman Old Style"/>
          <w:sz w:val="20"/>
          <w:szCs w:val="20"/>
        </w:rPr>
        <w:t>tanpa</w:t>
      </w:r>
      <w:r w:rsidRPr="008262B9">
        <w:rPr>
          <w:rFonts w:ascii="Bookman Old Style" w:hAnsi="Bookman Old Style"/>
          <w:spacing w:val="1"/>
          <w:sz w:val="20"/>
          <w:szCs w:val="20"/>
        </w:rPr>
        <w:t xml:space="preserve"> </w:t>
      </w:r>
      <w:r w:rsidRPr="008262B9">
        <w:rPr>
          <w:rFonts w:ascii="Bookman Old Style" w:hAnsi="Bookman Old Style"/>
          <w:sz w:val="20"/>
          <w:szCs w:val="20"/>
        </w:rPr>
        <w:t>jangka</w:t>
      </w:r>
      <w:r w:rsidRPr="008262B9">
        <w:rPr>
          <w:rFonts w:ascii="Bookman Old Style" w:hAnsi="Bookman Old Style"/>
          <w:spacing w:val="1"/>
          <w:sz w:val="20"/>
          <w:szCs w:val="20"/>
        </w:rPr>
        <w:t xml:space="preserve"> </w:t>
      </w:r>
      <w:r w:rsidRPr="008262B9">
        <w:rPr>
          <w:rFonts w:ascii="Bookman Old Style" w:hAnsi="Bookman Old Style"/>
          <w:sz w:val="20"/>
          <w:szCs w:val="20"/>
        </w:rPr>
        <w:t>waktu</w:t>
      </w:r>
      <w:r w:rsidRPr="008262B9">
        <w:rPr>
          <w:rFonts w:ascii="Bookman Old Style" w:hAnsi="Bookman Old Style"/>
          <w:spacing w:val="1"/>
          <w:sz w:val="20"/>
          <w:szCs w:val="20"/>
        </w:rPr>
        <w:t xml:space="preserve"> </w:t>
      </w:r>
      <w:r w:rsidRPr="008262B9">
        <w:rPr>
          <w:rFonts w:ascii="Bookman Old Style" w:hAnsi="Bookman Old Style"/>
          <w:sz w:val="20"/>
          <w:szCs w:val="20"/>
        </w:rPr>
        <w:t>adalah</w:t>
      </w:r>
      <w:r w:rsidRPr="008262B9">
        <w:rPr>
          <w:rFonts w:ascii="Bookman Old Style" w:hAnsi="Bookman Old Style"/>
          <w:spacing w:val="1"/>
          <w:sz w:val="20"/>
          <w:szCs w:val="20"/>
        </w:rPr>
        <w:t xml:space="preserve"> </w:t>
      </w:r>
      <w:r w:rsidRPr="008262B9">
        <w:rPr>
          <w:rFonts w:ascii="Bookman Old Style" w:hAnsi="Bookman Old Style"/>
          <w:sz w:val="20"/>
          <w:szCs w:val="20"/>
        </w:rPr>
        <w:t>komponen</w:t>
      </w:r>
      <w:r w:rsidRPr="008262B9">
        <w:rPr>
          <w:rFonts w:ascii="Bookman Old Style" w:hAnsi="Bookman Old Style"/>
          <w:spacing w:val="1"/>
          <w:sz w:val="20"/>
          <w:szCs w:val="20"/>
        </w:rPr>
        <w:t xml:space="preserve"> </w:t>
      </w:r>
      <w:r w:rsidRPr="008262B9">
        <w:rPr>
          <w:rFonts w:ascii="Bookman Old Style" w:hAnsi="Bookman Old Style"/>
          <w:sz w:val="20"/>
          <w:szCs w:val="20"/>
        </w:rPr>
        <w:t>yang</w:t>
      </w:r>
      <w:r w:rsidRPr="008262B9">
        <w:rPr>
          <w:rFonts w:ascii="Bookman Old Style" w:hAnsi="Bookman Old Style"/>
          <w:spacing w:val="1"/>
          <w:sz w:val="20"/>
          <w:szCs w:val="20"/>
        </w:rPr>
        <w:t xml:space="preserve"> </w:t>
      </w:r>
      <w:r w:rsidRPr="008262B9">
        <w:rPr>
          <w:rFonts w:ascii="Bookman Old Style" w:hAnsi="Bookman Old Style"/>
          <w:sz w:val="20"/>
          <w:szCs w:val="20"/>
        </w:rPr>
        <w:t>tidak</w:t>
      </w:r>
      <w:r w:rsidRPr="008262B9">
        <w:rPr>
          <w:rFonts w:ascii="Bookman Old Style" w:hAnsi="Bookman Old Style"/>
          <w:spacing w:val="1"/>
          <w:sz w:val="20"/>
          <w:szCs w:val="20"/>
        </w:rPr>
        <w:t xml:space="preserve"> </w:t>
      </w:r>
      <w:r w:rsidRPr="008262B9">
        <w:rPr>
          <w:rFonts w:ascii="Bookman Old Style" w:hAnsi="Bookman Old Style"/>
          <w:sz w:val="20"/>
          <w:szCs w:val="20"/>
        </w:rPr>
        <w:t>memiliki</w:t>
      </w:r>
      <w:r w:rsidRPr="008262B9">
        <w:rPr>
          <w:rFonts w:ascii="Bookman Old Style" w:hAnsi="Bookman Old Style"/>
          <w:spacing w:val="1"/>
          <w:sz w:val="20"/>
          <w:szCs w:val="20"/>
        </w:rPr>
        <w:t xml:space="preserve"> </w:t>
      </w:r>
      <w:r w:rsidRPr="008262B9">
        <w:rPr>
          <w:rFonts w:ascii="Bookman Old Style" w:hAnsi="Bookman Old Style"/>
          <w:sz w:val="20"/>
          <w:szCs w:val="20"/>
        </w:rPr>
        <w:t>jangka</w:t>
      </w:r>
      <w:r w:rsidRPr="008262B9">
        <w:rPr>
          <w:rFonts w:ascii="Bookman Old Style" w:hAnsi="Bookman Old Style"/>
          <w:spacing w:val="1"/>
          <w:sz w:val="20"/>
          <w:szCs w:val="20"/>
        </w:rPr>
        <w:t xml:space="preserve"> </w:t>
      </w:r>
      <w:r w:rsidRPr="008262B9">
        <w:rPr>
          <w:rFonts w:ascii="Bookman Old Style" w:hAnsi="Bookman Old Style"/>
          <w:sz w:val="20"/>
          <w:szCs w:val="20"/>
        </w:rPr>
        <w:t>waktu</w:t>
      </w:r>
      <w:r w:rsidRPr="008262B9">
        <w:rPr>
          <w:rFonts w:ascii="Bookman Old Style" w:hAnsi="Bookman Old Style"/>
          <w:spacing w:val="1"/>
          <w:sz w:val="20"/>
          <w:szCs w:val="20"/>
        </w:rPr>
        <w:t xml:space="preserve"> </w:t>
      </w:r>
      <w:r w:rsidRPr="008262B9">
        <w:rPr>
          <w:rFonts w:ascii="Bookman Old Style" w:hAnsi="Bookman Old Style"/>
          <w:sz w:val="20"/>
          <w:szCs w:val="20"/>
        </w:rPr>
        <w:t>kontraktual, antara lain instrumen modal yang bersifat permanen (</w:t>
      </w:r>
      <w:r w:rsidRPr="008262B9">
        <w:rPr>
          <w:rFonts w:ascii="Bookman Old Style" w:hAnsi="Bookman Old Style"/>
          <w:i/>
          <w:sz w:val="20"/>
          <w:szCs w:val="20"/>
        </w:rPr>
        <w:t>perpetual</w:t>
      </w:r>
      <w:r w:rsidRPr="008262B9">
        <w:rPr>
          <w:rFonts w:ascii="Bookman Old Style" w:hAnsi="Bookman Old Style"/>
          <w:sz w:val="20"/>
          <w:szCs w:val="20"/>
        </w:rPr>
        <w:t xml:space="preserve">), </w:t>
      </w:r>
      <w:r w:rsidRPr="008262B9">
        <w:rPr>
          <w:rFonts w:ascii="Bookman Old Style" w:hAnsi="Bookman Old Style"/>
          <w:i/>
          <w:sz w:val="20"/>
          <w:szCs w:val="20"/>
        </w:rPr>
        <w:t>open maturity positions</w:t>
      </w:r>
      <w:r w:rsidRPr="008262B9">
        <w:rPr>
          <w:rFonts w:ascii="Bookman Old Style" w:hAnsi="Bookman Old Style"/>
          <w:sz w:val="20"/>
          <w:szCs w:val="20"/>
        </w:rPr>
        <w:t>, giro,</w:t>
      </w:r>
      <w:r w:rsidRPr="008262B9">
        <w:rPr>
          <w:rFonts w:ascii="Bookman Old Style" w:hAnsi="Bookman Old Style"/>
          <w:spacing w:val="1"/>
          <w:sz w:val="20"/>
          <w:szCs w:val="20"/>
        </w:rPr>
        <w:t xml:space="preserve"> </w:t>
      </w:r>
      <w:r w:rsidRPr="008262B9">
        <w:rPr>
          <w:rFonts w:ascii="Bookman Old Style" w:hAnsi="Bookman Old Style"/>
          <w:sz w:val="20"/>
          <w:szCs w:val="20"/>
        </w:rPr>
        <w:t>ekuitas</w:t>
      </w:r>
      <w:r w:rsidRPr="008262B9">
        <w:rPr>
          <w:rFonts w:ascii="Bookman Old Style" w:hAnsi="Bookman Old Style"/>
          <w:spacing w:val="-2"/>
          <w:sz w:val="20"/>
          <w:szCs w:val="20"/>
        </w:rPr>
        <w:t xml:space="preserve"> </w:t>
      </w:r>
      <w:r w:rsidRPr="008262B9">
        <w:rPr>
          <w:rFonts w:ascii="Bookman Old Style" w:hAnsi="Bookman Old Style"/>
          <w:sz w:val="20"/>
          <w:szCs w:val="20"/>
        </w:rPr>
        <w:t>yang tidak masuk</w:t>
      </w:r>
      <w:r w:rsidRPr="008262B9">
        <w:rPr>
          <w:rFonts w:ascii="Bookman Old Style" w:hAnsi="Bookman Old Style"/>
          <w:spacing w:val="-1"/>
          <w:sz w:val="20"/>
          <w:szCs w:val="20"/>
        </w:rPr>
        <w:t xml:space="preserve"> </w:t>
      </w:r>
      <w:r w:rsidRPr="008262B9">
        <w:rPr>
          <w:rFonts w:ascii="Bookman Old Style" w:hAnsi="Bookman Old Style"/>
          <w:sz w:val="20"/>
          <w:szCs w:val="20"/>
        </w:rPr>
        <w:t>dalam</w:t>
      </w:r>
      <w:r w:rsidRPr="008262B9">
        <w:rPr>
          <w:rFonts w:ascii="Bookman Old Style" w:hAnsi="Bookman Old Style"/>
          <w:spacing w:val="-1"/>
          <w:sz w:val="20"/>
          <w:szCs w:val="20"/>
        </w:rPr>
        <w:t xml:space="preserve"> </w:t>
      </w:r>
      <w:r w:rsidRPr="008262B9">
        <w:rPr>
          <w:rFonts w:ascii="Bookman Old Style" w:hAnsi="Bookman Old Style"/>
          <w:sz w:val="20"/>
          <w:szCs w:val="20"/>
        </w:rPr>
        <w:t>kategori</w:t>
      </w:r>
      <w:r w:rsidRPr="008262B9">
        <w:rPr>
          <w:rFonts w:ascii="Bookman Old Style" w:hAnsi="Bookman Old Style"/>
          <w:spacing w:val="1"/>
          <w:sz w:val="20"/>
          <w:szCs w:val="20"/>
        </w:rPr>
        <w:t xml:space="preserve"> </w:t>
      </w:r>
      <w:r w:rsidRPr="008262B9">
        <w:rPr>
          <w:rFonts w:ascii="Bookman Old Style" w:hAnsi="Bookman Old Style"/>
          <w:sz w:val="20"/>
          <w:szCs w:val="20"/>
        </w:rPr>
        <w:t>HQLA dan</w:t>
      </w:r>
      <w:r w:rsidRPr="008262B9">
        <w:rPr>
          <w:rFonts w:ascii="Bookman Old Style" w:hAnsi="Bookman Old Style"/>
          <w:spacing w:val="-2"/>
          <w:sz w:val="20"/>
          <w:szCs w:val="20"/>
        </w:rPr>
        <w:t xml:space="preserve"> </w:t>
      </w:r>
      <w:r w:rsidRPr="008262B9">
        <w:rPr>
          <w:rFonts w:ascii="Bookman Old Style" w:hAnsi="Bookman Old Style"/>
          <w:sz w:val="20"/>
          <w:szCs w:val="20"/>
        </w:rPr>
        <w:t>komoditas.</w:t>
      </w:r>
    </w:p>
    <w:p w14:paraId="5CF0D39A" w14:textId="77777777" w:rsidR="009A4BC4" w:rsidRPr="008262B9" w:rsidRDefault="009A4BC4" w:rsidP="00A32F86">
      <w:pPr>
        <w:pStyle w:val="ListParagraph"/>
        <w:widowControl w:val="0"/>
        <w:numPr>
          <w:ilvl w:val="1"/>
          <w:numId w:val="215"/>
        </w:numPr>
        <w:tabs>
          <w:tab w:val="left" w:pos="1209"/>
        </w:tabs>
        <w:autoSpaceDE w:val="0"/>
        <w:autoSpaceDN w:val="0"/>
        <w:spacing w:before="2" w:after="0" w:line="281" w:lineRule="exact"/>
        <w:ind w:hanging="361"/>
        <w:contextualSpacing w:val="0"/>
        <w:jc w:val="both"/>
        <w:rPr>
          <w:rFonts w:ascii="Bookman Old Style" w:hAnsi="Bookman Old Style"/>
          <w:sz w:val="20"/>
          <w:szCs w:val="20"/>
        </w:rPr>
      </w:pPr>
      <w:r w:rsidRPr="008262B9">
        <w:rPr>
          <w:rFonts w:ascii="Bookman Old Style" w:hAnsi="Bookman Old Style"/>
          <w:sz w:val="20"/>
          <w:szCs w:val="20"/>
        </w:rPr>
        <w:t>Beberapa</w:t>
      </w:r>
      <w:r w:rsidRPr="008262B9">
        <w:rPr>
          <w:rFonts w:ascii="Bookman Old Style" w:hAnsi="Bookman Old Style"/>
          <w:spacing w:val="-5"/>
          <w:sz w:val="20"/>
          <w:szCs w:val="20"/>
        </w:rPr>
        <w:t xml:space="preserve"> </w:t>
      </w:r>
      <w:r w:rsidRPr="008262B9">
        <w:rPr>
          <w:rFonts w:ascii="Bookman Old Style" w:hAnsi="Bookman Old Style"/>
          <w:sz w:val="20"/>
          <w:szCs w:val="20"/>
        </w:rPr>
        <w:t>hal</w:t>
      </w:r>
      <w:r w:rsidRPr="008262B9">
        <w:rPr>
          <w:rFonts w:ascii="Bookman Old Style" w:hAnsi="Bookman Old Style"/>
          <w:spacing w:val="-5"/>
          <w:sz w:val="20"/>
          <w:szCs w:val="20"/>
        </w:rPr>
        <w:t xml:space="preserve"> </w:t>
      </w:r>
      <w:r w:rsidRPr="008262B9">
        <w:rPr>
          <w:rFonts w:ascii="Bookman Old Style" w:hAnsi="Bookman Old Style"/>
          <w:sz w:val="20"/>
          <w:szCs w:val="20"/>
        </w:rPr>
        <w:t>yang</w:t>
      </w:r>
      <w:r w:rsidRPr="008262B9">
        <w:rPr>
          <w:rFonts w:ascii="Bookman Old Style" w:hAnsi="Bookman Old Style"/>
          <w:spacing w:val="-4"/>
          <w:sz w:val="20"/>
          <w:szCs w:val="20"/>
        </w:rPr>
        <w:t xml:space="preserve"> </w:t>
      </w:r>
      <w:r w:rsidRPr="008262B9">
        <w:rPr>
          <w:rFonts w:ascii="Bookman Old Style" w:hAnsi="Bookman Old Style"/>
          <w:sz w:val="20"/>
          <w:szCs w:val="20"/>
        </w:rPr>
        <w:t>perlu</w:t>
      </w:r>
      <w:r w:rsidRPr="008262B9">
        <w:rPr>
          <w:rFonts w:ascii="Bookman Old Style" w:hAnsi="Bookman Old Style"/>
          <w:spacing w:val="-5"/>
          <w:sz w:val="20"/>
          <w:szCs w:val="20"/>
        </w:rPr>
        <w:t xml:space="preserve"> </w:t>
      </w:r>
      <w:r w:rsidRPr="008262B9">
        <w:rPr>
          <w:rFonts w:ascii="Bookman Old Style" w:hAnsi="Bookman Old Style"/>
          <w:sz w:val="20"/>
          <w:szCs w:val="20"/>
        </w:rPr>
        <w:t>diperhatikan</w:t>
      </w:r>
      <w:r w:rsidRPr="008262B9">
        <w:rPr>
          <w:rFonts w:ascii="Bookman Old Style" w:hAnsi="Bookman Old Style"/>
          <w:spacing w:val="-5"/>
          <w:sz w:val="20"/>
          <w:szCs w:val="20"/>
        </w:rPr>
        <w:t xml:space="preserve"> </w:t>
      </w:r>
      <w:r w:rsidRPr="008262B9">
        <w:rPr>
          <w:rFonts w:ascii="Bookman Old Style" w:hAnsi="Bookman Old Style"/>
          <w:sz w:val="20"/>
          <w:szCs w:val="20"/>
        </w:rPr>
        <w:t>dalam</w:t>
      </w:r>
      <w:r w:rsidRPr="008262B9">
        <w:rPr>
          <w:rFonts w:ascii="Bookman Old Style" w:hAnsi="Bookman Old Style"/>
          <w:spacing w:val="-5"/>
          <w:sz w:val="20"/>
          <w:szCs w:val="20"/>
        </w:rPr>
        <w:t xml:space="preserve"> </w:t>
      </w:r>
      <w:r w:rsidRPr="008262B9">
        <w:rPr>
          <w:rFonts w:ascii="Bookman Old Style" w:hAnsi="Bookman Old Style"/>
          <w:sz w:val="20"/>
          <w:szCs w:val="20"/>
        </w:rPr>
        <w:t>pengisian</w:t>
      </w:r>
      <w:r w:rsidRPr="008262B9">
        <w:rPr>
          <w:rFonts w:ascii="Bookman Old Style" w:hAnsi="Bookman Old Style"/>
          <w:spacing w:val="-4"/>
          <w:sz w:val="20"/>
          <w:szCs w:val="20"/>
        </w:rPr>
        <w:t xml:space="preserve"> </w:t>
      </w:r>
      <w:r w:rsidRPr="008262B9">
        <w:rPr>
          <w:rFonts w:ascii="Bookman Old Style" w:hAnsi="Bookman Old Style"/>
          <w:sz w:val="20"/>
          <w:szCs w:val="20"/>
        </w:rPr>
        <w:t>Kertas</w:t>
      </w:r>
      <w:r w:rsidRPr="008262B9">
        <w:rPr>
          <w:rFonts w:ascii="Bookman Old Style" w:hAnsi="Bookman Old Style"/>
          <w:spacing w:val="-4"/>
          <w:sz w:val="20"/>
          <w:szCs w:val="20"/>
        </w:rPr>
        <w:t xml:space="preserve"> </w:t>
      </w:r>
      <w:r w:rsidRPr="008262B9">
        <w:rPr>
          <w:rFonts w:ascii="Bookman Old Style" w:hAnsi="Bookman Old Style"/>
          <w:sz w:val="20"/>
          <w:szCs w:val="20"/>
        </w:rPr>
        <w:t>Kerja</w:t>
      </w:r>
      <w:r w:rsidRPr="008262B9">
        <w:rPr>
          <w:rFonts w:ascii="Bookman Old Style" w:hAnsi="Bookman Old Style"/>
          <w:spacing w:val="-4"/>
          <w:sz w:val="20"/>
          <w:szCs w:val="20"/>
        </w:rPr>
        <w:t xml:space="preserve"> </w:t>
      </w:r>
      <w:r w:rsidRPr="008262B9">
        <w:rPr>
          <w:rFonts w:ascii="Bookman Old Style" w:hAnsi="Bookman Old Style"/>
          <w:sz w:val="20"/>
          <w:szCs w:val="20"/>
        </w:rPr>
        <w:t>NSFR</w:t>
      </w:r>
      <w:r w:rsidRPr="008262B9">
        <w:rPr>
          <w:rFonts w:ascii="Bookman Old Style" w:hAnsi="Bookman Old Style"/>
          <w:spacing w:val="-5"/>
          <w:sz w:val="20"/>
          <w:szCs w:val="20"/>
        </w:rPr>
        <w:t xml:space="preserve"> </w:t>
      </w:r>
      <w:r w:rsidRPr="008262B9">
        <w:rPr>
          <w:rFonts w:ascii="Bookman Old Style" w:hAnsi="Bookman Old Style"/>
          <w:sz w:val="20"/>
          <w:szCs w:val="20"/>
        </w:rPr>
        <w:t>adalah:</w:t>
      </w:r>
    </w:p>
    <w:p w14:paraId="1DF2A0C6" w14:textId="77777777" w:rsidR="009A4BC4" w:rsidRPr="008262B9" w:rsidRDefault="009A4BC4" w:rsidP="00A32F86">
      <w:pPr>
        <w:pStyle w:val="ListParagraph"/>
        <w:widowControl w:val="0"/>
        <w:numPr>
          <w:ilvl w:val="2"/>
          <w:numId w:val="215"/>
        </w:numPr>
        <w:tabs>
          <w:tab w:val="left" w:pos="1659"/>
          <w:tab w:val="left" w:pos="1660"/>
        </w:tabs>
        <w:autoSpaceDE w:val="0"/>
        <w:autoSpaceDN w:val="0"/>
        <w:spacing w:after="0" w:line="281" w:lineRule="exact"/>
        <w:contextualSpacing w:val="0"/>
        <w:jc w:val="both"/>
        <w:rPr>
          <w:rFonts w:ascii="Bookman Old Style" w:hAnsi="Bookman Old Style"/>
          <w:sz w:val="20"/>
          <w:szCs w:val="20"/>
        </w:rPr>
      </w:pPr>
      <w:r w:rsidRPr="008262B9">
        <w:rPr>
          <w:rFonts w:ascii="Bookman Old Style" w:hAnsi="Bookman Old Style"/>
          <w:sz w:val="20"/>
          <w:szCs w:val="20"/>
        </w:rPr>
        <w:t>setiap</w:t>
      </w:r>
      <w:r w:rsidRPr="008262B9">
        <w:rPr>
          <w:rFonts w:ascii="Bookman Old Style" w:hAnsi="Bookman Old Style"/>
          <w:spacing w:val="-4"/>
          <w:sz w:val="20"/>
          <w:szCs w:val="20"/>
        </w:rPr>
        <w:t xml:space="preserve"> </w:t>
      </w:r>
      <w:r w:rsidRPr="008262B9">
        <w:rPr>
          <w:rFonts w:ascii="Bookman Old Style" w:hAnsi="Bookman Old Style"/>
          <w:sz w:val="20"/>
          <w:szCs w:val="20"/>
        </w:rPr>
        <w:t>baris</w:t>
      </w:r>
      <w:r w:rsidRPr="008262B9">
        <w:rPr>
          <w:rFonts w:ascii="Bookman Old Style" w:hAnsi="Bookman Old Style"/>
          <w:spacing w:val="-4"/>
          <w:sz w:val="20"/>
          <w:szCs w:val="20"/>
        </w:rPr>
        <w:t xml:space="preserve"> </w:t>
      </w:r>
      <w:r w:rsidRPr="008262B9">
        <w:rPr>
          <w:rFonts w:ascii="Bookman Old Style" w:hAnsi="Bookman Old Style"/>
          <w:sz w:val="20"/>
          <w:szCs w:val="20"/>
        </w:rPr>
        <w:t>yang</w:t>
      </w:r>
      <w:r w:rsidRPr="008262B9">
        <w:rPr>
          <w:rFonts w:ascii="Bookman Old Style" w:hAnsi="Bookman Old Style"/>
          <w:spacing w:val="-3"/>
          <w:sz w:val="20"/>
          <w:szCs w:val="20"/>
        </w:rPr>
        <w:t xml:space="preserve"> </w:t>
      </w:r>
      <w:r w:rsidRPr="008262B9">
        <w:rPr>
          <w:rFonts w:ascii="Bookman Old Style" w:hAnsi="Bookman Old Style"/>
          <w:sz w:val="20"/>
          <w:szCs w:val="20"/>
        </w:rPr>
        <w:t>berwarna</w:t>
      </w:r>
      <w:r w:rsidRPr="008262B9">
        <w:rPr>
          <w:rFonts w:ascii="Bookman Old Style" w:hAnsi="Bookman Old Style"/>
          <w:spacing w:val="-4"/>
          <w:sz w:val="20"/>
          <w:szCs w:val="20"/>
        </w:rPr>
        <w:t xml:space="preserve"> </w:t>
      </w:r>
      <w:r w:rsidRPr="008262B9">
        <w:rPr>
          <w:rFonts w:ascii="Bookman Old Style" w:hAnsi="Bookman Old Style"/>
          <w:sz w:val="20"/>
          <w:szCs w:val="20"/>
        </w:rPr>
        <w:t>abu-abu</w:t>
      </w:r>
      <w:r w:rsidRPr="008262B9">
        <w:rPr>
          <w:rFonts w:ascii="Bookman Old Style" w:hAnsi="Bookman Old Style"/>
          <w:spacing w:val="-3"/>
          <w:sz w:val="20"/>
          <w:szCs w:val="20"/>
        </w:rPr>
        <w:t xml:space="preserve"> </w:t>
      </w:r>
      <w:r w:rsidRPr="008262B9">
        <w:rPr>
          <w:rFonts w:ascii="Bookman Old Style" w:hAnsi="Bookman Old Style"/>
          <w:sz w:val="20"/>
          <w:szCs w:val="20"/>
        </w:rPr>
        <w:t>tua</w:t>
      </w:r>
      <w:r w:rsidRPr="008262B9">
        <w:rPr>
          <w:rFonts w:ascii="Bookman Old Style" w:hAnsi="Bookman Old Style"/>
          <w:spacing w:val="-3"/>
          <w:sz w:val="20"/>
          <w:szCs w:val="20"/>
        </w:rPr>
        <w:t xml:space="preserve"> </w:t>
      </w:r>
      <w:r w:rsidRPr="008262B9">
        <w:rPr>
          <w:rFonts w:ascii="Bookman Old Style" w:hAnsi="Bookman Old Style"/>
          <w:sz w:val="20"/>
          <w:szCs w:val="20"/>
        </w:rPr>
        <w:t>menunjukkan</w:t>
      </w:r>
      <w:r w:rsidRPr="008262B9">
        <w:rPr>
          <w:rFonts w:ascii="Bookman Old Style" w:hAnsi="Bookman Old Style"/>
          <w:spacing w:val="-4"/>
          <w:sz w:val="20"/>
          <w:szCs w:val="20"/>
        </w:rPr>
        <w:t xml:space="preserve"> </w:t>
      </w:r>
      <w:r w:rsidRPr="008262B9">
        <w:rPr>
          <w:rFonts w:ascii="Bookman Old Style" w:hAnsi="Bookman Old Style"/>
          <w:sz w:val="20"/>
          <w:szCs w:val="20"/>
        </w:rPr>
        <w:t>kategori</w:t>
      </w:r>
      <w:r w:rsidRPr="008262B9">
        <w:rPr>
          <w:rFonts w:ascii="Bookman Old Style" w:hAnsi="Bookman Old Style"/>
          <w:spacing w:val="-4"/>
          <w:sz w:val="20"/>
          <w:szCs w:val="20"/>
        </w:rPr>
        <w:t xml:space="preserve"> </w:t>
      </w:r>
      <w:r w:rsidRPr="008262B9">
        <w:rPr>
          <w:rFonts w:ascii="Bookman Old Style" w:hAnsi="Bookman Old Style"/>
          <w:sz w:val="20"/>
          <w:szCs w:val="20"/>
        </w:rPr>
        <w:t>utama</w:t>
      </w:r>
      <w:r w:rsidRPr="008262B9">
        <w:rPr>
          <w:rFonts w:ascii="Bookman Old Style" w:hAnsi="Bookman Old Style"/>
          <w:spacing w:val="-4"/>
          <w:sz w:val="20"/>
          <w:szCs w:val="20"/>
        </w:rPr>
        <w:t xml:space="preserve"> </w:t>
      </w:r>
      <w:r w:rsidRPr="008262B9">
        <w:rPr>
          <w:rFonts w:ascii="Bookman Old Style" w:hAnsi="Bookman Old Style"/>
          <w:sz w:val="20"/>
          <w:szCs w:val="20"/>
        </w:rPr>
        <w:t>dari</w:t>
      </w:r>
      <w:r w:rsidRPr="008262B9">
        <w:rPr>
          <w:rFonts w:ascii="Bookman Old Style" w:hAnsi="Bookman Old Style"/>
          <w:spacing w:val="-3"/>
          <w:sz w:val="20"/>
          <w:szCs w:val="20"/>
        </w:rPr>
        <w:t xml:space="preserve"> </w:t>
      </w:r>
      <w:r w:rsidRPr="008262B9">
        <w:rPr>
          <w:rFonts w:ascii="Bookman Old Style" w:hAnsi="Bookman Old Style"/>
          <w:sz w:val="20"/>
          <w:szCs w:val="20"/>
        </w:rPr>
        <w:t>Kertas</w:t>
      </w:r>
      <w:r w:rsidRPr="008262B9">
        <w:rPr>
          <w:rFonts w:ascii="Bookman Old Style" w:hAnsi="Bookman Old Style"/>
          <w:spacing w:val="-4"/>
          <w:sz w:val="20"/>
          <w:szCs w:val="20"/>
        </w:rPr>
        <w:t xml:space="preserve"> </w:t>
      </w:r>
      <w:r w:rsidRPr="008262B9">
        <w:rPr>
          <w:rFonts w:ascii="Bookman Old Style" w:hAnsi="Bookman Old Style"/>
          <w:sz w:val="20"/>
          <w:szCs w:val="20"/>
        </w:rPr>
        <w:t>Kerja</w:t>
      </w:r>
      <w:r w:rsidRPr="008262B9">
        <w:rPr>
          <w:rFonts w:ascii="Bookman Old Style" w:hAnsi="Bookman Old Style"/>
          <w:spacing w:val="-2"/>
          <w:sz w:val="20"/>
          <w:szCs w:val="20"/>
        </w:rPr>
        <w:t xml:space="preserve"> </w:t>
      </w:r>
      <w:r w:rsidRPr="008262B9">
        <w:rPr>
          <w:rFonts w:ascii="Bookman Old Style" w:hAnsi="Bookman Old Style"/>
          <w:sz w:val="20"/>
          <w:szCs w:val="20"/>
        </w:rPr>
        <w:t>NSFR;</w:t>
      </w:r>
    </w:p>
    <w:p w14:paraId="000EA001" w14:textId="77777777" w:rsidR="009A4BC4" w:rsidRPr="008262B9" w:rsidRDefault="009A4BC4" w:rsidP="00A32F86">
      <w:pPr>
        <w:pStyle w:val="ListParagraph"/>
        <w:widowControl w:val="0"/>
        <w:numPr>
          <w:ilvl w:val="2"/>
          <w:numId w:val="215"/>
        </w:numPr>
        <w:tabs>
          <w:tab w:val="left" w:pos="1659"/>
          <w:tab w:val="left" w:pos="1660"/>
        </w:tabs>
        <w:autoSpaceDE w:val="0"/>
        <w:autoSpaceDN w:val="0"/>
        <w:spacing w:after="0" w:line="240" w:lineRule="auto"/>
        <w:ind w:right="625"/>
        <w:contextualSpacing w:val="0"/>
        <w:jc w:val="both"/>
        <w:rPr>
          <w:rFonts w:ascii="Bookman Old Style" w:hAnsi="Bookman Old Style"/>
          <w:sz w:val="20"/>
          <w:szCs w:val="20"/>
        </w:rPr>
      </w:pPr>
      <w:r w:rsidRPr="008262B9">
        <w:rPr>
          <w:rFonts w:ascii="Bookman Old Style" w:hAnsi="Bookman Old Style"/>
          <w:noProof/>
          <w:sz w:val="20"/>
          <w:szCs w:val="20"/>
        </w:rPr>
        <mc:AlternateContent>
          <mc:Choice Requires="wps">
            <w:drawing>
              <wp:anchor distT="0" distB="0" distL="114300" distR="114300" simplePos="0" relativeHeight="251661312" behindDoc="1" locked="0" layoutInCell="1" allowOverlap="1" wp14:anchorId="74646F99" wp14:editId="4C1A443B">
                <wp:simplePos x="0" y="0"/>
                <wp:positionH relativeFrom="page">
                  <wp:posOffset>7298055</wp:posOffset>
                </wp:positionH>
                <wp:positionV relativeFrom="paragraph">
                  <wp:posOffset>212090</wp:posOffset>
                </wp:positionV>
                <wp:extent cx="2259965" cy="447675"/>
                <wp:effectExtent l="0" t="0" r="0" b="0"/>
                <wp:wrapNone/>
                <wp:docPr id="149938167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C67D1" w14:textId="77777777" w:rsidR="009A4BC4" w:rsidRDefault="009A4BC4" w:rsidP="009A4BC4">
                            <w:pPr>
                              <w:pStyle w:val="BodyText"/>
                              <w:spacing w:line="281" w:lineRule="exact"/>
                            </w:pPr>
                            <w:r>
                              <w:t>KETUA</w:t>
                            </w:r>
                            <w:r>
                              <w:rPr>
                                <w:spacing w:val="-10"/>
                              </w:rPr>
                              <w:t xml:space="preserve"> </w:t>
                            </w:r>
                            <w:r>
                              <w:t>DEWAN</w:t>
                            </w:r>
                            <w:r>
                              <w:rPr>
                                <w:spacing w:val="-8"/>
                              </w:rPr>
                              <w:t xml:space="preserve"> </w:t>
                            </w:r>
                            <w:r>
                              <w:t>KOMISIONER</w:t>
                            </w:r>
                          </w:p>
                          <w:p w14:paraId="6477A0E1" w14:textId="77777777" w:rsidR="009A4BC4" w:rsidRDefault="009A4BC4" w:rsidP="009A4BC4">
                            <w:pPr>
                              <w:pStyle w:val="BodyText"/>
                              <w:spacing w:before="141"/>
                            </w:pPr>
                            <w:r>
                              <w:t>OTORITAS</w:t>
                            </w:r>
                            <w:r>
                              <w:rPr>
                                <w:spacing w:val="-4"/>
                              </w:rPr>
                              <w:t xml:space="preserve"> </w:t>
                            </w:r>
                            <w:r>
                              <w:t>JASA</w:t>
                            </w:r>
                            <w:r>
                              <w:rPr>
                                <w:spacing w:val="-3"/>
                              </w:rPr>
                              <w:t xml:space="preserve"> </w:t>
                            </w:r>
                            <w:r>
                              <w:t>KEUANGAN,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46F99" id="_x0000_t202" coordsize="21600,21600" o:spt="202" path="m,l,21600r21600,l21600,xe">
                <v:stroke joinstyle="miter"/>
                <v:path gradientshapeok="t" o:connecttype="rect"/>
              </v:shapetype>
              <v:shape id="docshape29" o:spid="_x0000_s1026" type="#_x0000_t202" style="position:absolute;left:0;text-align:left;margin-left:574.65pt;margin-top:16.7pt;width:177.95pt;height:3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KstAIAALI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" filled="f" stroked="f">
                <v:textbox inset="0,0,0,0">
                  <w:txbxContent>
                    <w:p w14:paraId="4B8C67D1" w14:textId="77777777" w:rsidR="009A4BC4" w:rsidRDefault="009A4BC4" w:rsidP="009A4BC4">
                      <w:pPr>
                        <w:pStyle w:val="BodyText"/>
                        <w:spacing w:line="281" w:lineRule="exact"/>
                      </w:pPr>
                      <w:r>
                        <w:t>KETUA</w:t>
                      </w:r>
                      <w:r>
                        <w:rPr>
                          <w:spacing w:val="-10"/>
                        </w:rPr>
                        <w:t xml:space="preserve"> </w:t>
                      </w:r>
                      <w:r>
                        <w:t>DEWAN</w:t>
                      </w:r>
                      <w:r>
                        <w:rPr>
                          <w:spacing w:val="-8"/>
                        </w:rPr>
                        <w:t xml:space="preserve"> </w:t>
                      </w:r>
                      <w:r>
                        <w:t>KOMISIONER</w:t>
                      </w:r>
                    </w:p>
                    <w:p w14:paraId="6477A0E1" w14:textId="77777777" w:rsidR="009A4BC4" w:rsidRDefault="009A4BC4" w:rsidP="009A4BC4">
                      <w:pPr>
                        <w:pStyle w:val="BodyText"/>
                        <w:spacing w:before="141"/>
                      </w:pPr>
                      <w:r>
                        <w:t>OTORITAS</w:t>
                      </w:r>
                      <w:r>
                        <w:rPr>
                          <w:spacing w:val="-4"/>
                        </w:rPr>
                        <w:t xml:space="preserve"> </w:t>
                      </w:r>
                      <w:r>
                        <w:t>JASA</w:t>
                      </w:r>
                      <w:r>
                        <w:rPr>
                          <w:spacing w:val="-3"/>
                        </w:rPr>
                        <w:t xml:space="preserve"> </w:t>
                      </w:r>
                      <w:r>
                        <w:t>KEUANGAN,</w:t>
                      </w:r>
                    </w:p>
                  </w:txbxContent>
                </v:textbox>
                <w10:wrap anchorx="page"/>
              </v:shape>
            </w:pict>
          </mc:Fallback>
        </mc:AlternateContent>
      </w:r>
      <w:r w:rsidRPr="008262B9">
        <w:rPr>
          <w:rFonts w:ascii="Bookman Old Style" w:hAnsi="Bookman Old Style"/>
          <w:sz w:val="20"/>
          <w:szCs w:val="20"/>
        </w:rPr>
        <w:t>setiap</w:t>
      </w:r>
      <w:r w:rsidRPr="008262B9">
        <w:rPr>
          <w:rFonts w:ascii="Bookman Old Style" w:hAnsi="Bookman Old Style"/>
          <w:spacing w:val="36"/>
          <w:sz w:val="20"/>
          <w:szCs w:val="20"/>
        </w:rPr>
        <w:t xml:space="preserve"> </w:t>
      </w:r>
      <w:r w:rsidRPr="008262B9">
        <w:rPr>
          <w:rFonts w:ascii="Bookman Old Style" w:hAnsi="Bookman Old Style"/>
          <w:sz w:val="20"/>
          <w:szCs w:val="20"/>
        </w:rPr>
        <w:t>baris</w:t>
      </w:r>
      <w:r w:rsidRPr="008262B9">
        <w:rPr>
          <w:rFonts w:ascii="Bookman Old Style" w:hAnsi="Bookman Old Style"/>
          <w:spacing w:val="37"/>
          <w:sz w:val="20"/>
          <w:szCs w:val="20"/>
        </w:rPr>
        <w:t xml:space="preserve"> </w:t>
      </w:r>
      <w:r w:rsidRPr="008262B9">
        <w:rPr>
          <w:rFonts w:ascii="Bookman Old Style" w:hAnsi="Bookman Old Style"/>
          <w:sz w:val="20"/>
          <w:szCs w:val="20"/>
        </w:rPr>
        <w:t>yang</w:t>
      </w:r>
      <w:r w:rsidRPr="008262B9">
        <w:rPr>
          <w:rFonts w:ascii="Bookman Old Style" w:hAnsi="Bookman Old Style"/>
          <w:spacing w:val="37"/>
          <w:sz w:val="20"/>
          <w:szCs w:val="20"/>
        </w:rPr>
        <w:t xml:space="preserve"> </w:t>
      </w:r>
      <w:r w:rsidRPr="008262B9">
        <w:rPr>
          <w:rFonts w:ascii="Bookman Old Style" w:hAnsi="Bookman Old Style"/>
          <w:sz w:val="20"/>
          <w:szCs w:val="20"/>
        </w:rPr>
        <w:t>berwarna</w:t>
      </w:r>
      <w:r w:rsidRPr="008262B9">
        <w:rPr>
          <w:rFonts w:ascii="Bookman Old Style" w:hAnsi="Bookman Old Style"/>
          <w:spacing w:val="37"/>
          <w:sz w:val="20"/>
          <w:szCs w:val="20"/>
        </w:rPr>
        <w:t xml:space="preserve"> </w:t>
      </w:r>
      <w:r w:rsidRPr="008262B9">
        <w:rPr>
          <w:rFonts w:ascii="Bookman Old Style" w:hAnsi="Bookman Old Style"/>
          <w:sz w:val="20"/>
          <w:szCs w:val="20"/>
        </w:rPr>
        <w:t>abu-abu</w:t>
      </w:r>
      <w:r w:rsidRPr="008262B9">
        <w:rPr>
          <w:rFonts w:ascii="Bookman Old Style" w:hAnsi="Bookman Old Style"/>
          <w:spacing w:val="37"/>
          <w:sz w:val="20"/>
          <w:szCs w:val="20"/>
        </w:rPr>
        <w:t xml:space="preserve"> </w:t>
      </w:r>
      <w:r w:rsidRPr="008262B9">
        <w:rPr>
          <w:rFonts w:ascii="Bookman Old Style" w:hAnsi="Bookman Old Style"/>
          <w:sz w:val="20"/>
          <w:szCs w:val="20"/>
        </w:rPr>
        <w:t>muda</w:t>
      </w:r>
      <w:r w:rsidRPr="008262B9">
        <w:rPr>
          <w:rFonts w:ascii="Bookman Old Style" w:hAnsi="Bookman Old Style"/>
          <w:spacing w:val="37"/>
          <w:sz w:val="20"/>
          <w:szCs w:val="20"/>
        </w:rPr>
        <w:t xml:space="preserve"> </w:t>
      </w:r>
      <w:r w:rsidRPr="008262B9">
        <w:rPr>
          <w:rFonts w:ascii="Bookman Old Style" w:hAnsi="Bookman Old Style"/>
          <w:sz w:val="20"/>
          <w:szCs w:val="20"/>
        </w:rPr>
        <w:t>menunjukkan</w:t>
      </w:r>
      <w:r w:rsidRPr="008262B9">
        <w:rPr>
          <w:rFonts w:ascii="Bookman Old Style" w:hAnsi="Bookman Old Style"/>
          <w:spacing w:val="37"/>
          <w:sz w:val="20"/>
          <w:szCs w:val="20"/>
        </w:rPr>
        <w:t xml:space="preserve"> </w:t>
      </w:r>
      <w:r w:rsidRPr="008262B9">
        <w:rPr>
          <w:rFonts w:ascii="Bookman Old Style" w:hAnsi="Bookman Old Style"/>
          <w:sz w:val="20"/>
          <w:szCs w:val="20"/>
        </w:rPr>
        <w:t>komponen</w:t>
      </w:r>
      <w:r w:rsidRPr="008262B9">
        <w:rPr>
          <w:rFonts w:ascii="Bookman Old Style" w:hAnsi="Bookman Old Style"/>
          <w:spacing w:val="36"/>
          <w:sz w:val="20"/>
          <w:szCs w:val="20"/>
        </w:rPr>
        <w:t xml:space="preserve"> </w:t>
      </w:r>
      <w:r w:rsidRPr="008262B9">
        <w:rPr>
          <w:rFonts w:ascii="Bookman Old Style" w:hAnsi="Bookman Old Style"/>
          <w:sz w:val="20"/>
          <w:szCs w:val="20"/>
        </w:rPr>
        <w:t>dari</w:t>
      </w:r>
      <w:r w:rsidRPr="008262B9">
        <w:rPr>
          <w:rFonts w:ascii="Bookman Old Style" w:hAnsi="Bookman Old Style"/>
          <w:spacing w:val="37"/>
          <w:sz w:val="20"/>
          <w:szCs w:val="20"/>
        </w:rPr>
        <w:t xml:space="preserve"> </w:t>
      </w:r>
      <w:r w:rsidRPr="008262B9">
        <w:rPr>
          <w:rFonts w:ascii="Bookman Old Style" w:hAnsi="Bookman Old Style"/>
          <w:sz w:val="20"/>
          <w:szCs w:val="20"/>
        </w:rPr>
        <w:t>kategori</w:t>
      </w:r>
      <w:r w:rsidRPr="008262B9">
        <w:rPr>
          <w:rFonts w:ascii="Bookman Old Style" w:hAnsi="Bookman Old Style"/>
          <w:spacing w:val="37"/>
          <w:sz w:val="20"/>
          <w:szCs w:val="20"/>
        </w:rPr>
        <w:t xml:space="preserve"> </w:t>
      </w:r>
      <w:r w:rsidRPr="008262B9">
        <w:rPr>
          <w:rFonts w:ascii="Bookman Old Style" w:hAnsi="Bookman Old Style"/>
          <w:sz w:val="20"/>
          <w:szCs w:val="20"/>
        </w:rPr>
        <w:t>utama</w:t>
      </w:r>
      <w:r w:rsidRPr="008262B9">
        <w:rPr>
          <w:rFonts w:ascii="Bookman Old Style" w:hAnsi="Bookman Old Style"/>
          <w:spacing w:val="37"/>
          <w:sz w:val="20"/>
          <w:szCs w:val="20"/>
        </w:rPr>
        <w:t xml:space="preserve"> </w:t>
      </w:r>
      <w:r w:rsidRPr="008262B9">
        <w:rPr>
          <w:rFonts w:ascii="Bookman Old Style" w:hAnsi="Bookman Old Style"/>
          <w:sz w:val="20"/>
          <w:szCs w:val="20"/>
        </w:rPr>
        <w:t>sebagaimana</w:t>
      </w:r>
      <w:r w:rsidRPr="008262B9">
        <w:rPr>
          <w:rFonts w:ascii="Bookman Old Style" w:hAnsi="Bookman Old Style"/>
          <w:spacing w:val="37"/>
          <w:sz w:val="20"/>
          <w:szCs w:val="20"/>
        </w:rPr>
        <w:t xml:space="preserve"> </w:t>
      </w:r>
      <w:r w:rsidRPr="008262B9">
        <w:rPr>
          <w:rFonts w:ascii="Bookman Old Style" w:hAnsi="Bookman Old Style"/>
          <w:sz w:val="20"/>
          <w:szCs w:val="20"/>
        </w:rPr>
        <w:t>dimaksud</w:t>
      </w:r>
      <w:r w:rsidRPr="008262B9">
        <w:rPr>
          <w:rFonts w:ascii="Bookman Old Style" w:hAnsi="Bookman Old Style"/>
          <w:spacing w:val="37"/>
          <w:sz w:val="20"/>
          <w:szCs w:val="20"/>
        </w:rPr>
        <w:t xml:space="preserve"> </w:t>
      </w:r>
      <w:r w:rsidRPr="008262B9">
        <w:rPr>
          <w:rFonts w:ascii="Bookman Old Style" w:hAnsi="Bookman Old Style"/>
          <w:sz w:val="20"/>
          <w:szCs w:val="20"/>
        </w:rPr>
        <w:t>pada</w:t>
      </w:r>
      <w:r w:rsidRPr="008262B9">
        <w:rPr>
          <w:rFonts w:ascii="Bookman Old Style" w:hAnsi="Bookman Old Style"/>
          <w:spacing w:val="-74"/>
          <w:sz w:val="20"/>
          <w:szCs w:val="20"/>
        </w:rPr>
        <w:t xml:space="preserve"> </w:t>
      </w:r>
      <w:r w:rsidRPr="008262B9">
        <w:rPr>
          <w:rFonts w:ascii="Bookman Old Style" w:hAnsi="Bookman Old Style"/>
          <w:sz w:val="20"/>
          <w:szCs w:val="20"/>
        </w:rPr>
        <w:t>huruf</w:t>
      </w:r>
      <w:r w:rsidRPr="008262B9">
        <w:rPr>
          <w:rFonts w:ascii="Bookman Old Style" w:hAnsi="Bookman Old Style"/>
          <w:spacing w:val="-2"/>
          <w:sz w:val="20"/>
          <w:szCs w:val="20"/>
        </w:rPr>
        <w:t xml:space="preserve"> </w:t>
      </w:r>
      <w:r w:rsidRPr="008262B9">
        <w:rPr>
          <w:rFonts w:ascii="Bookman Old Style" w:hAnsi="Bookman Old Style"/>
          <w:sz w:val="20"/>
          <w:szCs w:val="20"/>
        </w:rPr>
        <w:t>a;</w:t>
      </w:r>
    </w:p>
    <w:p w14:paraId="4C1CF232" w14:textId="77777777" w:rsidR="009A4BC4" w:rsidRPr="008262B9" w:rsidRDefault="009A4BC4" w:rsidP="00A32F86">
      <w:pPr>
        <w:pStyle w:val="ListParagraph"/>
        <w:widowControl w:val="0"/>
        <w:numPr>
          <w:ilvl w:val="2"/>
          <w:numId w:val="215"/>
        </w:numPr>
        <w:tabs>
          <w:tab w:val="left" w:pos="1659"/>
          <w:tab w:val="left" w:pos="1660"/>
        </w:tabs>
        <w:autoSpaceDE w:val="0"/>
        <w:autoSpaceDN w:val="0"/>
        <w:spacing w:after="0" w:line="281" w:lineRule="exact"/>
        <w:contextualSpacing w:val="0"/>
        <w:jc w:val="both"/>
        <w:rPr>
          <w:rFonts w:ascii="Bookman Old Style" w:hAnsi="Bookman Old Style"/>
          <w:sz w:val="20"/>
          <w:szCs w:val="20"/>
        </w:rPr>
      </w:pPr>
      <w:r w:rsidRPr="008262B9">
        <w:rPr>
          <w:rFonts w:ascii="Bookman Old Style" w:hAnsi="Bookman Old Style"/>
          <w:sz w:val="20"/>
          <w:szCs w:val="20"/>
        </w:rPr>
        <w:t>setiap</w:t>
      </w:r>
      <w:r w:rsidRPr="008262B9">
        <w:rPr>
          <w:rFonts w:ascii="Bookman Old Style" w:hAnsi="Bookman Old Style"/>
          <w:spacing w:val="-3"/>
          <w:sz w:val="20"/>
          <w:szCs w:val="20"/>
        </w:rPr>
        <w:t xml:space="preserve"> </w:t>
      </w:r>
      <w:r w:rsidRPr="008262B9">
        <w:rPr>
          <w:rFonts w:ascii="Bookman Old Style" w:hAnsi="Bookman Old Style"/>
          <w:sz w:val="20"/>
          <w:szCs w:val="20"/>
        </w:rPr>
        <w:t>baris</w:t>
      </w:r>
      <w:r w:rsidRPr="008262B9">
        <w:rPr>
          <w:rFonts w:ascii="Bookman Old Style" w:hAnsi="Bookman Old Style"/>
          <w:spacing w:val="-4"/>
          <w:sz w:val="20"/>
          <w:szCs w:val="20"/>
        </w:rPr>
        <w:t xml:space="preserve"> </w:t>
      </w:r>
      <w:r w:rsidRPr="008262B9">
        <w:rPr>
          <w:rFonts w:ascii="Bookman Old Style" w:hAnsi="Bookman Old Style"/>
          <w:sz w:val="20"/>
          <w:szCs w:val="20"/>
        </w:rPr>
        <w:t>yang</w:t>
      </w:r>
      <w:r w:rsidRPr="008262B9">
        <w:rPr>
          <w:rFonts w:ascii="Bookman Old Style" w:hAnsi="Bookman Old Style"/>
          <w:spacing w:val="-2"/>
          <w:sz w:val="20"/>
          <w:szCs w:val="20"/>
        </w:rPr>
        <w:t xml:space="preserve"> </w:t>
      </w:r>
      <w:r w:rsidRPr="008262B9">
        <w:rPr>
          <w:rFonts w:ascii="Bookman Old Style" w:hAnsi="Bookman Old Style"/>
          <w:sz w:val="20"/>
          <w:szCs w:val="20"/>
        </w:rPr>
        <w:t>tidak</w:t>
      </w:r>
      <w:r w:rsidRPr="008262B9">
        <w:rPr>
          <w:rFonts w:ascii="Bookman Old Style" w:hAnsi="Bookman Old Style"/>
          <w:spacing w:val="-3"/>
          <w:sz w:val="20"/>
          <w:szCs w:val="20"/>
        </w:rPr>
        <w:t xml:space="preserve"> </w:t>
      </w:r>
      <w:r w:rsidRPr="008262B9">
        <w:rPr>
          <w:rFonts w:ascii="Bookman Old Style" w:hAnsi="Bookman Old Style"/>
          <w:sz w:val="20"/>
          <w:szCs w:val="20"/>
        </w:rPr>
        <w:t>berwarna</w:t>
      </w:r>
      <w:r w:rsidRPr="008262B9">
        <w:rPr>
          <w:rFonts w:ascii="Bookman Old Style" w:hAnsi="Bookman Old Style"/>
          <w:spacing w:val="-3"/>
          <w:sz w:val="20"/>
          <w:szCs w:val="20"/>
        </w:rPr>
        <w:t xml:space="preserve"> </w:t>
      </w:r>
      <w:r w:rsidRPr="008262B9">
        <w:rPr>
          <w:rFonts w:ascii="Bookman Old Style" w:hAnsi="Bookman Old Style"/>
          <w:sz w:val="20"/>
          <w:szCs w:val="20"/>
        </w:rPr>
        <w:t>menunjukkan</w:t>
      </w:r>
      <w:r w:rsidRPr="008262B9">
        <w:rPr>
          <w:rFonts w:ascii="Bookman Old Style" w:hAnsi="Bookman Old Style"/>
          <w:spacing w:val="-3"/>
          <w:sz w:val="20"/>
          <w:szCs w:val="20"/>
        </w:rPr>
        <w:t xml:space="preserve"> </w:t>
      </w:r>
      <w:r w:rsidRPr="008262B9">
        <w:rPr>
          <w:rFonts w:ascii="Bookman Old Style" w:hAnsi="Bookman Old Style"/>
          <w:sz w:val="20"/>
          <w:szCs w:val="20"/>
        </w:rPr>
        <w:t>subkomponen</w:t>
      </w:r>
      <w:r w:rsidRPr="008262B9">
        <w:rPr>
          <w:rFonts w:ascii="Bookman Old Style" w:hAnsi="Bookman Old Style"/>
          <w:spacing w:val="-3"/>
          <w:sz w:val="20"/>
          <w:szCs w:val="20"/>
        </w:rPr>
        <w:t xml:space="preserve"> </w:t>
      </w:r>
      <w:r w:rsidRPr="008262B9">
        <w:rPr>
          <w:rFonts w:ascii="Bookman Old Style" w:hAnsi="Bookman Old Style"/>
          <w:sz w:val="20"/>
          <w:szCs w:val="20"/>
        </w:rPr>
        <w:t>dari</w:t>
      </w:r>
      <w:r w:rsidRPr="008262B9">
        <w:rPr>
          <w:rFonts w:ascii="Bookman Old Style" w:hAnsi="Bookman Old Style"/>
          <w:spacing w:val="-3"/>
          <w:sz w:val="20"/>
          <w:szCs w:val="20"/>
        </w:rPr>
        <w:t xml:space="preserve"> </w:t>
      </w:r>
      <w:r w:rsidRPr="008262B9">
        <w:rPr>
          <w:rFonts w:ascii="Bookman Old Style" w:hAnsi="Bookman Old Style"/>
          <w:sz w:val="20"/>
          <w:szCs w:val="20"/>
        </w:rPr>
        <w:t>komponen</w:t>
      </w:r>
      <w:r w:rsidRPr="008262B9">
        <w:rPr>
          <w:rFonts w:ascii="Bookman Old Style" w:hAnsi="Bookman Old Style"/>
          <w:spacing w:val="-4"/>
          <w:sz w:val="20"/>
          <w:szCs w:val="20"/>
        </w:rPr>
        <w:t xml:space="preserve"> </w:t>
      </w:r>
      <w:r w:rsidRPr="008262B9">
        <w:rPr>
          <w:rFonts w:ascii="Bookman Old Style" w:hAnsi="Bookman Old Style"/>
          <w:sz w:val="20"/>
          <w:szCs w:val="20"/>
        </w:rPr>
        <w:t>sebagaimana</w:t>
      </w:r>
      <w:r w:rsidRPr="008262B9">
        <w:rPr>
          <w:rFonts w:ascii="Bookman Old Style" w:hAnsi="Bookman Old Style"/>
          <w:spacing w:val="-2"/>
          <w:sz w:val="20"/>
          <w:szCs w:val="20"/>
        </w:rPr>
        <w:t xml:space="preserve"> </w:t>
      </w:r>
      <w:r w:rsidRPr="008262B9">
        <w:rPr>
          <w:rFonts w:ascii="Bookman Old Style" w:hAnsi="Bookman Old Style"/>
          <w:sz w:val="20"/>
          <w:szCs w:val="20"/>
        </w:rPr>
        <w:t>dimaksud</w:t>
      </w:r>
      <w:r w:rsidRPr="008262B9">
        <w:rPr>
          <w:rFonts w:ascii="Bookman Old Style" w:hAnsi="Bookman Old Style"/>
          <w:spacing w:val="-4"/>
          <w:sz w:val="20"/>
          <w:szCs w:val="20"/>
        </w:rPr>
        <w:t xml:space="preserve"> </w:t>
      </w:r>
      <w:r w:rsidRPr="008262B9">
        <w:rPr>
          <w:rFonts w:ascii="Bookman Old Style" w:hAnsi="Bookman Old Style"/>
          <w:sz w:val="20"/>
          <w:szCs w:val="20"/>
        </w:rPr>
        <w:t>pada</w:t>
      </w:r>
      <w:r w:rsidRPr="008262B9">
        <w:rPr>
          <w:rFonts w:ascii="Bookman Old Style" w:hAnsi="Bookman Old Style"/>
          <w:spacing w:val="-4"/>
          <w:sz w:val="20"/>
          <w:szCs w:val="20"/>
        </w:rPr>
        <w:t xml:space="preserve"> </w:t>
      </w:r>
      <w:r w:rsidRPr="008262B9">
        <w:rPr>
          <w:rFonts w:ascii="Bookman Old Style" w:hAnsi="Bookman Old Style"/>
          <w:sz w:val="20"/>
          <w:szCs w:val="20"/>
        </w:rPr>
        <w:t>huruf</w:t>
      </w:r>
      <w:r w:rsidRPr="008262B9">
        <w:rPr>
          <w:rFonts w:ascii="Bookman Old Style" w:hAnsi="Bookman Old Style"/>
          <w:spacing w:val="-3"/>
          <w:sz w:val="20"/>
          <w:szCs w:val="20"/>
        </w:rPr>
        <w:t xml:space="preserve"> </w:t>
      </w:r>
      <w:r w:rsidRPr="008262B9">
        <w:rPr>
          <w:rFonts w:ascii="Bookman Old Style" w:hAnsi="Bookman Old Style"/>
          <w:sz w:val="20"/>
          <w:szCs w:val="20"/>
        </w:rPr>
        <w:t>b;</w:t>
      </w:r>
      <w:r w:rsidRPr="008262B9">
        <w:rPr>
          <w:rFonts w:ascii="Bookman Old Style" w:hAnsi="Bookman Old Style"/>
          <w:spacing w:val="-3"/>
          <w:sz w:val="20"/>
          <w:szCs w:val="20"/>
        </w:rPr>
        <w:t xml:space="preserve"> </w:t>
      </w:r>
      <w:r w:rsidRPr="008262B9">
        <w:rPr>
          <w:rFonts w:ascii="Bookman Old Style" w:hAnsi="Bookman Old Style"/>
          <w:sz w:val="20"/>
          <w:szCs w:val="20"/>
        </w:rPr>
        <w:t>dan</w:t>
      </w:r>
    </w:p>
    <w:p w14:paraId="0D844BF9" w14:textId="77777777" w:rsidR="009A4BC4" w:rsidRPr="008262B9" w:rsidRDefault="009A4BC4" w:rsidP="00A32F86">
      <w:pPr>
        <w:pStyle w:val="ListParagraph"/>
        <w:widowControl w:val="0"/>
        <w:numPr>
          <w:ilvl w:val="2"/>
          <w:numId w:val="215"/>
        </w:numPr>
        <w:tabs>
          <w:tab w:val="left" w:pos="1659"/>
          <w:tab w:val="left" w:pos="1660"/>
        </w:tabs>
        <w:autoSpaceDE w:val="0"/>
        <w:autoSpaceDN w:val="0"/>
        <w:spacing w:after="0" w:line="281" w:lineRule="exact"/>
        <w:contextualSpacing w:val="0"/>
        <w:jc w:val="both"/>
        <w:rPr>
          <w:rFonts w:ascii="Bookman Old Style" w:hAnsi="Bookman Old Style"/>
          <w:sz w:val="20"/>
          <w:szCs w:val="20"/>
        </w:rPr>
      </w:pPr>
      <w:r w:rsidRPr="008262B9">
        <w:rPr>
          <w:rFonts w:ascii="Bookman Old Style" w:hAnsi="Bookman Old Style"/>
          <w:sz w:val="20"/>
          <w:szCs w:val="20"/>
        </w:rPr>
        <w:t>setiap</w:t>
      </w:r>
      <w:r w:rsidRPr="008262B9">
        <w:rPr>
          <w:rFonts w:ascii="Bookman Old Style" w:hAnsi="Bookman Old Style"/>
          <w:spacing w:val="-3"/>
          <w:sz w:val="20"/>
          <w:szCs w:val="20"/>
        </w:rPr>
        <w:t xml:space="preserve"> </w:t>
      </w:r>
      <w:r w:rsidRPr="008262B9">
        <w:rPr>
          <w:rFonts w:ascii="Bookman Old Style" w:hAnsi="Bookman Old Style"/>
          <w:sz w:val="20"/>
          <w:szCs w:val="20"/>
        </w:rPr>
        <w:t>baris</w:t>
      </w:r>
      <w:r w:rsidRPr="008262B9">
        <w:rPr>
          <w:rFonts w:ascii="Bookman Old Style" w:hAnsi="Bookman Old Style"/>
          <w:spacing w:val="-4"/>
          <w:sz w:val="20"/>
          <w:szCs w:val="20"/>
        </w:rPr>
        <w:t xml:space="preserve"> </w:t>
      </w:r>
      <w:r w:rsidRPr="008262B9">
        <w:rPr>
          <w:rFonts w:ascii="Bookman Old Style" w:hAnsi="Bookman Old Style"/>
          <w:sz w:val="20"/>
          <w:szCs w:val="20"/>
        </w:rPr>
        <w:t>yang</w:t>
      </w:r>
      <w:r w:rsidRPr="008262B9">
        <w:rPr>
          <w:rFonts w:ascii="Bookman Old Style" w:hAnsi="Bookman Old Style"/>
          <w:spacing w:val="-3"/>
          <w:sz w:val="20"/>
          <w:szCs w:val="20"/>
        </w:rPr>
        <w:t xml:space="preserve"> </w:t>
      </w:r>
      <w:r w:rsidRPr="008262B9">
        <w:rPr>
          <w:rFonts w:ascii="Bookman Old Style" w:hAnsi="Bookman Old Style"/>
          <w:sz w:val="20"/>
          <w:szCs w:val="20"/>
        </w:rPr>
        <w:t>berwarna</w:t>
      </w:r>
      <w:r w:rsidRPr="008262B9">
        <w:rPr>
          <w:rFonts w:ascii="Bookman Old Style" w:hAnsi="Bookman Old Style"/>
          <w:spacing w:val="-4"/>
          <w:sz w:val="20"/>
          <w:szCs w:val="20"/>
        </w:rPr>
        <w:t xml:space="preserve"> </w:t>
      </w:r>
      <w:r w:rsidRPr="008262B9">
        <w:rPr>
          <w:rFonts w:ascii="Bookman Old Style" w:hAnsi="Bookman Old Style"/>
          <w:sz w:val="20"/>
          <w:szCs w:val="20"/>
        </w:rPr>
        <w:t>hitam</w:t>
      </w:r>
      <w:r w:rsidRPr="008262B9">
        <w:rPr>
          <w:rFonts w:ascii="Bookman Old Style" w:hAnsi="Bookman Old Style"/>
          <w:spacing w:val="-4"/>
          <w:sz w:val="20"/>
          <w:szCs w:val="20"/>
        </w:rPr>
        <w:t xml:space="preserve"> </w:t>
      </w:r>
      <w:r w:rsidRPr="008262B9">
        <w:rPr>
          <w:rFonts w:ascii="Bookman Old Style" w:hAnsi="Bookman Old Style"/>
          <w:sz w:val="20"/>
          <w:szCs w:val="20"/>
        </w:rPr>
        <w:t>tidak</w:t>
      </w:r>
      <w:r w:rsidRPr="008262B9">
        <w:rPr>
          <w:rFonts w:ascii="Bookman Old Style" w:hAnsi="Bookman Old Style"/>
          <w:spacing w:val="-3"/>
          <w:sz w:val="20"/>
          <w:szCs w:val="20"/>
        </w:rPr>
        <w:t xml:space="preserve"> </w:t>
      </w:r>
      <w:r w:rsidRPr="008262B9">
        <w:rPr>
          <w:rFonts w:ascii="Bookman Old Style" w:hAnsi="Bookman Old Style"/>
          <w:sz w:val="20"/>
          <w:szCs w:val="20"/>
        </w:rPr>
        <w:t>perlu</w:t>
      </w:r>
      <w:r w:rsidRPr="008262B9">
        <w:rPr>
          <w:rFonts w:ascii="Bookman Old Style" w:hAnsi="Bookman Old Style"/>
          <w:spacing w:val="-4"/>
          <w:sz w:val="20"/>
          <w:szCs w:val="20"/>
        </w:rPr>
        <w:t xml:space="preserve"> </w:t>
      </w:r>
      <w:r w:rsidRPr="008262B9">
        <w:rPr>
          <w:rFonts w:ascii="Bookman Old Style" w:hAnsi="Bookman Old Style"/>
          <w:sz w:val="20"/>
          <w:szCs w:val="20"/>
        </w:rPr>
        <w:t>diisi.</w:t>
      </w:r>
    </w:p>
    <w:p w14:paraId="27634E79" w14:textId="77777777" w:rsidR="009A4BC4" w:rsidRPr="008262B9" w:rsidRDefault="009A4BC4" w:rsidP="00A32F86">
      <w:pPr>
        <w:pStyle w:val="ListParagraph"/>
        <w:widowControl w:val="0"/>
        <w:numPr>
          <w:ilvl w:val="1"/>
          <w:numId w:val="215"/>
        </w:numPr>
        <w:tabs>
          <w:tab w:val="left" w:pos="1209"/>
        </w:tabs>
        <w:autoSpaceDE w:val="0"/>
        <w:autoSpaceDN w:val="0"/>
        <w:spacing w:before="2" w:after="0" w:line="240" w:lineRule="auto"/>
        <w:ind w:right="628"/>
        <w:contextualSpacing w:val="0"/>
        <w:jc w:val="both"/>
        <w:rPr>
          <w:rFonts w:ascii="Bookman Old Style" w:hAnsi="Bookman Old Style"/>
          <w:sz w:val="20"/>
          <w:szCs w:val="20"/>
        </w:rPr>
      </w:pPr>
      <w:r w:rsidRPr="008262B9">
        <w:rPr>
          <w:rFonts w:ascii="Bookman Old Style" w:hAnsi="Bookman Old Style"/>
          <w:sz w:val="20"/>
          <w:szCs w:val="20"/>
        </w:rPr>
        <w:t>Nilai</w:t>
      </w:r>
      <w:r w:rsidRPr="008262B9">
        <w:rPr>
          <w:rFonts w:ascii="Bookman Old Style" w:hAnsi="Bookman Old Style"/>
          <w:spacing w:val="2"/>
          <w:sz w:val="20"/>
          <w:szCs w:val="20"/>
        </w:rPr>
        <w:t xml:space="preserve"> </w:t>
      </w:r>
      <w:r w:rsidRPr="008262B9">
        <w:rPr>
          <w:rFonts w:ascii="Bookman Old Style" w:hAnsi="Bookman Old Style"/>
          <w:sz w:val="20"/>
          <w:szCs w:val="20"/>
        </w:rPr>
        <w:t>yang</w:t>
      </w:r>
      <w:r w:rsidRPr="008262B9">
        <w:rPr>
          <w:rFonts w:ascii="Bookman Old Style" w:hAnsi="Bookman Old Style"/>
          <w:spacing w:val="1"/>
          <w:sz w:val="20"/>
          <w:szCs w:val="20"/>
        </w:rPr>
        <w:t xml:space="preserve"> </w:t>
      </w:r>
      <w:r w:rsidRPr="008262B9">
        <w:rPr>
          <w:rFonts w:ascii="Bookman Old Style" w:hAnsi="Bookman Old Style"/>
          <w:sz w:val="20"/>
          <w:szCs w:val="20"/>
        </w:rPr>
        <w:t>dimasukkan</w:t>
      </w:r>
      <w:r w:rsidRPr="008262B9">
        <w:rPr>
          <w:rFonts w:ascii="Bookman Old Style" w:hAnsi="Bookman Old Style"/>
          <w:spacing w:val="1"/>
          <w:sz w:val="20"/>
          <w:szCs w:val="20"/>
        </w:rPr>
        <w:t xml:space="preserve"> </w:t>
      </w:r>
      <w:r w:rsidRPr="008262B9">
        <w:rPr>
          <w:rFonts w:ascii="Bookman Old Style" w:hAnsi="Bookman Old Style"/>
          <w:sz w:val="20"/>
          <w:szCs w:val="20"/>
        </w:rPr>
        <w:t>pada</w:t>
      </w:r>
      <w:r w:rsidRPr="008262B9">
        <w:rPr>
          <w:rFonts w:ascii="Bookman Old Style" w:hAnsi="Bookman Old Style"/>
          <w:spacing w:val="1"/>
          <w:sz w:val="20"/>
          <w:szCs w:val="20"/>
        </w:rPr>
        <w:t xml:space="preserve"> </w:t>
      </w:r>
      <w:r w:rsidRPr="008262B9">
        <w:rPr>
          <w:rFonts w:ascii="Bookman Old Style" w:hAnsi="Bookman Old Style"/>
          <w:sz w:val="20"/>
          <w:szCs w:val="20"/>
        </w:rPr>
        <w:t>Kertas</w:t>
      </w:r>
      <w:r w:rsidRPr="008262B9">
        <w:rPr>
          <w:rFonts w:ascii="Bookman Old Style" w:hAnsi="Bookman Old Style"/>
          <w:spacing w:val="1"/>
          <w:sz w:val="20"/>
          <w:szCs w:val="20"/>
        </w:rPr>
        <w:t xml:space="preserve"> </w:t>
      </w:r>
      <w:r w:rsidRPr="008262B9">
        <w:rPr>
          <w:rFonts w:ascii="Bookman Old Style" w:hAnsi="Bookman Old Style"/>
          <w:sz w:val="20"/>
          <w:szCs w:val="20"/>
        </w:rPr>
        <w:t>Kerja</w:t>
      </w:r>
      <w:r w:rsidRPr="008262B9">
        <w:rPr>
          <w:rFonts w:ascii="Bookman Old Style" w:hAnsi="Bookman Old Style"/>
          <w:spacing w:val="2"/>
          <w:sz w:val="20"/>
          <w:szCs w:val="20"/>
        </w:rPr>
        <w:t xml:space="preserve"> </w:t>
      </w:r>
      <w:r w:rsidRPr="008262B9">
        <w:rPr>
          <w:rFonts w:ascii="Bookman Old Style" w:hAnsi="Bookman Old Style"/>
          <w:sz w:val="20"/>
          <w:szCs w:val="20"/>
        </w:rPr>
        <w:t>NSFR</w:t>
      </w:r>
      <w:r w:rsidRPr="008262B9">
        <w:rPr>
          <w:rFonts w:ascii="Bookman Old Style" w:hAnsi="Bookman Old Style"/>
          <w:spacing w:val="2"/>
          <w:sz w:val="20"/>
          <w:szCs w:val="20"/>
        </w:rPr>
        <w:t xml:space="preserve"> </w:t>
      </w:r>
      <w:r w:rsidRPr="008262B9">
        <w:rPr>
          <w:rFonts w:ascii="Bookman Old Style" w:hAnsi="Bookman Old Style"/>
          <w:sz w:val="20"/>
          <w:szCs w:val="20"/>
        </w:rPr>
        <w:t>adalah</w:t>
      </w:r>
      <w:r w:rsidRPr="008262B9">
        <w:rPr>
          <w:rFonts w:ascii="Bookman Old Style" w:hAnsi="Bookman Old Style"/>
          <w:spacing w:val="1"/>
          <w:sz w:val="20"/>
          <w:szCs w:val="20"/>
        </w:rPr>
        <w:t xml:space="preserve"> </w:t>
      </w:r>
      <w:r w:rsidRPr="008262B9">
        <w:rPr>
          <w:rFonts w:ascii="Bookman Old Style" w:hAnsi="Bookman Old Style"/>
          <w:sz w:val="20"/>
          <w:szCs w:val="20"/>
        </w:rPr>
        <w:t>nilai</w:t>
      </w:r>
      <w:r w:rsidRPr="008262B9">
        <w:rPr>
          <w:rFonts w:ascii="Bookman Old Style" w:hAnsi="Bookman Old Style"/>
          <w:spacing w:val="-1"/>
          <w:sz w:val="20"/>
          <w:szCs w:val="20"/>
        </w:rPr>
        <w:t xml:space="preserve"> </w:t>
      </w:r>
      <w:r w:rsidRPr="008262B9">
        <w:rPr>
          <w:rFonts w:ascii="Bookman Old Style" w:hAnsi="Bookman Old Style"/>
          <w:sz w:val="20"/>
          <w:szCs w:val="20"/>
        </w:rPr>
        <w:t>posisi</w:t>
      </w:r>
      <w:r w:rsidRPr="008262B9">
        <w:rPr>
          <w:rFonts w:ascii="Bookman Old Style" w:hAnsi="Bookman Old Style"/>
          <w:spacing w:val="1"/>
          <w:sz w:val="20"/>
          <w:szCs w:val="20"/>
        </w:rPr>
        <w:t xml:space="preserve"> </w:t>
      </w:r>
      <w:r w:rsidRPr="008262B9">
        <w:rPr>
          <w:rFonts w:ascii="Bookman Old Style" w:hAnsi="Bookman Old Style"/>
          <w:sz w:val="20"/>
          <w:szCs w:val="20"/>
        </w:rPr>
        <w:t>akhir</w:t>
      </w:r>
      <w:r w:rsidRPr="008262B9">
        <w:rPr>
          <w:rFonts w:ascii="Bookman Old Style" w:hAnsi="Bookman Old Style"/>
          <w:spacing w:val="2"/>
          <w:sz w:val="20"/>
          <w:szCs w:val="20"/>
        </w:rPr>
        <w:t xml:space="preserve"> </w:t>
      </w:r>
      <w:r w:rsidRPr="008262B9">
        <w:rPr>
          <w:rFonts w:ascii="Bookman Old Style" w:hAnsi="Bookman Old Style"/>
          <w:sz w:val="20"/>
          <w:szCs w:val="20"/>
        </w:rPr>
        <w:t>bulan</w:t>
      </w:r>
      <w:r w:rsidRPr="008262B9">
        <w:rPr>
          <w:rFonts w:ascii="Bookman Old Style" w:hAnsi="Bookman Old Style"/>
          <w:spacing w:val="1"/>
          <w:sz w:val="20"/>
          <w:szCs w:val="20"/>
        </w:rPr>
        <w:t xml:space="preserve"> </w:t>
      </w:r>
      <w:r w:rsidRPr="008262B9">
        <w:rPr>
          <w:rFonts w:ascii="Bookman Old Style" w:hAnsi="Bookman Old Style"/>
          <w:sz w:val="20"/>
          <w:szCs w:val="20"/>
        </w:rPr>
        <w:t>laporan</w:t>
      </w:r>
      <w:r w:rsidRPr="008262B9">
        <w:rPr>
          <w:rFonts w:ascii="Bookman Old Style" w:hAnsi="Bookman Old Style"/>
          <w:spacing w:val="1"/>
          <w:sz w:val="20"/>
          <w:szCs w:val="20"/>
        </w:rPr>
        <w:t xml:space="preserve"> </w:t>
      </w:r>
      <w:r w:rsidRPr="008262B9">
        <w:rPr>
          <w:rFonts w:ascii="Bookman Old Style" w:hAnsi="Bookman Old Style"/>
          <w:sz w:val="20"/>
          <w:szCs w:val="20"/>
        </w:rPr>
        <w:t>untuk</w:t>
      </w:r>
      <w:r w:rsidRPr="008262B9">
        <w:rPr>
          <w:rFonts w:ascii="Bookman Old Style" w:hAnsi="Bookman Old Style"/>
          <w:spacing w:val="1"/>
          <w:sz w:val="20"/>
          <w:szCs w:val="20"/>
        </w:rPr>
        <w:t xml:space="preserve"> </w:t>
      </w:r>
      <w:r w:rsidRPr="008262B9">
        <w:rPr>
          <w:rFonts w:ascii="Bookman Old Style" w:hAnsi="Bookman Old Style"/>
          <w:sz w:val="20"/>
          <w:szCs w:val="20"/>
        </w:rPr>
        <w:t>pemantauan</w:t>
      </w:r>
      <w:r w:rsidRPr="008262B9">
        <w:rPr>
          <w:rFonts w:ascii="Bookman Old Style" w:hAnsi="Bookman Old Style"/>
          <w:spacing w:val="2"/>
          <w:sz w:val="20"/>
          <w:szCs w:val="20"/>
        </w:rPr>
        <w:t xml:space="preserve"> </w:t>
      </w:r>
      <w:r w:rsidRPr="008262B9">
        <w:rPr>
          <w:rFonts w:ascii="Bookman Old Style" w:hAnsi="Bookman Old Style"/>
          <w:sz w:val="20"/>
          <w:szCs w:val="20"/>
        </w:rPr>
        <w:t>pemenuhan</w:t>
      </w:r>
      <w:r w:rsidRPr="008262B9">
        <w:rPr>
          <w:rFonts w:ascii="Bookman Old Style" w:hAnsi="Bookman Old Style"/>
          <w:spacing w:val="1"/>
          <w:sz w:val="20"/>
          <w:szCs w:val="20"/>
        </w:rPr>
        <w:t xml:space="preserve"> </w:t>
      </w:r>
      <w:r w:rsidRPr="008262B9">
        <w:rPr>
          <w:rFonts w:ascii="Bookman Old Style" w:hAnsi="Bookman Old Style"/>
          <w:sz w:val="20"/>
          <w:szCs w:val="20"/>
        </w:rPr>
        <w:t>NSFR</w:t>
      </w:r>
      <w:r w:rsidRPr="008262B9">
        <w:rPr>
          <w:rFonts w:ascii="Bookman Old Style" w:hAnsi="Bookman Old Style"/>
          <w:spacing w:val="1"/>
          <w:sz w:val="20"/>
          <w:szCs w:val="20"/>
        </w:rPr>
        <w:t xml:space="preserve"> </w:t>
      </w:r>
      <w:r w:rsidRPr="008262B9">
        <w:rPr>
          <w:rFonts w:ascii="Bookman Old Style" w:hAnsi="Bookman Old Style"/>
          <w:sz w:val="20"/>
          <w:szCs w:val="20"/>
        </w:rPr>
        <w:t>bulanan</w:t>
      </w:r>
      <w:r w:rsidRPr="008262B9">
        <w:rPr>
          <w:rFonts w:ascii="Bookman Old Style" w:hAnsi="Bookman Old Style"/>
          <w:spacing w:val="-4"/>
          <w:sz w:val="20"/>
          <w:szCs w:val="20"/>
        </w:rPr>
        <w:t xml:space="preserve"> </w:t>
      </w:r>
      <w:r w:rsidRPr="008262B9">
        <w:rPr>
          <w:rFonts w:ascii="Bookman Old Style" w:hAnsi="Bookman Old Style"/>
          <w:sz w:val="20"/>
          <w:szCs w:val="20"/>
        </w:rPr>
        <w:t>dan</w:t>
      </w:r>
      <w:r w:rsidRPr="008262B9">
        <w:rPr>
          <w:rFonts w:ascii="Bookman Old Style" w:hAnsi="Bookman Old Style"/>
          <w:spacing w:val="-4"/>
          <w:sz w:val="20"/>
          <w:szCs w:val="20"/>
        </w:rPr>
        <w:t xml:space="preserve"> </w:t>
      </w:r>
      <w:r w:rsidRPr="008262B9">
        <w:rPr>
          <w:rFonts w:ascii="Bookman Old Style" w:hAnsi="Bookman Old Style"/>
          <w:sz w:val="20"/>
          <w:szCs w:val="20"/>
        </w:rPr>
        <w:t>nilai</w:t>
      </w:r>
      <w:r w:rsidRPr="008262B9">
        <w:rPr>
          <w:rFonts w:ascii="Bookman Old Style" w:hAnsi="Bookman Old Style"/>
          <w:spacing w:val="-4"/>
          <w:sz w:val="20"/>
          <w:szCs w:val="20"/>
        </w:rPr>
        <w:t xml:space="preserve"> </w:t>
      </w:r>
      <w:r w:rsidRPr="008262B9">
        <w:rPr>
          <w:rFonts w:ascii="Bookman Old Style" w:hAnsi="Bookman Old Style"/>
          <w:sz w:val="20"/>
          <w:szCs w:val="20"/>
        </w:rPr>
        <w:t>posisi</w:t>
      </w:r>
      <w:r w:rsidRPr="008262B9">
        <w:rPr>
          <w:rFonts w:ascii="Bookman Old Style" w:hAnsi="Bookman Old Style"/>
          <w:spacing w:val="-3"/>
          <w:sz w:val="20"/>
          <w:szCs w:val="20"/>
        </w:rPr>
        <w:t xml:space="preserve"> </w:t>
      </w:r>
      <w:r w:rsidRPr="008262B9">
        <w:rPr>
          <w:rFonts w:ascii="Bookman Old Style" w:hAnsi="Bookman Old Style"/>
          <w:sz w:val="20"/>
          <w:szCs w:val="20"/>
        </w:rPr>
        <w:t>akhir</w:t>
      </w:r>
      <w:r w:rsidRPr="008262B9">
        <w:rPr>
          <w:rFonts w:ascii="Bookman Old Style" w:hAnsi="Bookman Old Style"/>
          <w:spacing w:val="-3"/>
          <w:sz w:val="20"/>
          <w:szCs w:val="20"/>
        </w:rPr>
        <w:t xml:space="preserve"> </w:t>
      </w:r>
      <w:r w:rsidRPr="008262B9">
        <w:rPr>
          <w:rFonts w:ascii="Bookman Old Style" w:hAnsi="Bookman Old Style"/>
          <w:sz w:val="20"/>
          <w:szCs w:val="20"/>
        </w:rPr>
        <w:t>triwulan</w:t>
      </w:r>
      <w:r w:rsidRPr="008262B9">
        <w:rPr>
          <w:rFonts w:ascii="Bookman Old Style" w:hAnsi="Bookman Old Style"/>
          <w:spacing w:val="-3"/>
          <w:sz w:val="20"/>
          <w:szCs w:val="20"/>
        </w:rPr>
        <w:t xml:space="preserve"> </w:t>
      </w:r>
      <w:r w:rsidRPr="008262B9">
        <w:rPr>
          <w:rFonts w:ascii="Bookman Old Style" w:hAnsi="Bookman Old Style"/>
          <w:sz w:val="20"/>
          <w:szCs w:val="20"/>
        </w:rPr>
        <w:t>laporan</w:t>
      </w:r>
      <w:r w:rsidRPr="008262B9">
        <w:rPr>
          <w:rFonts w:ascii="Bookman Old Style" w:hAnsi="Bookman Old Style"/>
          <w:spacing w:val="-3"/>
          <w:sz w:val="20"/>
          <w:szCs w:val="20"/>
        </w:rPr>
        <w:t xml:space="preserve"> </w:t>
      </w:r>
      <w:r w:rsidRPr="008262B9">
        <w:rPr>
          <w:rFonts w:ascii="Bookman Old Style" w:hAnsi="Bookman Old Style"/>
          <w:sz w:val="20"/>
          <w:szCs w:val="20"/>
        </w:rPr>
        <w:t>untuk</w:t>
      </w:r>
      <w:r w:rsidRPr="008262B9">
        <w:rPr>
          <w:rFonts w:ascii="Bookman Old Style" w:hAnsi="Bookman Old Style"/>
          <w:spacing w:val="-3"/>
          <w:sz w:val="20"/>
          <w:szCs w:val="20"/>
        </w:rPr>
        <w:t xml:space="preserve"> </w:t>
      </w:r>
      <w:r w:rsidRPr="008262B9">
        <w:rPr>
          <w:rFonts w:ascii="Bookman Old Style" w:hAnsi="Bookman Old Style"/>
          <w:sz w:val="20"/>
          <w:szCs w:val="20"/>
        </w:rPr>
        <w:t>Kertas</w:t>
      </w:r>
      <w:r w:rsidRPr="008262B9">
        <w:rPr>
          <w:rFonts w:ascii="Bookman Old Style" w:hAnsi="Bookman Old Style"/>
          <w:spacing w:val="-4"/>
          <w:sz w:val="20"/>
          <w:szCs w:val="20"/>
        </w:rPr>
        <w:t xml:space="preserve"> </w:t>
      </w:r>
      <w:r w:rsidRPr="008262B9">
        <w:rPr>
          <w:rFonts w:ascii="Bookman Old Style" w:hAnsi="Bookman Old Style"/>
          <w:sz w:val="20"/>
          <w:szCs w:val="20"/>
        </w:rPr>
        <w:t>Kerja</w:t>
      </w:r>
      <w:r w:rsidRPr="008262B9">
        <w:rPr>
          <w:rFonts w:ascii="Bookman Old Style" w:hAnsi="Bookman Old Style"/>
          <w:spacing w:val="-4"/>
          <w:sz w:val="20"/>
          <w:szCs w:val="20"/>
        </w:rPr>
        <w:t xml:space="preserve"> </w:t>
      </w:r>
      <w:r w:rsidRPr="008262B9">
        <w:rPr>
          <w:rFonts w:ascii="Bookman Old Style" w:hAnsi="Bookman Old Style"/>
          <w:sz w:val="20"/>
          <w:szCs w:val="20"/>
        </w:rPr>
        <w:t>NSFR</w:t>
      </w:r>
      <w:r w:rsidRPr="008262B9">
        <w:rPr>
          <w:rFonts w:ascii="Bookman Old Style" w:hAnsi="Bookman Old Style"/>
          <w:spacing w:val="-3"/>
          <w:sz w:val="20"/>
          <w:szCs w:val="20"/>
        </w:rPr>
        <w:t xml:space="preserve"> </w:t>
      </w:r>
      <w:r w:rsidRPr="008262B9">
        <w:rPr>
          <w:rFonts w:ascii="Bookman Old Style" w:hAnsi="Bookman Old Style"/>
          <w:sz w:val="20"/>
          <w:szCs w:val="20"/>
        </w:rPr>
        <w:t>yang</w:t>
      </w:r>
      <w:r w:rsidRPr="008262B9">
        <w:rPr>
          <w:rFonts w:ascii="Bookman Old Style" w:hAnsi="Bookman Old Style"/>
          <w:spacing w:val="-2"/>
          <w:sz w:val="20"/>
          <w:szCs w:val="20"/>
        </w:rPr>
        <w:t xml:space="preserve"> </w:t>
      </w:r>
      <w:r w:rsidRPr="008262B9">
        <w:rPr>
          <w:rFonts w:ascii="Bookman Old Style" w:hAnsi="Bookman Old Style"/>
          <w:sz w:val="20"/>
          <w:szCs w:val="20"/>
        </w:rPr>
        <w:t>disampaikan</w:t>
      </w:r>
      <w:r w:rsidRPr="008262B9">
        <w:rPr>
          <w:rFonts w:ascii="Bookman Old Style" w:hAnsi="Bookman Old Style"/>
          <w:spacing w:val="-3"/>
          <w:sz w:val="20"/>
          <w:szCs w:val="20"/>
        </w:rPr>
        <w:t xml:space="preserve"> </w:t>
      </w:r>
      <w:r w:rsidRPr="008262B9">
        <w:rPr>
          <w:rFonts w:ascii="Bookman Old Style" w:hAnsi="Bookman Old Style"/>
          <w:sz w:val="20"/>
          <w:szCs w:val="20"/>
        </w:rPr>
        <w:t>kepada</w:t>
      </w:r>
      <w:r w:rsidRPr="008262B9">
        <w:rPr>
          <w:rFonts w:ascii="Bookman Old Style" w:hAnsi="Bookman Old Style"/>
          <w:spacing w:val="-4"/>
          <w:sz w:val="20"/>
          <w:szCs w:val="20"/>
        </w:rPr>
        <w:t xml:space="preserve"> </w:t>
      </w:r>
      <w:r w:rsidRPr="008262B9">
        <w:rPr>
          <w:rFonts w:ascii="Bookman Old Style" w:hAnsi="Bookman Old Style"/>
          <w:sz w:val="20"/>
          <w:szCs w:val="20"/>
        </w:rPr>
        <w:t>Otoritas</w:t>
      </w:r>
      <w:r w:rsidRPr="008262B9">
        <w:rPr>
          <w:rFonts w:ascii="Bookman Old Style" w:hAnsi="Bookman Old Style"/>
          <w:spacing w:val="-3"/>
          <w:sz w:val="20"/>
          <w:szCs w:val="20"/>
        </w:rPr>
        <w:t xml:space="preserve"> </w:t>
      </w:r>
      <w:r w:rsidRPr="008262B9">
        <w:rPr>
          <w:rFonts w:ascii="Bookman Old Style" w:hAnsi="Bookman Old Style"/>
          <w:sz w:val="20"/>
          <w:szCs w:val="20"/>
        </w:rPr>
        <w:t>Jasa</w:t>
      </w:r>
      <w:r w:rsidRPr="008262B9">
        <w:rPr>
          <w:rFonts w:ascii="Bookman Old Style" w:hAnsi="Bookman Old Style"/>
          <w:spacing w:val="-2"/>
          <w:sz w:val="20"/>
          <w:szCs w:val="20"/>
        </w:rPr>
        <w:t xml:space="preserve"> </w:t>
      </w:r>
      <w:r w:rsidRPr="008262B9">
        <w:rPr>
          <w:rFonts w:ascii="Bookman Old Style" w:hAnsi="Bookman Old Style"/>
          <w:sz w:val="20"/>
          <w:szCs w:val="20"/>
        </w:rPr>
        <w:t>Keuangan.</w:t>
      </w:r>
    </w:p>
    <w:p w14:paraId="61A41087" w14:textId="77777777" w:rsidR="009A4BC4" w:rsidRPr="008262B9" w:rsidRDefault="009A4BC4" w:rsidP="00A32F86">
      <w:pPr>
        <w:pStyle w:val="ListParagraph"/>
        <w:widowControl w:val="0"/>
        <w:numPr>
          <w:ilvl w:val="1"/>
          <w:numId w:val="215"/>
        </w:numPr>
        <w:tabs>
          <w:tab w:val="left" w:pos="1209"/>
        </w:tabs>
        <w:autoSpaceDE w:val="0"/>
        <w:autoSpaceDN w:val="0"/>
        <w:spacing w:after="0" w:line="240" w:lineRule="auto"/>
        <w:ind w:right="616"/>
        <w:contextualSpacing w:val="0"/>
        <w:jc w:val="both"/>
        <w:rPr>
          <w:rFonts w:ascii="Bookman Old Style" w:hAnsi="Bookman Old Style"/>
          <w:i/>
          <w:sz w:val="20"/>
          <w:szCs w:val="20"/>
        </w:rPr>
      </w:pPr>
      <w:r w:rsidRPr="008262B9">
        <w:rPr>
          <w:rFonts w:ascii="Bookman Old Style" w:hAnsi="Bookman Old Style"/>
          <w:sz w:val="20"/>
          <w:szCs w:val="20"/>
        </w:rPr>
        <w:t>Nilai</w:t>
      </w:r>
      <w:r w:rsidRPr="008262B9">
        <w:rPr>
          <w:rFonts w:ascii="Bookman Old Style" w:hAnsi="Bookman Old Style"/>
          <w:spacing w:val="12"/>
          <w:sz w:val="20"/>
          <w:szCs w:val="20"/>
        </w:rPr>
        <w:t xml:space="preserve"> </w:t>
      </w:r>
      <w:r w:rsidRPr="008262B9">
        <w:rPr>
          <w:rFonts w:ascii="Bookman Old Style" w:hAnsi="Bookman Old Style"/>
          <w:sz w:val="20"/>
          <w:szCs w:val="20"/>
        </w:rPr>
        <w:t>yang</w:t>
      </w:r>
      <w:r w:rsidRPr="008262B9">
        <w:rPr>
          <w:rFonts w:ascii="Bookman Old Style" w:hAnsi="Bookman Old Style"/>
          <w:spacing w:val="13"/>
          <w:sz w:val="20"/>
          <w:szCs w:val="20"/>
        </w:rPr>
        <w:t xml:space="preserve"> </w:t>
      </w:r>
      <w:r w:rsidRPr="008262B9">
        <w:rPr>
          <w:rFonts w:ascii="Bookman Old Style" w:hAnsi="Bookman Old Style"/>
          <w:sz w:val="20"/>
          <w:szCs w:val="20"/>
        </w:rPr>
        <w:t>dimasukkan</w:t>
      </w:r>
      <w:r w:rsidRPr="008262B9">
        <w:rPr>
          <w:rFonts w:ascii="Bookman Old Style" w:hAnsi="Bookman Old Style"/>
          <w:spacing w:val="13"/>
          <w:sz w:val="20"/>
          <w:szCs w:val="20"/>
        </w:rPr>
        <w:t xml:space="preserve"> </w:t>
      </w:r>
      <w:r w:rsidRPr="008262B9">
        <w:rPr>
          <w:rFonts w:ascii="Bookman Old Style" w:hAnsi="Bookman Old Style"/>
          <w:sz w:val="20"/>
          <w:szCs w:val="20"/>
        </w:rPr>
        <w:t>pada</w:t>
      </w:r>
      <w:r w:rsidRPr="008262B9">
        <w:rPr>
          <w:rFonts w:ascii="Bookman Old Style" w:hAnsi="Bookman Old Style"/>
          <w:spacing w:val="13"/>
          <w:sz w:val="20"/>
          <w:szCs w:val="20"/>
        </w:rPr>
        <w:t xml:space="preserve"> </w:t>
      </w:r>
      <w:r w:rsidRPr="008262B9">
        <w:rPr>
          <w:rFonts w:ascii="Bookman Old Style" w:hAnsi="Bookman Old Style"/>
          <w:sz w:val="20"/>
          <w:szCs w:val="20"/>
        </w:rPr>
        <w:t>komponen</w:t>
      </w:r>
      <w:r w:rsidRPr="008262B9">
        <w:rPr>
          <w:rFonts w:ascii="Bookman Old Style" w:hAnsi="Bookman Old Style"/>
          <w:spacing w:val="12"/>
          <w:sz w:val="20"/>
          <w:szCs w:val="20"/>
        </w:rPr>
        <w:t xml:space="preserve"> </w:t>
      </w:r>
      <w:r w:rsidRPr="008262B9">
        <w:rPr>
          <w:rFonts w:ascii="Bookman Old Style" w:hAnsi="Bookman Old Style"/>
          <w:sz w:val="20"/>
          <w:szCs w:val="20"/>
        </w:rPr>
        <w:t>RSF</w:t>
      </w:r>
      <w:r w:rsidRPr="008262B9">
        <w:rPr>
          <w:rFonts w:ascii="Bookman Old Style" w:hAnsi="Bookman Old Style"/>
          <w:spacing w:val="13"/>
          <w:sz w:val="20"/>
          <w:szCs w:val="20"/>
        </w:rPr>
        <w:t xml:space="preserve"> </w:t>
      </w:r>
      <w:r w:rsidRPr="008262B9">
        <w:rPr>
          <w:rFonts w:ascii="Bookman Old Style" w:hAnsi="Bookman Old Style"/>
          <w:sz w:val="20"/>
          <w:szCs w:val="20"/>
        </w:rPr>
        <w:t>harus</w:t>
      </w:r>
      <w:r w:rsidRPr="008262B9">
        <w:rPr>
          <w:rFonts w:ascii="Bookman Old Style" w:hAnsi="Bookman Old Style"/>
          <w:spacing w:val="13"/>
          <w:sz w:val="20"/>
          <w:szCs w:val="20"/>
        </w:rPr>
        <w:t xml:space="preserve"> </w:t>
      </w:r>
      <w:r w:rsidRPr="008262B9">
        <w:rPr>
          <w:rFonts w:ascii="Bookman Old Style" w:hAnsi="Bookman Old Style"/>
          <w:sz w:val="20"/>
          <w:szCs w:val="20"/>
        </w:rPr>
        <w:t>mencakup</w:t>
      </w:r>
      <w:r w:rsidRPr="008262B9">
        <w:rPr>
          <w:rFonts w:ascii="Bookman Old Style" w:hAnsi="Bookman Old Style"/>
          <w:spacing w:val="13"/>
          <w:sz w:val="20"/>
          <w:szCs w:val="20"/>
        </w:rPr>
        <w:t xml:space="preserve"> </w:t>
      </w:r>
      <w:r w:rsidRPr="008262B9">
        <w:rPr>
          <w:rFonts w:ascii="Bookman Old Style" w:hAnsi="Bookman Old Style"/>
          <w:sz w:val="20"/>
          <w:szCs w:val="20"/>
        </w:rPr>
        <w:t>jumlah</w:t>
      </w:r>
      <w:r w:rsidRPr="008262B9">
        <w:rPr>
          <w:rFonts w:ascii="Bookman Old Style" w:hAnsi="Bookman Old Style"/>
          <w:spacing w:val="12"/>
          <w:sz w:val="20"/>
          <w:szCs w:val="20"/>
        </w:rPr>
        <w:t xml:space="preserve"> </w:t>
      </w:r>
      <w:r w:rsidRPr="008262B9">
        <w:rPr>
          <w:rFonts w:ascii="Bookman Old Style" w:hAnsi="Bookman Old Style"/>
          <w:sz w:val="20"/>
          <w:szCs w:val="20"/>
        </w:rPr>
        <w:t>aset</w:t>
      </w:r>
      <w:r w:rsidRPr="008262B9">
        <w:rPr>
          <w:rFonts w:ascii="Bookman Old Style" w:hAnsi="Bookman Old Style"/>
          <w:spacing w:val="13"/>
          <w:sz w:val="20"/>
          <w:szCs w:val="20"/>
        </w:rPr>
        <w:t xml:space="preserve"> </w:t>
      </w:r>
      <w:r w:rsidRPr="008262B9">
        <w:rPr>
          <w:rFonts w:ascii="Bookman Old Style" w:hAnsi="Bookman Old Style"/>
          <w:sz w:val="20"/>
          <w:szCs w:val="20"/>
        </w:rPr>
        <w:t>yang</w:t>
      </w:r>
      <w:r w:rsidRPr="008262B9">
        <w:rPr>
          <w:rFonts w:ascii="Bookman Old Style" w:hAnsi="Bookman Old Style"/>
          <w:spacing w:val="13"/>
          <w:sz w:val="20"/>
          <w:szCs w:val="20"/>
        </w:rPr>
        <w:t xml:space="preserve"> </w:t>
      </w:r>
      <w:r w:rsidRPr="008262B9">
        <w:rPr>
          <w:rFonts w:ascii="Bookman Old Style" w:hAnsi="Bookman Old Style"/>
          <w:sz w:val="20"/>
          <w:szCs w:val="20"/>
        </w:rPr>
        <w:t>bebas</w:t>
      </w:r>
      <w:r w:rsidRPr="008262B9">
        <w:rPr>
          <w:rFonts w:ascii="Bookman Old Style" w:hAnsi="Bookman Old Style"/>
          <w:spacing w:val="13"/>
          <w:sz w:val="20"/>
          <w:szCs w:val="20"/>
        </w:rPr>
        <w:t xml:space="preserve"> </w:t>
      </w:r>
      <w:r w:rsidRPr="008262B9">
        <w:rPr>
          <w:rFonts w:ascii="Bookman Old Style" w:hAnsi="Bookman Old Style"/>
          <w:sz w:val="20"/>
          <w:szCs w:val="20"/>
        </w:rPr>
        <w:t>dari</w:t>
      </w:r>
      <w:r w:rsidRPr="008262B9">
        <w:rPr>
          <w:rFonts w:ascii="Bookman Old Style" w:hAnsi="Bookman Old Style"/>
          <w:spacing w:val="13"/>
          <w:sz w:val="20"/>
          <w:szCs w:val="20"/>
        </w:rPr>
        <w:t xml:space="preserve"> </w:t>
      </w:r>
      <w:r w:rsidRPr="008262B9">
        <w:rPr>
          <w:rFonts w:ascii="Bookman Old Style" w:hAnsi="Bookman Old Style"/>
          <w:sz w:val="20"/>
          <w:szCs w:val="20"/>
        </w:rPr>
        <w:t>segala</w:t>
      </w:r>
      <w:r w:rsidRPr="008262B9">
        <w:rPr>
          <w:rFonts w:ascii="Bookman Old Style" w:hAnsi="Bookman Old Style"/>
          <w:spacing w:val="12"/>
          <w:sz w:val="20"/>
          <w:szCs w:val="20"/>
        </w:rPr>
        <w:t xml:space="preserve"> </w:t>
      </w:r>
      <w:r w:rsidRPr="008262B9">
        <w:rPr>
          <w:rFonts w:ascii="Bookman Old Style" w:hAnsi="Bookman Old Style"/>
          <w:sz w:val="20"/>
          <w:szCs w:val="20"/>
        </w:rPr>
        <w:t>klaim</w:t>
      </w:r>
      <w:r w:rsidRPr="008262B9">
        <w:rPr>
          <w:rFonts w:ascii="Bookman Old Style" w:hAnsi="Bookman Old Style"/>
          <w:spacing w:val="13"/>
          <w:sz w:val="20"/>
          <w:szCs w:val="20"/>
        </w:rPr>
        <w:t xml:space="preserve"> </w:t>
      </w:r>
      <w:r w:rsidRPr="008262B9">
        <w:rPr>
          <w:rFonts w:ascii="Bookman Old Style" w:hAnsi="Bookman Old Style"/>
          <w:sz w:val="20"/>
          <w:szCs w:val="20"/>
        </w:rPr>
        <w:t>(</w:t>
      </w:r>
      <w:r w:rsidRPr="008262B9">
        <w:rPr>
          <w:rFonts w:ascii="Bookman Old Style" w:hAnsi="Bookman Old Style"/>
          <w:i/>
          <w:sz w:val="20"/>
          <w:szCs w:val="20"/>
        </w:rPr>
        <w:t>unencumbered</w:t>
      </w:r>
      <w:r w:rsidRPr="008262B9">
        <w:rPr>
          <w:rFonts w:ascii="Bookman Old Style" w:hAnsi="Bookman Old Style"/>
          <w:sz w:val="20"/>
          <w:szCs w:val="20"/>
        </w:rPr>
        <w:t>)</w:t>
      </w:r>
      <w:r w:rsidRPr="008262B9">
        <w:rPr>
          <w:rFonts w:ascii="Bookman Old Style" w:hAnsi="Bookman Old Style"/>
          <w:spacing w:val="11"/>
          <w:sz w:val="20"/>
          <w:szCs w:val="20"/>
        </w:rPr>
        <w:t xml:space="preserve"> </w:t>
      </w:r>
      <w:r w:rsidRPr="008262B9">
        <w:rPr>
          <w:rFonts w:ascii="Bookman Old Style" w:hAnsi="Bookman Old Style"/>
          <w:sz w:val="20"/>
          <w:szCs w:val="20"/>
        </w:rPr>
        <w:t>dan</w:t>
      </w:r>
      <w:r w:rsidRPr="008262B9">
        <w:rPr>
          <w:rFonts w:ascii="Bookman Old Style" w:hAnsi="Bookman Old Style"/>
          <w:spacing w:val="-74"/>
          <w:sz w:val="20"/>
          <w:szCs w:val="20"/>
        </w:rPr>
        <w:t xml:space="preserve"> </w:t>
      </w:r>
      <w:r w:rsidRPr="008262B9">
        <w:rPr>
          <w:rFonts w:ascii="Bookman Old Style" w:hAnsi="Bookman Old Style"/>
          <w:sz w:val="20"/>
          <w:szCs w:val="20"/>
        </w:rPr>
        <w:t>aset</w:t>
      </w:r>
      <w:r w:rsidRPr="008262B9">
        <w:rPr>
          <w:rFonts w:ascii="Bookman Old Style" w:hAnsi="Bookman Old Style"/>
          <w:spacing w:val="-1"/>
          <w:sz w:val="20"/>
          <w:szCs w:val="20"/>
        </w:rPr>
        <w:t xml:space="preserve"> </w:t>
      </w:r>
      <w:r w:rsidRPr="008262B9">
        <w:rPr>
          <w:rFonts w:ascii="Bookman Old Style" w:hAnsi="Bookman Old Style"/>
          <w:sz w:val="20"/>
          <w:szCs w:val="20"/>
        </w:rPr>
        <w:t>yang tidak bebas</w:t>
      </w:r>
      <w:r w:rsidRPr="008262B9">
        <w:rPr>
          <w:rFonts w:ascii="Bookman Old Style" w:hAnsi="Bookman Old Style"/>
          <w:spacing w:val="-1"/>
          <w:sz w:val="20"/>
          <w:szCs w:val="20"/>
        </w:rPr>
        <w:t xml:space="preserve"> </w:t>
      </w:r>
      <w:r w:rsidRPr="008262B9">
        <w:rPr>
          <w:rFonts w:ascii="Bookman Old Style" w:hAnsi="Bookman Old Style"/>
          <w:sz w:val="20"/>
          <w:szCs w:val="20"/>
        </w:rPr>
        <w:t>dari</w:t>
      </w:r>
      <w:r w:rsidRPr="008262B9">
        <w:rPr>
          <w:rFonts w:ascii="Bookman Old Style" w:hAnsi="Bookman Old Style"/>
          <w:spacing w:val="-1"/>
          <w:sz w:val="20"/>
          <w:szCs w:val="20"/>
        </w:rPr>
        <w:t xml:space="preserve"> </w:t>
      </w:r>
      <w:r w:rsidRPr="008262B9">
        <w:rPr>
          <w:rFonts w:ascii="Bookman Old Style" w:hAnsi="Bookman Old Style"/>
          <w:sz w:val="20"/>
          <w:szCs w:val="20"/>
        </w:rPr>
        <w:t>segala</w:t>
      </w:r>
      <w:r w:rsidRPr="008262B9">
        <w:rPr>
          <w:rFonts w:ascii="Bookman Old Style" w:hAnsi="Bookman Old Style"/>
          <w:spacing w:val="-1"/>
          <w:sz w:val="20"/>
          <w:szCs w:val="20"/>
        </w:rPr>
        <w:t xml:space="preserve"> </w:t>
      </w:r>
      <w:r w:rsidRPr="008262B9">
        <w:rPr>
          <w:rFonts w:ascii="Bookman Old Style" w:hAnsi="Bookman Old Style"/>
          <w:sz w:val="20"/>
          <w:szCs w:val="20"/>
        </w:rPr>
        <w:t>klaim</w:t>
      </w:r>
      <w:r w:rsidRPr="008262B9">
        <w:rPr>
          <w:rFonts w:ascii="Bookman Old Style" w:hAnsi="Bookman Old Style"/>
          <w:spacing w:val="-1"/>
          <w:sz w:val="20"/>
          <w:szCs w:val="20"/>
        </w:rPr>
        <w:t xml:space="preserve"> </w:t>
      </w:r>
      <w:r w:rsidRPr="008262B9">
        <w:rPr>
          <w:rFonts w:ascii="Bookman Old Style" w:hAnsi="Bookman Old Style"/>
          <w:sz w:val="20"/>
          <w:szCs w:val="20"/>
        </w:rPr>
        <w:t>(</w:t>
      </w:r>
      <w:r w:rsidRPr="008262B9">
        <w:rPr>
          <w:rFonts w:ascii="Bookman Old Style" w:hAnsi="Bookman Old Style"/>
          <w:i/>
          <w:sz w:val="20"/>
          <w:szCs w:val="20"/>
        </w:rPr>
        <w:t>encumbered</w:t>
      </w:r>
      <w:r w:rsidRPr="008262B9">
        <w:rPr>
          <w:rFonts w:ascii="Bookman Old Style" w:hAnsi="Bookman Old Style"/>
          <w:sz w:val="20"/>
          <w:szCs w:val="20"/>
        </w:rPr>
        <w:t>)</w:t>
      </w:r>
      <w:r w:rsidRPr="008262B9">
        <w:rPr>
          <w:rFonts w:ascii="Bookman Old Style" w:hAnsi="Bookman Old Style"/>
          <w:i/>
          <w:sz w:val="20"/>
          <w:szCs w:val="20"/>
        </w:rPr>
        <w:t>.</w:t>
      </w:r>
    </w:p>
    <w:p w14:paraId="30108093" w14:textId="53EA6150" w:rsidR="00EB4FBC" w:rsidRPr="008262B9" w:rsidRDefault="009A4BC4" w:rsidP="00A32F86">
      <w:pPr>
        <w:pStyle w:val="ListParagraph"/>
        <w:widowControl w:val="0"/>
        <w:numPr>
          <w:ilvl w:val="1"/>
          <w:numId w:val="215"/>
        </w:numPr>
        <w:tabs>
          <w:tab w:val="left" w:pos="1209"/>
        </w:tabs>
        <w:autoSpaceDE w:val="0"/>
        <w:autoSpaceDN w:val="0"/>
        <w:spacing w:after="0" w:line="240" w:lineRule="auto"/>
        <w:ind w:right="616"/>
        <w:contextualSpacing w:val="0"/>
        <w:jc w:val="both"/>
        <w:rPr>
          <w:rFonts w:ascii="Bookman Old Style" w:hAnsi="Bookman Old Style"/>
          <w:i/>
          <w:sz w:val="20"/>
          <w:szCs w:val="20"/>
        </w:rPr>
      </w:pPr>
      <w:r w:rsidRPr="008262B9">
        <w:rPr>
          <w:rFonts w:ascii="Bookman Old Style" w:hAnsi="Bookman Old Style"/>
          <w:sz w:val="20"/>
          <w:szCs w:val="20"/>
        </w:rPr>
        <w:t>Nilai</w:t>
      </w:r>
      <w:r w:rsidRPr="008262B9">
        <w:rPr>
          <w:rFonts w:ascii="Bookman Old Style" w:hAnsi="Bookman Old Style"/>
          <w:spacing w:val="-4"/>
          <w:sz w:val="20"/>
          <w:szCs w:val="20"/>
        </w:rPr>
        <w:t xml:space="preserve"> </w:t>
      </w:r>
      <w:r w:rsidRPr="008262B9">
        <w:rPr>
          <w:rFonts w:ascii="Bookman Old Style" w:hAnsi="Bookman Old Style"/>
          <w:sz w:val="20"/>
          <w:szCs w:val="20"/>
        </w:rPr>
        <w:t>yang</w:t>
      </w:r>
      <w:r w:rsidRPr="008262B9">
        <w:rPr>
          <w:rFonts w:ascii="Bookman Old Style" w:hAnsi="Bookman Old Style"/>
          <w:spacing w:val="-3"/>
          <w:sz w:val="20"/>
          <w:szCs w:val="20"/>
        </w:rPr>
        <w:t xml:space="preserve"> </w:t>
      </w:r>
      <w:r w:rsidRPr="008262B9">
        <w:rPr>
          <w:rFonts w:ascii="Bookman Old Style" w:hAnsi="Bookman Old Style"/>
          <w:sz w:val="20"/>
          <w:szCs w:val="20"/>
        </w:rPr>
        <w:t>dimasukkan</w:t>
      </w:r>
      <w:r w:rsidRPr="008262B9">
        <w:rPr>
          <w:rFonts w:ascii="Bookman Old Style" w:hAnsi="Bookman Old Style"/>
          <w:spacing w:val="-4"/>
          <w:sz w:val="20"/>
          <w:szCs w:val="20"/>
        </w:rPr>
        <w:t xml:space="preserve"> </w:t>
      </w:r>
      <w:r w:rsidRPr="008262B9">
        <w:rPr>
          <w:rFonts w:ascii="Bookman Old Style" w:hAnsi="Bookman Old Style"/>
          <w:sz w:val="20"/>
          <w:szCs w:val="20"/>
        </w:rPr>
        <w:t>pada</w:t>
      </w:r>
      <w:r w:rsidRPr="008262B9">
        <w:rPr>
          <w:rFonts w:ascii="Bookman Old Style" w:hAnsi="Bookman Old Style"/>
          <w:spacing w:val="-4"/>
          <w:sz w:val="20"/>
          <w:szCs w:val="20"/>
        </w:rPr>
        <w:t xml:space="preserve"> </w:t>
      </w:r>
      <w:r w:rsidRPr="008262B9">
        <w:rPr>
          <w:rFonts w:ascii="Bookman Old Style" w:hAnsi="Bookman Old Style"/>
          <w:sz w:val="20"/>
          <w:szCs w:val="20"/>
        </w:rPr>
        <w:t>kolom</w:t>
      </w:r>
      <w:r w:rsidRPr="008262B9">
        <w:rPr>
          <w:rFonts w:ascii="Bookman Old Style" w:hAnsi="Bookman Old Style"/>
          <w:spacing w:val="-4"/>
          <w:sz w:val="20"/>
          <w:szCs w:val="20"/>
        </w:rPr>
        <w:t xml:space="preserve"> </w:t>
      </w:r>
      <w:r w:rsidRPr="008262B9">
        <w:rPr>
          <w:rFonts w:ascii="Bookman Old Style" w:hAnsi="Bookman Old Style"/>
          <w:sz w:val="20"/>
          <w:szCs w:val="20"/>
        </w:rPr>
        <w:t>nilai</w:t>
      </w:r>
      <w:r w:rsidRPr="008262B9">
        <w:rPr>
          <w:rFonts w:ascii="Bookman Old Style" w:hAnsi="Bookman Old Style"/>
          <w:spacing w:val="-2"/>
          <w:sz w:val="20"/>
          <w:szCs w:val="20"/>
        </w:rPr>
        <w:t xml:space="preserve"> </w:t>
      </w:r>
      <w:r w:rsidRPr="008262B9">
        <w:rPr>
          <w:rFonts w:ascii="Bookman Old Style" w:hAnsi="Bookman Old Style"/>
          <w:sz w:val="20"/>
          <w:szCs w:val="20"/>
        </w:rPr>
        <w:t>tercatat</w:t>
      </w:r>
      <w:r w:rsidRPr="008262B9">
        <w:rPr>
          <w:rFonts w:ascii="Bookman Old Style" w:hAnsi="Bookman Old Style"/>
          <w:spacing w:val="-4"/>
          <w:sz w:val="20"/>
          <w:szCs w:val="20"/>
        </w:rPr>
        <w:t xml:space="preserve"> </w:t>
      </w:r>
      <w:r w:rsidRPr="008262B9">
        <w:rPr>
          <w:rFonts w:ascii="Bookman Old Style" w:hAnsi="Bookman Old Style"/>
          <w:sz w:val="20"/>
          <w:szCs w:val="20"/>
        </w:rPr>
        <w:t>adalah</w:t>
      </w:r>
      <w:r w:rsidRPr="008262B9">
        <w:rPr>
          <w:rFonts w:ascii="Bookman Old Style" w:hAnsi="Bookman Old Style"/>
          <w:spacing w:val="-3"/>
          <w:sz w:val="20"/>
          <w:szCs w:val="20"/>
        </w:rPr>
        <w:t xml:space="preserve"> </w:t>
      </w:r>
      <w:r w:rsidRPr="008262B9">
        <w:rPr>
          <w:rFonts w:ascii="Bookman Old Style" w:hAnsi="Bookman Old Style"/>
          <w:sz w:val="20"/>
          <w:szCs w:val="20"/>
        </w:rPr>
        <w:t>berdasarkan</w:t>
      </w:r>
      <w:r w:rsidRPr="008262B9">
        <w:rPr>
          <w:rFonts w:ascii="Bookman Old Style" w:hAnsi="Bookman Old Style"/>
          <w:spacing w:val="-4"/>
          <w:sz w:val="20"/>
          <w:szCs w:val="20"/>
        </w:rPr>
        <w:t xml:space="preserve"> </w:t>
      </w:r>
      <w:r w:rsidRPr="008262B9">
        <w:rPr>
          <w:rFonts w:ascii="Bookman Old Style" w:hAnsi="Bookman Old Style"/>
          <w:sz w:val="20"/>
          <w:szCs w:val="20"/>
        </w:rPr>
        <w:t>sisa</w:t>
      </w:r>
      <w:r w:rsidRPr="008262B9">
        <w:rPr>
          <w:rFonts w:ascii="Bookman Old Style" w:hAnsi="Bookman Old Style"/>
          <w:spacing w:val="-3"/>
          <w:sz w:val="20"/>
          <w:szCs w:val="20"/>
        </w:rPr>
        <w:t xml:space="preserve"> </w:t>
      </w:r>
      <w:r w:rsidRPr="008262B9">
        <w:rPr>
          <w:rFonts w:ascii="Bookman Old Style" w:hAnsi="Bookman Old Style"/>
          <w:sz w:val="20"/>
          <w:szCs w:val="20"/>
        </w:rPr>
        <w:t>jangka</w:t>
      </w:r>
      <w:r w:rsidRPr="008262B9">
        <w:rPr>
          <w:rFonts w:ascii="Bookman Old Style" w:hAnsi="Bookman Old Style"/>
          <w:spacing w:val="-3"/>
          <w:sz w:val="20"/>
          <w:szCs w:val="20"/>
        </w:rPr>
        <w:t xml:space="preserve"> </w:t>
      </w:r>
      <w:r w:rsidRPr="008262B9">
        <w:rPr>
          <w:rFonts w:ascii="Bookman Old Style" w:hAnsi="Bookman Old Style"/>
          <w:sz w:val="20"/>
          <w:szCs w:val="20"/>
        </w:rPr>
        <w:t>waktu.</w:t>
      </w:r>
    </w:p>
    <w:p w14:paraId="0F461D14" w14:textId="0FD643D6" w:rsidR="00EB4FBC" w:rsidRPr="008262B9" w:rsidRDefault="00EB4FBC" w:rsidP="006A283D">
      <w:pPr>
        <w:tabs>
          <w:tab w:val="left" w:pos="1256"/>
        </w:tabs>
        <w:spacing w:after="0" w:line="240" w:lineRule="auto"/>
        <w:rPr>
          <w:rFonts w:ascii="Bookman Old Style" w:eastAsia="Bookman Old Style" w:hAnsi="Bookman Old Style" w:cs="Bookman Old Style"/>
          <w:sz w:val="20"/>
          <w:szCs w:val="20"/>
        </w:rPr>
      </w:pPr>
    </w:p>
    <w:p w14:paraId="29F52BBB" w14:textId="3D9B673F"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0DD4AC37" w14:textId="32DF62AB" w:rsidR="00EB4FBC" w:rsidRPr="009A4BC4" w:rsidRDefault="00EB4FBC" w:rsidP="006A283D">
      <w:pPr>
        <w:tabs>
          <w:tab w:val="left" w:pos="1256"/>
        </w:tabs>
        <w:spacing w:after="0" w:line="240" w:lineRule="auto"/>
        <w:rPr>
          <w:rFonts w:ascii="Bookman Old Style" w:eastAsia="Bookman Old Style" w:hAnsi="Bookman Old Style" w:cs="Bookman Old Style"/>
          <w:sz w:val="20"/>
          <w:szCs w:val="20"/>
        </w:rPr>
      </w:pPr>
    </w:p>
    <w:p w14:paraId="3ED905CD" w14:textId="26C04E7C" w:rsidR="00EB4FBC" w:rsidRPr="009A4BC4" w:rsidRDefault="00EB4FBC" w:rsidP="006A283D">
      <w:pPr>
        <w:tabs>
          <w:tab w:val="left" w:pos="1256"/>
        </w:tabs>
        <w:spacing w:after="0" w:line="240" w:lineRule="auto"/>
        <w:rPr>
          <w:rFonts w:ascii="Bookman Old Style" w:eastAsia="Bookman Old Style" w:hAnsi="Bookman Old Style" w:cs="Bookman Old Style"/>
          <w:sz w:val="20"/>
          <w:szCs w:val="20"/>
        </w:rPr>
      </w:pPr>
    </w:p>
    <w:p w14:paraId="3A8FA9B0" w14:textId="346D9915" w:rsidR="00EB4FBC" w:rsidRPr="009A4BC4" w:rsidRDefault="00EB4FBC" w:rsidP="006A283D">
      <w:pPr>
        <w:tabs>
          <w:tab w:val="left" w:pos="1256"/>
        </w:tabs>
        <w:spacing w:after="0" w:line="240" w:lineRule="auto"/>
        <w:rPr>
          <w:rFonts w:ascii="Bookman Old Style" w:eastAsia="Bookman Old Style" w:hAnsi="Bookman Old Style" w:cs="Bookman Old Style"/>
          <w:sz w:val="20"/>
          <w:szCs w:val="20"/>
        </w:rPr>
      </w:pPr>
    </w:p>
    <w:p w14:paraId="78B8C37E" w14:textId="77777777" w:rsidR="009A4BC4" w:rsidRPr="009A4BC4" w:rsidRDefault="009A4BC4" w:rsidP="009A4BC4">
      <w:pPr>
        <w:pStyle w:val="BodyText"/>
        <w:spacing w:before="100" w:line="360" w:lineRule="auto"/>
        <w:ind w:left="10065" w:right="2912"/>
        <w:rPr>
          <w:rFonts w:ascii="Bookman Old Style" w:hAnsi="Bookman Old Style"/>
          <w:spacing w:val="-74"/>
          <w:sz w:val="20"/>
          <w:szCs w:val="20"/>
        </w:rPr>
      </w:pPr>
      <w:r w:rsidRPr="009A4BC4">
        <w:rPr>
          <w:rFonts w:ascii="Bookman Old Style" w:hAnsi="Bookman Old Style"/>
          <w:sz w:val="20"/>
          <w:szCs w:val="20"/>
        </w:rPr>
        <w:t>KETUA DEWAN KOMISIONER</w:t>
      </w:r>
      <w:r w:rsidRPr="009A4BC4">
        <w:rPr>
          <w:rFonts w:ascii="Bookman Old Style" w:hAnsi="Bookman Old Style"/>
          <w:spacing w:val="-74"/>
          <w:sz w:val="20"/>
          <w:szCs w:val="20"/>
        </w:rPr>
        <w:t xml:space="preserve"> </w:t>
      </w:r>
    </w:p>
    <w:p w14:paraId="6330C21D" w14:textId="57216FB2" w:rsidR="009A4BC4" w:rsidRPr="009A4BC4" w:rsidRDefault="009A4BC4" w:rsidP="009A4BC4">
      <w:pPr>
        <w:pStyle w:val="BodyText"/>
        <w:spacing w:before="100" w:line="360" w:lineRule="auto"/>
        <w:ind w:left="426" w:right="2912"/>
        <w:rPr>
          <w:rFonts w:ascii="Bookman Old Style" w:hAnsi="Bookman Old Style"/>
          <w:sz w:val="20"/>
          <w:szCs w:val="20"/>
        </w:rPr>
      </w:pPr>
      <w:r w:rsidRPr="009A4BC4">
        <w:rPr>
          <w:rFonts w:ascii="Bookman Old Style" w:hAnsi="Bookman Old Style"/>
          <w:sz w:val="20"/>
          <w:szCs w:val="20"/>
        </w:rPr>
        <w:t>Salinan</w:t>
      </w:r>
      <w:r w:rsidRPr="009A4BC4">
        <w:rPr>
          <w:rFonts w:ascii="Bookman Old Style" w:hAnsi="Bookman Old Style"/>
          <w:spacing w:val="-4"/>
          <w:sz w:val="20"/>
          <w:szCs w:val="20"/>
        </w:rPr>
        <w:t xml:space="preserve"> </w:t>
      </w:r>
      <w:r w:rsidRPr="009A4BC4">
        <w:rPr>
          <w:rFonts w:ascii="Bookman Old Style" w:hAnsi="Bookman Old Style"/>
          <w:sz w:val="20"/>
          <w:szCs w:val="20"/>
        </w:rPr>
        <w:t>ini</w:t>
      </w:r>
      <w:r w:rsidRPr="009A4BC4">
        <w:rPr>
          <w:rFonts w:ascii="Bookman Old Style" w:hAnsi="Bookman Old Style"/>
          <w:spacing w:val="-3"/>
          <w:sz w:val="20"/>
          <w:szCs w:val="20"/>
        </w:rPr>
        <w:t xml:space="preserve"> </w:t>
      </w:r>
      <w:r w:rsidRPr="009A4BC4">
        <w:rPr>
          <w:rFonts w:ascii="Bookman Old Style" w:hAnsi="Bookman Old Style"/>
          <w:sz w:val="20"/>
          <w:szCs w:val="20"/>
        </w:rPr>
        <w:t>sesuai</w:t>
      </w:r>
      <w:r w:rsidRPr="009A4BC4">
        <w:rPr>
          <w:rFonts w:ascii="Bookman Old Style" w:hAnsi="Bookman Old Style"/>
          <w:spacing w:val="-4"/>
          <w:sz w:val="20"/>
          <w:szCs w:val="20"/>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aslinya</w:t>
      </w:r>
      <w:r w:rsidRPr="009A4BC4">
        <w:rPr>
          <w:rFonts w:ascii="Bookman Old Style" w:hAnsi="Bookman Old Style"/>
          <w:spacing w:val="-67"/>
          <w:sz w:val="20"/>
          <w:szCs w:val="20"/>
        </w:rPr>
        <w:t xml:space="preserve"> </w:t>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Pr>
          <w:rFonts w:ascii="Bookman Old Style" w:hAnsi="Bookman Old Style"/>
          <w:sz w:val="20"/>
          <w:szCs w:val="20"/>
        </w:rPr>
        <w:tab/>
      </w:r>
      <w:r w:rsidRPr="009A4BC4">
        <w:rPr>
          <w:rFonts w:ascii="Bookman Old Style" w:hAnsi="Bookman Old Style"/>
          <w:sz w:val="20"/>
          <w:szCs w:val="20"/>
        </w:rPr>
        <w:t>OTORITAS</w:t>
      </w:r>
      <w:r w:rsidRPr="009A4BC4">
        <w:rPr>
          <w:rFonts w:ascii="Bookman Old Style" w:hAnsi="Bookman Old Style"/>
          <w:spacing w:val="-3"/>
          <w:sz w:val="20"/>
          <w:szCs w:val="20"/>
        </w:rPr>
        <w:t xml:space="preserve"> </w:t>
      </w:r>
      <w:r w:rsidRPr="009A4BC4">
        <w:rPr>
          <w:rFonts w:ascii="Bookman Old Style" w:hAnsi="Bookman Old Style"/>
          <w:sz w:val="20"/>
          <w:szCs w:val="20"/>
        </w:rPr>
        <w:t>JASA</w:t>
      </w:r>
      <w:r w:rsidRPr="009A4BC4">
        <w:rPr>
          <w:rFonts w:ascii="Bookman Old Style" w:hAnsi="Bookman Old Style"/>
          <w:spacing w:val="-3"/>
          <w:sz w:val="20"/>
          <w:szCs w:val="20"/>
        </w:rPr>
        <w:t xml:space="preserve"> </w:t>
      </w:r>
      <w:r w:rsidRPr="009A4BC4">
        <w:rPr>
          <w:rFonts w:ascii="Bookman Old Style" w:hAnsi="Bookman Old Style"/>
          <w:sz w:val="20"/>
          <w:szCs w:val="20"/>
        </w:rPr>
        <w:t>KEUANGAN,</w:t>
      </w:r>
    </w:p>
    <w:p w14:paraId="6093D0CA" w14:textId="77777777" w:rsidR="009A4BC4" w:rsidRPr="009A4BC4" w:rsidRDefault="009A4BC4" w:rsidP="009A4BC4">
      <w:pPr>
        <w:pStyle w:val="BodyText"/>
        <w:spacing w:before="100" w:line="360" w:lineRule="auto"/>
        <w:ind w:left="426" w:right="2912"/>
        <w:rPr>
          <w:rFonts w:ascii="Bookman Old Style" w:hAnsi="Bookman Old Style"/>
          <w:sz w:val="20"/>
          <w:szCs w:val="20"/>
        </w:rPr>
      </w:pPr>
      <w:r w:rsidRPr="009A4BC4">
        <w:rPr>
          <w:rFonts w:ascii="Bookman Old Style" w:hAnsi="Bookman Old Style"/>
          <w:sz w:val="20"/>
          <w:szCs w:val="20"/>
        </w:rPr>
        <w:t>Direktur</w:t>
      </w:r>
      <w:r w:rsidRPr="009A4BC4">
        <w:rPr>
          <w:rFonts w:ascii="Bookman Old Style" w:hAnsi="Bookman Old Style"/>
          <w:spacing w:val="-2"/>
          <w:sz w:val="20"/>
          <w:szCs w:val="20"/>
        </w:rPr>
        <w:t xml:space="preserve"> </w:t>
      </w:r>
      <w:r w:rsidRPr="009A4BC4">
        <w:rPr>
          <w:rFonts w:ascii="Bookman Old Style" w:hAnsi="Bookman Old Style"/>
          <w:sz w:val="20"/>
          <w:szCs w:val="20"/>
        </w:rPr>
        <w:t>Hukum</w:t>
      </w:r>
      <w:r w:rsidRPr="009A4BC4">
        <w:rPr>
          <w:rFonts w:ascii="Bookman Old Style" w:hAnsi="Bookman Old Style"/>
          <w:spacing w:val="-2"/>
          <w:sz w:val="20"/>
          <w:szCs w:val="20"/>
        </w:rPr>
        <w:t xml:space="preserve"> </w:t>
      </w:r>
      <w:r w:rsidRPr="009A4BC4">
        <w:rPr>
          <w:rFonts w:ascii="Bookman Old Style" w:hAnsi="Bookman Old Style"/>
          <w:sz w:val="20"/>
          <w:szCs w:val="20"/>
        </w:rPr>
        <w:t>1</w:t>
      </w:r>
    </w:p>
    <w:p w14:paraId="21BDB1B2" w14:textId="77777777" w:rsidR="009A4BC4" w:rsidRPr="009A4BC4" w:rsidRDefault="009A4BC4" w:rsidP="009A4BC4">
      <w:pPr>
        <w:pStyle w:val="BodyText"/>
        <w:spacing w:before="100" w:line="360" w:lineRule="auto"/>
        <w:ind w:left="426" w:right="2912"/>
        <w:rPr>
          <w:rFonts w:ascii="Bookman Old Style" w:hAnsi="Bookman Old Style"/>
          <w:sz w:val="20"/>
          <w:szCs w:val="20"/>
        </w:rPr>
      </w:pP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t>Ttd</w:t>
      </w:r>
    </w:p>
    <w:p w14:paraId="0556CB1D" w14:textId="77777777" w:rsidR="009A4BC4" w:rsidRPr="009A4BC4" w:rsidRDefault="009A4BC4" w:rsidP="009A4BC4">
      <w:pPr>
        <w:pStyle w:val="BodyText"/>
        <w:spacing w:before="100" w:line="360" w:lineRule="auto"/>
        <w:ind w:left="426" w:right="2912"/>
        <w:rPr>
          <w:rFonts w:ascii="Bookman Old Style" w:hAnsi="Bookman Old Style"/>
          <w:sz w:val="20"/>
          <w:szCs w:val="20"/>
        </w:rPr>
      </w:pPr>
      <w:r w:rsidRPr="009A4BC4">
        <w:rPr>
          <w:rFonts w:ascii="Bookman Old Style" w:hAnsi="Bookman Old Style"/>
          <w:sz w:val="20"/>
          <w:szCs w:val="20"/>
        </w:rPr>
        <w:t>ttd</w:t>
      </w:r>
    </w:p>
    <w:p w14:paraId="6DBADC04" w14:textId="77777777" w:rsidR="009A4BC4" w:rsidRPr="009A4BC4" w:rsidRDefault="009A4BC4" w:rsidP="009A4BC4">
      <w:pPr>
        <w:pStyle w:val="BodyText"/>
        <w:ind w:left="10065"/>
        <w:rPr>
          <w:rFonts w:ascii="Bookman Old Style" w:hAnsi="Bookman Old Style"/>
          <w:sz w:val="20"/>
          <w:szCs w:val="20"/>
        </w:rPr>
      </w:pPr>
    </w:p>
    <w:p w14:paraId="6B9693CB" w14:textId="6397F1BB" w:rsidR="00EB4FBC" w:rsidRPr="009A4BC4" w:rsidRDefault="009A4BC4" w:rsidP="009A4BC4">
      <w:pPr>
        <w:spacing w:after="0" w:line="240" w:lineRule="auto"/>
        <w:ind w:left="426"/>
        <w:rPr>
          <w:rFonts w:ascii="Bookman Old Style" w:eastAsia="Bookman Old Style" w:hAnsi="Bookman Old Style" w:cs="Bookman Old Style"/>
          <w:sz w:val="20"/>
          <w:szCs w:val="20"/>
        </w:rPr>
      </w:pPr>
      <w:r w:rsidRPr="009A4BC4">
        <w:rPr>
          <w:rFonts w:ascii="Bookman Old Style" w:hAnsi="Bookman Old Style"/>
          <w:sz w:val="20"/>
          <w:szCs w:val="20"/>
          <w:lang w:val="en-US"/>
        </w:rPr>
        <w:t>Departemen</w:t>
      </w:r>
      <w:r w:rsidRPr="009A4BC4">
        <w:rPr>
          <w:rFonts w:ascii="Bookman Old Style" w:hAnsi="Bookman Old Style"/>
          <w:sz w:val="20"/>
          <w:szCs w:val="20"/>
        </w:rPr>
        <w:t xml:space="preserve"> Hukum</w:t>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r>
      <w:r w:rsidRPr="009A4BC4">
        <w:rPr>
          <w:rFonts w:ascii="Bookman Old Style" w:hAnsi="Bookman Old Style"/>
          <w:sz w:val="20"/>
          <w:szCs w:val="20"/>
        </w:rPr>
        <w:tab/>
        <w:t>MAHENDRA SIREGAR</w:t>
      </w:r>
    </w:p>
    <w:p w14:paraId="37B9FE27" w14:textId="7557EFFD"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499EA43C" w14:textId="660F7E37"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p w14:paraId="7B69FDD0" w14:textId="2C3AFBBE" w:rsidR="00EB4FBC" w:rsidRDefault="00EB4FBC" w:rsidP="006A283D">
      <w:pPr>
        <w:tabs>
          <w:tab w:val="left" w:pos="1256"/>
        </w:tabs>
        <w:spacing w:after="0" w:line="240" w:lineRule="auto"/>
        <w:rPr>
          <w:rFonts w:ascii="Bookman Old Style" w:eastAsia="Bookman Old Style" w:hAnsi="Bookman Old Style" w:cs="Bookman Old Style"/>
          <w:sz w:val="20"/>
          <w:szCs w:val="20"/>
        </w:rPr>
      </w:pPr>
    </w:p>
    <w:tbl>
      <w:tblPr>
        <w:tblpPr w:leftFromText="180" w:rightFromText="180" w:vertAnchor="text" w:tblpY="1"/>
        <w:tblOverlap w:val="never"/>
        <w:tblW w:w="1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25"/>
        <w:gridCol w:w="5953"/>
        <w:gridCol w:w="3827"/>
      </w:tblGrid>
      <w:tr w:rsidR="00EB4FBC" w:rsidRPr="009A4BC4" w14:paraId="25BBAB14" w14:textId="77777777" w:rsidTr="007A2AAB">
        <w:trPr>
          <w:trHeight w:val="564"/>
          <w:tblHeader/>
        </w:trPr>
        <w:tc>
          <w:tcPr>
            <w:tcW w:w="7225" w:type="dxa"/>
            <w:shd w:val="clear" w:color="auto" w:fill="FFFF00"/>
            <w:vAlign w:val="center"/>
          </w:tcPr>
          <w:p w14:paraId="20ED4728"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9A4BC4">
              <w:rPr>
                <w:rFonts w:ascii="Bookman Old Style" w:eastAsia="Bookman Old Style" w:hAnsi="Bookman Old Style" w:cs="Bookman Old Style"/>
                <w:b/>
                <w:bCs/>
                <w:color w:val="000000" w:themeColor="text1"/>
                <w:sz w:val="20"/>
                <w:szCs w:val="20"/>
                <w:lang w:val="en-US"/>
              </w:rPr>
              <w:lastRenderedPageBreak/>
              <w:t>DRAF PERATURAN</w:t>
            </w:r>
          </w:p>
        </w:tc>
        <w:tc>
          <w:tcPr>
            <w:tcW w:w="5953" w:type="dxa"/>
            <w:vMerge w:val="restart"/>
            <w:shd w:val="clear" w:color="auto" w:fill="FFFF00"/>
            <w:vAlign w:val="center"/>
          </w:tcPr>
          <w:p w14:paraId="49CF8998"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9A4BC4">
              <w:rPr>
                <w:rFonts w:ascii="Bookman Old Style" w:eastAsia="Bookman Old Style" w:hAnsi="Bookman Old Style" w:cs="Bookman Old Style"/>
                <w:b/>
                <w:bCs/>
                <w:color w:val="000000" w:themeColor="text1"/>
                <w:sz w:val="20"/>
                <w:szCs w:val="20"/>
              </w:rPr>
              <w:t>TANGGAPAN</w:t>
            </w:r>
          </w:p>
        </w:tc>
        <w:tc>
          <w:tcPr>
            <w:tcW w:w="3827" w:type="dxa"/>
            <w:vMerge w:val="restart"/>
            <w:shd w:val="clear" w:color="auto" w:fill="FFFF00"/>
            <w:vAlign w:val="center"/>
          </w:tcPr>
          <w:p w14:paraId="39DE71AC"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9A4BC4">
              <w:rPr>
                <w:rFonts w:ascii="Bookman Old Style" w:eastAsia="Bookman Old Style" w:hAnsi="Bookman Old Style" w:cs="Bookman Old Style"/>
                <w:b/>
                <w:bCs/>
                <w:color w:val="000000" w:themeColor="text1"/>
                <w:sz w:val="20"/>
                <w:szCs w:val="20"/>
              </w:rPr>
              <w:t>USULAN PERUBAHAN</w:t>
            </w:r>
          </w:p>
        </w:tc>
      </w:tr>
      <w:tr w:rsidR="00EB4FBC" w:rsidRPr="009A4BC4" w14:paraId="752F4E4B" w14:textId="77777777" w:rsidTr="007A2AAB">
        <w:trPr>
          <w:trHeight w:val="564"/>
          <w:tblHeader/>
        </w:trPr>
        <w:tc>
          <w:tcPr>
            <w:tcW w:w="7225" w:type="dxa"/>
            <w:shd w:val="clear" w:color="auto" w:fill="FFFF00"/>
            <w:vAlign w:val="center"/>
          </w:tcPr>
          <w:p w14:paraId="2B9EDEB5" w14:textId="36394C8C"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9A4BC4">
              <w:rPr>
                <w:rFonts w:ascii="Bookman Old Style" w:eastAsia="Bookman Old Style" w:hAnsi="Bookman Old Style" w:cs="Bookman Old Style"/>
                <w:b/>
                <w:bCs/>
                <w:color w:val="000000" w:themeColor="text1"/>
                <w:sz w:val="20"/>
                <w:szCs w:val="20"/>
                <w:lang w:val="en-US"/>
              </w:rPr>
              <w:t>LAMPIRAN VI</w:t>
            </w:r>
          </w:p>
          <w:p w14:paraId="08D28153" w14:textId="77777777" w:rsidR="00EB4FBC" w:rsidRPr="009A4BC4"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9A4BC4">
              <w:rPr>
                <w:rFonts w:ascii="Bookman Old Style" w:eastAsia="Bookman Old Style" w:hAnsi="Bookman Old Style" w:cs="Bookman Old Style"/>
                <w:color w:val="000000" w:themeColor="text1"/>
                <w:sz w:val="20"/>
                <w:szCs w:val="20"/>
              </w:rPr>
              <w:t>RANCANGAN</w:t>
            </w:r>
          </w:p>
          <w:p w14:paraId="0EB81024" w14:textId="77777777" w:rsidR="00EB4FBC" w:rsidRPr="009A4BC4"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9A4BC4">
              <w:rPr>
                <w:rFonts w:ascii="Bookman Old Style" w:eastAsia="Bookman Old Style" w:hAnsi="Bookman Old Style" w:cs="Bookman Old Style"/>
                <w:color w:val="000000" w:themeColor="text1"/>
                <w:sz w:val="20"/>
                <w:szCs w:val="20"/>
              </w:rPr>
              <w:t>PERATURAN OTORITAS JASA KEUANGAN</w:t>
            </w:r>
          </w:p>
          <w:p w14:paraId="464FF764" w14:textId="77777777" w:rsidR="00EB4FBC" w:rsidRPr="009A4BC4" w:rsidRDefault="00EB4FBC" w:rsidP="007A2AAB">
            <w:pPr>
              <w:spacing w:after="0" w:line="240" w:lineRule="auto"/>
              <w:jc w:val="center"/>
              <w:rPr>
                <w:rFonts w:ascii="Bookman Old Style" w:hAnsi="Bookman Old Style"/>
                <w:color w:val="000000" w:themeColor="text1"/>
                <w:sz w:val="20"/>
                <w:szCs w:val="20"/>
              </w:rPr>
            </w:pPr>
            <w:r w:rsidRPr="009A4BC4">
              <w:rPr>
                <w:rFonts w:ascii="Bookman Old Style" w:hAnsi="Bookman Old Style"/>
                <w:color w:val="000000" w:themeColor="text1"/>
                <w:sz w:val="20"/>
                <w:szCs w:val="20"/>
              </w:rPr>
              <w:t xml:space="preserve">REPUBLIK </w:t>
            </w:r>
            <w:r w:rsidRPr="009A4BC4">
              <w:rPr>
                <w:rFonts w:ascii="Bookman Old Style" w:eastAsia="Bookman Old Style" w:hAnsi="Bookman Old Style" w:cs="Bookman Old Style"/>
                <w:color w:val="000000" w:themeColor="text1"/>
                <w:sz w:val="20"/>
                <w:szCs w:val="20"/>
              </w:rPr>
              <w:t>INDONESIA</w:t>
            </w:r>
          </w:p>
          <w:p w14:paraId="04D287A8" w14:textId="77777777" w:rsidR="00EB4FBC" w:rsidRPr="009A4BC4"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p>
          <w:p w14:paraId="1BAAE0B8" w14:textId="77777777" w:rsidR="00EB4FBC" w:rsidRPr="009A4BC4" w:rsidRDefault="00EB4FBC" w:rsidP="007A2AAB">
            <w:pPr>
              <w:spacing w:after="0" w:line="240" w:lineRule="auto"/>
              <w:ind w:right="6"/>
              <w:jc w:val="center"/>
              <w:rPr>
                <w:rFonts w:ascii="Bookman Old Style" w:eastAsia="Bookman Old Style" w:hAnsi="Bookman Old Style" w:cs="Bookman Old Style"/>
                <w:color w:val="000000" w:themeColor="text1"/>
                <w:sz w:val="20"/>
                <w:szCs w:val="20"/>
              </w:rPr>
            </w:pPr>
            <w:r w:rsidRPr="009A4BC4">
              <w:rPr>
                <w:rFonts w:ascii="Bookman Old Style" w:eastAsia="Bookman Old Style" w:hAnsi="Bookman Old Style" w:cs="Bookman Old Style"/>
                <w:color w:val="000000" w:themeColor="text1"/>
                <w:sz w:val="20"/>
                <w:szCs w:val="20"/>
              </w:rPr>
              <w:t>NOMOR ... TAHUN 2024</w:t>
            </w:r>
          </w:p>
          <w:p w14:paraId="057BBE86" w14:textId="77777777" w:rsidR="00EB4FBC" w:rsidRPr="009A4BC4" w:rsidRDefault="00EB4FBC" w:rsidP="007A2AAB">
            <w:pPr>
              <w:spacing w:after="0" w:line="240" w:lineRule="auto"/>
              <w:jc w:val="center"/>
              <w:rPr>
                <w:rFonts w:ascii="Bookman Old Style" w:eastAsia="Bookman Old Style" w:hAnsi="Bookman Old Style" w:cs="Bookman Old Style"/>
                <w:color w:val="000000" w:themeColor="text1"/>
                <w:sz w:val="20"/>
                <w:szCs w:val="20"/>
              </w:rPr>
            </w:pPr>
            <w:r w:rsidRPr="009A4BC4">
              <w:rPr>
                <w:rFonts w:ascii="Bookman Old Style" w:eastAsia="Bookman Old Style" w:hAnsi="Bookman Old Style" w:cs="Bookman Old Style"/>
                <w:color w:val="000000" w:themeColor="text1"/>
                <w:sz w:val="20"/>
                <w:szCs w:val="20"/>
              </w:rPr>
              <w:t>TENTANG</w:t>
            </w:r>
          </w:p>
          <w:p w14:paraId="7748DFB0" w14:textId="77777777" w:rsidR="00EB4FBC" w:rsidRPr="009A4BC4" w:rsidRDefault="00EB4FBC" w:rsidP="007A2AAB">
            <w:pPr>
              <w:spacing w:after="0" w:line="240" w:lineRule="auto"/>
              <w:jc w:val="center"/>
              <w:rPr>
                <w:rFonts w:ascii="Bookman Old Style" w:hAnsi="Bookman Old Style"/>
                <w:color w:val="000000" w:themeColor="text1"/>
                <w:sz w:val="20"/>
                <w:szCs w:val="20"/>
                <w:lang w:val="sv-SE"/>
              </w:rPr>
            </w:pPr>
            <w:r w:rsidRPr="009A4BC4">
              <w:rPr>
                <w:rFonts w:ascii="Bookman Old Style" w:hAnsi="Bookman Old Style"/>
                <w:color w:val="000000" w:themeColor="text1"/>
                <w:sz w:val="20"/>
                <w:szCs w:val="20"/>
                <w:lang w:val="sv-SE"/>
              </w:rPr>
              <w:t xml:space="preserve">KEWAJIBAN PEMENUHAN </w:t>
            </w:r>
          </w:p>
          <w:p w14:paraId="41BA47F1" w14:textId="77777777" w:rsidR="00EB4FBC" w:rsidRPr="009A4BC4" w:rsidRDefault="00EB4FBC" w:rsidP="007A2AAB">
            <w:pPr>
              <w:spacing w:after="0" w:line="240" w:lineRule="auto"/>
              <w:jc w:val="center"/>
              <w:rPr>
                <w:rFonts w:ascii="Bookman Old Style" w:hAnsi="Bookman Old Style"/>
                <w:color w:val="000000" w:themeColor="text1"/>
                <w:sz w:val="20"/>
                <w:szCs w:val="20"/>
                <w:lang w:val="sv-SE"/>
              </w:rPr>
            </w:pPr>
            <w:r w:rsidRPr="009A4BC4">
              <w:rPr>
                <w:rFonts w:ascii="Bookman Old Style" w:hAnsi="Bookman Old Style"/>
                <w:color w:val="000000" w:themeColor="text1"/>
                <w:sz w:val="20"/>
                <w:szCs w:val="20"/>
                <w:lang w:val="sv-SE"/>
              </w:rPr>
              <w:t>RASIO KECUKUPAN LIKUIDITAS (</w:t>
            </w:r>
            <w:r w:rsidRPr="009A4BC4">
              <w:rPr>
                <w:rFonts w:ascii="Bookman Old Style" w:hAnsi="Bookman Old Style"/>
                <w:i/>
                <w:color w:val="000000" w:themeColor="text1"/>
                <w:sz w:val="20"/>
                <w:szCs w:val="20"/>
                <w:lang w:val="sv-SE"/>
              </w:rPr>
              <w:t>LIQUIDITY COVERAGE RATIO</w:t>
            </w:r>
            <w:r w:rsidRPr="009A4BC4">
              <w:rPr>
                <w:rFonts w:ascii="Bookman Old Style" w:hAnsi="Bookman Old Style"/>
                <w:color w:val="000000" w:themeColor="text1"/>
                <w:sz w:val="20"/>
                <w:szCs w:val="20"/>
                <w:lang w:val="sv-SE"/>
              </w:rPr>
              <w:t xml:space="preserve">) DAN </w:t>
            </w:r>
          </w:p>
          <w:p w14:paraId="2266BCB3" w14:textId="77777777" w:rsidR="00EB4FBC" w:rsidRPr="009A4BC4" w:rsidRDefault="00EB4FBC" w:rsidP="007A2AAB">
            <w:pPr>
              <w:spacing w:after="0" w:line="240" w:lineRule="auto"/>
              <w:jc w:val="center"/>
              <w:rPr>
                <w:rFonts w:ascii="Bookman Old Style" w:hAnsi="Bookman Old Style"/>
                <w:color w:val="000000" w:themeColor="text1"/>
                <w:sz w:val="20"/>
                <w:szCs w:val="20"/>
                <w:lang w:val="sv-SE"/>
              </w:rPr>
            </w:pPr>
            <w:r w:rsidRPr="009A4BC4">
              <w:rPr>
                <w:rFonts w:ascii="Bookman Old Style" w:hAnsi="Bookman Old Style"/>
                <w:color w:val="000000" w:themeColor="text1"/>
                <w:sz w:val="20"/>
                <w:szCs w:val="20"/>
                <w:lang w:val="sv-SE"/>
              </w:rPr>
              <w:t>RASIO PENDANAAN STABIL BERSIH (</w:t>
            </w:r>
            <w:r w:rsidRPr="009A4BC4">
              <w:rPr>
                <w:rFonts w:ascii="Bookman Old Style" w:hAnsi="Bookman Old Style"/>
                <w:i/>
                <w:color w:val="000000" w:themeColor="text1"/>
                <w:sz w:val="20"/>
                <w:szCs w:val="20"/>
                <w:lang w:val="sv-SE"/>
              </w:rPr>
              <w:t>NET STABLE FUNDING RATIO)</w:t>
            </w:r>
            <w:r w:rsidRPr="009A4BC4">
              <w:rPr>
                <w:rFonts w:ascii="Bookman Old Style" w:hAnsi="Bookman Old Style"/>
                <w:color w:val="000000" w:themeColor="text1"/>
                <w:sz w:val="20"/>
                <w:szCs w:val="20"/>
                <w:lang w:val="sv-SE"/>
              </w:rPr>
              <w:t xml:space="preserve"> </w:t>
            </w:r>
          </w:p>
          <w:p w14:paraId="5A61D1D4"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9A4BC4">
              <w:rPr>
                <w:rFonts w:ascii="Bookman Old Style" w:hAnsi="Bookman Old Style"/>
                <w:color w:val="000000" w:themeColor="text1"/>
                <w:sz w:val="20"/>
                <w:szCs w:val="20"/>
                <w:lang w:val="sv-SE"/>
              </w:rPr>
              <w:t>BAGI BANK UMUM SYARIAH DAN UNIT USAHA SYARIAH</w:t>
            </w:r>
          </w:p>
        </w:tc>
        <w:tc>
          <w:tcPr>
            <w:tcW w:w="5953" w:type="dxa"/>
            <w:vMerge/>
            <w:shd w:val="clear" w:color="auto" w:fill="FFFF00"/>
            <w:vAlign w:val="center"/>
          </w:tcPr>
          <w:p w14:paraId="75BB91B2"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FFFF00"/>
            <w:vAlign w:val="center"/>
          </w:tcPr>
          <w:p w14:paraId="37D15825"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r w:rsidR="00EB4FBC" w:rsidRPr="009A4BC4" w14:paraId="54B1341F" w14:textId="77777777" w:rsidTr="007A2AAB">
        <w:trPr>
          <w:trHeight w:val="564"/>
          <w:tblHeader/>
        </w:trPr>
        <w:tc>
          <w:tcPr>
            <w:tcW w:w="7225" w:type="dxa"/>
            <w:shd w:val="clear" w:color="auto" w:fill="auto"/>
            <w:vAlign w:val="center"/>
          </w:tcPr>
          <w:p w14:paraId="2998386D" w14:textId="43A295BD" w:rsidR="00EB4FBC" w:rsidRPr="009A4BC4" w:rsidRDefault="009A4BC4"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lang w:val="en-US"/>
              </w:rPr>
            </w:pPr>
            <w:r w:rsidRPr="009A4BC4">
              <w:rPr>
                <w:rFonts w:ascii="Bookman Old Style" w:hAnsi="Bookman Old Style"/>
                <w:sz w:val="20"/>
                <w:szCs w:val="20"/>
              </w:rPr>
              <w:t>LAPORAN</w:t>
            </w:r>
            <w:r w:rsidRPr="009A4BC4">
              <w:rPr>
                <w:rFonts w:ascii="Bookman Old Style" w:hAnsi="Bookman Old Style"/>
                <w:spacing w:val="-3"/>
                <w:sz w:val="20"/>
                <w:szCs w:val="20"/>
              </w:rPr>
              <w:t xml:space="preserve"> </w:t>
            </w:r>
            <w:r w:rsidRPr="009A4BC4">
              <w:rPr>
                <w:rFonts w:ascii="Bookman Old Style" w:hAnsi="Bookman Old Style"/>
                <w:sz w:val="20"/>
                <w:szCs w:val="20"/>
              </w:rPr>
              <w:t>NSFR</w:t>
            </w:r>
          </w:p>
        </w:tc>
        <w:tc>
          <w:tcPr>
            <w:tcW w:w="5953" w:type="dxa"/>
            <w:vMerge w:val="restart"/>
            <w:shd w:val="clear" w:color="auto" w:fill="auto"/>
            <w:vAlign w:val="center"/>
          </w:tcPr>
          <w:p w14:paraId="4FB96532"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sidRPr="009A4BC4">
              <w:rPr>
                <w:rFonts w:ascii="Bookman Old Style" w:eastAsia="Bookman Old Style" w:hAnsi="Bookman Old Style" w:cs="Bookman Old Style"/>
                <w:b/>
                <w:bCs/>
                <w:i/>
                <w:color w:val="000000" w:themeColor="text1"/>
                <w:sz w:val="20"/>
                <w:szCs w:val="20"/>
                <w:lang w:val="en-US"/>
              </w:rPr>
              <w:t xml:space="preserve">(Isi tanggapan atas </w:t>
            </w:r>
          </w:p>
          <w:p w14:paraId="166C0077" w14:textId="4F3A6D53"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i/>
                <w:color w:val="000000" w:themeColor="text1"/>
                <w:sz w:val="20"/>
                <w:szCs w:val="20"/>
                <w:lang w:val="en-US"/>
              </w:rPr>
            </w:pPr>
            <w:r w:rsidRPr="009A4BC4">
              <w:rPr>
                <w:rFonts w:ascii="Bookman Old Style" w:eastAsia="Bookman Old Style" w:hAnsi="Bookman Old Style" w:cs="Bookman Old Style"/>
                <w:b/>
                <w:bCs/>
                <w:i/>
                <w:color w:val="000000" w:themeColor="text1"/>
                <w:sz w:val="20"/>
                <w:szCs w:val="20"/>
                <w:lang w:val="en-US"/>
              </w:rPr>
              <w:t>Lampiran VI Disini)</w:t>
            </w:r>
          </w:p>
        </w:tc>
        <w:tc>
          <w:tcPr>
            <w:tcW w:w="3827" w:type="dxa"/>
            <w:vMerge w:val="restart"/>
            <w:shd w:val="clear" w:color="auto" w:fill="auto"/>
            <w:vAlign w:val="center"/>
          </w:tcPr>
          <w:p w14:paraId="485A8BC7" w14:textId="0F80FA86"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r w:rsidRPr="009A4BC4">
              <w:rPr>
                <w:rFonts w:ascii="Bookman Old Style" w:eastAsia="Bookman Old Style" w:hAnsi="Bookman Old Style" w:cs="Bookman Old Style"/>
                <w:b/>
                <w:bCs/>
                <w:i/>
                <w:color w:val="000000" w:themeColor="text1"/>
                <w:sz w:val="20"/>
                <w:szCs w:val="20"/>
                <w:lang w:val="en-US"/>
              </w:rPr>
              <w:t>(Isi usulan perubahan atas Lampiran VI disini)</w:t>
            </w:r>
          </w:p>
        </w:tc>
      </w:tr>
      <w:tr w:rsidR="00EB4FBC" w:rsidRPr="009A4BC4" w14:paraId="2B2143F8" w14:textId="77777777" w:rsidTr="007A2AAB">
        <w:trPr>
          <w:trHeight w:val="564"/>
          <w:tblHeader/>
        </w:trPr>
        <w:tc>
          <w:tcPr>
            <w:tcW w:w="7225" w:type="dxa"/>
            <w:shd w:val="clear" w:color="auto" w:fill="auto"/>
            <w:vAlign w:val="center"/>
          </w:tcPr>
          <w:p w14:paraId="2705E137" w14:textId="77777777" w:rsidR="009A4BC4" w:rsidRPr="009A4BC4" w:rsidRDefault="009A4BC4" w:rsidP="007A2AAB">
            <w:pPr>
              <w:pStyle w:val="BodyText"/>
              <w:ind w:right="-1"/>
              <w:rPr>
                <w:rFonts w:ascii="Bookman Old Style" w:hAnsi="Bookman Old Style"/>
                <w:sz w:val="20"/>
                <w:szCs w:val="20"/>
                <w:lang w:val="sv-SE"/>
              </w:rPr>
            </w:pPr>
          </w:p>
          <w:p w14:paraId="2D297981" w14:textId="6BFB695C" w:rsidR="00EB4FBC" w:rsidRPr="009A4BC4" w:rsidRDefault="00EB4FBC" w:rsidP="007A2AAB">
            <w:pPr>
              <w:pStyle w:val="BodyText"/>
              <w:ind w:right="-1"/>
              <w:rPr>
                <w:rFonts w:ascii="Bookman Old Style" w:hAnsi="Bookman Old Style"/>
                <w:sz w:val="20"/>
                <w:szCs w:val="20"/>
                <w:lang w:val="sv-SE"/>
              </w:rPr>
            </w:pPr>
            <w:r w:rsidRPr="009A4BC4">
              <w:rPr>
                <w:rFonts w:ascii="Bookman Old Style" w:hAnsi="Bookman Old Style"/>
                <w:sz w:val="20"/>
                <w:szCs w:val="20"/>
                <w:lang w:val="sv-SE"/>
              </w:rPr>
              <w:t>Nama Bank</w:t>
            </w:r>
            <w:r w:rsidRPr="009A4BC4">
              <w:rPr>
                <w:rFonts w:ascii="Bookman Old Style" w:hAnsi="Bookman Old Style"/>
                <w:sz w:val="20"/>
                <w:szCs w:val="20"/>
                <w:lang w:val="sv-SE"/>
              </w:rPr>
              <w:tab/>
            </w:r>
            <w:r w:rsidRPr="009A4BC4">
              <w:rPr>
                <w:rFonts w:ascii="Bookman Old Style" w:hAnsi="Bookman Old Style"/>
                <w:sz w:val="20"/>
                <w:szCs w:val="20"/>
                <w:lang w:val="sv-SE"/>
              </w:rPr>
              <w:tab/>
              <w:t>:</w:t>
            </w:r>
            <w:r w:rsidR="009A4BC4" w:rsidRPr="009A4BC4">
              <w:rPr>
                <w:rFonts w:ascii="Bookman Old Style" w:hAnsi="Bookman Old Style"/>
                <w:sz w:val="20"/>
                <w:szCs w:val="20"/>
                <w:lang w:val="sv-SE"/>
              </w:rPr>
              <w:t xml:space="preserve"> </w:t>
            </w:r>
            <w:r w:rsidR="009A4BC4" w:rsidRPr="009A4BC4">
              <w:rPr>
                <w:rFonts w:ascii="Bookman Old Style" w:hAnsi="Bookman Old Style"/>
                <w:sz w:val="20"/>
                <w:szCs w:val="20"/>
              </w:rPr>
              <w:t xml:space="preserve"> </w:t>
            </w:r>
            <w:r w:rsidR="009A4BC4" w:rsidRPr="009A4BC4">
              <w:rPr>
                <w:rFonts w:ascii="Bookman Old Style" w:hAnsi="Bookman Old Style"/>
                <w:sz w:val="20"/>
                <w:szCs w:val="20"/>
              </w:rPr>
              <w:t>PT Bank….</w:t>
            </w:r>
            <w:r w:rsidR="009A4BC4" w:rsidRPr="009A4BC4">
              <w:rPr>
                <w:rFonts w:ascii="Bookman Old Style" w:hAnsi="Bookman Old Style"/>
                <w:sz w:val="20"/>
                <w:szCs w:val="20"/>
              </w:rPr>
              <w:tab/>
            </w:r>
            <w:r w:rsidR="009A4BC4" w:rsidRPr="009A4BC4">
              <w:rPr>
                <w:rFonts w:ascii="Bookman Old Style" w:hAnsi="Bookman Old Style"/>
                <w:spacing w:val="-1"/>
                <w:sz w:val="20"/>
                <w:szCs w:val="20"/>
              </w:rPr>
              <w:t>(individu/konsolidasi)*</w:t>
            </w:r>
          </w:p>
          <w:p w14:paraId="2B272773" w14:textId="561A374B" w:rsidR="00EB4FBC" w:rsidRPr="009A4BC4" w:rsidRDefault="00EB4FBC" w:rsidP="007A2AAB">
            <w:pPr>
              <w:pStyle w:val="BodyText"/>
              <w:ind w:right="-1"/>
              <w:rPr>
                <w:rFonts w:ascii="Bookman Old Style" w:hAnsi="Bookman Old Style"/>
                <w:sz w:val="20"/>
                <w:szCs w:val="20"/>
                <w:lang w:val="sv-SE"/>
              </w:rPr>
            </w:pPr>
            <w:r w:rsidRPr="009A4BC4">
              <w:rPr>
                <w:rFonts w:ascii="Bookman Old Style" w:hAnsi="Bookman Old Style"/>
                <w:sz w:val="20"/>
                <w:szCs w:val="20"/>
                <w:lang w:val="sv-SE"/>
              </w:rPr>
              <w:t>Bulan Laporan</w:t>
            </w:r>
            <w:r w:rsidRPr="009A4BC4">
              <w:rPr>
                <w:rFonts w:ascii="Bookman Old Style" w:hAnsi="Bookman Old Style"/>
                <w:sz w:val="20"/>
                <w:szCs w:val="20"/>
                <w:lang w:val="sv-SE"/>
              </w:rPr>
              <w:tab/>
              <w:t>:</w:t>
            </w:r>
            <w:r w:rsidR="009A4BC4" w:rsidRPr="009A4BC4">
              <w:rPr>
                <w:rFonts w:ascii="Bookman Old Style" w:hAnsi="Bookman Old Style"/>
                <w:sz w:val="20"/>
                <w:szCs w:val="20"/>
                <w:lang w:val="sv-SE"/>
              </w:rPr>
              <w:t xml:space="preserve"> </w:t>
            </w:r>
            <w:r w:rsidR="009A4BC4" w:rsidRPr="009A4BC4">
              <w:rPr>
                <w:rFonts w:ascii="Bookman Old Style" w:hAnsi="Bookman Old Style"/>
                <w:sz w:val="20"/>
                <w:szCs w:val="20"/>
              </w:rPr>
              <w:t xml:space="preserve"> </w:t>
            </w:r>
            <w:r w:rsidR="009A4BC4" w:rsidRPr="009A4BC4">
              <w:rPr>
                <w:rFonts w:ascii="Bookman Old Style" w:hAnsi="Bookman Old Style"/>
                <w:sz w:val="20"/>
                <w:szCs w:val="20"/>
              </w:rPr>
              <w:t>Bulan/Tahun</w:t>
            </w:r>
          </w:p>
          <w:p w14:paraId="18213B99" w14:textId="77777777" w:rsidR="00EB4FBC" w:rsidRPr="009A4BC4" w:rsidRDefault="00EB4FBC" w:rsidP="007A2AAB">
            <w:pPr>
              <w:pStyle w:val="BodyText"/>
              <w:ind w:right="-1"/>
              <w:rPr>
                <w:rFonts w:ascii="Bookman Old Style" w:hAnsi="Bookman Old Style"/>
                <w:sz w:val="20"/>
                <w:szCs w:val="20"/>
                <w:lang w:val="sv-SE"/>
              </w:rPr>
            </w:pPr>
          </w:p>
          <w:p w14:paraId="4DF827BC" w14:textId="77777777" w:rsidR="00EB4FBC" w:rsidRPr="009A4BC4" w:rsidRDefault="00EB4FBC" w:rsidP="007A2AAB">
            <w:pPr>
              <w:pStyle w:val="BodyText"/>
              <w:ind w:right="-1"/>
              <w:rPr>
                <w:rFonts w:ascii="Bookman Old Style" w:hAnsi="Bookman Old Style"/>
                <w:sz w:val="20"/>
                <w:szCs w:val="20"/>
                <w:lang w:val="sv-SE"/>
              </w:rPr>
            </w:pPr>
          </w:p>
        </w:tc>
        <w:tc>
          <w:tcPr>
            <w:tcW w:w="5953" w:type="dxa"/>
            <w:vMerge/>
            <w:shd w:val="clear" w:color="auto" w:fill="auto"/>
            <w:vAlign w:val="center"/>
          </w:tcPr>
          <w:p w14:paraId="44193841"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c>
          <w:tcPr>
            <w:tcW w:w="3827" w:type="dxa"/>
            <w:vMerge/>
            <w:shd w:val="clear" w:color="auto" w:fill="auto"/>
            <w:vAlign w:val="center"/>
          </w:tcPr>
          <w:p w14:paraId="168FF11B" w14:textId="77777777" w:rsidR="00EB4FBC" w:rsidRPr="009A4BC4" w:rsidRDefault="00EB4FBC" w:rsidP="007A2AAB">
            <w:pPr>
              <w:tabs>
                <w:tab w:val="left" w:pos="1980"/>
                <w:tab w:val="left" w:pos="2520"/>
                <w:tab w:val="left" w:pos="2552"/>
              </w:tabs>
              <w:spacing w:after="0" w:line="240" w:lineRule="auto"/>
              <w:jc w:val="center"/>
              <w:rPr>
                <w:rFonts w:ascii="Bookman Old Style" w:eastAsia="Bookman Old Style" w:hAnsi="Bookman Old Style" w:cs="Bookman Old Style"/>
                <w:b/>
                <w:bCs/>
                <w:color w:val="000000" w:themeColor="text1"/>
                <w:sz w:val="20"/>
                <w:szCs w:val="20"/>
              </w:rPr>
            </w:pPr>
          </w:p>
        </w:tc>
      </w:tr>
    </w:tbl>
    <w:p w14:paraId="6DD86024" w14:textId="25ACCE5D" w:rsidR="00EB4FBC" w:rsidRPr="009A4BC4" w:rsidRDefault="00EB4FBC" w:rsidP="006A283D">
      <w:pPr>
        <w:tabs>
          <w:tab w:val="left" w:pos="1256"/>
        </w:tabs>
        <w:spacing w:after="0" w:line="240" w:lineRule="auto"/>
        <w:rPr>
          <w:rFonts w:ascii="Bookman Old Style" w:eastAsia="Bookman Old Style" w:hAnsi="Bookman Old Style" w:cs="Bookman Old Style"/>
          <w:sz w:val="20"/>
          <w:szCs w:val="20"/>
        </w:rPr>
      </w:pPr>
    </w:p>
    <w:p w14:paraId="46D5E1AE" w14:textId="51F3055C" w:rsidR="009A4BC4" w:rsidRDefault="009A4BC4" w:rsidP="00A32F86">
      <w:pPr>
        <w:pStyle w:val="ListParagraph"/>
        <w:widowControl w:val="0"/>
        <w:numPr>
          <w:ilvl w:val="0"/>
          <w:numId w:val="216"/>
        </w:numPr>
        <w:autoSpaceDE w:val="0"/>
        <w:autoSpaceDN w:val="0"/>
        <w:spacing w:after="0" w:line="240" w:lineRule="auto"/>
        <w:ind w:left="567" w:hanging="567"/>
        <w:contextualSpacing w:val="0"/>
        <w:jc w:val="both"/>
        <w:rPr>
          <w:rFonts w:ascii="Bookman Old Style" w:hAnsi="Bookman Old Style"/>
          <w:sz w:val="20"/>
          <w:szCs w:val="20"/>
        </w:rPr>
      </w:pPr>
      <w:r w:rsidRPr="009A4BC4">
        <w:rPr>
          <w:rFonts w:ascii="Bookman Old Style" w:hAnsi="Bookman Old Style"/>
          <w:sz w:val="20"/>
          <w:szCs w:val="20"/>
        </w:rPr>
        <w:t>PERHITUNGAN</w:t>
      </w:r>
      <w:r w:rsidRPr="009A4BC4">
        <w:rPr>
          <w:rFonts w:ascii="Bookman Old Style" w:hAnsi="Bookman Old Style"/>
          <w:spacing w:val="-3"/>
          <w:sz w:val="20"/>
          <w:szCs w:val="20"/>
        </w:rPr>
        <w:t xml:space="preserve"> </w:t>
      </w:r>
      <w:r w:rsidRPr="009A4BC4">
        <w:rPr>
          <w:rFonts w:ascii="Bookman Old Style" w:hAnsi="Bookman Old Style"/>
          <w:sz w:val="20"/>
          <w:szCs w:val="20"/>
        </w:rPr>
        <w:t>NSFR</w:t>
      </w:r>
    </w:p>
    <w:p w14:paraId="73217708" w14:textId="65E05B3A" w:rsidR="009A4BC4" w:rsidRDefault="009A4BC4"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tbl>
      <w:tblPr>
        <w:tblW w:w="0" w:type="auto"/>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4285"/>
        <w:gridCol w:w="1134"/>
        <w:gridCol w:w="992"/>
        <w:gridCol w:w="1103"/>
        <w:gridCol w:w="881"/>
        <w:gridCol w:w="1186"/>
        <w:gridCol w:w="17"/>
        <w:gridCol w:w="1065"/>
        <w:gridCol w:w="993"/>
        <w:gridCol w:w="1080"/>
        <w:gridCol w:w="904"/>
        <w:gridCol w:w="1263"/>
        <w:gridCol w:w="1366"/>
        <w:gridCol w:w="19"/>
      </w:tblGrid>
      <w:tr w:rsidR="009A4BC4" w:rsidRPr="008262B9" w14:paraId="6A26C15E" w14:textId="77777777" w:rsidTr="008262B9">
        <w:trPr>
          <w:gridAfter w:val="1"/>
          <w:wAfter w:w="19" w:type="dxa"/>
          <w:trHeight w:val="434"/>
          <w:tblHeader/>
        </w:trPr>
        <w:tc>
          <w:tcPr>
            <w:tcW w:w="4842" w:type="dxa"/>
            <w:gridSpan w:val="2"/>
            <w:vMerge w:val="restart"/>
            <w:shd w:val="clear" w:color="auto" w:fill="808080"/>
          </w:tcPr>
          <w:p w14:paraId="4714467C" w14:textId="77777777" w:rsidR="009A4BC4" w:rsidRPr="008262B9" w:rsidRDefault="009A4BC4" w:rsidP="001359AD">
            <w:pPr>
              <w:pStyle w:val="TableParagraph"/>
              <w:rPr>
                <w:rFonts w:ascii="Bookman Old Style" w:hAnsi="Bookman Old Style"/>
                <w:sz w:val="20"/>
                <w:szCs w:val="20"/>
              </w:rPr>
            </w:pPr>
          </w:p>
          <w:p w14:paraId="6FE0CAE7" w14:textId="77777777" w:rsidR="009A4BC4" w:rsidRPr="008262B9" w:rsidRDefault="009A4BC4" w:rsidP="001359AD">
            <w:pPr>
              <w:pStyle w:val="TableParagraph"/>
              <w:rPr>
                <w:rFonts w:ascii="Bookman Old Style" w:hAnsi="Bookman Old Style"/>
                <w:sz w:val="20"/>
                <w:szCs w:val="20"/>
              </w:rPr>
            </w:pPr>
          </w:p>
          <w:p w14:paraId="1DD4E12D" w14:textId="77777777" w:rsidR="009A4BC4" w:rsidRPr="008262B9" w:rsidRDefault="009A4BC4" w:rsidP="001359AD">
            <w:pPr>
              <w:pStyle w:val="TableParagraph"/>
              <w:rPr>
                <w:rFonts w:ascii="Bookman Old Style" w:hAnsi="Bookman Old Style"/>
                <w:sz w:val="20"/>
                <w:szCs w:val="20"/>
              </w:rPr>
            </w:pPr>
          </w:p>
          <w:p w14:paraId="0ACF4C80" w14:textId="77777777" w:rsidR="009A4BC4" w:rsidRPr="008262B9" w:rsidRDefault="009A4BC4" w:rsidP="001359AD">
            <w:pPr>
              <w:pStyle w:val="TableParagraph"/>
              <w:spacing w:before="1"/>
              <w:rPr>
                <w:rFonts w:ascii="Bookman Old Style" w:hAnsi="Bookman Old Style"/>
                <w:sz w:val="20"/>
                <w:szCs w:val="20"/>
              </w:rPr>
            </w:pPr>
          </w:p>
          <w:p w14:paraId="4DB6731C" w14:textId="77777777" w:rsidR="009A4BC4" w:rsidRPr="008262B9" w:rsidRDefault="009A4BC4" w:rsidP="001359AD">
            <w:pPr>
              <w:pStyle w:val="TableParagraph"/>
              <w:ind w:left="310"/>
              <w:jc w:val="center"/>
              <w:rPr>
                <w:rFonts w:ascii="Bookman Old Style" w:hAnsi="Bookman Old Style"/>
                <w:b/>
                <w:sz w:val="20"/>
                <w:szCs w:val="20"/>
              </w:rPr>
            </w:pPr>
            <w:r w:rsidRPr="008262B9">
              <w:rPr>
                <w:rFonts w:ascii="Bookman Old Style" w:hAnsi="Bookman Old Style"/>
                <w:b/>
                <w:sz w:val="20"/>
                <w:szCs w:val="20"/>
              </w:rPr>
              <w:t>Komponen</w:t>
            </w:r>
            <w:r w:rsidRPr="008262B9">
              <w:rPr>
                <w:rFonts w:ascii="Bookman Old Style" w:hAnsi="Bookman Old Style"/>
                <w:b/>
                <w:spacing w:val="-3"/>
                <w:sz w:val="20"/>
                <w:szCs w:val="20"/>
              </w:rPr>
              <w:t xml:space="preserve"> </w:t>
            </w:r>
            <w:r w:rsidRPr="008262B9">
              <w:rPr>
                <w:rFonts w:ascii="Bookman Old Style" w:hAnsi="Bookman Old Style"/>
                <w:b/>
                <w:sz w:val="20"/>
                <w:szCs w:val="20"/>
              </w:rPr>
              <w:t>ASF</w:t>
            </w:r>
          </w:p>
        </w:tc>
        <w:tc>
          <w:tcPr>
            <w:tcW w:w="5313" w:type="dxa"/>
            <w:gridSpan w:val="6"/>
            <w:shd w:val="clear" w:color="auto" w:fill="808080"/>
          </w:tcPr>
          <w:p w14:paraId="6B6AE43E" w14:textId="77777777" w:rsidR="009A4BC4" w:rsidRPr="008262B9" w:rsidRDefault="009A4BC4" w:rsidP="001359AD">
            <w:pPr>
              <w:pStyle w:val="TableParagraph"/>
              <w:spacing w:before="124"/>
              <w:ind w:left="211"/>
              <w:jc w:val="center"/>
              <w:rPr>
                <w:rFonts w:ascii="Bookman Old Style" w:hAnsi="Bookman Old Style"/>
                <w:b/>
                <w:sz w:val="20"/>
                <w:szCs w:val="20"/>
              </w:rPr>
            </w:pPr>
            <w:r w:rsidRPr="008262B9">
              <w:rPr>
                <w:rFonts w:ascii="Bookman Old Style" w:hAnsi="Bookman Old Style"/>
                <w:b/>
                <w:sz w:val="20"/>
                <w:szCs w:val="20"/>
              </w:rPr>
              <w:t>Posisi</w:t>
            </w:r>
            <w:r w:rsidRPr="008262B9">
              <w:rPr>
                <w:rFonts w:ascii="Bookman Old Style" w:hAnsi="Bookman Old Style"/>
                <w:b/>
                <w:spacing w:val="-6"/>
                <w:sz w:val="20"/>
                <w:szCs w:val="20"/>
              </w:rPr>
              <w:t xml:space="preserve"> </w:t>
            </w:r>
            <w:r w:rsidRPr="008262B9">
              <w:rPr>
                <w:rFonts w:ascii="Bookman Old Style" w:hAnsi="Bookman Old Style"/>
                <w:b/>
                <w:sz w:val="20"/>
                <w:szCs w:val="20"/>
              </w:rPr>
              <w:t>Tanggal</w:t>
            </w:r>
            <w:r w:rsidRPr="008262B9">
              <w:rPr>
                <w:rFonts w:ascii="Bookman Old Style" w:hAnsi="Bookman Old Style"/>
                <w:b/>
                <w:spacing w:val="-6"/>
                <w:sz w:val="20"/>
                <w:szCs w:val="20"/>
              </w:rPr>
              <w:t xml:space="preserve"> </w:t>
            </w:r>
            <w:r w:rsidRPr="008262B9">
              <w:rPr>
                <w:rFonts w:ascii="Bookman Old Style" w:hAnsi="Bookman Old Style"/>
                <w:b/>
                <w:sz w:val="20"/>
                <w:szCs w:val="20"/>
              </w:rPr>
              <w:t>Laporan</w:t>
            </w:r>
            <w:r w:rsidRPr="008262B9">
              <w:rPr>
                <w:rFonts w:ascii="Bookman Old Style" w:hAnsi="Bookman Old Style"/>
                <w:b/>
                <w:spacing w:val="-3"/>
                <w:sz w:val="20"/>
                <w:szCs w:val="20"/>
              </w:rPr>
              <w:t xml:space="preserve"> </w:t>
            </w:r>
            <w:r w:rsidRPr="008262B9">
              <w:rPr>
                <w:rFonts w:ascii="Bookman Old Style" w:hAnsi="Bookman Old Style"/>
                <w:b/>
                <w:sz w:val="20"/>
                <w:szCs w:val="20"/>
              </w:rPr>
              <w:t>Sebelumnya</w:t>
            </w:r>
            <w:r w:rsidRPr="008262B9">
              <w:rPr>
                <w:rFonts w:ascii="Bookman Old Style" w:hAnsi="Bookman Old Style"/>
                <w:b/>
                <w:spacing w:val="-2"/>
                <w:sz w:val="20"/>
                <w:szCs w:val="20"/>
              </w:rPr>
              <w:t xml:space="preserve"> </w:t>
            </w:r>
            <w:r w:rsidRPr="008262B9">
              <w:rPr>
                <w:rFonts w:ascii="Bookman Old Style" w:hAnsi="Bookman Old Style"/>
                <w:b/>
                <w:sz w:val="20"/>
                <w:szCs w:val="20"/>
              </w:rPr>
              <w:t>(Bulan/Tahun)</w:t>
            </w:r>
          </w:p>
        </w:tc>
        <w:tc>
          <w:tcPr>
            <w:tcW w:w="5305" w:type="dxa"/>
            <w:gridSpan w:val="5"/>
            <w:shd w:val="clear" w:color="auto" w:fill="808080"/>
          </w:tcPr>
          <w:p w14:paraId="7EC30E03" w14:textId="77777777" w:rsidR="009A4BC4" w:rsidRPr="008262B9" w:rsidRDefault="009A4BC4" w:rsidP="001359AD">
            <w:pPr>
              <w:pStyle w:val="TableParagraph"/>
              <w:spacing w:before="124"/>
              <w:ind w:left="803"/>
              <w:rPr>
                <w:rFonts w:ascii="Bookman Old Style" w:hAnsi="Bookman Old Style"/>
                <w:b/>
                <w:sz w:val="20"/>
                <w:szCs w:val="20"/>
              </w:rPr>
            </w:pPr>
            <w:r w:rsidRPr="008262B9">
              <w:rPr>
                <w:rFonts w:ascii="Bookman Old Style" w:hAnsi="Bookman Old Style"/>
                <w:b/>
                <w:sz w:val="20"/>
                <w:szCs w:val="20"/>
              </w:rPr>
              <w:t>Posisi</w:t>
            </w:r>
            <w:r w:rsidRPr="008262B9">
              <w:rPr>
                <w:rFonts w:ascii="Bookman Old Style" w:hAnsi="Bookman Old Style"/>
                <w:b/>
                <w:spacing w:val="-6"/>
                <w:sz w:val="20"/>
                <w:szCs w:val="20"/>
              </w:rPr>
              <w:t xml:space="preserve"> </w:t>
            </w:r>
            <w:r w:rsidRPr="008262B9">
              <w:rPr>
                <w:rFonts w:ascii="Bookman Old Style" w:hAnsi="Bookman Old Style"/>
                <w:b/>
                <w:sz w:val="20"/>
                <w:szCs w:val="20"/>
              </w:rPr>
              <w:t>Tanggal</w:t>
            </w:r>
            <w:r w:rsidRPr="008262B9">
              <w:rPr>
                <w:rFonts w:ascii="Bookman Old Style" w:hAnsi="Bookman Old Style"/>
                <w:b/>
                <w:spacing w:val="-6"/>
                <w:sz w:val="20"/>
                <w:szCs w:val="20"/>
              </w:rPr>
              <w:t xml:space="preserve"> </w:t>
            </w:r>
            <w:r w:rsidRPr="008262B9">
              <w:rPr>
                <w:rFonts w:ascii="Bookman Old Style" w:hAnsi="Bookman Old Style"/>
                <w:b/>
                <w:sz w:val="20"/>
                <w:szCs w:val="20"/>
              </w:rPr>
              <w:t>Laporan</w:t>
            </w:r>
            <w:r w:rsidRPr="008262B9">
              <w:rPr>
                <w:rFonts w:ascii="Bookman Old Style" w:hAnsi="Bookman Old Style"/>
                <w:b/>
                <w:spacing w:val="-1"/>
                <w:sz w:val="20"/>
                <w:szCs w:val="20"/>
              </w:rPr>
              <w:t xml:space="preserve"> </w:t>
            </w:r>
            <w:r w:rsidRPr="008262B9">
              <w:rPr>
                <w:rFonts w:ascii="Bookman Old Style" w:hAnsi="Bookman Old Style"/>
                <w:b/>
                <w:sz w:val="20"/>
                <w:szCs w:val="20"/>
              </w:rPr>
              <w:t>(Bulan/Tahun)</w:t>
            </w:r>
          </w:p>
        </w:tc>
        <w:tc>
          <w:tcPr>
            <w:tcW w:w="1366" w:type="dxa"/>
            <w:vMerge w:val="restart"/>
            <w:shd w:val="clear" w:color="auto" w:fill="808080"/>
          </w:tcPr>
          <w:p w14:paraId="1BFD9416" w14:textId="77777777" w:rsidR="009A4BC4" w:rsidRPr="008262B9" w:rsidRDefault="009A4BC4" w:rsidP="001359AD">
            <w:pPr>
              <w:pStyle w:val="TableParagraph"/>
              <w:ind w:right="318"/>
              <w:jc w:val="center"/>
              <w:rPr>
                <w:rFonts w:ascii="Bookman Old Style" w:hAnsi="Bookman Old Style"/>
                <w:b/>
                <w:sz w:val="20"/>
                <w:szCs w:val="20"/>
              </w:rPr>
            </w:pPr>
            <w:r w:rsidRPr="008262B9">
              <w:rPr>
                <w:rFonts w:ascii="Bookman Old Style" w:hAnsi="Bookman Old Style"/>
                <w:b/>
                <w:sz w:val="20"/>
                <w:szCs w:val="20"/>
              </w:rPr>
              <w:t>No. Ref. dari</w:t>
            </w:r>
            <w:r w:rsidRPr="008262B9">
              <w:rPr>
                <w:rFonts w:ascii="Bookman Old Style" w:hAnsi="Bookman Old Style"/>
                <w:b/>
                <w:spacing w:val="-52"/>
                <w:sz w:val="20"/>
                <w:szCs w:val="20"/>
              </w:rPr>
              <w:t xml:space="preserve"> </w:t>
            </w:r>
            <w:r w:rsidRPr="008262B9">
              <w:rPr>
                <w:rFonts w:ascii="Bookman Old Style" w:hAnsi="Bookman Old Style"/>
                <w:b/>
                <w:sz w:val="20"/>
                <w:szCs w:val="20"/>
              </w:rPr>
              <w:t>Kertas Kerja</w:t>
            </w:r>
            <w:r w:rsidRPr="008262B9">
              <w:rPr>
                <w:rFonts w:ascii="Bookman Old Style" w:hAnsi="Bookman Old Style"/>
                <w:b/>
                <w:spacing w:val="-52"/>
                <w:sz w:val="20"/>
                <w:szCs w:val="20"/>
              </w:rPr>
              <w:t xml:space="preserve"> </w:t>
            </w:r>
            <w:r w:rsidRPr="008262B9">
              <w:rPr>
                <w:rFonts w:ascii="Bookman Old Style" w:hAnsi="Bookman Old Style"/>
                <w:b/>
                <w:sz w:val="20"/>
                <w:szCs w:val="20"/>
              </w:rPr>
              <w:t>NSFR</w:t>
            </w:r>
          </w:p>
        </w:tc>
      </w:tr>
      <w:tr w:rsidR="009A4BC4" w:rsidRPr="008262B9" w14:paraId="4DA67C0D" w14:textId="77777777" w:rsidTr="008262B9">
        <w:trPr>
          <w:gridAfter w:val="1"/>
          <w:wAfter w:w="19" w:type="dxa"/>
          <w:trHeight w:val="436"/>
          <w:tblHeader/>
        </w:trPr>
        <w:tc>
          <w:tcPr>
            <w:tcW w:w="4842" w:type="dxa"/>
            <w:gridSpan w:val="2"/>
            <w:vMerge/>
            <w:tcBorders>
              <w:top w:val="nil"/>
            </w:tcBorders>
            <w:shd w:val="clear" w:color="auto" w:fill="808080"/>
          </w:tcPr>
          <w:p w14:paraId="6BD527E2" w14:textId="77777777" w:rsidR="009A4BC4" w:rsidRPr="008262B9" w:rsidRDefault="009A4BC4" w:rsidP="001359AD">
            <w:pPr>
              <w:rPr>
                <w:rFonts w:ascii="Bookman Old Style" w:hAnsi="Bookman Old Style"/>
                <w:sz w:val="20"/>
                <w:szCs w:val="20"/>
              </w:rPr>
            </w:pPr>
          </w:p>
        </w:tc>
        <w:tc>
          <w:tcPr>
            <w:tcW w:w="4110" w:type="dxa"/>
            <w:gridSpan w:val="4"/>
            <w:shd w:val="clear" w:color="auto" w:fill="808080"/>
          </w:tcPr>
          <w:p w14:paraId="6B680927" w14:textId="77777777" w:rsidR="009A4BC4" w:rsidRPr="008262B9" w:rsidRDefault="009A4BC4" w:rsidP="001359AD">
            <w:pPr>
              <w:pStyle w:val="TableParagraph"/>
              <w:spacing w:before="31"/>
              <w:ind w:left="231" w:right="205" w:hanging="4"/>
              <w:jc w:val="center"/>
              <w:rPr>
                <w:rFonts w:ascii="Bookman Old Style" w:hAnsi="Bookman Old Style"/>
                <w:b/>
                <w:sz w:val="20"/>
                <w:szCs w:val="20"/>
              </w:rPr>
            </w:pPr>
            <w:r w:rsidRPr="008262B9">
              <w:rPr>
                <w:rFonts w:ascii="Bookman Old Style" w:hAnsi="Bookman Old Style"/>
                <w:b/>
                <w:sz w:val="20"/>
                <w:szCs w:val="20"/>
              </w:rPr>
              <w:t>Nilai Tercatat Berdasarkan Sisa</w:t>
            </w:r>
            <w:r w:rsidRPr="008262B9">
              <w:rPr>
                <w:rFonts w:ascii="Bookman Old Style" w:hAnsi="Bookman Old Style"/>
                <w:b/>
                <w:spacing w:val="1"/>
                <w:sz w:val="20"/>
                <w:szCs w:val="20"/>
              </w:rPr>
              <w:t xml:space="preserve"> </w:t>
            </w:r>
            <w:r w:rsidRPr="008262B9">
              <w:rPr>
                <w:rFonts w:ascii="Bookman Old Style" w:hAnsi="Bookman Old Style"/>
                <w:b/>
                <w:sz w:val="20"/>
                <w:szCs w:val="20"/>
              </w:rPr>
              <w:t>Jangka</w:t>
            </w:r>
            <w:r w:rsidRPr="008262B9">
              <w:rPr>
                <w:rFonts w:ascii="Bookman Old Style" w:hAnsi="Bookman Old Style"/>
                <w:b/>
                <w:spacing w:val="-4"/>
                <w:sz w:val="20"/>
                <w:szCs w:val="20"/>
              </w:rPr>
              <w:t xml:space="preserve"> </w:t>
            </w:r>
            <w:r w:rsidRPr="008262B9">
              <w:rPr>
                <w:rFonts w:ascii="Bookman Old Style" w:hAnsi="Bookman Old Style"/>
                <w:b/>
                <w:sz w:val="20"/>
                <w:szCs w:val="20"/>
              </w:rPr>
              <w:t>Waktu</w:t>
            </w:r>
            <w:r w:rsidRPr="008262B9">
              <w:rPr>
                <w:rFonts w:ascii="Bookman Old Style" w:hAnsi="Bookman Old Style"/>
                <w:b/>
                <w:spacing w:val="-7"/>
                <w:sz w:val="20"/>
                <w:szCs w:val="20"/>
              </w:rPr>
              <w:t xml:space="preserve"> </w:t>
            </w:r>
            <w:r w:rsidRPr="008262B9">
              <w:rPr>
                <w:rFonts w:ascii="Bookman Old Style" w:hAnsi="Bookman Old Style"/>
                <w:b/>
                <w:sz w:val="20"/>
                <w:szCs w:val="20"/>
              </w:rPr>
              <w:t>(Dalam</w:t>
            </w:r>
            <w:r w:rsidRPr="008262B9">
              <w:rPr>
                <w:rFonts w:ascii="Bookman Old Style" w:hAnsi="Bookman Old Style"/>
                <w:b/>
                <w:spacing w:val="-4"/>
                <w:sz w:val="20"/>
                <w:szCs w:val="20"/>
              </w:rPr>
              <w:t xml:space="preserve"> </w:t>
            </w:r>
            <w:r w:rsidRPr="008262B9">
              <w:rPr>
                <w:rFonts w:ascii="Bookman Old Style" w:hAnsi="Bookman Old Style"/>
                <w:b/>
                <w:sz w:val="20"/>
                <w:szCs w:val="20"/>
              </w:rPr>
              <w:t>Juta</w:t>
            </w:r>
            <w:r w:rsidRPr="008262B9">
              <w:rPr>
                <w:rFonts w:ascii="Bookman Old Style" w:hAnsi="Bookman Old Style"/>
                <w:b/>
                <w:spacing w:val="-2"/>
                <w:sz w:val="20"/>
                <w:szCs w:val="20"/>
              </w:rPr>
              <w:t xml:space="preserve"> </w:t>
            </w:r>
            <w:r w:rsidRPr="008262B9">
              <w:rPr>
                <w:rFonts w:ascii="Bookman Old Style" w:hAnsi="Bookman Old Style"/>
                <w:b/>
                <w:sz w:val="20"/>
                <w:szCs w:val="20"/>
              </w:rPr>
              <w:t>Rupiah)</w:t>
            </w:r>
          </w:p>
        </w:tc>
        <w:tc>
          <w:tcPr>
            <w:tcW w:w="1203" w:type="dxa"/>
            <w:gridSpan w:val="2"/>
            <w:shd w:val="clear" w:color="auto" w:fill="808080"/>
          </w:tcPr>
          <w:p w14:paraId="11340758" w14:textId="77777777" w:rsidR="009A4BC4" w:rsidRPr="008262B9" w:rsidRDefault="009A4BC4" w:rsidP="008262B9">
            <w:pPr>
              <w:pStyle w:val="TableParagraph"/>
              <w:ind w:right="-92"/>
              <w:rPr>
                <w:rFonts w:ascii="Bookman Old Style" w:hAnsi="Bookman Old Style"/>
                <w:b/>
                <w:sz w:val="20"/>
                <w:szCs w:val="20"/>
              </w:rPr>
            </w:pPr>
            <w:r w:rsidRPr="008262B9">
              <w:rPr>
                <w:rFonts w:ascii="Bookman Old Style" w:hAnsi="Bookman Old Style"/>
                <w:b/>
                <w:sz w:val="20"/>
                <w:szCs w:val="20"/>
              </w:rPr>
              <w:t>Total Nilai</w:t>
            </w:r>
            <w:r w:rsidRPr="008262B9">
              <w:rPr>
                <w:rFonts w:ascii="Bookman Old Style" w:hAnsi="Bookman Old Style"/>
                <w:b/>
                <w:spacing w:val="-52"/>
                <w:sz w:val="20"/>
                <w:szCs w:val="20"/>
              </w:rPr>
              <w:t xml:space="preserve"> </w:t>
            </w:r>
            <w:r w:rsidRPr="008262B9">
              <w:rPr>
                <w:rFonts w:ascii="Bookman Old Style" w:hAnsi="Bookman Old Style"/>
                <w:b/>
                <w:sz w:val="20"/>
                <w:szCs w:val="20"/>
              </w:rPr>
              <w:t>Tertimbang</w:t>
            </w:r>
          </w:p>
        </w:tc>
        <w:tc>
          <w:tcPr>
            <w:tcW w:w="4042" w:type="dxa"/>
            <w:gridSpan w:val="4"/>
            <w:shd w:val="clear" w:color="auto" w:fill="808080"/>
          </w:tcPr>
          <w:p w14:paraId="140A7D49" w14:textId="77777777" w:rsidR="009A4BC4" w:rsidRPr="008262B9" w:rsidRDefault="009A4BC4" w:rsidP="001359AD">
            <w:pPr>
              <w:pStyle w:val="TableParagraph"/>
              <w:spacing w:before="31"/>
              <w:ind w:left="101" w:right="75" w:firstLine="22"/>
              <w:jc w:val="center"/>
              <w:rPr>
                <w:rFonts w:ascii="Bookman Old Style" w:hAnsi="Bookman Old Style"/>
                <w:b/>
                <w:sz w:val="20"/>
                <w:szCs w:val="20"/>
              </w:rPr>
            </w:pPr>
            <w:r w:rsidRPr="008262B9">
              <w:rPr>
                <w:rFonts w:ascii="Bookman Old Style" w:hAnsi="Bookman Old Style"/>
                <w:b/>
                <w:sz w:val="20"/>
                <w:szCs w:val="20"/>
              </w:rPr>
              <w:t>Nilai Tercatat Berdasarkan Sisa Jangka</w:t>
            </w:r>
            <w:r w:rsidRPr="008262B9">
              <w:rPr>
                <w:rFonts w:ascii="Bookman Old Style" w:hAnsi="Bookman Old Style"/>
                <w:b/>
                <w:spacing w:val="-52"/>
                <w:sz w:val="20"/>
                <w:szCs w:val="20"/>
              </w:rPr>
              <w:t xml:space="preserve"> </w:t>
            </w:r>
            <w:r w:rsidRPr="008262B9">
              <w:rPr>
                <w:rFonts w:ascii="Bookman Old Style" w:hAnsi="Bookman Old Style"/>
                <w:b/>
                <w:sz w:val="20"/>
                <w:szCs w:val="20"/>
              </w:rPr>
              <w:t>Waktu</w:t>
            </w:r>
            <w:r w:rsidRPr="008262B9">
              <w:rPr>
                <w:rFonts w:ascii="Bookman Old Style" w:hAnsi="Bookman Old Style"/>
                <w:b/>
                <w:spacing w:val="-1"/>
                <w:sz w:val="20"/>
                <w:szCs w:val="20"/>
              </w:rPr>
              <w:t xml:space="preserve"> </w:t>
            </w:r>
            <w:r w:rsidRPr="008262B9">
              <w:rPr>
                <w:rFonts w:ascii="Bookman Old Style" w:hAnsi="Bookman Old Style"/>
                <w:b/>
                <w:sz w:val="20"/>
                <w:szCs w:val="20"/>
              </w:rPr>
              <w:t>(Dalam</w:t>
            </w:r>
            <w:r w:rsidRPr="008262B9">
              <w:rPr>
                <w:rFonts w:ascii="Bookman Old Style" w:hAnsi="Bookman Old Style"/>
                <w:b/>
                <w:spacing w:val="-3"/>
                <w:sz w:val="20"/>
                <w:szCs w:val="20"/>
              </w:rPr>
              <w:t xml:space="preserve"> </w:t>
            </w:r>
            <w:r w:rsidRPr="008262B9">
              <w:rPr>
                <w:rFonts w:ascii="Bookman Old Style" w:hAnsi="Bookman Old Style"/>
                <w:b/>
                <w:sz w:val="20"/>
                <w:szCs w:val="20"/>
              </w:rPr>
              <w:t>Juta</w:t>
            </w:r>
            <w:r w:rsidRPr="008262B9">
              <w:rPr>
                <w:rFonts w:ascii="Bookman Old Style" w:hAnsi="Bookman Old Style"/>
                <w:b/>
                <w:spacing w:val="-1"/>
                <w:sz w:val="20"/>
                <w:szCs w:val="20"/>
              </w:rPr>
              <w:t xml:space="preserve"> </w:t>
            </w:r>
            <w:r w:rsidRPr="008262B9">
              <w:rPr>
                <w:rFonts w:ascii="Bookman Old Style" w:hAnsi="Bookman Old Style"/>
                <w:b/>
                <w:sz w:val="20"/>
                <w:szCs w:val="20"/>
              </w:rPr>
              <w:t>Rupiah)</w:t>
            </w:r>
          </w:p>
        </w:tc>
        <w:tc>
          <w:tcPr>
            <w:tcW w:w="1263" w:type="dxa"/>
            <w:shd w:val="clear" w:color="auto" w:fill="808080"/>
          </w:tcPr>
          <w:p w14:paraId="7175037A" w14:textId="77777777" w:rsidR="009A4BC4" w:rsidRPr="008262B9" w:rsidRDefault="009A4BC4" w:rsidP="008262B9">
            <w:pPr>
              <w:pStyle w:val="TableParagraph"/>
              <w:rPr>
                <w:rFonts w:ascii="Bookman Old Style" w:hAnsi="Bookman Old Style"/>
                <w:b/>
                <w:sz w:val="20"/>
                <w:szCs w:val="20"/>
              </w:rPr>
            </w:pPr>
            <w:r w:rsidRPr="008262B9">
              <w:rPr>
                <w:rFonts w:ascii="Bookman Old Style" w:hAnsi="Bookman Old Style"/>
                <w:b/>
                <w:sz w:val="20"/>
                <w:szCs w:val="20"/>
              </w:rPr>
              <w:t>Total Nilai</w:t>
            </w:r>
            <w:r w:rsidRPr="008262B9">
              <w:rPr>
                <w:rFonts w:ascii="Bookman Old Style" w:hAnsi="Bookman Old Style"/>
                <w:b/>
                <w:spacing w:val="-52"/>
                <w:sz w:val="20"/>
                <w:szCs w:val="20"/>
              </w:rPr>
              <w:t xml:space="preserve"> </w:t>
            </w:r>
            <w:r w:rsidRPr="008262B9">
              <w:rPr>
                <w:rFonts w:ascii="Bookman Old Style" w:hAnsi="Bookman Old Style"/>
                <w:b/>
                <w:sz w:val="20"/>
                <w:szCs w:val="20"/>
              </w:rPr>
              <w:t>Tertimbang</w:t>
            </w:r>
          </w:p>
        </w:tc>
        <w:tc>
          <w:tcPr>
            <w:tcW w:w="1366" w:type="dxa"/>
            <w:vMerge/>
            <w:tcBorders>
              <w:top w:val="nil"/>
            </w:tcBorders>
            <w:shd w:val="clear" w:color="auto" w:fill="808080"/>
          </w:tcPr>
          <w:p w14:paraId="311354BC" w14:textId="77777777" w:rsidR="009A4BC4" w:rsidRPr="008262B9" w:rsidRDefault="009A4BC4" w:rsidP="001359AD">
            <w:pPr>
              <w:rPr>
                <w:rFonts w:ascii="Bookman Old Style" w:hAnsi="Bookman Old Style"/>
                <w:sz w:val="20"/>
                <w:szCs w:val="20"/>
              </w:rPr>
            </w:pPr>
          </w:p>
        </w:tc>
      </w:tr>
      <w:tr w:rsidR="009A4BC4" w:rsidRPr="008262B9" w14:paraId="52362388" w14:textId="77777777" w:rsidTr="008262B9">
        <w:trPr>
          <w:trHeight w:val="899"/>
          <w:tblHeader/>
        </w:trPr>
        <w:tc>
          <w:tcPr>
            <w:tcW w:w="4842" w:type="dxa"/>
            <w:gridSpan w:val="2"/>
            <w:vMerge/>
            <w:tcBorders>
              <w:top w:val="nil"/>
            </w:tcBorders>
            <w:shd w:val="clear" w:color="auto" w:fill="808080"/>
          </w:tcPr>
          <w:p w14:paraId="06F1CAB4" w14:textId="77777777" w:rsidR="009A4BC4" w:rsidRPr="008262B9" w:rsidRDefault="009A4BC4" w:rsidP="001359AD">
            <w:pPr>
              <w:rPr>
                <w:rFonts w:ascii="Bookman Old Style" w:hAnsi="Bookman Old Style"/>
                <w:sz w:val="20"/>
                <w:szCs w:val="20"/>
              </w:rPr>
            </w:pPr>
          </w:p>
        </w:tc>
        <w:tc>
          <w:tcPr>
            <w:tcW w:w="1134" w:type="dxa"/>
            <w:shd w:val="clear" w:color="auto" w:fill="808080"/>
          </w:tcPr>
          <w:p w14:paraId="04FA15EA" w14:textId="77777777" w:rsidR="009A4BC4" w:rsidRPr="008262B9" w:rsidRDefault="009A4BC4" w:rsidP="001359AD">
            <w:pPr>
              <w:pStyle w:val="TableParagraph"/>
              <w:spacing w:before="3"/>
              <w:rPr>
                <w:rFonts w:ascii="Bookman Old Style" w:hAnsi="Bookman Old Style"/>
                <w:sz w:val="20"/>
                <w:szCs w:val="20"/>
              </w:rPr>
            </w:pPr>
          </w:p>
          <w:p w14:paraId="0927602B" w14:textId="77777777" w:rsidR="009A4BC4" w:rsidRPr="008262B9" w:rsidRDefault="009A4BC4" w:rsidP="001359AD">
            <w:pPr>
              <w:pStyle w:val="TableParagraph"/>
              <w:ind w:left="80" w:right="82" w:firstLine="40"/>
              <w:jc w:val="both"/>
              <w:rPr>
                <w:rFonts w:ascii="Bookman Old Style" w:hAnsi="Bookman Old Style"/>
                <w:b/>
                <w:sz w:val="20"/>
                <w:szCs w:val="20"/>
              </w:rPr>
            </w:pPr>
            <w:r w:rsidRPr="008262B9">
              <w:rPr>
                <w:rFonts w:ascii="Bookman Old Style" w:hAnsi="Bookman Old Style"/>
                <w:b/>
                <w:sz w:val="20"/>
                <w:szCs w:val="20"/>
              </w:rPr>
              <w:t>Tanpa</w:t>
            </w:r>
            <w:r w:rsidRPr="008262B9">
              <w:rPr>
                <w:rFonts w:ascii="Bookman Old Style" w:hAnsi="Bookman Old Style"/>
                <w:b/>
                <w:spacing w:val="-52"/>
                <w:sz w:val="20"/>
                <w:szCs w:val="20"/>
              </w:rPr>
              <w:t xml:space="preserve"> </w:t>
            </w:r>
            <w:r w:rsidRPr="008262B9">
              <w:rPr>
                <w:rFonts w:ascii="Bookman Old Style" w:hAnsi="Bookman Old Style"/>
                <w:b/>
                <w:sz w:val="20"/>
                <w:szCs w:val="20"/>
              </w:rPr>
              <w:t>Jangka</w:t>
            </w:r>
            <w:r w:rsidRPr="008262B9">
              <w:rPr>
                <w:rFonts w:ascii="Bookman Old Style" w:hAnsi="Bookman Old Style"/>
                <w:b/>
                <w:spacing w:val="-52"/>
                <w:sz w:val="20"/>
                <w:szCs w:val="20"/>
              </w:rPr>
              <w:t xml:space="preserve"> </w:t>
            </w:r>
            <w:r w:rsidRPr="008262B9">
              <w:rPr>
                <w:rFonts w:ascii="Bookman Old Style" w:hAnsi="Bookman Old Style"/>
                <w:b/>
                <w:sz w:val="20"/>
                <w:szCs w:val="20"/>
              </w:rPr>
              <w:t>Waktu¹</w:t>
            </w:r>
          </w:p>
        </w:tc>
        <w:tc>
          <w:tcPr>
            <w:tcW w:w="992" w:type="dxa"/>
            <w:shd w:val="clear" w:color="auto" w:fill="808080"/>
          </w:tcPr>
          <w:p w14:paraId="46A100E7" w14:textId="77777777" w:rsidR="009A4BC4" w:rsidRPr="008262B9" w:rsidRDefault="009A4BC4" w:rsidP="001359AD">
            <w:pPr>
              <w:pStyle w:val="TableParagraph"/>
              <w:spacing w:before="5"/>
              <w:rPr>
                <w:rFonts w:ascii="Bookman Old Style" w:hAnsi="Bookman Old Style"/>
                <w:sz w:val="20"/>
                <w:szCs w:val="20"/>
              </w:rPr>
            </w:pPr>
          </w:p>
          <w:p w14:paraId="29AC68FF" w14:textId="77777777" w:rsidR="009A4BC4" w:rsidRPr="008262B9" w:rsidRDefault="009A4BC4" w:rsidP="001359AD">
            <w:pPr>
              <w:pStyle w:val="TableParagraph"/>
              <w:spacing w:line="188" w:lineRule="exact"/>
              <w:ind w:left="90" w:right="65"/>
              <w:jc w:val="center"/>
              <w:rPr>
                <w:rFonts w:ascii="Bookman Old Style" w:hAnsi="Bookman Old Style"/>
                <w:b/>
                <w:sz w:val="20"/>
                <w:szCs w:val="20"/>
              </w:rPr>
            </w:pPr>
            <w:r w:rsidRPr="008262B9">
              <w:rPr>
                <w:rFonts w:ascii="Bookman Old Style" w:hAnsi="Bookman Old Style"/>
                <w:b/>
                <w:sz w:val="20"/>
                <w:szCs w:val="20"/>
              </w:rPr>
              <w:t>&lt; 6</w:t>
            </w:r>
          </w:p>
          <w:p w14:paraId="5644D8A0" w14:textId="77777777" w:rsidR="009A4BC4" w:rsidRPr="008262B9" w:rsidRDefault="009A4BC4" w:rsidP="001359AD">
            <w:pPr>
              <w:pStyle w:val="TableParagraph"/>
              <w:spacing w:line="188" w:lineRule="exact"/>
              <w:ind w:left="90" w:right="65"/>
              <w:jc w:val="center"/>
              <w:rPr>
                <w:rFonts w:ascii="Bookman Old Style" w:hAnsi="Bookman Old Style"/>
                <w:b/>
                <w:sz w:val="20"/>
                <w:szCs w:val="20"/>
              </w:rPr>
            </w:pPr>
            <w:r w:rsidRPr="008262B9">
              <w:rPr>
                <w:rFonts w:ascii="Bookman Old Style" w:hAnsi="Bookman Old Style"/>
                <w:b/>
                <w:sz w:val="20"/>
                <w:szCs w:val="20"/>
              </w:rPr>
              <w:t>bulan</w:t>
            </w:r>
          </w:p>
        </w:tc>
        <w:tc>
          <w:tcPr>
            <w:tcW w:w="1103" w:type="dxa"/>
            <w:shd w:val="clear" w:color="auto" w:fill="808080"/>
          </w:tcPr>
          <w:p w14:paraId="2A3751BC" w14:textId="77777777" w:rsidR="009A4BC4" w:rsidRPr="008262B9" w:rsidRDefault="009A4BC4" w:rsidP="001359AD">
            <w:pPr>
              <w:pStyle w:val="TableParagraph"/>
              <w:spacing w:before="5"/>
              <w:rPr>
                <w:rFonts w:ascii="Bookman Old Style" w:hAnsi="Bookman Old Style"/>
                <w:sz w:val="20"/>
                <w:szCs w:val="20"/>
              </w:rPr>
            </w:pPr>
          </w:p>
          <w:p w14:paraId="27476A72" w14:textId="77777777" w:rsidR="009A4BC4" w:rsidRPr="008262B9" w:rsidRDefault="009A4BC4" w:rsidP="001359AD">
            <w:pPr>
              <w:pStyle w:val="TableParagraph"/>
              <w:spacing w:line="188" w:lineRule="exact"/>
              <w:ind w:left="147"/>
              <w:rPr>
                <w:rFonts w:ascii="Bookman Old Style" w:hAnsi="Bookman Old Style"/>
                <w:b/>
                <w:sz w:val="20"/>
                <w:szCs w:val="20"/>
              </w:rPr>
            </w:pPr>
            <w:r w:rsidRPr="008262B9">
              <w:rPr>
                <w:rFonts w:ascii="Bookman Old Style" w:hAnsi="Bookman Old Style"/>
                <w:b/>
                <w:sz w:val="20"/>
                <w:szCs w:val="20"/>
              </w:rPr>
              <w:t>≥</w:t>
            </w:r>
            <w:r w:rsidRPr="008262B9">
              <w:rPr>
                <w:rFonts w:ascii="Bookman Old Style" w:hAnsi="Bookman Old Style"/>
                <w:b/>
                <w:spacing w:val="-1"/>
                <w:sz w:val="20"/>
                <w:szCs w:val="20"/>
              </w:rPr>
              <w:t xml:space="preserve"> </w:t>
            </w:r>
            <w:r w:rsidRPr="008262B9">
              <w:rPr>
                <w:rFonts w:ascii="Bookman Old Style" w:hAnsi="Bookman Old Style"/>
                <w:b/>
                <w:sz w:val="20"/>
                <w:szCs w:val="20"/>
              </w:rPr>
              <w:t>6</w:t>
            </w:r>
            <w:r w:rsidRPr="008262B9">
              <w:rPr>
                <w:rFonts w:ascii="Bookman Old Style" w:hAnsi="Bookman Old Style"/>
                <w:b/>
                <w:spacing w:val="51"/>
                <w:sz w:val="20"/>
                <w:szCs w:val="20"/>
              </w:rPr>
              <w:t xml:space="preserve"> </w:t>
            </w:r>
            <w:r w:rsidRPr="008262B9">
              <w:rPr>
                <w:rFonts w:ascii="Bookman Old Style" w:hAnsi="Bookman Old Style"/>
                <w:b/>
                <w:sz w:val="20"/>
                <w:szCs w:val="20"/>
              </w:rPr>
              <w:t>bulan</w:t>
            </w:r>
          </w:p>
          <w:p w14:paraId="79CB6663" w14:textId="77777777" w:rsidR="009A4BC4" w:rsidRPr="008262B9" w:rsidRDefault="009A4BC4" w:rsidP="001359AD">
            <w:pPr>
              <w:pStyle w:val="TableParagraph"/>
              <w:spacing w:line="188" w:lineRule="exact"/>
              <w:ind w:left="143"/>
              <w:rPr>
                <w:rFonts w:ascii="Bookman Old Style" w:hAnsi="Bookman Old Style"/>
                <w:b/>
                <w:sz w:val="20"/>
                <w:szCs w:val="20"/>
              </w:rPr>
            </w:pPr>
            <w:r w:rsidRPr="008262B9">
              <w:rPr>
                <w:rFonts w:ascii="Bookman Old Style" w:hAnsi="Bookman Old Style"/>
                <w:b/>
                <w:sz w:val="20"/>
                <w:szCs w:val="20"/>
              </w:rPr>
              <w:t>-</w:t>
            </w:r>
            <w:r w:rsidRPr="008262B9">
              <w:rPr>
                <w:rFonts w:ascii="Bookman Old Style" w:hAnsi="Bookman Old Style"/>
                <w:b/>
                <w:spacing w:val="-1"/>
                <w:sz w:val="20"/>
                <w:szCs w:val="20"/>
              </w:rPr>
              <w:t xml:space="preserve"> </w:t>
            </w:r>
            <w:r w:rsidRPr="008262B9">
              <w:rPr>
                <w:rFonts w:ascii="Bookman Old Style" w:hAnsi="Bookman Old Style"/>
                <w:b/>
                <w:sz w:val="20"/>
                <w:szCs w:val="20"/>
              </w:rPr>
              <w:t>1</w:t>
            </w:r>
            <w:r w:rsidRPr="008262B9">
              <w:rPr>
                <w:rFonts w:ascii="Bookman Old Style" w:hAnsi="Bookman Old Style"/>
                <w:b/>
                <w:spacing w:val="-1"/>
                <w:sz w:val="20"/>
                <w:szCs w:val="20"/>
              </w:rPr>
              <w:t xml:space="preserve"> </w:t>
            </w:r>
            <w:r w:rsidRPr="008262B9">
              <w:rPr>
                <w:rFonts w:ascii="Bookman Old Style" w:hAnsi="Bookman Old Style"/>
                <w:b/>
                <w:sz w:val="20"/>
                <w:szCs w:val="20"/>
              </w:rPr>
              <w:t>tahun</w:t>
            </w:r>
          </w:p>
        </w:tc>
        <w:tc>
          <w:tcPr>
            <w:tcW w:w="881" w:type="dxa"/>
            <w:shd w:val="clear" w:color="auto" w:fill="808080"/>
          </w:tcPr>
          <w:p w14:paraId="0B23CF0A" w14:textId="77777777" w:rsidR="009A4BC4" w:rsidRPr="008262B9" w:rsidRDefault="009A4BC4" w:rsidP="001359AD">
            <w:pPr>
              <w:pStyle w:val="TableParagraph"/>
              <w:spacing w:before="5"/>
              <w:rPr>
                <w:rFonts w:ascii="Bookman Old Style" w:hAnsi="Bookman Old Style"/>
                <w:sz w:val="20"/>
                <w:szCs w:val="20"/>
              </w:rPr>
            </w:pPr>
          </w:p>
          <w:p w14:paraId="77CA7BD6" w14:textId="77777777" w:rsidR="009A4BC4" w:rsidRPr="008262B9" w:rsidRDefault="009A4BC4" w:rsidP="001359AD">
            <w:pPr>
              <w:pStyle w:val="TableParagraph"/>
              <w:ind w:left="160" w:right="118" w:firstLine="120"/>
              <w:rPr>
                <w:rFonts w:ascii="Bookman Old Style" w:hAnsi="Bookman Old Style"/>
                <w:b/>
                <w:sz w:val="20"/>
                <w:szCs w:val="20"/>
              </w:rPr>
            </w:pPr>
            <w:r w:rsidRPr="008262B9">
              <w:rPr>
                <w:rFonts w:ascii="Bookman Old Style" w:hAnsi="Bookman Old Style"/>
                <w:b/>
                <w:sz w:val="20"/>
                <w:szCs w:val="20"/>
              </w:rPr>
              <w:t>≥ 1</w:t>
            </w:r>
            <w:r w:rsidRPr="008262B9">
              <w:rPr>
                <w:rFonts w:ascii="Bookman Old Style" w:hAnsi="Bookman Old Style"/>
                <w:b/>
                <w:spacing w:val="1"/>
                <w:sz w:val="20"/>
                <w:szCs w:val="20"/>
              </w:rPr>
              <w:t xml:space="preserve"> </w:t>
            </w:r>
            <w:r w:rsidRPr="008262B9">
              <w:rPr>
                <w:rFonts w:ascii="Bookman Old Style" w:hAnsi="Bookman Old Style"/>
                <w:b/>
                <w:sz w:val="20"/>
                <w:szCs w:val="20"/>
              </w:rPr>
              <w:t>tahun</w:t>
            </w:r>
          </w:p>
        </w:tc>
        <w:tc>
          <w:tcPr>
            <w:tcW w:w="1186" w:type="dxa"/>
            <w:tcBorders>
              <w:top w:val="nil"/>
            </w:tcBorders>
            <w:shd w:val="clear" w:color="auto" w:fill="808080"/>
          </w:tcPr>
          <w:p w14:paraId="2DFDAC57" w14:textId="77777777" w:rsidR="009A4BC4" w:rsidRPr="008262B9" w:rsidRDefault="009A4BC4" w:rsidP="001359AD">
            <w:pPr>
              <w:rPr>
                <w:rFonts w:ascii="Bookman Old Style" w:hAnsi="Bookman Old Style"/>
                <w:sz w:val="20"/>
                <w:szCs w:val="20"/>
              </w:rPr>
            </w:pPr>
          </w:p>
        </w:tc>
        <w:tc>
          <w:tcPr>
            <w:tcW w:w="1082" w:type="dxa"/>
            <w:gridSpan w:val="2"/>
            <w:shd w:val="clear" w:color="auto" w:fill="808080"/>
          </w:tcPr>
          <w:p w14:paraId="77C95926" w14:textId="77777777" w:rsidR="009A4BC4" w:rsidRPr="008262B9" w:rsidRDefault="009A4BC4" w:rsidP="001359AD">
            <w:pPr>
              <w:pStyle w:val="TableParagraph"/>
              <w:spacing w:before="3"/>
              <w:rPr>
                <w:rFonts w:ascii="Bookman Old Style" w:hAnsi="Bookman Old Style"/>
                <w:sz w:val="20"/>
                <w:szCs w:val="20"/>
              </w:rPr>
            </w:pPr>
          </w:p>
          <w:p w14:paraId="026DF4F4" w14:textId="77777777" w:rsidR="009A4BC4" w:rsidRPr="008262B9" w:rsidRDefault="009A4BC4" w:rsidP="001359AD">
            <w:pPr>
              <w:pStyle w:val="TableParagraph"/>
              <w:ind w:left="157" w:firstLine="43"/>
              <w:jc w:val="both"/>
              <w:rPr>
                <w:rFonts w:ascii="Bookman Old Style" w:hAnsi="Bookman Old Style"/>
                <w:b/>
                <w:sz w:val="20"/>
                <w:szCs w:val="20"/>
              </w:rPr>
            </w:pPr>
            <w:r w:rsidRPr="008262B9">
              <w:rPr>
                <w:rFonts w:ascii="Bookman Old Style" w:hAnsi="Bookman Old Style"/>
                <w:b/>
                <w:sz w:val="20"/>
                <w:szCs w:val="20"/>
              </w:rPr>
              <w:t>Tanpa</w:t>
            </w:r>
            <w:r w:rsidRPr="008262B9">
              <w:rPr>
                <w:rFonts w:ascii="Bookman Old Style" w:hAnsi="Bookman Old Style"/>
                <w:b/>
                <w:spacing w:val="-52"/>
                <w:sz w:val="20"/>
                <w:szCs w:val="20"/>
              </w:rPr>
              <w:t xml:space="preserve"> </w:t>
            </w:r>
            <w:r w:rsidRPr="008262B9">
              <w:rPr>
                <w:rFonts w:ascii="Bookman Old Style" w:hAnsi="Bookman Old Style"/>
                <w:b/>
                <w:sz w:val="20"/>
                <w:szCs w:val="20"/>
              </w:rPr>
              <w:t>Jangka</w:t>
            </w:r>
            <w:r w:rsidRPr="008262B9">
              <w:rPr>
                <w:rFonts w:ascii="Bookman Old Style" w:hAnsi="Bookman Old Style"/>
                <w:b/>
                <w:spacing w:val="-52"/>
                <w:sz w:val="20"/>
                <w:szCs w:val="20"/>
              </w:rPr>
              <w:t xml:space="preserve"> </w:t>
            </w:r>
            <w:r w:rsidRPr="008262B9">
              <w:rPr>
                <w:rFonts w:ascii="Bookman Old Style" w:hAnsi="Bookman Old Style"/>
                <w:b/>
                <w:sz w:val="20"/>
                <w:szCs w:val="20"/>
              </w:rPr>
              <w:t>Waktu¹</w:t>
            </w:r>
          </w:p>
        </w:tc>
        <w:tc>
          <w:tcPr>
            <w:tcW w:w="993" w:type="dxa"/>
            <w:shd w:val="clear" w:color="auto" w:fill="808080"/>
          </w:tcPr>
          <w:p w14:paraId="4F5AE8B7" w14:textId="77777777" w:rsidR="009A4BC4" w:rsidRPr="008262B9" w:rsidRDefault="009A4BC4" w:rsidP="001359AD">
            <w:pPr>
              <w:pStyle w:val="TableParagraph"/>
              <w:spacing w:before="5"/>
              <w:rPr>
                <w:rFonts w:ascii="Bookman Old Style" w:hAnsi="Bookman Old Style"/>
                <w:sz w:val="20"/>
                <w:szCs w:val="20"/>
              </w:rPr>
            </w:pPr>
          </w:p>
          <w:p w14:paraId="6D9E9789" w14:textId="77777777" w:rsidR="009A4BC4" w:rsidRPr="008262B9" w:rsidRDefault="009A4BC4" w:rsidP="001359AD">
            <w:pPr>
              <w:pStyle w:val="TableParagraph"/>
              <w:spacing w:line="188" w:lineRule="exact"/>
              <w:ind w:left="116" w:right="83"/>
              <w:jc w:val="center"/>
              <w:rPr>
                <w:rFonts w:ascii="Bookman Old Style" w:hAnsi="Bookman Old Style"/>
                <w:b/>
                <w:sz w:val="20"/>
                <w:szCs w:val="20"/>
              </w:rPr>
            </w:pPr>
            <w:r w:rsidRPr="008262B9">
              <w:rPr>
                <w:rFonts w:ascii="Bookman Old Style" w:hAnsi="Bookman Old Style"/>
                <w:b/>
                <w:sz w:val="20"/>
                <w:szCs w:val="20"/>
              </w:rPr>
              <w:t>&lt; 6</w:t>
            </w:r>
          </w:p>
          <w:p w14:paraId="7828588E" w14:textId="77777777" w:rsidR="009A4BC4" w:rsidRPr="008262B9" w:rsidRDefault="009A4BC4" w:rsidP="001359AD">
            <w:pPr>
              <w:pStyle w:val="TableParagraph"/>
              <w:spacing w:line="188" w:lineRule="exact"/>
              <w:ind w:left="117" w:right="83"/>
              <w:jc w:val="center"/>
              <w:rPr>
                <w:rFonts w:ascii="Bookman Old Style" w:hAnsi="Bookman Old Style"/>
                <w:b/>
                <w:sz w:val="20"/>
                <w:szCs w:val="20"/>
              </w:rPr>
            </w:pPr>
            <w:r w:rsidRPr="008262B9">
              <w:rPr>
                <w:rFonts w:ascii="Bookman Old Style" w:hAnsi="Bookman Old Style"/>
                <w:b/>
                <w:sz w:val="20"/>
                <w:szCs w:val="20"/>
              </w:rPr>
              <w:t>bulan</w:t>
            </w:r>
          </w:p>
        </w:tc>
        <w:tc>
          <w:tcPr>
            <w:tcW w:w="1080" w:type="dxa"/>
            <w:shd w:val="clear" w:color="auto" w:fill="808080"/>
          </w:tcPr>
          <w:p w14:paraId="3EDA2E1B" w14:textId="77777777" w:rsidR="009A4BC4" w:rsidRPr="008262B9" w:rsidRDefault="009A4BC4" w:rsidP="001359AD">
            <w:pPr>
              <w:pStyle w:val="TableParagraph"/>
              <w:spacing w:before="3"/>
              <w:rPr>
                <w:rFonts w:ascii="Bookman Old Style" w:hAnsi="Bookman Old Style"/>
                <w:sz w:val="20"/>
                <w:szCs w:val="20"/>
              </w:rPr>
            </w:pPr>
          </w:p>
          <w:p w14:paraId="532798A6" w14:textId="77777777" w:rsidR="009A4BC4" w:rsidRPr="008262B9" w:rsidRDefault="009A4BC4" w:rsidP="001359AD">
            <w:pPr>
              <w:pStyle w:val="TableParagraph"/>
              <w:ind w:left="122" w:right="87"/>
              <w:jc w:val="center"/>
              <w:rPr>
                <w:rFonts w:ascii="Bookman Old Style" w:hAnsi="Bookman Old Style"/>
                <w:b/>
                <w:sz w:val="20"/>
                <w:szCs w:val="20"/>
              </w:rPr>
            </w:pPr>
            <w:r w:rsidRPr="008262B9">
              <w:rPr>
                <w:rFonts w:ascii="Bookman Old Style" w:hAnsi="Bookman Old Style"/>
                <w:b/>
                <w:sz w:val="20"/>
                <w:szCs w:val="20"/>
              </w:rPr>
              <w:t>≥</w:t>
            </w:r>
            <w:r w:rsidRPr="008262B9">
              <w:rPr>
                <w:rFonts w:ascii="Bookman Old Style" w:hAnsi="Bookman Old Style"/>
                <w:b/>
                <w:spacing w:val="-1"/>
                <w:sz w:val="20"/>
                <w:szCs w:val="20"/>
              </w:rPr>
              <w:t xml:space="preserve"> </w:t>
            </w:r>
            <w:r w:rsidRPr="008262B9">
              <w:rPr>
                <w:rFonts w:ascii="Bookman Old Style" w:hAnsi="Bookman Old Style"/>
                <w:b/>
                <w:sz w:val="20"/>
                <w:szCs w:val="20"/>
              </w:rPr>
              <w:t>6</w:t>
            </w:r>
            <w:r w:rsidRPr="008262B9">
              <w:rPr>
                <w:rFonts w:ascii="Bookman Old Style" w:hAnsi="Bookman Old Style"/>
                <w:b/>
                <w:spacing w:val="52"/>
                <w:sz w:val="20"/>
                <w:szCs w:val="20"/>
              </w:rPr>
              <w:t xml:space="preserve"> </w:t>
            </w:r>
            <w:r w:rsidRPr="008262B9">
              <w:rPr>
                <w:rFonts w:ascii="Bookman Old Style" w:hAnsi="Bookman Old Style"/>
                <w:b/>
                <w:sz w:val="20"/>
                <w:szCs w:val="20"/>
              </w:rPr>
              <w:t>bulan</w:t>
            </w:r>
          </w:p>
          <w:p w14:paraId="31180627" w14:textId="77777777" w:rsidR="009A4BC4" w:rsidRPr="008262B9" w:rsidRDefault="009A4BC4" w:rsidP="001359AD">
            <w:pPr>
              <w:pStyle w:val="TableParagraph"/>
              <w:spacing w:before="2" w:line="188" w:lineRule="exact"/>
              <w:ind w:left="122" w:right="85"/>
              <w:jc w:val="center"/>
              <w:rPr>
                <w:rFonts w:ascii="Bookman Old Style" w:hAnsi="Bookman Old Style"/>
                <w:b/>
                <w:sz w:val="20"/>
                <w:szCs w:val="20"/>
              </w:rPr>
            </w:pPr>
            <w:r w:rsidRPr="008262B9">
              <w:rPr>
                <w:rFonts w:ascii="Bookman Old Style" w:hAnsi="Bookman Old Style"/>
                <w:b/>
                <w:sz w:val="20"/>
                <w:szCs w:val="20"/>
              </w:rPr>
              <w:t>- &lt; 1</w:t>
            </w:r>
          </w:p>
          <w:p w14:paraId="01B0C496" w14:textId="77777777" w:rsidR="009A4BC4" w:rsidRPr="008262B9" w:rsidRDefault="009A4BC4" w:rsidP="001359AD">
            <w:pPr>
              <w:pStyle w:val="TableParagraph"/>
              <w:spacing w:line="188" w:lineRule="exact"/>
              <w:ind w:left="122" w:right="84"/>
              <w:jc w:val="center"/>
              <w:rPr>
                <w:rFonts w:ascii="Bookman Old Style" w:hAnsi="Bookman Old Style"/>
                <w:b/>
                <w:sz w:val="20"/>
                <w:szCs w:val="20"/>
              </w:rPr>
            </w:pPr>
            <w:r w:rsidRPr="008262B9">
              <w:rPr>
                <w:rFonts w:ascii="Bookman Old Style" w:hAnsi="Bookman Old Style"/>
                <w:b/>
                <w:sz w:val="20"/>
                <w:szCs w:val="20"/>
              </w:rPr>
              <w:t>tahun</w:t>
            </w:r>
          </w:p>
        </w:tc>
        <w:tc>
          <w:tcPr>
            <w:tcW w:w="904" w:type="dxa"/>
            <w:shd w:val="clear" w:color="auto" w:fill="808080"/>
          </w:tcPr>
          <w:p w14:paraId="75726DBB" w14:textId="77777777" w:rsidR="009A4BC4" w:rsidRPr="008262B9" w:rsidRDefault="009A4BC4" w:rsidP="001359AD">
            <w:pPr>
              <w:pStyle w:val="TableParagraph"/>
              <w:spacing w:before="5"/>
              <w:rPr>
                <w:rFonts w:ascii="Bookman Old Style" w:hAnsi="Bookman Old Style"/>
                <w:sz w:val="20"/>
                <w:szCs w:val="20"/>
              </w:rPr>
            </w:pPr>
          </w:p>
          <w:p w14:paraId="41E88477" w14:textId="77777777" w:rsidR="009A4BC4" w:rsidRPr="008262B9" w:rsidRDefault="009A4BC4" w:rsidP="001359AD">
            <w:pPr>
              <w:pStyle w:val="TableParagraph"/>
              <w:ind w:left="167" w:right="114" w:firstLine="120"/>
              <w:rPr>
                <w:rFonts w:ascii="Bookman Old Style" w:hAnsi="Bookman Old Style"/>
                <w:b/>
                <w:sz w:val="20"/>
                <w:szCs w:val="20"/>
              </w:rPr>
            </w:pPr>
            <w:r w:rsidRPr="008262B9">
              <w:rPr>
                <w:rFonts w:ascii="Bookman Old Style" w:hAnsi="Bookman Old Style"/>
                <w:b/>
                <w:sz w:val="20"/>
                <w:szCs w:val="20"/>
              </w:rPr>
              <w:t>≥ 1</w:t>
            </w:r>
            <w:r w:rsidRPr="008262B9">
              <w:rPr>
                <w:rFonts w:ascii="Bookman Old Style" w:hAnsi="Bookman Old Style"/>
                <w:b/>
                <w:spacing w:val="1"/>
                <w:sz w:val="20"/>
                <w:szCs w:val="20"/>
              </w:rPr>
              <w:t xml:space="preserve"> </w:t>
            </w:r>
            <w:r w:rsidRPr="008262B9">
              <w:rPr>
                <w:rFonts w:ascii="Bookman Old Style" w:hAnsi="Bookman Old Style"/>
                <w:b/>
                <w:sz w:val="20"/>
                <w:szCs w:val="20"/>
              </w:rPr>
              <w:t>tahun</w:t>
            </w:r>
          </w:p>
        </w:tc>
        <w:tc>
          <w:tcPr>
            <w:tcW w:w="1263" w:type="dxa"/>
            <w:tcBorders>
              <w:top w:val="nil"/>
            </w:tcBorders>
            <w:shd w:val="clear" w:color="auto" w:fill="808080"/>
          </w:tcPr>
          <w:p w14:paraId="102E986F" w14:textId="77777777" w:rsidR="009A4BC4" w:rsidRPr="008262B9" w:rsidRDefault="009A4BC4" w:rsidP="001359AD">
            <w:pPr>
              <w:rPr>
                <w:rFonts w:ascii="Bookman Old Style" w:hAnsi="Bookman Old Style"/>
                <w:sz w:val="20"/>
                <w:szCs w:val="20"/>
              </w:rPr>
            </w:pPr>
          </w:p>
        </w:tc>
        <w:tc>
          <w:tcPr>
            <w:tcW w:w="1385" w:type="dxa"/>
            <w:gridSpan w:val="2"/>
            <w:tcBorders>
              <w:top w:val="nil"/>
            </w:tcBorders>
            <w:shd w:val="clear" w:color="auto" w:fill="808080"/>
          </w:tcPr>
          <w:p w14:paraId="669A8D93" w14:textId="77777777" w:rsidR="009A4BC4" w:rsidRPr="008262B9" w:rsidRDefault="009A4BC4" w:rsidP="001359AD">
            <w:pPr>
              <w:rPr>
                <w:rFonts w:ascii="Bookman Old Style" w:hAnsi="Bookman Old Style"/>
                <w:sz w:val="20"/>
                <w:szCs w:val="20"/>
              </w:rPr>
            </w:pPr>
          </w:p>
        </w:tc>
      </w:tr>
      <w:tr w:rsidR="009A4BC4" w:rsidRPr="008262B9" w14:paraId="20047926" w14:textId="77777777" w:rsidTr="008262B9">
        <w:trPr>
          <w:trHeight w:val="378"/>
        </w:trPr>
        <w:tc>
          <w:tcPr>
            <w:tcW w:w="557" w:type="dxa"/>
            <w:shd w:val="clear" w:color="auto" w:fill="BEBEBE"/>
            <w:vAlign w:val="center"/>
          </w:tcPr>
          <w:p w14:paraId="01FDFE2A" w14:textId="77777777" w:rsidR="009A4BC4" w:rsidRPr="008262B9" w:rsidRDefault="009A4BC4" w:rsidP="001359AD">
            <w:pPr>
              <w:pStyle w:val="TableParagraph"/>
              <w:spacing w:before="72"/>
              <w:ind w:left="215"/>
              <w:rPr>
                <w:rFonts w:ascii="Bookman Old Style" w:hAnsi="Bookman Old Style"/>
                <w:sz w:val="20"/>
                <w:szCs w:val="20"/>
              </w:rPr>
            </w:pPr>
            <w:r w:rsidRPr="008262B9">
              <w:rPr>
                <w:rFonts w:ascii="Bookman Old Style" w:hAnsi="Bookman Old Style"/>
                <w:w w:val="99"/>
                <w:sz w:val="20"/>
                <w:szCs w:val="20"/>
              </w:rPr>
              <w:t>1</w:t>
            </w:r>
          </w:p>
        </w:tc>
        <w:tc>
          <w:tcPr>
            <w:tcW w:w="4285" w:type="dxa"/>
            <w:shd w:val="clear" w:color="auto" w:fill="BEBEBE"/>
            <w:vAlign w:val="center"/>
          </w:tcPr>
          <w:p w14:paraId="080C3800" w14:textId="77777777" w:rsidR="009A4BC4" w:rsidRPr="008262B9" w:rsidRDefault="009A4BC4" w:rsidP="001359AD">
            <w:pPr>
              <w:pStyle w:val="TableParagraph"/>
              <w:spacing w:before="72"/>
              <w:ind w:left="107"/>
              <w:rPr>
                <w:rFonts w:ascii="Bookman Old Style" w:hAnsi="Bookman Old Style"/>
                <w:sz w:val="20"/>
                <w:szCs w:val="20"/>
              </w:rPr>
            </w:pPr>
            <w:r w:rsidRPr="008262B9">
              <w:rPr>
                <w:rFonts w:ascii="Bookman Old Style" w:hAnsi="Bookman Old Style"/>
                <w:sz w:val="20"/>
                <w:szCs w:val="20"/>
              </w:rPr>
              <w:t>Modal:</w:t>
            </w:r>
          </w:p>
        </w:tc>
        <w:tc>
          <w:tcPr>
            <w:tcW w:w="1134" w:type="dxa"/>
            <w:shd w:val="clear" w:color="auto" w:fill="BEBEBE"/>
            <w:vAlign w:val="center"/>
          </w:tcPr>
          <w:p w14:paraId="57CD07F5"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BEBEBE"/>
            <w:vAlign w:val="center"/>
          </w:tcPr>
          <w:p w14:paraId="6FB71610"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BEBEBE"/>
            <w:vAlign w:val="center"/>
          </w:tcPr>
          <w:p w14:paraId="5DD64D16"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BEBEBE"/>
            <w:vAlign w:val="center"/>
          </w:tcPr>
          <w:p w14:paraId="015826C7"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BEBEBE"/>
            <w:vAlign w:val="center"/>
          </w:tcPr>
          <w:p w14:paraId="2DD45558"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BEBEBE"/>
            <w:vAlign w:val="center"/>
          </w:tcPr>
          <w:p w14:paraId="45DADB86"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BEBEBE"/>
            <w:vAlign w:val="center"/>
          </w:tcPr>
          <w:p w14:paraId="78247EC0"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BEBEBE"/>
            <w:vAlign w:val="center"/>
          </w:tcPr>
          <w:p w14:paraId="2B1F96D2"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BEBEBE"/>
            <w:vAlign w:val="center"/>
          </w:tcPr>
          <w:p w14:paraId="75E9AE8F"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BEBEBE"/>
            <w:vAlign w:val="center"/>
          </w:tcPr>
          <w:p w14:paraId="20DA8D9A" w14:textId="77777777" w:rsidR="009A4BC4" w:rsidRPr="008262B9" w:rsidRDefault="009A4BC4" w:rsidP="001359AD">
            <w:pPr>
              <w:pStyle w:val="TableParagraph"/>
              <w:rPr>
                <w:rFonts w:ascii="Bookman Old Style" w:hAnsi="Bookman Old Style"/>
                <w:sz w:val="20"/>
                <w:szCs w:val="20"/>
              </w:rPr>
            </w:pPr>
          </w:p>
        </w:tc>
        <w:tc>
          <w:tcPr>
            <w:tcW w:w="1385" w:type="dxa"/>
            <w:gridSpan w:val="2"/>
            <w:vAlign w:val="center"/>
          </w:tcPr>
          <w:p w14:paraId="7B7704EA" w14:textId="77777777" w:rsidR="009A4BC4" w:rsidRPr="008262B9" w:rsidRDefault="009A4BC4" w:rsidP="001359AD">
            <w:pPr>
              <w:pStyle w:val="TableParagraph"/>
              <w:rPr>
                <w:rFonts w:ascii="Bookman Old Style" w:hAnsi="Bookman Old Style"/>
                <w:sz w:val="20"/>
                <w:szCs w:val="20"/>
              </w:rPr>
            </w:pPr>
          </w:p>
        </w:tc>
      </w:tr>
      <w:tr w:rsidR="009A4BC4" w:rsidRPr="008262B9" w14:paraId="03669F9E" w14:textId="77777777" w:rsidTr="008262B9">
        <w:trPr>
          <w:trHeight w:val="469"/>
        </w:trPr>
        <w:tc>
          <w:tcPr>
            <w:tcW w:w="557" w:type="dxa"/>
            <w:vAlign w:val="center"/>
          </w:tcPr>
          <w:p w14:paraId="66A86F42" w14:textId="77777777" w:rsidR="009A4BC4" w:rsidRPr="008262B9" w:rsidRDefault="009A4BC4" w:rsidP="001359AD">
            <w:pPr>
              <w:pStyle w:val="TableParagraph"/>
              <w:spacing w:before="116"/>
              <w:ind w:left="166"/>
              <w:rPr>
                <w:rFonts w:ascii="Bookman Old Style" w:hAnsi="Bookman Old Style"/>
                <w:sz w:val="20"/>
                <w:szCs w:val="20"/>
              </w:rPr>
            </w:pPr>
            <w:r w:rsidRPr="008262B9">
              <w:rPr>
                <w:rFonts w:ascii="Bookman Old Style" w:hAnsi="Bookman Old Style"/>
                <w:w w:val="99"/>
                <w:sz w:val="20"/>
                <w:szCs w:val="20"/>
              </w:rPr>
              <w:t>2</w:t>
            </w:r>
          </w:p>
        </w:tc>
        <w:tc>
          <w:tcPr>
            <w:tcW w:w="4285" w:type="dxa"/>
            <w:vAlign w:val="center"/>
          </w:tcPr>
          <w:p w14:paraId="66C1299D" w14:textId="77777777" w:rsidR="009A4BC4" w:rsidRPr="008262B9" w:rsidRDefault="009A4BC4" w:rsidP="001359AD">
            <w:pPr>
              <w:pStyle w:val="TableParagraph"/>
              <w:spacing w:before="116"/>
              <w:ind w:left="508"/>
              <w:rPr>
                <w:rFonts w:ascii="Bookman Old Style" w:hAnsi="Bookman Old Style"/>
                <w:sz w:val="20"/>
                <w:szCs w:val="20"/>
              </w:rPr>
            </w:pPr>
            <w:r w:rsidRPr="008262B9">
              <w:rPr>
                <w:rFonts w:ascii="Bookman Old Style" w:hAnsi="Bookman Old Style"/>
                <w:sz w:val="20"/>
                <w:szCs w:val="20"/>
              </w:rPr>
              <w:t>Modal</w:t>
            </w:r>
            <w:r w:rsidRPr="008262B9">
              <w:rPr>
                <w:rFonts w:ascii="Bookman Old Style" w:hAnsi="Bookman Old Style"/>
                <w:spacing w:val="-4"/>
                <w:sz w:val="20"/>
                <w:szCs w:val="20"/>
              </w:rPr>
              <w:t xml:space="preserve"> </w:t>
            </w:r>
            <w:r w:rsidRPr="008262B9">
              <w:rPr>
                <w:rFonts w:ascii="Bookman Old Style" w:hAnsi="Bookman Old Style"/>
                <w:sz w:val="20"/>
                <w:szCs w:val="20"/>
              </w:rPr>
              <w:t>sesuai</w:t>
            </w:r>
            <w:r w:rsidRPr="008262B9">
              <w:rPr>
                <w:rFonts w:ascii="Bookman Old Style" w:hAnsi="Bookman Old Style"/>
                <w:spacing w:val="-4"/>
                <w:sz w:val="20"/>
                <w:szCs w:val="20"/>
              </w:rPr>
              <w:t xml:space="preserve"> </w:t>
            </w:r>
            <w:r w:rsidRPr="008262B9">
              <w:rPr>
                <w:rFonts w:ascii="Bookman Old Style" w:hAnsi="Bookman Old Style"/>
                <w:sz w:val="20"/>
                <w:szCs w:val="20"/>
              </w:rPr>
              <w:t>POJK</w:t>
            </w:r>
            <w:r w:rsidRPr="008262B9">
              <w:rPr>
                <w:rFonts w:ascii="Bookman Old Style" w:hAnsi="Bookman Old Style"/>
                <w:spacing w:val="-2"/>
                <w:sz w:val="20"/>
                <w:szCs w:val="20"/>
              </w:rPr>
              <w:t xml:space="preserve"> </w:t>
            </w:r>
            <w:r w:rsidRPr="008262B9">
              <w:rPr>
                <w:rFonts w:ascii="Bookman Old Style" w:hAnsi="Bookman Old Style"/>
                <w:sz w:val="20"/>
                <w:szCs w:val="20"/>
              </w:rPr>
              <w:t>KPMM</w:t>
            </w:r>
          </w:p>
        </w:tc>
        <w:tc>
          <w:tcPr>
            <w:tcW w:w="1134" w:type="dxa"/>
            <w:vAlign w:val="center"/>
          </w:tcPr>
          <w:p w14:paraId="1B6668CB" w14:textId="77777777" w:rsidR="009A4BC4" w:rsidRPr="008262B9" w:rsidRDefault="009A4BC4" w:rsidP="001359AD">
            <w:pPr>
              <w:pStyle w:val="TableParagraph"/>
              <w:rPr>
                <w:rFonts w:ascii="Bookman Old Style" w:hAnsi="Bookman Old Style"/>
                <w:sz w:val="20"/>
                <w:szCs w:val="20"/>
              </w:rPr>
            </w:pPr>
          </w:p>
        </w:tc>
        <w:tc>
          <w:tcPr>
            <w:tcW w:w="992" w:type="dxa"/>
            <w:vAlign w:val="center"/>
          </w:tcPr>
          <w:p w14:paraId="42CEF7C8" w14:textId="77777777" w:rsidR="009A4BC4" w:rsidRPr="008262B9" w:rsidRDefault="009A4BC4" w:rsidP="001359AD">
            <w:pPr>
              <w:pStyle w:val="TableParagraph"/>
              <w:rPr>
                <w:rFonts w:ascii="Bookman Old Style" w:hAnsi="Bookman Old Style"/>
                <w:sz w:val="20"/>
                <w:szCs w:val="20"/>
              </w:rPr>
            </w:pPr>
          </w:p>
        </w:tc>
        <w:tc>
          <w:tcPr>
            <w:tcW w:w="1103" w:type="dxa"/>
            <w:vAlign w:val="center"/>
          </w:tcPr>
          <w:p w14:paraId="19048ACD" w14:textId="77777777" w:rsidR="009A4BC4" w:rsidRPr="008262B9" w:rsidRDefault="009A4BC4" w:rsidP="001359AD">
            <w:pPr>
              <w:pStyle w:val="TableParagraph"/>
              <w:rPr>
                <w:rFonts w:ascii="Bookman Old Style" w:hAnsi="Bookman Old Style"/>
                <w:sz w:val="20"/>
                <w:szCs w:val="20"/>
              </w:rPr>
            </w:pPr>
          </w:p>
        </w:tc>
        <w:tc>
          <w:tcPr>
            <w:tcW w:w="881" w:type="dxa"/>
            <w:vAlign w:val="center"/>
          </w:tcPr>
          <w:p w14:paraId="5E4D9776" w14:textId="77777777" w:rsidR="009A4BC4" w:rsidRPr="008262B9" w:rsidRDefault="009A4BC4" w:rsidP="001359AD">
            <w:pPr>
              <w:pStyle w:val="TableParagraph"/>
              <w:rPr>
                <w:rFonts w:ascii="Bookman Old Style" w:hAnsi="Bookman Old Style"/>
                <w:sz w:val="20"/>
                <w:szCs w:val="20"/>
              </w:rPr>
            </w:pPr>
          </w:p>
        </w:tc>
        <w:tc>
          <w:tcPr>
            <w:tcW w:w="1186" w:type="dxa"/>
            <w:vAlign w:val="center"/>
          </w:tcPr>
          <w:p w14:paraId="61B88486" w14:textId="77777777" w:rsidR="009A4BC4" w:rsidRPr="008262B9" w:rsidRDefault="009A4BC4" w:rsidP="001359AD">
            <w:pPr>
              <w:pStyle w:val="TableParagraph"/>
              <w:rPr>
                <w:rFonts w:ascii="Bookman Old Style" w:hAnsi="Bookman Old Style"/>
                <w:sz w:val="20"/>
                <w:szCs w:val="20"/>
              </w:rPr>
            </w:pPr>
          </w:p>
        </w:tc>
        <w:tc>
          <w:tcPr>
            <w:tcW w:w="1082" w:type="dxa"/>
            <w:gridSpan w:val="2"/>
            <w:vAlign w:val="center"/>
          </w:tcPr>
          <w:p w14:paraId="7EC0EFC7" w14:textId="77777777" w:rsidR="009A4BC4" w:rsidRPr="008262B9" w:rsidRDefault="009A4BC4" w:rsidP="001359AD">
            <w:pPr>
              <w:pStyle w:val="TableParagraph"/>
              <w:rPr>
                <w:rFonts w:ascii="Bookman Old Style" w:hAnsi="Bookman Old Style"/>
                <w:sz w:val="20"/>
                <w:szCs w:val="20"/>
              </w:rPr>
            </w:pPr>
          </w:p>
        </w:tc>
        <w:tc>
          <w:tcPr>
            <w:tcW w:w="993" w:type="dxa"/>
            <w:vAlign w:val="center"/>
          </w:tcPr>
          <w:p w14:paraId="4ABBA319" w14:textId="77777777" w:rsidR="009A4BC4" w:rsidRPr="008262B9" w:rsidRDefault="009A4BC4" w:rsidP="001359AD">
            <w:pPr>
              <w:pStyle w:val="TableParagraph"/>
              <w:rPr>
                <w:rFonts w:ascii="Bookman Old Style" w:hAnsi="Bookman Old Style"/>
                <w:sz w:val="20"/>
                <w:szCs w:val="20"/>
              </w:rPr>
            </w:pPr>
          </w:p>
        </w:tc>
        <w:tc>
          <w:tcPr>
            <w:tcW w:w="1080" w:type="dxa"/>
            <w:vAlign w:val="center"/>
          </w:tcPr>
          <w:p w14:paraId="1B6CCF06" w14:textId="77777777" w:rsidR="009A4BC4" w:rsidRPr="008262B9" w:rsidRDefault="009A4BC4" w:rsidP="001359AD">
            <w:pPr>
              <w:pStyle w:val="TableParagraph"/>
              <w:rPr>
                <w:rFonts w:ascii="Bookman Old Style" w:hAnsi="Bookman Old Style"/>
                <w:sz w:val="20"/>
                <w:szCs w:val="20"/>
              </w:rPr>
            </w:pPr>
          </w:p>
        </w:tc>
        <w:tc>
          <w:tcPr>
            <w:tcW w:w="904" w:type="dxa"/>
            <w:vAlign w:val="center"/>
          </w:tcPr>
          <w:p w14:paraId="384EE3F5" w14:textId="77777777" w:rsidR="009A4BC4" w:rsidRPr="008262B9" w:rsidRDefault="009A4BC4" w:rsidP="001359AD">
            <w:pPr>
              <w:pStyle w:val="TableParagraph"/>
              <w:rPr>
                <w:rFonts w:ascii="Bookman Old Style" w:hAnsi="Bookman Old Style"/>
                <w:sz w:val="20"/>
                <w:szCs w:val="20"/>
              </w:rPr>
            </w:pPr>
          </w:p>
        </w:tc>
        <w:tc>
          <w:tcPr>
            <w:tcW w:w="1263" w:type="dxa"/>
            <w:vAlign w:val="center"/>
          </w:tcPr>
          <w:p w14:paraId="458C127C" w14:textId="77777777" w:rsidR="009A4BC4" w:rsidRPr="008262B9" w:rsidRDefault="009A4BC4" w:rsidP="001359AD">
            <w:pPr>
              <w:pStyle w:val="TableParagraph"/>
              <w:rPr>
                <w:rFonts w:ascii="Bookman Old Style" w:hAnsi="Bookman Old Style"/>
                <w:sz w:val="20"/>
                <w:szCs w:val="20"/>
              </w:rPr>
            </w:pPr>
          </w:p>
        </w:tc>
        <w:tc>
          <w:tcPr>
            <w:tcW w:w="1385" w:type="dxa"/>
            <w:gridSpan w:val="2"/>
            <w:vAlign w:val="center"/>
          </w:tcPr>
          <w:p w14:paraId="29ADE8C7" w14:textId="77777777" w:rsidR="009A4BC4" w:rsidRPr="008262B9" w:rsidRDefault="009A4BC4" w:rsidP="001359AD">
            <w:pPr>
              <w:pStyle w:val="TableParagraph"/>
              <w:spacing w:line="234" w:lineRule="exact"/>
              <w:ind w:left="114"/>
              <w:rPr>
                <w:rFonts w:ascii="Bookman Old Style" w:hAnsi="Bookman Old Style"/>
                <w:b/>
                <w:sz w:val="20"/>
                <w:szCs w:val="20"/>
              </w:rPr>
            </w:pPr>
            <w:r w:rsidRPr="008262B9">
              <w:rPr>
                <w:rFonts w:ascii="Bookman Old Style" w:hAnsi="Bookman Old Style"/>
                <w:b/>
                <w:sz w:val="20"/>
                <w:szCs w:val="20"/>
              </w:rPr>
              <w:t>1.1</w:t>
            </w:r>
          </w:p>
          <w:p w14:paraId="0FC7E9F2" w14:textId="77777777" w:rsidR="009A4BC4" w:rsidRPr="008262B9" w:rsidRDefault="009A4BC4" w:rsidP="001359AD">
            <w:pPr>
              <w:pStyle w:val="TableParagraph"/>
              <w:spacing w:line="215" w:lineRule="exact"/>
              <w:ind w:left="114"/>
              <w:rPr>
                <w:rFonts w:ascii="Bookman Old Style" w:hAnsi="Bookman Old Style"/>
                <w:b/>
                <w:sz w:val="20"/>
                <w:szCs w:val="20"/>
              </w:rPr>
            </w:pPr>
          </w:p>
        </w:tc>
      </w:tr>
      <w:tr w:rsidR="009A4BC4" w:rsidRPr="008262B9" w14:paraId="268A69C1" w14:textId="77777777" w:rsidTr="008262B9">
        <w:trPr>
          <w:trHeight w:val="425"/>
        </w:trPr>
        <w:tc>
          <w:tcPr>
            <w:tcW w:w="557" w:type="dxa"/>
            <w:vAlign w:val="center"/>
          </w:tcPr>
          <w:p w14:paraId="13061471" w14:textId="77777777" w:rsidR="009A4BC4" w:rsidRPr="008262B9" w:rsidRDefault="009A4BC4" w:rsidP="001359AD">
            <w:pPr>
              <w:pStyle w:val="TableParagraph"/>
              <w:spacing w:line="217" w:lineRule="exact"/>
              <w:ind w:left="166"/>
              <w:rPr>
                <w:rFonts w:ascii="Bookman Old Style" w:hAnsi="Bookman Old Style"/>
                <w:sz w:val="20"/>
                <w:szCs w:val="20"/>
              </w:rPr>
            </w:pPr>
            <w:r w:rsidRPr="008262B9">
              <w:rPr>
                <w:rFonts w:ascii="Bookman Old Style" w:hAnsi="Bookman Old Style"/>
                <w:w w:val="99"/>
                <w:sz w:val="20"/>
                <w:szCs w:val="20"/>
              </w:rPr>
              <w:lastRenderedPageBreak/>
              <w:t>3</w:t>
            </w:r>
          </w:p>
        </w:tc>
        <w:tc>
          <w:tcPr>
            <w:tcW w:w="4285" w:type="dxa"/>
            <w:vAlign w:val="center"/>
          </w:tcPr>
          <w:p w14:paraId="6B4AF4B0"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Instrumen</w:t>
            </w:r>
            <w:r w:rsidRPr="008262B9">
              <w:rPr>
                <w:rFonts w:ascii="Bookman Old Style" w:hAnsi="Bookman Old Style"/>
                <w:spacing w:val="-4"/>
                <w:sz w:val="20"/>
                <w:szCs w:val="20"/>
              </w:rPr>
              <w:t xml:space="preserve"> </w:t>
            </w:r>
            <w:r w:rsidRPr="008262B9">
              <w:rPr>
                <w:rFonts w:ascii="Bookman Old Style" w:hAnsi="Bookman Old Style"/>
                <w:sz w:val="20"/>
                <w:szCs w:val="20"/>
              </w:rPr>
              <w:t>modal</w:t>
            </w:r>
            <w:r w:rsidRPr="008262B9">
              <w:rPr>
                <w:rFonts w:ascii="Bookman Old Style" w:hAnsi="Bookman Old Style"/>
                <w:spacing w:val="-4"/>
                <w:sz w:val="20"/>
                <w:szCs w:val="20"/>
              </w:rPr>
              <w:t xml:space="preserve"> </w:t>
            </w:r>
            <w:r w:rsidRPr="008262B9">
              <w:rPr>
                <w:rFonts w:ascii="Bookman Old Style" w:hAnsi="Bookman Old Style"/>
                <w:sz w:val="20"/>
                <w:szCs w:val="20"/>
              </w:rPr>
              <w:t>lainnya</w:t>
            </w:r>
          </w:p>
        </w:tc>
        <w:tc>
          <w:tcPr>
            <w:tcW w:w="1134" w:type="dxa"/>
            <w:vAlign w:val="center"/>
          </w:tcPr>
          <w:p w14:paraId="3599E246" w14:textId="77777777" w:rsidR="009A4BC4" w:rsidRPr="008262B9" w:rsidRDefault="009A4BC4" w:rsidP="001359AD">
            <w:pPr>
              <w:pStyle w:val="TableParagraph"/>
              <w:rPr>
                <w:rFonts w:ascii="Bookman Old Style" w:hAnsi="Bookman Old Style"/>
                <w:sz w:val="20"/>
                <w:szCs w:val="20"/>
              </w:rPr>
            </w:pPr>
          </w:p>
        </w:tc>
        <w:tc>
          <w:tcPr>
            <w:tcW w:w="992" w:type="dxa"/>
            <w:vAlign w:val="center"/>
          </w:tcPr>
          <w:p w14:paraId="6B8A6547" w14:textId="77777777" w:rsidR="009A4BC4" w:rsidRPr="008262B9" w:rsidRDefault="009A4BC4" w:rsidP="001359AD">
            <w:pPr>
              <w:pStyle w:val="TableParagraph"/>
              <w:rPr>
                <w:rFonts w:ascii="Bookman Old Style" w:hAnsi="Bookman Old Style"/>
                <w:sz w:val="20"/>
                <w:szCs w:val="20"/>
              </w:rPr>
            </w:pPr>
          </w:p>
        </w:tc>
        <w:tc>
          <w:tcPr>
            <w:tcW w:w="1103" w:type="dxa"/>
            <w:vAlign w:val="center"/>
          </w:tcPr>
          <w:p w14:paraId="375C4A6E" w14:textId="77777777" w:rsidR="009A4BC4" w:rsidRPr="008262B9" w:rsidRDefault="009A4BC4" w:rsidP="001359AD">
            <w:pPr>
              <w:pStyle w:val="TableParagraph"/>
              <w:rPr>
                <w:rFonts w:ascii="Bookman Old Style" w:hAnsi="Bookman Old Style"/>
                <w:sz w:val="20"/>
                <w:szCs w:val="20"/>
              </w:rPr>
            </w:pPr>
          </w:p>
        </w:tc>
        <w:tc>
          <w:tcPr>
            <w:tcW w:w="881" w:type="dxa"/>
            <w:vAlign w:val="center"/>
          </w:tcPr>
          <w:p w14:paraId="6AA03EB1" w14:textId="77777777" w:rsidR="009A4BC4" w:rsidRPr="008262B9" w:rsidRDefault="009A4BC4" w:rsidP="001359AD">
            <w:pPr>
              <w:pStyle w:val="TableParagraph"/>
              <w:rPr>
                <w:rFonts w:ascii="Bookman Old Style" w:hAnsi="Bookman Old Style"/>
                <w:sz w:val="20"/>
                <w:szCs w:val="20"/>
              </w:rPr>
            </w:pPr>
          </w:p>
        </w:tc>
        <w:tc>
          <w:tcPr>
            <w:tcW w:w="1186" w:type="dxa"/>
            <w:vAlign w:val="center"/>
          </w:tcPr>
          <w:p w14:paraId="2091F940" w14:textId="77777777" w:rsidR="009A4BC4" w:rsidRPr="008262B9" w:rsidRDefault="009A4BC4" w:rsidP="001359AD">
            <w:pPr>
              <w:pStyle w:val="TableParagraph"/>
              <w:rPr>
                <w:rFonts w:ascii="Bookman Old Style" w:hAnsi="Bookman Old Style"/>
                <w:sz w:val="20"/>
                <w:szCs w:val="20"/>
              </w:rPr>
            </w:pPr>
          </w:p>
        </w:tc>
        <w:tc>
          <w:tcPr>
            <w:tcW w:w="1082" w:type="dxa"/>
            <w:gridSpan w:val="2"/>
            <w:vAlign w:val="center"/>
          </w:tcPr>
          <w:p w14:paraId="1B13C3C6" w14:textId="77777777" w:rsidR="009A4BC4" w:rsidRPr="008262B9" w:rsidRDefault="009A4BC4" w:rsidP="001359AD">
            <w:pPr>
              <w:pStyle w:val="TableParagraph"/>
              <w:rPr>
                <w:rFonts w:ascii="Bookman Old Style" w:hAnsi="Bookman Old Style"/>
                <w:sz w:val="20"/>
                <w:szCs w:val="20"/>
              </w:rPr>
            </w:pPr>
          </w:p>
        </w:tc>
        <w:tc>
          <w:tcPr>
            <w:tcW w:w="993" w:type="dxa"/>
            <w:vAlign w:val="center"/>
          </w:tcPr>
          <w:p w14:paraId="604A4D42" w14:textId="77777777" w:rsidR="009A4BC4" w:rsidRPr="008262B9" w:rsidRDefault="009A4BC4" w:rsidP="001359AD">
            <w:pPr>
              <w:pStyle w:val="TableParagraph"/>
              <w:rPr>
                <w:rFonts w:ascii="Bookman Old Style" w:hAnsi="Bookman Old Style"/>
                <w:sz w:val="20"/>
                <w:szCs w:val="20"/>
              </w:rPr>
            </w:pPr>
          </w:p>
        </w:tc>
        <w:tc>
          <w:tcPr>
            <w:tcW w:w="1080" w:type="dxa"/>
            <w:vAlign w:val="center"/>
          </w:tcPr>
          <w:p w14:paraId="1D82BE03" w14:textId="77777777" w:rsidR="009A4BC4" w:rsidRPr="008262B9" w:rsidRDefault="009A4BC4" w:rsidP="001359AD">
            <w:pPr>
              <w:pStyle w:val="TableParagraph"/>
              <w:rPr>
                <w:rFonts w:ascii="Bookman Old Style" w:hAnsi="Bookman Old Style"/>
                <w:sz w:val="20"/>
                <w:szCs w:val="20"/>
              </w:rPr>
            </w:pPr>
          </w:p>
        </w:tc>
        <w:tc>
          <w:tcPr>
            <w:tcW w:w="904" w:type="dxa"/>
            <w:vAlign w:val="center"/>
          </w:tcPr>
          <w:p w14:paraId="3BC0352F" w14:textId="77777777" w:rsidR="009A4BC4" w:rsidRPr="008262B9" w:rsidRDefault="009A4BC4" w:rsidP="001359AD">
            <w:pPr>
              <w:pStyle w:val="TableParagraph"/>
              <w:rPr>
                <w:rFonts w:ascii="Bookman Old Style" w:hAnsi="Bookman Old Style"/>
                <w:sz w:val="20"/>
                <w:szCs w:val="20"/>
              </w:rPr>
            </w:pPr>
          </w:p>
        </w:tc>
        <w:tc>
          <w:tcPr>
            <w:tcW w:w="1263" w:type="dxa"/>
            <w:vAlign w:val="center"/>
          </w:tcPr>
          <w:p w14:paraId="57C51979" w14:textId="77777777" w:rsidR="009A4BC4" w:rsidRPr="008262B9" w:rsidRDefault="009A4BC4" w:rsidP="001359AD">
            <w:pPr>
              <w:pStyle w:val="TableParagraph"/>
              <w:rPr>
                <w:rFonts w:ascii="Bookman Old Style" w:hAnsi="Bookman Old Style"/>
                <w:sz w:val="20"/>
                <w:szCs w:val="20"/>
              </w:rPr>
            </w:pPr>
          </w:p>
        </w:tc>
        <w:tc>
          <w:tcPr>
            <w:tcW w:w="1385" w:type="dxa"/>
            <w:gridSpan w:val="2"/>
            <w:vAlign w:val="center"/>
          </w:tcPr>
          <w:p w14:paraId="3F6F2926" w14:textId="77777777" w:rsidR="009A4BC4" w:rsidRPr="008262B9" w:rsidRDefault="009A4BC4" w:rsidP="001359AD">
            <w:pPr>
              <w:pStyle w:val="TableParagraph"/>
              <w:spacing w:line="217" w:lineRule="exact"/>
              <w:ind w:left="114"/>
              <w:rPr>
                <w:rFonts w:ascii="Bookman Old Style" w:hAnsi="Bookman Old Style"/>
                <w:b/>
                <w:sz w:val="20"/>
                <w:szCs w:val="20"/>
                <w:lang w:val="en-US"/>
              </w:rPr>
            </w:pPr>
            <w:r w:rsidRPr="008262B9">
              <w:rPr>
                <w:rFonts w:ascii="Bookman Old Style" w:hAnsi="Bookman Old Style"/>
                <w:b/>
                <w:sz w:val="20"/>
                <w:szCs w:val="20"/>
              </w:rPr>
              <w:t>1.</w:t>
            </w:r>
            <w:r w:rsidRPr="008262B9">
              <w:rPr>
                <w:rFonts w:ascii="Bookman Old Style" w:hAnsi="Bookman Old Style"/>
                <w:b/>
                <w:sz w:val="20"/>
                <w:szCs w:val="20"/>
                <w:lang w:val="en-US"/>
              </w:rPr>
              <w:t>2</w:t>
            </w:r>
          </w:p>
        </w:tc>
      </w:tr>
      <w:tr w:rsidR="009A4BC4" w:rsidRPr="008262B9" w14:paraId="16DB51C8" w14:textId="77777777" w:rsidTr="008262B9">
        <w:trPr>
          <w:trHeight w:val="814"/>
        </w:trPr>
        <w:tc>
          <w:tcPr>
            <w:tcW w:w="557" w:type="dxa"/>
            <w:shd w:val="clear" w:color="auto" w:fill="BFBFBF" w:themeFill="background1" w:themeFillShade="BF"/>
            <w:vAlign w:val="center"/>
          </w:tcPr>
          <w:p w14:paraId="2707C783" w14:textId="77777777" w:rsidR="009A4BC4" w:rsidRPr="008262B9" w:rsidRDefault="009A4BC4" w:rsidP="001359AD">
            <w:pPr>
              <w:pStyle w:val="TableParagraph"/>
              <w:spacing w:before="10"/>
              <w:ind w:left="166"/>
              <w:rPr>
                <w:rFonts w:ascii="Bookman Old Style" w:hAnsi="Bookman Old Style"/>
                <w:sz w:val="20"/>
                <w:szCs w:val="20"/>
              </w:rPr>
            </w:pPr>
          </w:p>
          <w:p w14:paraId="707DC17B" w14:textId="77777777" w:rsidR="009A4BC4" w:rsidRPr="008262B9" w:rsidRDefault="009A4BC4" w:rsidP="001359AD">
            <w:pPr>
              <w:pStyle w:val="TableParagraph"/>
              <w:spacing w:line="217" w:lineRule="exact"/>
              <w:ind w:left="166"/>
              <w:rPr>
                <w:rFonts w:ascii="Bookman Old Style" w:hAnsi="Bookman Old Style"/>
                <w:w w:val="99"/>
                <w:sz w:val="20"/>
                <w:szCs w:val="20"/>
              </w:rPr>
            </w:pPr>
            <w:r w:rsidRPr="008262B9">
              <w:rPr>
                <w:rFonts w:ascii="Bookman Old Style" w:hAnsi="Bookman Old Style"/>
                <w:w w:val="99"/>
                <w:sz w:val="20"/>
                <w:szCs w:val="20"/>
              </w:rPr>
              <w:t>4</w:t>
            </w:r>
          </w:p>
        </w:tc>
        <w:tc>
          <w:tcPr>
            <w:tcW w:w="4285" w:type="dxa"/>
            <w:shd w:val="clear" w:color="auto" w:fill="BFBFBF" w:themeFill="background1" w:themeFillShade="BF"/>
            <w:vAlign w:val="center"/>
          </w:tcPr>
          <w:p w14:paraId="47FF4275" w14:textId="5104512C" w:rsidR="009A4BC4" w:rsidRPr="008262B9" w:rsidRDefault="009A4BC4" w:rsidP="008262B9">
            <w:pPr>
              <w:pStyle w:val="TableParagraph"/>
              <w:ind w:left="107"/>
              <w:rPr>
                <w:rFonts w:ascii="Bookman Old Style" w:hAnsi="Bookman Old Style"/>
                <w:sz w:val="20"/>
                <w:szCs w:val="20"/>
              </w:rPr>
            </w:pPr>
            <w:r w:rsidRPr="008262B9">
              <w:rPr>
                <w:rFonts w:ascii="Bookman Old Style" w:hAnsi="Bookman Old Style"/>
                <w:sz w:val="20"/>
                <w:szCs w:val="20"/>
              </w:rPr>
              <w:t>Pendanaan yang berasal dari nasabah</w:t>
            </w:r>
            <w:r w:rsidRPr="008262B9">
              <w:rPr>
                <w:rFonts w:ascii="Bookman Old Style" w:hAnsi="Bookman Old Style"/>
                <w:spacing w:val="1"/>
                <w:sz w:val="20"/>
                <w:szCs w:val="20"/>
              </w:rPr>
              <w:t xml:space="preserve"> </w:t>
            </w:r>
            <w:r w:rsidRPr="008262B9">
              <w:rPr>
                <w:rFonts w:ascii="Bookman Old Style" w:hAnsi="Bookman Old Style"/>
                <w:sz w:val="20"/>
                <w:szCs w:val="20"/>
              </w:rPr>
              <w:t>perorangan dan Pendanaan yang</w:t>
            </w:r>
            <w:r w:rsidRPr="008262B9">
              <w:rPr>
                <w:rFonts w:ascii="Bookman Old Style" w:hAnsi="Bookman Old Style"/>
                <w:spacing w:val="1"/>
                <w:sz w:val="20"/>
                <w:szCs w:val="20"/>
              </w:rPr>
              <w:t xml:space="preserve"> </w:t>
            </w:r>
            <w:r w:rsidRPr="008262B9">
              <w:rPr>
                <w:rFonts w:ascii="Bookman Old Style" w:hAnsi="Bookman Old Style"/>
                <w:sz w:val="20"/>
                <w:szCs w:val="20"/>
              </w:rPr>
              <w:t>berasal</w:t>
            </w:r>
            <w:r w:rsidRPr="008262B9">
              <w:rPr>
                <w:rFonts w:ascii="Bookman Old Style" w:hAnsi="Bookman Old Style"/>
                <w:spacing w:val="-6"/>
                <w:sz w:val="20"/>
                <w:szCs w:val="20"/>
              </w:rPr>
              <w:t xml:space="preserve"> </w:t>
            </w:r>
            <w:r w:rsidRPr="008262B9">
              <w:rPr>
                <w:rFonts w:ascii="Bookman Old Style" w:hAnsi="Bookman Old Style"/>
                <w:sz w:val="20"/>
                <w:szCs w:val="20"/>
              </w:rPr>
              <w:t>dari</w:t>
            </w:r>
            <w:r w:rsidRPr="008262B9">
              <w:rPr>
                <w:rFonts w:ascii="Bookman Old Style" w:hAnsi="Bookman Old Style"/>
                <w:spacing w:val="-4"/>
                <w:sz w:val="20"/>
                <w:szCs w:val="20"/>
              </w:rPr>
              <w:t xml:space="preserve"> </w:t>
            </w:r>
            <w:r w:rsidRPr="008262B9">
              <w:rPr>
                <w:rFonts w:ascii="Bookman Old Style" w:hAnsi="Bookman Old Style"/>
                <w:sz w:val="20"/>
                <w:szCs w:val="20"/>
              </w:rPr>
              <w:t>nasabah</w:t>
            </w:r>
            <w:r w:rsidRPr="008262B9">
              <w:rPr>
                <w:rFonts w:ascii="Bookman Old Style" w:hAnsi="Bookman Old Style"/>
                <w:spacing w:val="-5"/>
                <w:sz w:val="20"/>
                <w:szCs w:val="20"/>
              </w:rPr>
              <w:t xml:space="preserve"> </w:t>
            </w:r>
            <w:r w:rsidRPr="008262B9">
              <w:rPr>
                <w:rFonts w:ascii="Bookman Old Style" w:hAnsi="Bookman Old Style"/>
                <w:sz w:val="20"/>
                <w:szCs w:val="20"/>
              </w:rPr>
              <w:t>usaha</w:t>
            </w:r>
            <w:r w:rsidRPr="008262B9">
              <w:rPr>
                <w:rFonts w:ascii="Bookman Old Style" w:hAnsi="Bookman Old Style"/>
                <w:spacing w:val="-5"/>
                <w:sz w:val="20"/>
                <w:szCs w:val="20"/>
              </w:rPr>
              <w:t xml:space="preserve"> </w:t>
            </w:r>
            <w:r w:rsidRPr="008262B9">
              <w:rPr>
                <w:rFonts w:ascii="Bookman Old Style" w:hAnsi="Bookman Old Style"/>
                <w:sz w:val="20"/>
                <w:szCs w:val="20"/>
              </w:rPr>
              <w:t>mikro</w:t>
            </w:r>
            <w:r w:rsidRPr="008262B9">
              <w:rPr>
                <w:rFonts w:ascii="Bookman Old Style" w:hAnsi="Bookman Old Style"/>
                <w:spacing w:val="-7"/>
                <w:sz w:val="20"/>
                <w:szCs w:val="20"/>
              </w:rPr>
              <w:t xml:space="preserve"> </w:t>
            </w:r>
            <w:r w:rsidRPr="008262B9">
              <w:rPr>
                <w:rFonts w:ascii="Bookman Old Style" w:hAnsi="Bookman Old Style"/>
                <w:sz w:val="20"/>
                <w:szCs w:val="20"/>
              </w:rPr>
              <w:t>dan</w:t>
            </w:r>
            <w:r w:rsidR="008262B9" w:rsidRPr="008262B9">
              <w:rPr>
                <w:rFonts w:ascii="Bookman Old Style" w:hAnsi="Bookman Old Style"/>
                <w:sz w:val="20"/>
                <w:szCs w:val="20"/>
                <w:lang w:val="en-US"/>
              </w:rPr>
              <w:t xml:space="preserve"> </w:t>
            </w:r>
            <w:r w:rsidRPr="008262B9">
              <w:rPr>
                <w:rFonts w:ascii="Bookman Old Style" w:hAnsi="Bookman Old Style"/>
                <w:sz w:val="20"/>
                <w:szCs w:val="20"/>
              </w:rPr>
              <w:t>usaha</w:t>
            </w:r>
            <w:r w:rsidRPr="008262B9">
              <w:rPr>
                <w:rFonts w:ascii="Bookman Old Style" w:hAnsi="Bookman Old Style"/>
                <w:spacing w:val="-4"/>
                <w:sz w:val="20"/>
                <w:szCs w:val="20"/>
              </w:rPr>
              <w:t xml:space="preserve"> </w:t>
            </w:r>
            <w:r w:rsidRPr="008262B9">
              <w:rPr>
                <w:rFonts w:ascii="Bookman Old Style" w:hAnsi="Bookman Old Style"/>
                <w:sz w:val="20"/>
                <w:szCs w:val="20"/>
              </w:rPr>
              <w:t>kecil:</w:t>
            </w:r>
          </w:p>
        </w:tc>
        <w:tc>
          <w:tcPr>
            <w:tcW w:w="1134" w:type="dxa"/>
            <w:shd w:val="clear" w:color="auto" w:fill="BFBFBF" w:themeFill="background1" w:themeFillShade="BF"/>
          </w:tcPr>
          <w:p w14:paraId="26A55E5E"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BFBFBF" w:themeFill="background1" w:themeFillShade="BF"/>
          </w:tcPr>
          <w:p w14:paraId="31220A26"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BFBFBF" w:themeFill="background1" w:themeFillShade="BF"/>
          </w:tcPr>
          <w:p w14:paraId="01EC3105"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BFBFBF" w:themeFill="background1" w:themeFillShade="BF"/>
          </w:tcPr>
          <w:p w14:paraId="5D213ECB"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BFBFBF" w:themeFill="background1" w:themeFillShade="BF"/>
          </w:tcPr>
          <w:p w14:paraId="5F72D181"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BFBFBF" w:themeFill="background1" w:themeFillShade="BF"/>
          </w:tcPr>
          <w:p w14:paraId="52DC37F3"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BFBFBF" w:themeFill="background1" w:themeFillShade="BF"/>
          </w:tcPr>
          <w:p w14:paraId="655B494E"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BFBFBF" w:themeFill="background1" w:themeFillShade="BF"/>
          </w:tcPr>
          <w:p w14:paraId="7A1821FB"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BFBFBF" w:themeFill="background1" w:themeFillShade="BF"/>
          </w:tcPr>
          <w:p w14:paraId="0ADC8290"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BFBFBF" w:themeFill="background1" w:themeFillShade="BF"/>
          </w:tcPr>
          <w:p w14:paraId="488982D6"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BFBFBF" w:themeFill="background1" w:themeFillShade="BF"/>
          </w:tcPr>
          <w:p w14:paraId="5E6D323E" w14:textId="77777777" w:rsidR="009A4BC4" w:rsidRPr="008262B9" w:rsidRDefault="009A4BC4" w:rsidP="001359AD">
            <w:pPr>
              <w:pStyle w:val="TableParagraph"/>
              <w:spacing w:before="1"/>
              <w:rPr>
                <w:rFonts w:ascii="Bookman Old Style" w:hAnsi="Bookman Old Style"/>
                <w:sz w:val="20"/>
                <w:szCs w:val="20"/>
              </w:rPr>
            </w:pPr>
          </w:p>
          <w:p w14:paraId="1E2D60F2" w14:textId="77777777" w:rsidR="009A4BC4" w:rsidRPr="008262B9" w:rsidRDefault="009A4BC4" w:rsidP="001359AD">
            <w:pPr>
              <w:pStyle w:val="TableParagraph"/>
              <w:spacing w:line="234" w:lineRule="exact"/>
              <w:ind w:left="114"/>
              <w:rPr>
                <w:rFonts w:ascii="Bookman Old Style" w:hAnsi="Bookman Old Style"/>
                <w:b/>
                <w:sz w:val="20"/>
                <w:szCs w:val="20"/>
              </w:rPr>
            </w:pPr>
            <w:r w:rsidRPr="008262B9">
              <w:rPr>
                <w:rFonts w:ascii="Bookman Old Style" w:hAnsi="Bookman Old Style"/>
                <w:b/>
                <w:w w:val="99"/>
                <w:sz w:val="20"/>
                <w:szCs w:val="20"/>
              </w:rPr>
              <w:t>2</w:t>
            </w:r>
          </w:p>
          <w:p w14:paraId="4DECF762" w14:textId="77777777" w:rsidR="009A4BC4" w:rsidRPr="008262B9" w:rsidRDefault="009A4BC4" w:rsidP="001359AD">
            <w:pPr>
              <w:pStyle w:val="TableParagraph"/>
              <w:spacing w:line="217" w:lineRule="exact"/>
              <w:ind w:left="114"/>
              <w:rPr>
                <w:rFonts w:ascii="Bookman Old Style" w:hAnsi="Bookman Old Style"/>
                <w:b/>
                <w:sz w:val="20"/>
                <w:szCs w:val="20"/>
              </w:rPr>
            </w:pPr>
            <w:r w:rsidRPr="008262B9">
              <w:rPr>
                <w:rFonts w:ascii="Bookman Old Style" w:hAnsi="Bookman Old Style"/>
                <w:b/>
                <w:w w:val="99"/>
                <w:sz w:val="20"/>
                <w:szCs w:val="20"/>
              </w:rPr>
              <w:t>3</w:t>
            </w:r>
          </w:p>
        </w:tc>
      </w:tr>
      <w:tr w:rsidR="009A4BC4" w:rsidRPr="008262B9" w14:paraId="0478E0F9" w14:textId="77777777" w:rsidTr="008262B9">
        <w:trPr>
          <w:trHeight w:val="237"/>
        </w:trPr>
        <w:tc>
          <w:tcPr>
            <w:tcW w:w="557" w:type="dxa"/>
            <w:vAlign w:val="center"/>
          </w:tcPr>
          <w:p w14:paraId="76DD1DB3" w14:textId="77777777" w:rsidR="009A4BC4" w:rsidRPr="008262B9" w:rsidRDefault="009A4BC4" w:rsidP="001359AD">
            <w:pPr>
              <w:pStyle w:val="TableParagraph"/>
              <w:spacing w:line="217" w:lineRule="exact"/>
              <w:ind w:left="166"/>
              <w:rPr>
                <w:rFonts w:ascii="Bookman Old Style" w:hAnsi="Bookman Old Style"/>
                <w:w w:val="99"/>
                <w:sz w:val="20"/>
                <w:szCs w:val="20"/>
              </w:rPr>
            </w:pPr>
            <w:r w:rsidRPr="008262B9">
              <w:rPr>
                <w:rFonts w:ascii="Bookman Old Style" w:hAnsi="Bookman Old Style"/>
                <w:w w:val="99"/>
                <w:sz w:val="20"/>
                <w:szCs w:val="20"/>
              </w:rPr>
              <w:t>5</w:t>
            </w:r>
          </w:p>
        </w:tc>
        <w:tc>
          <w:tcPr>
            <w:tcW w:w="4285" w:type="dxa"/>
            <w:vAlign w:val="center"/>
          </w:tcPr>
          <w:p w14:paraId="1BC95723"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Pendanaan</w:t>
            </w:r>
            <w:r w:rsidRPr="008262B9">
              <w:rPr>
                <w:rFonts w:ascii="Bookman Old Style" w:hAnsi="Bookman Old Style"/>
                <w:spacing w:val="-5"/>
                <w:sz w:val="20"/>
                <w:szCs w:val="20"/>
              </w:rPr>
              <w:t xml:space="preserve"> </w:t>
            </w:r>
            <w:r w:rsidRPr="008262B9">
              <w:rPr>
                <w:rFonts w:ascii="Bookman Old Style" w:hAnsi="Bookman Old Style"/>
                <w:sz w:val="20"/>
                <w:szCs w:val="20"/>
              </w:rPr>
              <w:t>stabil</w:t>
            </w:r>
          </w:p>
        </w:tc>
        <w:tc>
          <w:tcPr>
            <w:tcW w:w="1134" w:type="dxa"/>
          </w:tcPr>
          <w:p w14:paraId="16209DFA" w14:textId="77777777" w:rsidR="009A4BC4" w:rsidRPr="008262B9" w:rsidRDefault="009A4BC4" w:rsidP="001359AD">
            <w:pPr>
              <w:pStyle w:val="TableParagraph"/>
              <w:rPr>
                <w:rFonts w:ascii="Bookman Old Style" w:hAnsi="Bookman Old Style"/>
                <w:sz w:val="20"/>
                <w:szCs w:val="20"/>
              </w:rPr>
            </w:pPr>
          </w:p>
        </w:tc>
        <w:tc>
          <w:tcPr>
            <w:tcW w:w="992" w:type="dxa"/>
          </w:tcPr>
          <w:p w14:paraId="7C594580" w14:textId="77777777" w:rsidR="009A4BC4" w:rsidRPr="008262B9" w:rsidRDefault="009A4BC4" w:rsidP="001359AD">
            <w:pPr>
              <w:pStyle w:val="TableParagraph"/>
              <w:rPr>
                <w:rFonts w:ascii="Bookman Old Style" w:hAnsi="Bookman Old Style"/>
                <w:sz w:val="20"/>
                <w:szCs w:val="20"/>
              </w:rPr>
            </w:pPr>
          </w:p>
        </w:tc>
        <w:tc>
          <w:tcPr>
            <w:tcW w:w="1103" w:type="dxa"/>
          </w:tcPr>
          <w:p w14:paraId="07CC3CDC" w14:textId="77777777" w:rsidR="009A4BC4" w:rsidRPr="008262B9" w:rsidRDefault="009A4BC4" w:rsidP="001359AD">
            <w:pPr>
              <w:pStyle w:val="TableParagraph"/>
              <w:rPr>
                <w:rFonts w:ascii="Bookman Old Style" w:hAnsi="Bookman Old Style"/>
                <w:sz w:val="20"/>
                <w:szCs w:val="20"/>
              </w:rPr>
            </w:pPr>
          </w:p>
        </w:tc>
        <w:tc>
          <w:tcPr>
            <w:tcW w:w="881" w:type="dxa"/>
          </w:tcPr>
          <w:p w14:paraId="4147730D" w14:textId="77777777" w:rsidR="009A4BC4" w:rsidRPr="008262B9" w:rsidRDefault="009A4BC4" w:rsidP="001359AD">
            <w:pPr>
              <w:pStyle w:val="TableParagraph"/>
              <w:rPr>
                <w:rFonts w:ascii="Bookman Old Style" w:hAnsi="Bookman Old Style"/>
                <w:sz w:val="20"/>
                <w:szCs w:val="20"/>
              </w:rPr>
            </w:pPr>
          </w:p>
        </w:tc>
        <w:tc>
          <w:tcPr>
            <w:tcW w:w="1186" w:type="dxa"/>
          </w:tcPr>
          <w:p w14:paraId="6D159D3A" w14:textId="77777777" w:rsidR="009A4BC4" w:rsidRPr="008262B9" w:rsidRDefault="009A4BC4" w:rsidP="001359AD">
            <w:pPr>
              <w:pStyle w:val="TableParagraph"/>
              <w:rPr>
                <w:rFonts w:ascii="Bookman Old Style" w:hAnsi="Bookman Old Style"/>
                <w:sz w:val="20"/>
                <w:szCs w:val="20"/>
              </w:rPr>
            </w:pPr>
          </w:p>
        </w:tc>
        <w:tc>
          <w:tcPr>
            <w:tcW w:w="1082" w:type="dxa"/>
            <w:gridSpan w:val="2"/>
          </w:tcPr>
          <w:p w14:paraId="713D9C4C" w14:textId="77777777" w:rsidR="009A4BC4" w:rsidRPr="008262B9" w:rsidRDefault="009A4BC4" w:rsidP="001359AD">
            <w:pPr>
              <w:pStyle w:val="TableParagraph"/>
              <w:rPr>
                <w:rFonts w:ascii="Bookman Old Style" w:hAnsi="Bookman Old Style"/>
                <w:sz w:val="20"/>
                <w:szCs w:val="20"/>
              </w:rPr>
            </w:pPr>
          </w:p>
        </w:tc>
        <w:tc>
          <w:tcPr>
            <w:tcW w:w="993" w:type="dxa"/>
          </w:tcPr>
          <w:p w14:paraId="63A214E8" w14:textId="77777777" w:rsidR="009A4BC4" w:rsidRPr="008262B9" w:rsidRDefault="009A4BC4" w:rsidP="001359AD">
            <w:pPr>
              <w:pStyle w:val="TableParagraph"/>
              <w:rPr>
                <w:rFonts w:ascii="Bookman Old Style" w:hAnsi="Bookman Old Style"/>
                <w:sz w:val="20"/>
                <w:szCs w:val="20"/>
              </w:rPr>
            </w:pPr>
          </w:p>
        </w:tc>
        <w:tc>
          <w:tcPr>
            <w:tcW w:w="1080" w:type="dxa"/>
          </w:tcPr>
          <w:p w14:paraId="5C08E784" w14:textId="77777777" w:rsidR="009A4BC4" w:rsidRPr="008262B9" w:rsidRDefault="009A4BC4" w:rsidP="001359AD">
            <w:pPr>
              <w:pStyle w:val="TableParagraph"/>
              <w:rPr>
                <w:rFonts w:ascii="Bookman Old Style" w:hAnsi="Bookman Old Style"/>
                <w:sz w:val="20"/>
                <w:szCs w:val="20"/>
              </w:rPr>
            </w:pPr>
          </w:p>
        </w:tc>
        <w:tc>
          <w:tcPr>
            <w:tcW w:w="904" w:type="dxa"/>
          </w:tcPr>
          <w:p w14:paraId="5CA6879F" w14:textId="77777777" w:rsidR="009A4BC4" w:rsidRPr="008262B9" w:rsidRDefault="009A4BC4" w:rsidP="001359AD">
            <w:pPr>
              <w:pStyle w:val="TableParagraph"/>
              <w:rPr>
                <w:rFonts w:ascii="Bookman Old Style" w:hAnsi="Bookman Old Style"/>
                <w:sz w:val="20"/>
                <w:szCs w:val="20"/>
              </w:rPr>
            </w:pPr>
          </w:p>
        </w:tc>
        <w:tc>
          <w:tcPr>
            <w:tcW w:w="1263" w:type="dxa"/>
          </w:tcPr>
          <w:p w14:paraId="7BADC257" w14:textId="77777777" w:rsidR="009A4BC4" w:rsidRPr="008262B9" w:rsidRDefault="009A4BC4" w:rsidP="001359AD">
            <w:pPr>
              <w:pStyle w:val="TableParagraph"/>
              <w:rPr>
                <w:rFonts w:ascii="Bookman Old Style" w:hAnsi="Bookman Old Style"/>
                <w:sz w:val="20"/>
                <w:szCs w:val="20"/>
              </w:rPr>
            </w:pPr>
          </w:p>
        </w:tc>
        <w:tc>
          <w:tcPr>
            <w:tcW w:w="1385" w:type="dxa"/>
            <w:gridSpan w:val="2"/>
          </w:tcPr>
          <w:p w14:paraId="54056CCE"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2.1</w:t>
            </w:r>
          </w:p>
          <w:p w14:paraId="6F2BF592" w14:textId="77777777" w:rsidR="009A4BC4" w:rsidRPr="008262B9" w:rsidRDefault="009A4BC4" w:rsidP="001359AD">
            <w:pPr>
              <w:pStyle w:val="TableParagraph"/>
              <w:spacing w:line="217" w:lineRule="exact"/>
              <w:ind w:left="114"/>
              <w:rPr>
                <w:rFonts w:ascii="Bookman Old Style" w:hAnsi="Bookman Old Style"/>
                <w:b/>
                <w:sz w:val="20"/>
                <w:szCs w:val="20"/>
              </w:rPr>
            </w:pPr>
            <w:r w:rsidRPr="008262B9">
              <w:rPr>
                <w:rFonts w:ascii="Bookman Old Style" w:hAnsi="Bookman Old Style"/>
                <w:b/>
                <w:sz w:val="20"/>
                <w:szCs w:val="20"/>
              </w:rPr>
              <w:t>3.1</w:t>
            </w:r>
          </w:p>
        </w:tc>
      </w:tr>
      <w:tr w:rsidR="009A4BC4" w:rsidRPr="008262B9" w14:paraId="697A3DEC" w14:textId="77777777" w:rsidTr="008262B9">
        <w:trPr>
          <w:trHeight w:val="237"/>
        </w:trPr>
        <w:tc>
          <w:tcPr>
            <w:tcW w:w="557" w:type="dxa"/>
            <w:vAlign w:val="center"/>
          </w:tcPr>
          <w:p w14:paraId="2C5B588C" w14:textId="77777777" w:rsidR="009A4BC4" w:rsidRPr="008262B9" w:rsidRDefault="009A4BC4" w:rsidP="001359AD">
            <w:pPr>
              <w:pStyle w:val="TableParagraph"/>
              <w:spacing w:line="217" w:lineRule="exact"/>
              <w:ind w:left="166"/>
              <w:rPr>
                <w:rFonts w:ascii="Bookman Old Style" w:hAnsi="Bookman Old Style"/>
                <w:w w:val="99"/>
                <w:sz w:val="20"/>
                <w:szCs w:val="20"/>
              </w:rPr>
            </w:pPr>
            <w:r w:rsidRPr="008262B9">
              <w:rPr>
                <w:rFonts w:ascii="Bookman Old Style" w:hAnsi="Bookman Old Style"/>
                <w:w w:val="99"/>
                <w:sz w:val="20"/>
                <w:szCs w:val="20"/>
              </w:rPr>
              <w:t>6</w:t>
            </w:r>
          </w:p>
        </w:tc>
        <w:tc>
          <w:tcPr>
            <w:tcW w:w="4285" w:type="dxa"/>
            <w:vAlign w:val="center"/>
          </w:tcPr>
          <w:p w14:paraId="4760AD27" w14:textId="77777777" w:rsidR="009A4BC4" w:rsidRPr="008262B9" w:rsidRDefault="009A4BC4" w:rsidP="001359AD">
            <w:pPr>
              <w:pStyle w:val="TableParagraph"/>
              <w:spacing w:line="233" w:lineRule="exact"/>
              <w:ind w:left="467"/>
              <w:rPr>
                <w:rFonts w:ascii="Bookman Old Style" w:hAnsi="Bookman Old Style"/>
                <w:sz w:val="20"/>
                <w:szCs w:val="20"/>
              </w:rPr>
            </w:pPr>
            <w:r w:rsidRPr="008262B9">
              <w:rPr>
                <w:rFonts w:ascii="Bookman Old Style" w:hAnsi="Bookman Old Style"/>
                <w:sz w:val="20"/>
                <w:szCs w:val="20"/>
              </w:rPr>
              <w:t>Pendanaan</w:t>
            </w:r>
            <w:r w:rsidRPr="008262B9">
              <w:rPr>
                <w:rFonts w:ascii="Bookman Old Style" w:hAnsi="Bookman Old Style"/>
                <w:spacing w:val="-6"/>
                <w:sz w:val="20"/>
                <w:szCs w:val="20"/>
              </w:rPr>
              <w:t xml:space="preserve"> </w:t>
            </w:r>
            <w:r w:rsidRPr="008262B9">
              <w:rPr>
                <w:rFonts w:ascii="Bookman Old Style" w:hAnsi="Bookman Old Style"/>
                <w:sz w:val="20"/>
                <w:szCs w:val="20"/>
              </w:rPr>
              <w:t>kurang</w:t>
            </w:r>
          </w:p>
          <w:p w14:paraId="62DF9725"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stabil</w:t>
            </w:r>
          </w:p>
        </w:tc>
        <w:tc>
          <w:tcPr>
            <w:tcW w:w="1134" w:type="dxa"/>
          </w:tcPr>
          <w:p w14:paraId="36B64873" w14:textId="77777777" w:rsidR="009A4BC4" w:rsidRPr="008262B9" w:rsidRDefault="009A4BC4" w:rsidP="001359AD">
            <w:pPr>
              <w:pStyle w:val="TableParagraph"/>
              <w:rPr>
                <w:rFonts w:ascii="Bookman Old Style" w:hAnsi="Bookman Old Style"/>
                <w:sz w:val="20"/>
                <w:szCs w:val="20"/>
              </w:rPr>
            </w:pPr>
          </w:p>
        </w:tc>
        <w:tc>
          <w:tcPr>
            <w:tcW w:w="992" w:type="dxa"/>
          </w:tcPr>
          <w:p w14:paraId="0A062DBC" w14:textId="77777777" w:rsidR="009A4BC4" w:rsidRPr="008262B9" w:rsidRDefault="009A4BC4" w:rsidP="001359AD">
            <w:pPr>
              <w:pStyle w:val="TableParagraph"/>
              <w:rPr>
                <w:rFonts w:ascii="Bookman Old Style" w:hAnsi="Bookman Old Style"/>
                <w:sz w:val="20"/>
                <w:szCs w:val="20"/>
              </w:rPr>
            </w:pPr>
          </w:p>
        </w:tc>
        <w:tc>
          <w:tcPr>
            <w:tcW w:w="1103" w:type="dxa"/>
          </w:tcPr>
          <w:p w14:paraId="2A15437D" w14:textId="77777777" w:rsidR="009A4BC4" w:rsidRPr="008262B9" w:rsidRDefault="009A4BC4" w:rsidP="001359AD">
            <w:pPr>
              <w:pStyle w:val="TableParagraph"/>
              <w:rPr>
                <w:rFonts w:ascii="Bookman Old Style" w:hAnsi="Bookman Old Style"/>
                <w:sz w:val="20"/>
                <w:szCs w:val="20"/>
              </w:rPr>
            </w:pPr>
          </w:p>
        </w:tc>
        <w:tc>
          <w:tcPr>
            <w:tcW w:w="881" w:type="dxa"/>
          </w:tcPr>
          <w:p w14:paraId="0CCAE31D" w14:textId="77777777" w:rsidR="009A4BC4" w:rsidRPr="008262B9" w:rsidRDefault="009A4BC4" w:rsidP="001359AD">
            <w:pPr>
              <w:pStyle w:val="TableParagraph"/>
              <w:rPr>
                <w:rFonts w:ascii="Bookman Old Style" w:hAnsi="Bookman Old Style"/>
                <w:sz w:val="20"/>
                <w:szCs w:val="20"/>
              </w:rPr>
            </w:pPr>
          </w:p>
        </w:tc>
        <w:tc>
          <w:tcPr>
            <w:tcW w:w="1186" w:type="dxa"/>
          </w:tcPr>
          <w:p w14:paraId="5E7774B3" w14:textId="77777777" w:rsidR="009A4BC4" w:rsidRPr="008262B9" w:rsidRDefault="009A4BC4" w:rsidP="001359AD">
            <w:pPr>
              <w:pStyle w:val="TableParagraph"/>
              <w:rPr>
                <w:rFonts w:ascii="Bookman Old Style" w:hAnsi="Bookman Old Style"/>
                <w:sz w:val="20"/>
                <w:szCs w:val="20"/>
              </w:rPr>
            </w:pPr>
          </w:p>
        </w:tc>
        <w:tc>
          <w:tcPr>
            <w:tcW w:w="1082" w:type="dxa"/>
            <w:gridSpan w:val="2"/>
          </w:tcPr>
          <w:p w14:paraId="27C4D477" w14:textId="77777777" w:rsidR="009A4BC4" w:rsidRPr="008262B9" w:rsidRDefault="009A4BC4" w:rsidP="001359AD">
            <w:pPr>
              <w:pStyle w:val="TableParagraph"/>
              <w:rPr>
                <w:rFonts w:ascii="Bookman Old Style" w:hAnsi="Bookman Old Style"/>
                <w:sz w:val="20"/>
                <w:szCs w:val="20"/>
              </w:rPr>
            </w:pPr>
          </w:p>
        </w:tc>
        <w:tc>
          <w:tcPr>
            <w:tcW w:w="993" w:type="dxa"/>
          </w:tcPr>
          <w:p w14:paraId="4517A01D" w14:textId="77777777" w:rsidR="009A4BC4" w:rsidRPr="008262B9" w:rsidRDefault="009A4BC4" w:rsidP="001359AD">
            <w:pPr>
              <w:pStyle w:val="TableParagraph"/>
              <w:rPr>
                <w:rFonts w:ascii="Bookman Old Style" w:hAnsi="Bookman Old Style"/>
                <w:sz w:val="20"/>
                <w:szCs w:val="20"/>
              </w:rPr>
            </w:pPr>
          </w:p>
        </w:tc>
        <w:tc>
          <w:tcPr>
            <w:tcW w:w="1080" w:type="dxa"/>
          </w:tcPr>
          <w:p w14:paraId="36664BEE" w14:textId="77777777" w:rsidR="009A4BC4" w:rsidRPr="008262B9" w:rsidRDefault="009A4BC4" w:rsidP="001359AD">
            <w:pPr>
              <w:pStyle w:val="TableParagraph"/>
              <w:rPr>
                <w:rFonts w:ascii="Bookman Old Style" w:hAnsi="Bookman Old Style"/>
                <w:sz w:val="20"/>
                <w:szCs w:val="20"/>
              </w:rPr>
            </w:pPr>
          </w:p>
        </w:tc>
        <w:tc>
          <w:tcPr>
            <w:tcW w:w="904" w:type="dxa"/>
          </w:tcPr>
          <w:p w14:paraId="0D7BC9AC" w14:textId="77777777" w:rsidR="009A4BC4" w:rsidRPr="008262B9" w:rsidRDefault="009A4BC4" w:rsidP="001359AD">
            <w:pPr>
              <w:pStyle w:val="TableParagraph"/>
              <w:rPr>
                <w:rFonts w:ascii="Bookman Old Style" w:hAnsi="Bookman Old Style"/>
                <w:sz w:val="20"/>
                <w:szCs w:val="20"/>
              </w:rPr>
            </w:pPr>
          </w:p>
        </w:tc>
        <w:tc>
          <w:tcPr>
            <w:tcW w:w="1263" w:type="dxa"/>
          </w:tcPr>
          <w:p w14:paraId="60F487A6" w14:textId="77777777" w:rsidR="009A4BC4" w:rsidRPr="008262B9" w:rsidRDefault="009A4BC4" w:rsidP="001359AD">
            <w:pPr>
              <w:pStyle w:val="TableParagraph"/>
              <w:rPr>
                <w:rFonts w:ascii="Bookman Old Style" w:hAnsi="Bookman Old Style"/>
                <w:sz w:val="20"/>
                <w:szCs w:val="20"/>
              </w:rPr>
            </w:pPr>
          </w:p>
        </w:tc>
        <w:tc>
          <w:tcPr>
            <w:tcW w:w="1385" w:type="dxa"/>
            <w:gridSpan w:val="2"/>
          </w:tcPr>
          <w:p w14:paraId="2004E60A"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2.2</w:t>
            </w:r>
          </w:p>
          <w:p w14:paraId="76F9D556"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3.2</w:t>
            </w:r>
          </w:p>
        </w:tc>
      </w:tr>
      <w:tr w:rsidR="009A4BC4" w:rsidRPr="008262B9" w14:paraId="5F6148F2" w14:textId="77777777" w:rsidTr="008262B9">
        <w:trPr>
          <w:trHeight w:val="614"/>
        </w:trPr>
        <w:tc>
          <w:tcPr>
            <w:tcW w:w="557" w:type="dxa"/>
            <w:shd w:val="clear" w:color="auto" w:fill="auto"/>
            <w:vAlign w:val="center"/>
          </w:tcPr>
          <w:p w14:paraId="11A68657" w14:textId="77777777" w:rsidR="009A4BC4" w:rsidRPr="008262B9" w:rsidRDefault="009A4BC4" w:rsidP="001359AD">
            <w:pPr>
              <w:pStyle w:val="TableParagraph"/>
              <w:spacing w:line="217" w:lineRule="exact"/>
              <w:ind w:left="166"/>
              <w:rPr>
                <w:rFonts w:ascii="Bookman Old Style" w:hAnsi="Bookman Old Style"/>
                <w:w w:val="99"/>
                <w:sz w:val="20"/>
                <w:szCs w:val="20"/>
              </w:rPr>
            </w:pPr>
            <w:r w:rsidRPr="008262B9">
              <w:rPr>
                <w:rFonts w:ascii="Bookman Old Style" w:hAnsi="Bookman Old Style"/>
                <w:w w:val="99"/>
                <w:sz w:val="20"/>
                <w:szCs w:val="20"/>
              </w:rPr>
              <w:t>7</w:t>
            </w:r>
          </w:p>
        </w:tc>
        <w:tc>
          <w:tcPr>
            <w:tcW w:w="4285" w:type="dxa"/>
            <w:shd w:val="clear" w:color="auto" w:fill="auto"/>
            <w:vAlign w:val="center"/>
          </w:tcPr>
          <w:p w14:paraId="3C7C77E5"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Pendanaan kurang stabil dari nasabah DCR tanpa perataan bagi hasil</w:t>
            </w:r>
          </w:p>
        </w:tc>
        <w:tc>
          <w:tcPr>
            <w:tcW w:w="1134" w:type="dxa"/>
            <w:shd w:val="clear" w:color="auto" w:fill="auto"/>
          </w:tcPr>
          <w:p w14:paraId="0E106030"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auto"/>
          </w:tcPr>
          <w:p w14:paraId="2546DCAB"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auto"/>
          </w:tcPr>
          <w:p w14:paraId="2A8C4DAF"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auto"/>
          </w:tcPr>
          <w:p w14:paraId="638D09F0"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auto"/>
          </w:tcPr>
          <w:p w14:paraId="34C33473"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auto"/>
          </w:tcPr>
          <w:p w14:paraId="3FBFE7B5"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auto"/>
          </w:tcPr>
          <w:p w14:paraId="4028F2FB"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auto"/>
          </w:tcPr>
          <w:p w14:paraId="7DFE540E"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auto"/>
          </w:tcPr>
          <w:p w14:paraId="20EBAB3A"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auto"/>
          </w:tcPr>
          <w:p w14:paraId="0C149994"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auto"/>
          </w:tcPr>
          <w:p w14:paraId="0D547D83"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2.3</w:t>
            </w:r>
          </w:p>
          <w:p w14:paraId="7D5FCDA6"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3.3</w:t>
            </w:r>
          </w:p>
        </w:tc>
      </w:tr>
      <w:tr w:rsidR="009A4BC4" w:rsidRPr="008262B9" w14:paraId="1C9E0E4F" w14:textId="77777777" w:rsidTr="008262B9">
        <w:trPr>
          <w:trHeight w:val="581"/>
        </w:trPr>
        <w:tc>
          <w:tcPr>
            <w:tcW w:w="557" w:type="dxa"/>
            <w:shd w:val="clear" w:color="auto" w:fill="BFBFBF" w:themeFill="background1" w:themeFillShade="BF"/>
            <w:vAlign w:val="center"/>
          </w:tcPr>
          <w:p w14:paraId="32385EA1" w14:textId="77777777" w:rsidR="009A4BC4" w:rsidRPr="008262B9" w:rsidRDefault="009A4BC4" w:rsidP="001359AD">
            <w:pPr>
              <w:pStyle w:val="TableParagraph"/>
              <w:spacing w:line="217" w:lineRule="exact"/>
              <w:ind w:left="166"/>
              <w:rPr>
                <w:rFonts w:ascii="Bookman Old Style" w:hAnsi="Bookman Old Style"/>
                <w:w w:val="99"/>
                <w:sz w:val="20"/>
                <w:szCs w:val="20"/>
                <w:lang w:val="en-US"/>
              </w:rPr>
            </w:pPr>
            <w:r w:rsidRPr="008262B9">
              <w:rPr>
                <w:rFonts w:ascii="Bookman Old Style" w:hAnsi="Bookman Old Style"/>
                <w:w w:val="99"/>
                <w:sz w:val="20"/>
                <w:szCs w:val="20"/>
                <w:lang w:val="en-US"/>
              </w:rPr>
              <w:t>8</w:t>
            </w:r>
          </w:p>
        </w:tc>
        <w:tc>
          <w:tcPr>
            <w:tcW w:w="4285" w:type="dxa"/>
            <w:shd w:val="clear" w:color="auto" w:fill="BFBFBF" w:themeFill="background1" w:themeFillShade="BF"/>
            <w:vAlign w:val="center"/>
          </w:tcPr>
          <w:p w14:paraId="379323DA" w14:textId="77777777" w:rsidR="009A4BC4" w:rsidRPr="008262B9" w:rsidRDefault="009A4BC4" w:rsidP="001359AD">
            <w:pPr>
              <w:pStyle w:val="TableParagraph"/>
              <w:spacing w:line="233" w:lineRule="exact"/>
              <w:ind w:left="107"/>
              <w:rPr>
                <w:rFonts w:ascii="Bookman Old Style" w:hAnsi="Bookman Old Style"/>
                <w:sz w:val="20"/>
                <w:szCs w:val="20"/>
              </w:rPr>
            </w:pPr>
            <w:r w:rsidRPr="008262B9">
              <w:rPr>
                <w:rFonts w:ascii="Bookman Old Style" w:hAnsi="Bookman Old Style"/>
                <w:sz w:val="20"/>
                <w:szCs w:val="20"/>
              </w:rPr>
              <w:t>Pendanaan</w:t>
            </w:r>
            <w:r w:rsidRPr="008262B9">
              <w:rPr>
                <w:rFonts w:ascii="Bookman Old Style" w:hAnsi="Bookman Old Style"/>
                <w:spacing w:val="-6"/>
                <w:sz w:val="20"/>
                <w:szCs w:val="20"/>
              </w:rPr>
              <w:t xml:space="preserve"> </w:t>
            </w:r>
            <w:r w:rsidRPr="008262B9">
              <w:rPr>
                <w:rFonts w:ascii="Bookman Old Style" w:hAnsi="Bookman Old Style"/>
                <w:sz w:val="20"/>
                <w:szCs w:val="20"/>
              </w:rPr>
              <w:t>yang</w:t>
            </w:r>
            <w:r w:rsidRPr="008262B9">
              <w:rPr>
                <w:rFonts w:ascii="Bookman Old Style" w:hAnsi="Bookman Old Style"/>
                <w:spacing w:val="-6"/>
                <w:sz w:val="20"/>
                <w:szCs w:val="20"/>
              </w:rPr>
              <w:t xml:space="preserve"> </w:t>
            </w:r>
            <w:r w:rsidRPr="008262B9">
              <w:rPr>
                <w:rFonts w:ascii="Bookman Old Style" w:hAnsi="Bookman Old Style"/>
                <w:sz w:val="20"/>
                <w:szCs w:val="20"/>
              </w:rPr>
              <w:t>berasal</w:t>
            </w:r>
            <w:r w:rsidRPr="008262B9">
              <w:rPr>
                <w:rFonts w:ascii="Bookman Old Style" w:hAnsi="Bookman Old Style"/>
                <w:spacing w:val="-3"/>
                <w:sz w:val="20"/>
                <w:szCs w:val="20"/>
              </w:rPr>
              <w:t xml:space="preserve"> </w:t>
            </w:r>
            <w:r w:rsidRPr="008262B9">
              <w:rPr>
                <w:rFonts w:ascii="Bookman Old Style" w:hAnsi="Bookman Old Style"/>
                <w:sz w:val="20"/>
                <w:szCs w:val="20"/>
              </w:rPr>
              <w:t>dari</w:t>
            </w:r>
            <w:r w:rsidRPr="008262B9">
              <w:rPr>
                <w:rFonts w:ascii="Bookman Old Style" w:hAnsi="Bookman Old Style"/>
                <w:spacing w:val="-5"/>
                <w:sz w:val="20"/>
                <w:szCs w:val="20"/>
              </w:rPr>
              <w:t xml:space="preserve"> </w:t>
            </w:r>
            <w:r w:rsidRPr="008262B9">
              <w:rPr>
                <w:rFonts w:ascii="Bookman Old Style" w:hAnsi="Bookman Old Style"/>
                <w:sz w:val="20"/>
                <w:szCs w:val="20"/>
              </w:rPr>
              <w:t>nasabah</w:t>
            </w:r>
            <w:r w:rsidRPr="008262B9">
              <w:rPr>
                <w:rFonts w:ascii="Bookman Old Style" w:hAnsi="Bookman Old Style"/>
                <w:sz w:val="20"/>
                <w:szCs w:val="20"/>
                <w:lang w:val="en-US"/>
              </w:rPr>
              <w:t xml:space="preserve"> </w:t>
            </w:r>
            <w:r w:rsidRPr="008262B9">
              <w:rPr>
                <w:rFonts w:ascii="Bookman Old Style" w:hAnsi="Bookman Old Style"/>
                <w:sz w:val="20"/>
                <w:szCs w:val="20"/>
              </w:rPr>
              <w:t>korporasi:</w:t>
            </w:r>
          </w:p>
        </w:tc>
        <w:tc>
          <w:tcPr>
            <w:tcW w:w="1134" w:type="dxa"/>
            <w:shd w:val="clear" w:color="auto" w:fill="BFBFBF" w:themeFill="background1" w:themeFillShade="BF"/>
          </w:tcPr>
          <w:p w14:paraId="22D3221C"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BFBFBF" w:themeFill="background1" w:themeFillShade="BF"/>
          </w:tcPr>
          <w:p w14:paraId="18D063B1"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BFBFBF" w:themeFill="background1" w:themeFillShade="BF"/>
          </w:tcPr>
          <w:p w14:paraId="0D8D36C6"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BFBFBF" w:themeFill="background1" w:themeFillShade="BF"/>
          </w:tcPr>
          <w:p w14:paraId="7D7B099E"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BFBFBF" w:themeFill="background1" w:themeFillShade="BF"/>
          </w:tcPr>
          <w:p w14:paraId="742CDB5F"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BFBFBF" w:themeFill="background1" w:themeFillShade="BF"/>
          </w:tcPr>
          <w:p w14:paraId="77E8B7C8"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BFBFBF" w:themeFill="background1" w:themeFillShade="BF"/>
          </w:tcPr>
          <w:p w14:paraId="35DF5FA1"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BFBFBF" w:themeFill="background1" w:themeFillShade="BF"/>
          </w:tcPr>
          <w:p w14:paraId="55647396"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BFBFBF" w:themeFill="background1" w:themeFillShade="BF"/>
          </w:tcPr>
          <w:p w14:paraId="09B32201"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BFBFBF" w:themeFill="background1" w:themeFillShade="BF"/>
          </w:tcPr>
          <w:p w14:paraId="382C320B"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BFBFBF" w:themeFill="background1" w:themeFillShade="BF"/>
          </w:tcPr>
          <w:p w14:paraId="128893E2"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w w:val="99"/>
                <w:sz w:val="20"/>
                <w:szCs w:val="20"/>
              </w:rPr>
              <w:t>4</w:t>
            </w:r>
          </w:p>
        </w:tc>
      </w:tr>
      <w:tr w:rsidR="009A4BC4" w:rsidRPr="008262B9" w14:paraId="3AE17E44" w14:textId="77777777" w:rsidTr="008262B9">
        <w:trPr>
          <w:trHeight w:val="237"/>
        </w:trPr>
        <w:tc>
          <w:tcPr>
            <w:tcW w:w="557" w:type="dxa"/>
            <w:shd w:val="clear" w:color="auto" w:fill="auto"/>
            <w:vAlign w:val="center"/>
          </w:tcPr>
          <w:p w14:paraId="7697B1EE" w14:textId="77777777" w:rsidR="009A4BC4" w:rsidRPr="008262B9" w:rsidRDefault="009A4BC4" w:rsidP="001359AD">
            <w:pPr>
              <w:pStyle w:val="TableParagraph"/>
              <w:spacing w:line="217" w:lineRule="exact"/>
              <w:ind w:left="166"/>
              <w:rPr>
                <w:rFonts w:ascii="Bookman Old Style" w:hAnsi="Bookman Old Style"/>
                <w:w w:val="99"/>
                <w:sz w:val="20"/>
                <w:szCs w:val="20"/>
                <w:lang w:val="en-US"/>
              </w:rPr>
            </w:pPr>
            <w:r w:rsidRPr="008262B9">
              <w:rPr>
                <w:rFonts w:ascii="Bookman Old Style" w:hAnsi="Bookman Old Style"/>
                <w:w w:val="99"/>
                <w:sz w:val="20"/>
                <w:szCs w:val="20"/>
                <w:lang w:val="en-US"/>
              </w:rPr>
              <w:t>9</w:t>
            </w:r>
          </w:p>
        </w:tc>
        <w:tc>
          <w:tcPr>
            <w:tcW w:w="4285" w:type="dxa"/>
            <w:shd w:val="clear" w:color="auto" w:fill="auto"/>
            <w:vAlign w:val="center"/>
          </w:tcPr>
          <w:p w14:paraId="3491F15F"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Rekening</w:t>
            </w:r>
            <w:r w:rsidRPr="008262B9">
              <w:rPr>
                <w:rFonts w:ascii="Bookman Old Style" w:hAnsi="Bookman Old Style"/>
                <w:spacing w:val="-10"/>
                <w:sz w:val="20"/>
                <w:szCs w:val="20"/>
              </w:rPr>
              <w:t xml:space="preserve"> </w:t>
            </w:r>
            <w:r w:rsidRPr="008262B9">
              <w:rPr>
                <w:rFonts w:ascii="Bookman Old Style" w:hAnsi="Bookman Old Style"/>
                <w:sz w:val="20"/>
                <w:szCs w:val="20"/>
              </w:rPr>
              <w:t>operasional</w:t>
            </w:r>
          </w:p>
        </w:tc>
        <w:tc>
          <w:tcPr>
            <w:tcW w:w="1134" w:type="dxa"/>
            <w:shd w:val="clear" w:color="auto" w:fill="auto"/>
          </w:tcPr>
          <w:p w14:paraId="5DE5915E"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auto"/>
          </w:tcPr>
          <w:p w14:paraId="4B06A468"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auto"/>
          </w:tcPr>
          <w:p w14:paraId="58DDFAC7"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auto"/>
          </w:tcPr>
          <w:p w14:paraId="56EA8BB1"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auto"/>
          </w:tcPr>
          <w:p w14:paraId="7EFDF89D"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auto"/>
          </w:tcPr>
          <w:p w14:paraId="70378DC7"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auto"/>
          </w:tcPr>
          <w:p w14:paraId="1E46F71E"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auto"/>
          </w:tcPr>
          <w:p w14:paraId="2382FC10"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auto"/>
          </w:tcPr>
          <w:p w14:paraId="730CB432"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auto"/>
          </w:tcPr>
          <w:p w14:paraId="4969DFD2"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auto"/>
          </w:tcPr>
          <w:p w14:paraId="7DBC464A"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4.1</w:t>
            </w:r>
          </w:p>
        </w:tc>
      </w:tr>
      <w:tr w:rsidR="009A4BC4" w:rsidRPr="008262B9" w14:paraId="091F720C" w14:textId="77777777" w:rsidTr="008262B9">
        <w:trPr>
          <w:trHeight w:val="510"/>
        </w:trPr>
        <w:tc>
          <w:tcPr>
            <w:tcW w:w="557" w:type="dxa"/>
            <w:shd w:val="clear" w:color="auto" w:fill="auto"/>
            <w:vAlign w:val="center"/>
          </w:tcPr>
          <w:p w14:paraId="77B5DA6E" w14:textId="77777777" w:rsidR="009A4BC4" w:rsidRPr="008262B9" w:rsidRDefault="009A4BC4" w:rsidP="001359AD">
            <w:pPr>
              <w:pStyle w:val="TableParagraph"/>
              <w:spacing w:line="217" w:lineRule="exact"/>
              <w:ind w:left="166"/>
              <w:rPr>
                <w:rFonts w:ascii="Bookman Old Style" w:hAnsi="Bookman Old Style"/>
                <w:w w:val="99"/>
                <w:sz w:val="20"/>
                <w:szCs w:val="20"/>
                <w:lang w:val="en-US"/>
              </w:rPr>
            </w:pPr>
            <w:r w:rsidRPr="008262B9">
              <w:rPr>
                <w:rFonts w:ascii="Bookman Old Style" w:hAnsi="Bookman Old Style"/>
                <w:w w:val="99"/>
                <w:sz w:val="20"/>
                <w:szCs w:val="20"/>
                <w:lang w:val="en-US"/>
              </w:rPr>
              <w:t>10</w:t>
            </w:r>
          </w:p>
        </w:tc>
        <w:tc>
          <w:tcPr>
            <w:tcW w:w="4285" w:type="dxa"/>
            <w:shd w:val="clear" w:color="auto" w:fill="auto"/>
            <w:vAlign w:val="center"/>
          </w:tcPr>
          <w:p w14:paraId="1689A51A" w14:textId="77777777" w:rsidR="009A4BC4" w:rsidRPr="008262B9" w:rsidRDefault="009A4BC4" w:rsidP="001359AD">
            <w:pPr>
              <w:pStyle w:val="TableParagraph"/>
              <w:spacing w:line="233" w:lineRule="exact"/>
              <w:ind w:left="525"/>
              <w:rPr>
                <w:rFonts w:ascii="Bookman Old Style" w:hAnsi="Bookman Old Style"/>
                <w:sz w:val="20"/>
                <w:szCs w:val="20"/>
              </w:rPr>
            </w:pPr>
            <w:r w:rsidRPr="008262B9">
              <w:rPr>
                <w:rFonts w:ascii="Bookman Old Style" w:hAnsi="Bookman Old Style"/>
                <w:sz w:val="20"/>
                <w:szCs w:val="20"/>
              </w:rPr>
              <w:t>Rekening</w:t>
            </w:r>
            <w:r w:rsidRPr="008262B9">
              <w:rPr>
                <w:rFonts w:ascii="Bookman Old Style" w:hAnsi="Bookman Old Style"/>
                <w:spacing w:val="-6"/>
                <w:sz w:val="20"/>
                <w:szCs w:val="20"/>
              </w:rPr>
              <w:t xml:space="preserve"> </w:t>
            </w:r>
            <w:r w:rsidRPr="008262B9">
              <w:rPr>
                <w:rFonts w:ascii="Bookman Old Style" w:hAnsi="Bookman Old Style"/>
                <w:sz w:val="20"/>
                <w:szCs w:val="20"/>
              </w:rPr>
              <w:t>lainnya</w:t>
            </w:r>
            <w:r w:rsidRPr="008262B9">
              <w:rPr>
                <w:rFonts w:ascii="Bookman Old Style" w:hAnsi="Bookman Old Style"/>
                <w:spacing w:val="-6"/>
                <w:sz w:val="20"/>
                <w:szCs w:val="20"/>
              </w:rPr>
              <w:t xml:space="preserve"> </w:t>
            </w:r>
            <w:r w:rsidRPr="008262B9">
              <w:rPr>
                <w:rFonts w:ascii="Bookman Old Style" w:hAnsi="Bookman Old Style"/>
                <w:sz w:val="20"/>
                <w:szCs w:val="20"/>
              </w:rPr>
              <w:t>yang</w:t>
            </w:r>
            <w:r w:rsidRPr="008262B9">
              <w:rPr>
                <w:rFonts w:ascii="Bookman Old Style" w:hAnsi="Bookman Old Style"/>
                <w:spacing w:val="-3"/>
                <w:sz w:val="20"/>
                <w:szCs w:val="20"/>
              </w:rPr>
              <w:t xml:space="preserve"> </w:t>
            </w:r>
            <w:r w:rsidRPr="008262B9">
              <w:rPr>
                <w:rFonts w:ascii="Bookman Old Style" w:hAnsi="Bookman Old Style"/>
                <w:sz w:val="20"/>
                <w:szCs w:val="20"/>
              </w:rPr>
              <w:t>berasal</w:t>
            </w:r>
            <w:r w:rsidRPr="008262B9">
              <w:rPr>
                <w:rFonts w:ascii="Bookman Old Style" w:hAnsi="Bookman Old Style"/>
                <w:sz w:val="20"/>
                <w:szCs w:val="20"/>
                <w:lang w:val="en-US"/>
              </w:rPr>
              <w:t xml:space="preserve"> </w:t>
            </w:r>
            <w:r w:rsidRPr="008262B9">
              <w:rPr>
                <w:rFonts w:ascii="Bookman Old Style" w:hAnsi="Bookman Old Style"/>
                <w:sz w:val="20"/>
                <w:szCs w:val="20"/>
              </w:rPr>
              <w:t>dari</w:t>
            </w:r>
            <w:r w:rsidRPr="008262B9">
              <w:rPr>
                <w:rFonts w:ascii="Bookman Old Style" w:hAnsi="Bookman Old Style"/>
                <w:spacing w:val="-6"/>
                <w:sz w:val="20"/>
                <w:szCs w:val="20"/>
              </w:rPr>
              <w:t xml:space="preserve"> </w:t>
            </w:r>
            <w:r w:rsidRPr="008262B9">
              <w:rPr>
                <w:rFonts w:ascii="Bookman Old Style" w:hAnsi="Bookman Old Style"/>
                <w:sz w:val="20"/>
                <w:szCs w:val="20"/>
              </w:rPr>
              <w:t>nasabah</w:t>
            </w:r>
            <w:r w:rsidRPr="008262B9">
              <w:rPr>
                <w:rFonts w:ascii="Bookman Old Style" w:hAnsi="Bookman Old Style"/>
                <w:spacing w:val="-4"/>
                <w:sz w:val="20"/>
                <w:szCs w:val="20"/>
              </w:rPr>
              <w:t xml:space="preserve"> </w:t>
            </w:r>
            <w:r w:rsidRPr="008262B9">
              <w:rPr>
                <w:rFonts w:ascii="Bookman Old Style" w:hAnsi="Bookman Old Style"/>
                <w:sz w:val="20"/>
                <w:szCs w:val="20"/>
              </w:rPr>
              <w:t>korporasi</w:t>
            </w:r>
          </w:p>
        </w:tc>
        <w:tc>
          <w:tcPr>
            <w:tcW w:w="1134" w:type="dxa"/>
            <w:shd w:val="clear" w:color="auto" w:fill="auto"/>
          </w:tcPr>
          <w:p w14:paraId="398F82BB"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auto"/>
          </w:tcPr>
          <w:p w14:paraId="519700D2"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auto"/>
          </w:tcPr>
          <w:p w14:paraId="29075DAB"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auto"/>
          </w:tcPr>
          <w:p w14:paraId="1AA139BF"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auto"/>
          </w:tcPr>
          <w:p w14:paraId="363118F2"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auto"/>
          </w:tcPr>
          <w:p w14:paraId="1496DD79"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auto"/>
          </w:tcPr>
          <w:p w14:paraId="7ABB3176"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auto"/>
          </w:tcPr>
          <w:p w14:paraId="7A657925"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auto"/>
          </w:tcPr>
          <w:p w14:paraId="21E57542"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auto"/>
          </w:tcPr>
          <w:p w14:paraId="7AD01F58"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auto"/>
          </w:tcPr>
          <w:p w14:paraId="1D4F5FEB"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4.2</w:t>
            </w:r>
          </w:p>
        </w:tc>
      </w:tr>
      <w:tr w:rsidR="009A4BC4" w:rsidRPr="008262B9" w14:paraId="2D7F5B2A" w14:textId="77777777" w:rsidTr="008262B9">
        <w:trPr>
          <w:trHeight w:val="237"/>
        </w:trPr>
        <w:tc>
          <w:tcPr>
            <w:tcW w:w="557" w:type="dxa"/>
            <w:shd w:val="clear" w:color="auto" w:fill="BFBFBF" w:themeFill="background1" w:themeFillShade="BF"/>
            <w:vAlign w:val="center"/>
          </w:tcPr>
          <w:p w14:paraId="1666E844" w14:textId="77777777" w:rsidR="009A4BC4" w:rsidRPr="008262B9" w:rsidRDefault="009A4BC4" w:rsidP="001359AD">
            <w:pPr>
              <w:pStyle w:val="TableParagraph"/>
              <w:spacing w:line="217" w:lineRule="exact"/>
              <w:ind w:left="166"/>
              <w:rPr>
                <w:rFonts w:ascii="Bookman Old Style" w:hAnsi="Bookman Old Style"/>
                <w:w w:val="99"/>
                <w:sz w:val="20"/>
                <w:szCs w:val="20"/>
                <w:lang w:val="en-US"/>
              </w:rPr>
            </w:pPr>
            <w:r w:rsidRPr="008262B9">
              <w:rPr>
                <w:rFonts w:ascii="Bookman Old Style" w:hAnsi="Bookman Old Style"/>
                <w:w w:val="99"/>
                <w:sz w:val="20"/>
                <w:szCs w:val="20"/>
                <w:lang w:val="en-US"/>
              </w:rPr>
              <w:t>11</w:t>
            </w:r>
          </w:p>
        </w:tc>
        <w:tc>
          <w:tcPr>
            <w:tcW w:w="4285" w:type="dxa"/>
            <w:shd w:val="clear" w:color="auto" w:fill="BFBFBF" w:themeFill="background1" w:themeFillShade="BF"/>
            <w:vAlign w:val="center"/>
          </w:tcPr>
          <w:p w14:paraId="04E92B22"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Liabilitas</w:t>
            </w:r>
            <w:r w:rsidRPr="008262B9">
              <w:rPr>
                <w:rFonts w:ascii="Bookman Old Style" w:hAnsi="Bookman Old Style"/>
                <w:spacing w:val="-7"/>
                <w:sz w:val="20"/>
                <w:szCs w:val="20"/>
              </w:rPr>
              <w:t xml:space="preserve"> </w:t>
            </w:r>
            <w:r w:rsidRPr="008262B9">
              <w:rPr>
                <w:rFonts w:ascii="Bookman Old Style" w:hAnsi="Bookman Old Style"/>
                <w:sz w:val="20"/>
                <w:szCs w:val="20"/>
              </w:rPr>
              <w:t>yang</w:t>
            </w:r>
            <w:r w:rsidRPr="008262B9">
              <w:rPr>
                <w:rFonts w:ascii="Bookman Old Style" w:hAnsi="Bookman Old Style"/>
                <w:spacing w:val="-5"/>
                <w:sz w:val="20"/>
                <w:szCs w:val="20"/>
              </w:rPr>
              <w:t xml:space="preserve"> </w:t>
            </w:r>
            <w:r w:rsidRPr="008262B9">
              <w:rPr>
                <w:rFonts w:ascii="Bookman Old Style" w:hAnsi="Bookman Old Style"/>
                <w:sz w:val="20"/>
                <w:szCs w:val="20"/>
              </w:rPr>
              <w:t>memiliki</w:t>
            </w:r>
            <w:r w:rsidRPr="008262B9">
              <w:rPr>
                <w:rFonts w:ascii="Bookman Old Style" w:hAnsi="Bookman Old Style"/>
                <w:spacing w:val="-4"/>
                <w:sz w:val="20"/>
                <w:szCs w:val="20"/>
              </w:rPr>
              <w:t xml:space="preserve"> </w:t>
            </w:r>
            <w:r w:rsidRPr="008262B9">
              <w:rPr>
                <w:rFonts w:ascii="Bookman Old Style" w:hAnsi="Bookman Old Style"/>
                <w:sz w:val="20"/>
                <w:szCs w:val="20"/>
              </w:rPr>
              <w:t>pasangan</w:t>
            </w:r>
            <w:r w:rsidRPr="008262B9">
              <w:rPr>
                <w:rFonts w:ascii="Bookman Old Style" w:hAnsi="Bookman Old Style"/>
                <w:spacing w:val="-5"/>
                <w:sz w:val="20"/>
                <w:szCs w:val="20"/>
              </w:rPr>
              <w:t xml:space="preserve"> </w:t>
            </w:r>
            <w:r w:rsidRPr="008262B9">
              <w:rPr>
                <w:rFonts w:ascii="Bookman Old Style" w:hAnsi="Bookman Old Style"/>
                <w:sz w:val="20"/>
                <w:szCs w:val="20"/>
              </w:rPr>
              <w:t>aset</w:t>
            </w:r>
            <w:r w:rsidRPr="008262B9">
              <w:rPr>
                <w:rFonts w:ascii="Bookman Old Style" w:hAnsi="Bookman Old Style"/>
                <w:spacing w:val="-61"/>
                <w:sz w:val="20"/>
                <w:szCs w:val="20"/>
              </w:rPr>
              <w:t xml:space="preserve"> </w:t>
            </w:r>
            <w:r w:rsidRPr="008262B9">
              <w:rPr>
                <w:rFonts w:ascii="Bookman Old Style" w:hAnsi="Bookman Old Style"/>
                <w:sz w:val="20"/>
                <w:szCs w:val="20"/>
              </w:rPr>
              <w:t>yang</w:t>
            </w:r>
            <w:r w:rsidRPr="008262B9">
              <w:rPr>
                <w:rFonts w:ascii="Bookman Old Style" w:hAnsi="Bookman Old Style"/>
                <w:spacing w:val="-1"/>
                <w:sz w:val="20"/>
                <w:szCs w:val="20"/>
              </w:rPr>
              <w:t xml:space="preserve"> </w:t>
            </w:r>
            <w:r w:rsidRPr="008262B9">
              <w:rPr>
                <w:rFonts w:ascii="Bookman Old Style" w:hAnsi="Bookman Old Style"/>
                <w:sz w:val="20"/>
                <w:szCs w:val="20"/>
              </w:rPr>
              <w:t>saling bergantung</w:t>
            </w:r>
          </w:p>
        </w:tc>
        <w:tc>
          <w:tcPr>
            <w:tcW w:w="1134" w:type="dxa"/>
            <w:shd w:val="clear" w:color="auto" w:fill="BFBFBF" w:themeFill="background1" w:themeFillShade="BF"/>
          </w:tcPr>
          <w:p w14:paraId="00287433"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BFBFBF" w:themeFill="background1" w:themeFillShade="BF"/>
          </w:tcPr>
          <w:p w14:paraId="2AFE6886"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BFBFBF" w:themeFill="background1" w:themeFillShade="BF"/>
          </w:tcPr>
          <w:p w14:paraId="7CFCA5A8"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BFBFBF" w:themeFill="background1" w:themeFillShade="BF"/>
          </w:tcPr>
          <w:p w14:paraId="036C297A"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BFBFBF" w:themeFill="background1" w:themeFillShade="BF"/>
          </w:tcPr>
          <w:p w14:paraId="677FE225"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BFBFBF" w:themeFill="background1" w:themeFillShade="BF"/>
          </w:tcPr>
          <w:p w14:paraId="30138174"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BFBFBF" w:themeFill="background1" w:themeFillShade="BF"/>
          </w:tcPr>
          <w:p w14:paraId="775A1B13"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BFBFBF" w:themeFill="background1" w:themeFillShade="BF"/>
          </w:tcPr>
          <w:p w14:paraId="56CDA33C"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BFBFBF" w:themeFill="background1" w:themeFillShade="BF"/>
          </w:tcPr>
          <w:p w14:paraId="29FC0E0A"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BFBFBF" w:themeFill="background1" w:themeFillShade="BF"/>
          </w:tcPr>
          <w:p w14:paraId="45B355EC"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BFBFBF" w:themeFill="background1" w:themeFillShade="BF"/>
          </w:tcPr>
          <w:p w14:paraId="0BF412BC"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w w:val="99"/>
                <w:sz w:val="20"/>
                <w:szCs w:val="20"/>
              </w:rPr>
              <w:t>5</w:t>
            </w:r>
          </w:p>
        </w:tc>
      </w:tr>
      <w:tr w:rsidR="009A4BC4" w:rsidRPr="008262B9" w14:paraId="216AEAD8" w14:textId="77777777" w:rsidTr="008262B9">
        <w:trPr>
          <w:trHeight w:val="237"/>
        </w:trPr>
        <w:tc>
          <w:tcPr>
            <w:tcW w:w="557" w:type="dxa"/>
            <w:shd w:val="clear" w:color="auto" w:fill="BFBFBF" w:themeFill="background1" w:themeFillShade="BF"/>
            <w:vAlign w:val="center"/>
          </w:tcPr>
          <w:p w14:paraId="09D91BD3" w14:textId="77777777" w:rsidR="009A4BC4" w:rsidRPr="008262B9" w:rsidRDefault="009A4BC4" w:rsidP="001359AD">
            <w:pPr>
              <w:pStyle w:val="TableParagraph"/>
              <w:spacing w:line="217" w:lineRule="exact"/>
              <w:ind w:left="166"/>
              <w:rPr>
                <w:rFonts w:ascii="Bookman Old Style" w:hAnsi="Bookman Old Style"/>
                <w:w w:val="99"/>
                <w:sz w:val="20"/>
                <w:szCs w:val="20"/>
                <w:lang w:val="en-US"/>
              </w:rPr>
            </w:pPr>
            <w:r w:rsidRPr="008262B9">
              <w:rPr>
                <w:rFonts w:ascii="Bookman Old Style" w:hAnsi="Bookman Old Style"/>
                <w:w w:val="99"/>
                <w:sz w:val="20"/>
                <w:szCs w:val="20"/>
                <w:lang w:val="en-US"/>
              </w:rPr>
              <w:t>12</w:t>
            </w:r>
          </w:p>
        </w:tc>
        <w:tc>
          <w:tcPr>
            <w:tcW w:w="4285" w:type="dxa"/>
            <w:shd w:val="clear" w:color="auto" w:fill="BFBFBF" w:themeFill="background1" w:themeFillShade="BF"/>
            <w:vAlign w:val="center"/>
          </w:tcPr>
          <w:p w14:paraId="690D1EA7"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Liabilitas</w:t>
            </w:r>
            <w:r w:rsidRPr="008262B9">
              <w:rPr>
                <w:rFonts w:ascii="Bookman Old Style" w:hAnsi="Bookman Old Style"/>
                <w:spacing w:val="-3"/>
                <w:sz w:val="20"/>
                <w:szCs w:val="20"/>
              </w:rPr>
              <w:t xml:space="preserve"> </w:t>
            </w:r>
            <w:r w:rsidRPr="008262B9">
              <w:rPr>
                <w:rFonts w:ascii="Bookman Old Style" w:hAnsi="Bookman Old Style"/>
                <w:sz w:val="20"/>
                <w:szCs w:val="20"/>
              </w:rPr>
              <w:t>dan</w:t>
            </w:r>
            <w:r w:rsidRPr="008262B9">
              <w:rPr>
                <w:rFonts w:ascii="Bookman Old Style" w:hAnsi="Bookman Old Style"/>
                <w:spacing w:val="-4"/>
                <w:sz w:val="20"/>
                <w:szCs w:val="20"/>
              </w:rPr>
              <w:t xml:space="preserve"> </w:t>
            </w:r>
            <w:r w:rsidRPr="008262B9">
              <w:rPr>
                <w:rFonts w:ascii="Bookman Old Style" w:hAnsi="Bookman Old Style"/>
                <w:sz w:val="20"/>
                <w:szCs w:val="20"/>
              </w:rPr>
              <w:t>ekuitas</w:t>
            </w:r>
            <w:r w:rsidRPr="008262B9">
              <w:rPr>
                <w:rFonts w:ascii="Bookman Old Style" w:hAnsi="Bookman Old Style"/>
                <w:spacing w:val="-3"/>
                <w:sz w:val="20"/>
                <w:szCs w:val="20"/>
              </w:rPr>
              <w:t xml:space="preserve"> </w:t>
            </w:r>
            <w:r w:rsidRPr="008262B9">
              <w:rPr>
                <w:rFonts w:ascii="Bookman Old Style" w:hAnsi="Bookman Old Style"/>
                <w:sz w:val="20"/>
                <w:szCs w:val="20"/>
              </w:rPr>
              <w:t>lainnya:</w:t>
            </w:r>
          </w:p>
        </w:tc>
        <w:tc>
          <w:tcPr>
            <w:tcW w:w="1134" w:type="dxa"/>
            <w:shd w:val="clear" w:color="auto" w:fill="BFBFBF" w:themeFill="background1" w:themeFillShade="BF"/>
          </w:tcPr>
          <w:p w14:paraId="375DE4EE"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BFBFBF" w:themeFill="background1" w:themeFillShade="BF"/>
          </w:tcPr>
          <w:p w14:paraId="28244665"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BFBFBF" w:themeFill="background1" w:themeFillShade="BF"/>
          </w:tcPr>
          <w:p w14:paraId="12AD528E"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BFBFBF" w:themeFill="background1" w:themeFillShade="BF"/>
          </w:tcPr>
          <w:p w14:paraId="1E44DE77"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BFBFBF" w:themeFill="background1" w:themeFillShade="BF"/>
          </w:tcPr>
          <w:p w14:paraId="53173CA4"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BFBFBF" w:themeFill="background1" w:themeFillShade="BF"/>
          </w:tcPr>
          <w:p w14:paraId="3D7E4F5F"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BFBFBF" w:themeFill="background1" w:themeFillShade="BF"/>
          </w:tcPr>
          <w:p w14:paraId="31B7C9A7"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BFBFBF" w:themeFill="background1" w:themeFillShade="BF"/>
          </w:tcPr>
          <w:p w14:paraId="72BFD2D9"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BFBFBF" w:themeFill="background1" w:themeFillShade="BF"/>
          </w:tcPr>
          <w:p w14:paraId="4408BE1A"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BFBFBF" w:themeFill="background1" w:themeFillShade="BF"/>
          </w:tcPr>
          <w:p w14:paraId="1E71BB3F"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BFBFBF" w:themeFill="background1" w:themeFillShade="BF"/>
          </w:tcPr>
          <w:p w14:paraId="0C292486"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w w:val="99"/>
                <w:sz w:val="20"/>
                <w:szCs w:val="20"/>
              </w:rPr>
              <w:t>6</w:t>
            </w:r>
          </w:p>
        </w:tc>
      </w:tr>
      <w:tr w:rsidR="009A4BC4" w:rsidRPr="008262B9" w14:paraId="7DF5EC38" w14:textId="77777777" w:rsidTr="008262B9">
        <w:trPr>
          <w:trHeight w:val="237"/>
        </w:trPr>
        <w:tc>
          <w:tcPr>
            <w:tcW w:w="557" w:type="dxa"/>
            <w:shd w:val="clear" w:color="auto" w:fill="auto"/>
            <w:vAlign w:val="center"/>
          </w:tcPr>
          <w:p w14:paraId="1DC022DC" w14:textId="77777777" w:rsidR="009A4BC4" w:rsidRPr="008262B9" w:rsidRDefault="009A4BC4" w:rsidP="001359AD">
            <w:pPr>
              <w:pStyle w:val="TableParagraph"/>
              <w:spacing w:before="116"/>
              <w:ind w:left="166"/>
              <w:rPr>
                <w:rFonts w:ascii="Bookman Old Style" w:hAnsi="Bookman Old Style"/>
                <w:w w:val="99"/>
                <w:sz w:val="20"/>
                <w:szCs w:val="20"/>
              </w:rPr>
            </w:pPr>
            <w:r w:rsidRPr="008262B9">
              <w:rPr>
                <w:rFonts w:ascii="Bookman Old Style" w:hAnsi="Bookman Old Style"/>
                <w:w w:val="99"/>
                <w:sz w:val="20"/>
                <w:szCs w:val="20"/>
              </w:rPr>
              <w:t>13</w:t>
            </w:r>
          </w:p>
        </w:tc>
        <w:tc>
          <w:tcPr>
            <w:tcW w:w="4285" w:type="dxa"/>
            <w:shd w:val="clear" w:color="auto" w:fill="auto"/>
            <w:vAlign w:val="center"/>
          </w:tcPr>
          <w:p w14:paraId="6F0602D9"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NSFR</w:t>
            </w:r>
            <w:r w:rsidRPr="008262B9">
              <w:rPr>
                <w:rFonts w:ascii="Bookman Old Style" w:hAnsi="Bookman Old Style"/>
                <w:spacing w:val="-3"/>
                <w:sz w:val="20"/>
                <w:szCs w:val="20"/>
              </w:rPr>
              <w:t xml:space="preserve"> </w:t>
            </w:r>
            <w:r w:rsidRPr="008262B9">
              <w:rPr>
                <w:rFonts w:ascii="Bookman Old Style" w:hAnsi="Bookman Old Style"/>
                <w:sz w:val="20"/>
                <w:szCs w:val="20"/>
              </w:rPr>
              <w:t>liabilitas</w:t>
            </w:r>
            <w:r w:rsidRPr="008262B9">
              <w:rPr>
                <w:rFonts w:ascii="Bookman Old Style" w:hAnsi="Bookman Old Style"/>
                <w:spacing w:val="-4"/>
                <w:sz w:val="20"/>
                <w:szCs w:val="20"/>
              </w:rPr>
              <w:t xml:space="preserve"> </w:t>
            </w:r>
            <w:r w:rsidRPr="008262B9">
              <w:rPr>
                <w:rFonts w:ascii="Bookman Old Style" w:hAnsi="Bookman Old Style"/>
                <w:sz w:val="20"/>
                <w:szCs w:val="20"/>
              </w:rPr>
              <w:t>derivatif</w:t>
            </w:r>
          </w:p>
        </w:tc>
        <w:tc>
          <w:tcPr>
            <w:tcW w:w="1134" w:type="dxa"/>
            <w:shd w:val="clear" w:color="auto" w:fill="000000" w:themeFill="text1"/>
          </w:tcPr>
          <w:p w14:paraId="54A8301F"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auto"/>
          </w:tcPr>
          <w:p w14:paraId="534B07AD"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auto"/>
          </w:tcPr>
          <w:p w14:paraId="00725FB4"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auto"/>
          </w:tcPr>
          <w:p w14:paraId="3ECE266D"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000000" w:themeFill="text1"/>
          </w:tcPr>
          <w:p w14:paraId="05A4F99F"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000000" w:themeFill="text1"/>
          </w:tcPr>
          <w:p w14:paraId="2508F56C"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auto"/>
          </w:tcPr>
          <w:p w14:paraId="63BBED99" w14:textId="77777777" w:rsidR="009A4BC4" w:rsidRPr="008262B9" w:rsidRDefault="009A4BC4" w:rsidP="001359AD">
            <w:pPr>
              <w:pStyle w:val="TableParagraph"/>
              <w:rPr>
                <w:rFonts w:ascii="Bookman Old Style" w:hAnsi="Bookman Old Style"/>
                <w:sz w:val="20"/>
                <w:szCs w:val="20"/>
              </w:rPr>
            </w:pPr>
          </w:p>
        </w:tc>
        <w:tc>
          <w:tcPr>
            <w:tcW w:w="1080" w:type="dxa"/>
            <w:shd w:val="clear" w:color="auto" w:fill="auto"/>
          </w:tcPr>
          <w:p w14:paraId="3B96FDB8"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auto"/>
          </w:tcPr>
          <w:p w14:paraId="2A904E57"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000000" w:themeFill="text1"/>
          </w:tcPr>
          <w:p w14:paraId="7D1A38EB" w14:textId="77777777" w:rsidR="009A4BC4" w:rsidRPr="008262B9" w:rsidRDefault="009A4BC4" w:rsidP="001359AD">
            <w:pPr>
              <w:pStyle w:val="TableParagraph"/>
              <w:ind w:left="720"/>
              <w:rPr>
                <w:rFonts w:ascii="Bookman Old Style" w:hAnsi="Bookman Old Style"/>
                <w:sz w:val="20"/>
                <w:szCs w:val="20"/>
              </w:rPr>
            </w:pPr>
          </w:p>
        </w:tc>
        <w:tc>
          <w:tcPr>
            <w:tcW w:w="1385" w:type="dxa"/>
            <w:gridSpan w:val="2"/>
            <w:shd w:val="clear" w:color="auto" w:fill="auto"/>
          </w:tcPr>
          <w:p w14:paraId="72067CFD"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6.1</w:t>
            </w:r>
          </w:p>
        </w:tc>
      </w:tr>
      <w:tr w:rsidR="009A4BC4" w:rsidRPr="008262B9" w14:paraId="0351D8AC" w14:textId="77777777" w:rsidTr="008262B9">
        <w:trPr>
          <w:trHeight w:val="237"/>
        </w:trPr>
        <w:tc>
          <w:tcPr>
            <w:tcW w:w="557" w:type="dxa"/>
            <w:shd w:val="clear" w:color="auto" w:fill="auto"/>
            <w:vAlign w:val="center"/>
          </w:tcPr>
          <w:p w14:paraId="26FD7906" w14:textId="77777777" w:rsidR="009A4BC4" w:rsidRPr="008262B9" w:rsidRDefault="009A4BC4" w:rsidP="008262B9">
            <w:pPr>
              <w:pStyle w:val="TableParagraph"/>
              <w:spacing w:before="116" w:line="217" w:lineRule="exact"/>
              <w:jc w:val="center"/>
              <w:rPr>
                <w:rFonts w:ascii="Bookman Old Style" w:hAnsi="Bookman Old Style"/>
                <w:w w:val="99"/>
                <w:sz w:val="20"/>
                <w:szCs w:val="20"/>
              </w:rPr>
            </w:pPr>
            <w:r w:rsidRPr="008262B9">
              <w:rPr>
                <w:rFonts w:ascii="Bookman Old Style" w:hAnsi="Bookman Old Style"/>
                <w:w w:val="99"/>
                <w:sz w:val="20"/>
                <w:szCs w:val="20"/>
              </w:rPr>
              <w:t>14</w:t>
            </w:r>
          </w:p>
        </w:tc>
        <w:tc>
          <w:tcPr>
            <w:tcW w:w="4285" w:type="dxa"/>
            <w:shd w:val="clear" w:color="auto" w:fill="auto"/>
            <w:vAlign w:val="center"/>
          </w:tcPr>
          <w:p w14:paraId="6518A129" w14:textId="77777777" w:rsidR="009A4BC4" w:rsidRPr="008262B9" w:rsidRDefault="009A4BC4" w:rsidP="001359AD">
            <w:pPr>
              <w:pStyle w:val="TableParagraph"/>
              <w:spacing w:line="234" w:lineRule="exact"/>
              <w:ind w:left="510"/>
              <w:rPr>
                <w:rFonts w:ascii="Bookman Old Style" w:hAnsi="Bookman Old Style"/>
                <w:sz w:val="20"/>
                <w:szCs w:val="20"/>
              </w:rPr>
            </w:pPr>
            <w:r w:rsidRPr="008262B9">
              <w:rPr>
                <w:rFonts w:ascii="Bookman Old Style" w:hAnsi="Bookman Old Style"/>
                <w:sz w:val="20"/>
                <w:szCs w:val="20"/>
              </w:rPr>
              <w:t>ekuitas</w:t>
            </w:r>
            <w:r w:rsidRPr="008262B9">
              <w:rPr>
                <w:rFonts w:ascii="Bookman Old Style" w:hAnsi="Bookman Old Style"/>
                <w:spacing w:val="-4"/>
                <w:sz w:val="20"/>
                <w:szCs w:val="20"/>
              </w:rPr>
              <w:t xml:space="preserve"> </w:t>
            </w:r>
            <w:r w:rsidRPr="008262B9">
              <w:rPr>
                <w:rFonts w:ascii="Bookman Old Style" w:hAnsi="Bookman Old Style"/>
                <w:sz w:val="20"/>
                <w:szCs w:val="20"/>
              </w:rPr>
              <w:t>dan</w:t>
            </w:r>
            <w:r w:rsidRPr="008262B9">
              <w:rPr>
                <w:rFonts w:ascii="Bookman Old Style" w:hAnsi="Bookman Old Style"/>
                <w:spacing w:val="-3"/>
                <w:sz w:val="20"/>
                <w:szCs w:val="20"/>
              </w:rPr>
              <w:t xml:space="preserve"> </w:t>
            </w:r>
            <w:r w:rsidRPr="008262B9">
              <w:rPr>
                <w:rFonts w:ascii="Bookman Old Style" w:hAnsi="Bookman Old Style"/>
                <w:sz w:val="20"/>
                <w:szCs w:val="20"/>
              </w:rPr>
              <w:t>liabilitas</w:t>
            </w:r>
            <w:r w:rsidRPr="008262B9">
              <w:rPr>
                <w:rFonts w:ascii="Bookman Old Style" w:hAnsi="Bookman Old Style"/>
                <w:spacing w:val="-2"/>
                <w:sz w:val="20"/>
                <w:szCs w:val="20"/>
              </w:rPr>
              <w:t xml:space="preserve"> </w:t>
            </w:r>
            <w:r w:rsidRPr="008262B9">
              <w:rPr>
                <w:rFonts w:ascii="Bookman Old Style" w:hAnsi="Bookman Old Style"/>
                <w:sz w:val="20"/>
                <w:szCs w:val="20"/>
              </w:rPr>
              <w:t>lainnya</w:t>
            </w:r>
            <w:r w:rsidRPr="008262B9">
              <w:rPr>
                <w:rFonts w:ascii="Bookman Old Style" w:hAnsi="Bookman Old Style"/>
                <w:spacing w:val="-3"/>
                <w:sz w:val="20"/>
                <w:szCs w:val="20"/>
              </w:rPr>
              <w:t xml:space="preserve"> </w:t>
            </w:r>
            <w:r w:rsidRPr="008262B9">
              <w:rPr>
                <w:rFonts w:ascii="Bookman Old Style" w:hAnsi="Bookman Old Style"/>
                <w:sz w:val="20"/>
                <w:szCs w:val="20"/>
              </w:rPr>
              <w:t>yang</w:t>
            </w:r>
          </w:p>
          <w:p w14:paraId="7CEB94C2" w14:textId="77777777" w:rsidR="009A4BC4" w:rsidRPr="008262B9" w:rsidRDefault="009A4BC4" w:rsidP="001359AD">
            <w:pPr>
              <w:pStyle w:val="TableParagraph"/>
              <w:spacing w:line="217" w:lineRule="exact"/>
              <w:ind w:left="508"/>
              <w:rPr>
                <w:rFonts w:ascii="Bookman Old Style" w:hAnsi="Bookman Old Style"/>
                <w:sz w:val="20"/>
                <w:szCs w:val="20"/>
              </w:rPr>
            </w:pPr>
            <w:r w:rsidRPr="008262B9">
              <w:rPr>
                <w:rFonts w:ascii="Bookman Old Style" w:hAnsi="Bookman Old Style"/>
                <w:sz w:val="20"/>
                <w:szCs w:val="20"/>
              </w:rPr>
              <w:t>tidak</w:t>
            </w:r>
            <w:r w:rsidRPr="008262B9">
              <w:rPr>
                <w:rFonts w:ascii="Bookman Old Style" w:hAnsi="Bookman Old Style"/>
                <w:spacing w:val="-6"/>
                <w:sz w:val="20"/>
                <w:szCs w:val="20"/>
              </w:rPr>
              <w:t xml:space="preserve"> </w:t>
            </w:r>
            <w:r w:rsidRPr="008262B9">
              <w:rPr>
                <w:rFonts w:ascii="Bookman Old Style" w:hAnsi="Bookman Old Style"/>
                <w:sz w:val="20"/>
                <w:szCs w:val="20"/>
              </w:rPr>
              <w:t>masuk</w:t>
            </w:r>
            <w:r w:rsidRPr="008262B9">
              <w:rPr>
                <w:rFonts w:ascii="Bookman Old Style" w:hAnsi="Bookman Old Style"/>
                <w:spacing w:val="-3"/>
                <w:sz w:val="20"/>
                <w:szCs w:val="20"/>
              </w:rPr>
              <w:t xml:space="preserve"> </w:t>
            </w:r>
            <w:r w:rsidRPr="008262B9">
              <w:rPr>
                <w:rFonts w:ascii="Bookman Old Style" w:hAnsi="Bookman Old Style"/>
                <w:sz w:val="20"/>
                <w:szCs w:val="20"/>
              </w:rPr>
              <w:t>dalam</w:t>
            </w:r>
            <w:r w:rsidRPr="008262B9">
              <w:rPr>
                <w:rFonts w:ascii="Bookman Old Style" w:hAnsi="Bookman Old Style"/>
                <w:spacing w:val="-5"/>
                <w:sz w:val="20"/>
                <w:szCs w:val="20"/>
              </w:rPr>
              <w:t xml:space="preserve"> </w:t>
            </w:r>
            <w:r w:rsidRPr="008262B9">
              <w:rPr>
                <w:rFonts w:ascii="Bookman Old Style" w:hAnsi="Bookman Old Style"/>
                <w:sz w:val="20"/>
                <w:szCs w:val="20"/>
              </w:rPr>
              <w:t>kategori</w:t>
            </w:r>
            <w:r w:rsidRPr="008262B9">
              <w:rPr>
                <w:rFonts w:ascii="Bookman Old Style" w:hAnsi="Bookman Old Style"/>
                <w:spacing w:val="-3"/>
                <w:sz w:val="20"/>
                <w:szCs w:val="20"/>
              </w:rPr>
              <w:t xml:space="preserve"> </w:t>
            </w:r>
            <w:r w:rsidRPr="008262B9">
              <w:rPr>
                <w:rFonts w:ascii="Bookman Old Style" w:hAnsi="Bookman Old Style"/>
                <w:sz w:val="20"/>
                <w:szCs w:val="20"/>
              </w:rPr>
              <w:t>di</w:t>
            </w:r>
            <w:r w:rsidRPr="008262B9">
              <w:rPr>
                <w:rFonts w:ascii="Bookman Old Style" w:hAnsi="Bookman Old Style"/>
                <w:spacing w:val="-61"/>
                <w:sz w:val="20"/>
                <w:szCs w:val="20"/>
              </w:rPr>
              <w:t xml:space="preserve"> </w:t>
            </w:r>
            <w:r w:rsidRPr="008262B9">
              <w:rPr>
                <w:rFonts w:ascii="Bookman Old Style" w:hAnsi="Bookman Old Style"/>
                <w:sz w:val="20"/>
                <w:szCs w:val="20"/>
              </w:rPr>
              <w:t>atas</w:t>
            </w:r>
          </w:p>
        </w:tc>
        <w:tc>
          <w:tcPr>
            <w:tcW w:w="1134" w:type="dxa"/>
            <w:shd w:val="clear" w:color="auto" w:fill="auto"/>
          </w:tcPr>
          <w:p w14:paraId="74B6C1C5"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auto"/>
          </w:tcPr>
          <w:p w14:paraId="2234A6F8"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auto"/>
          </w:tcPr>
          <w:p w14:paraId="58F62A12"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auto"/>
          </w:tcPr>
          <w:p w14:paraId="76B8D44B"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auto"/>
          </w:tcPr>
          <w:p w14:paraId="2BB546B2"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000000" w:themeFill="text1"/>
          </w:tcPr>
          <w:p w14:paraId="6465E178"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000000" w:themeFill="text1"/>
          </w:tcPr>
          <w:p w14:paraId="3387AB63" w14:textId="77777777" w:rsidR="009A4BC4" w:rsidRPr="008262B9" w:rsidRDefault="009A4BC4" w:rsidP="001359AD">
            <w:pPr>
              <w:pStyle w:val="TableParagraph"/>
              <w:rPr>
                <w:rFonts w:ascii="Bookman Old Style" w:hAnsi="Bookman Old Style"/>
                <w:b/>
                <w:sz w:val="20"/>
                <w:szCs w:val="20"/>
              </w:rPr>
            </w:pPr>
          </w:p>
        </w:tc>
        <w:tc>
          <w:tcPr>
            <w:tcW w:w="1080" w:type="dxa"/>
            <w:shd w:val="clear" w:color="auto" w:fill="000000" w:themeFill="text1"/>
          </w:tcPr>
          <w:p w14:paraId="76C6B2ED"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000000" w:themeFill="text1"/>
          </w:tcPr>
          <w:p w14:paraId="3FCB369E"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auto"/>
          </w:tcPr>
          <w:p w14:paraId="71FB2370"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auto"/>
          </w:tcPr>
          <w:p w14:paraId="4A8B69EF" w14:textId="77777777" w:rsidR="009A4BC4" w:rsidRPr="008262B9" w:rsidRDefault="009A4BC4" w:rsidP="001359AD">
            <w:pPr>
              <w:pStyle w:val="TableParagraph"/>
              <w:spacing w:before="11"/>
              <w:rPr>
                <w:rFonts w:ascii="Bookman Old Style" w:hAnsi="Bookman Old Style"/>
                <w:sz w:val="20"/>
                <w:szCs w:val="20"/>
              </w:rPr>
            </w:pPr>
          </w:p>
          <w:p w14:paraId="616BE58A" w14:textId="77777777" w:rsidR="009A4BC4" w:rsidRPr="008262B9" w:rsidRDefault="009A4BC4" w:rsidP="001359AD">
            <w:pPr>
              <w:pStyle w:val="TableParagraph"/>
              <w:spacing w:line="233" w:lineRule="exact"/>
              <w:ind w:left="114"/>
              <w:rPr>
                <w:rFonts w:ascii="Bookman Old Style" w:hAnsi="Bookman Old Style"/>
                <w:b/>
                <w:sz w:val="20"/>
                <w:szCs w:val="20"/>
              </w:rPr>
            </w:pPr>
            <w:r w:rsidRPr="008262B9">
              <w:rPr>
                <w:rFonts w:ascii="Bookman Old Style" w:hAnsi="Bookman Old Style"/>
                <w:b/>
                <w:sz w:val="20"/>
                <w:szCs w:val="20"/>
              </w:rPr>
              <w:t>6.2</w:t>
            </w:r>
            <w:r w:rsidRPr="008262B9">
              <w:rPr>
                <w:rFonts w:ascii="Bookman Old Style" w:hAnsi="Bookman Old Style"/>
                <w:b/>
                <w:spacing w:val="-3"/>
                <w:sz w:val="20"/>
                <w:szCs w:val="20"/>
              </w:rPr>
              <w:t xml:space="preserve"> </w:t>
            </w:r>
            <w:r w:rsidRPr="008262B9">
              <w:rPr>
                <w:rFonts w:ascii="Bookman Old Style" w:hAnsi="Bookman Old Style"/>
                <w:b/>
                <w:sz w:val="20"/>
                <w:szCs w:val="20"/>
              </w:rPr>
              <w:t>s.d.</w:t>
            </w:r>
            <w:r w:rsidRPr="008262B9">
              <w:rPr>
                <w:rFonts w:ascii="Bookman Old Style" w:hAnsi="Bookman Old Style"/>
                <w:b/>
                <w:spacing w:val="-3"/>
                <w:sz w:val="20"/>
                <w:szCs w:val="20"/>
              </w:rPr>
              <w:t xml:space="preserve"> </w:t>
            </w:r>
            <w:r w:rsidRPr="008262B9">
              <w:rPr>
                <w:rFonts w:ascii="Bookman Old Style" w:hAnsi="Bookman Old Style"/>
                <w:b/>
                <w:sz w:val="20"/>
                <w:szCs w:val="20"/>
              </w:rPr>
              <w:t>6.5</w:t>
            </w:r>
          </w:p>
        </w:tc>
      </w:tr>
      <w:tr w:rsidR="009A4BC4" w:rsidRPr="008262B9" w14:paraId="5A9B6BCA" w14:textId="77777777" w:rsidTr="008262B9">
        <w:trPr>
          <w:trHeight w:val="237"/>
        </w:trPr>
        <w:tc>
          <w:tcPr>
            <w:tcW w:w="557" w:type="dxa"/>
            <w:shd w:val="clear" w:color="auto" w:fill="auto"/>
            <w:vAlign w:val="center"/>
          </w:tcPr>
          <w:p w14:paraId="75F1E36C" w14:textId="77777777" w:rsidR="009A4BC4" w:rsidRPr="008262B9" w:rsidRDefault="009A4BC4" w:rsidP="001359AD">
            <w:pPr>
              <w:pStyle w:val="TableParagraph"/>
              <w:spacing w:before="116"/>
              <w:ind w:left="166"/>
              <w:rPr>
                <w:rFonts w:ascii="Bookman Old Style" w:hAnsi="Bookman Old Style"/>
                <w:w w:val="99"/>
                <w:sz w:val="20"/>
                <w:szCs w:val="20"/>
              </w:rPr>
            </w:pPr>
            <w:r w:rsidRPr="008262B9">
              <w:rPr>
                <w:rFonts w:ascii="Bookman Old Style" w:hAnsi="Bookman Old Style"/>
                <w:w w:val="99"/>
                <w:sz w:val="20"/>
                <w:szCs w:val="20"/>
              </w:rPr>
              <w:t>15</w:t>
            </w:r>
          </w:p>
        </w:tc>
        <w:tc>
          <w:tcPr>
            <w:tcW w:w="4285" w:type="dxa"/>
            <w:shd w:val="clear" w:color="auto" w:fill="auto"/>
            <w:vAlign w:val="center"/>
          </w:tcPr>
          <w:p w14:paraId="5BAE9521" w14:textId="77777777" w:rsidR="009A4BC4" w:rsidRPr="008262B9" w:rsidRDefault="009A4BC4" w:rsidP="001359AD">
            <w:pPr>
              <w:pStyle w:val="TableParagraph"/>
              <w:spacing w:line="234" w:lineRule="exact"/>
              <w:ind w:left="510"/>
              <w:rPr>
                <w:rFonts w:ascii="Bookman Old Style" w:hAnsi="Bookman Old Style"/>
                <w:sz w:val="20"/>
                <w:szCs w:val="20"/>
              </w:rPr>
            </w:pPr>
            <w:r w:rsidRPr="008262B9">
              <w:rPr>
                <w:rFonts w:ascii="Bookman Old Style" w:hAnsi="Bookman Old Style"/>
                <w:b/>
                <w:sz w:val="20"/>
                <w:szCs w:val="20"/>
              </w:rPr>
              <w:t>Total</w:t>
            </w:r>
            <w:r w:rsidRPr="008262B9">
              <w:rPr>
                <w:rFonts w:ascii="Bookman Old Style" w:hAnsi="Bookman Old Style"/>
                <w:b/>
                <w:spacing w:val="-5"/>
                <w:sz w:val="20"/>
                <w:szCs w:val="20"/>
              </w:rPr>
              <w:t xml:space="preserve"> </w:t>
            </w:r>
            <w:r w:rsidRPr="008262B9">
              <w:rPr>
                <w:rFonts w:ascii="Bookman Old Style" w:hAnsi="Bookman Old Style"/>
                <w:b/>
                <w:sz w:val="20"/>
                <w:szCs w:val="20"/>
              </w:rPr>
              <w:t>ASF</w:t>
            </w:r>
          </w:p>
        </w:tc>
        <w:tc>
          <w:tcPr>
            <w:tcW w:w="1134" w:type="dxa"/>
            <w:shd w:val="clear" w:color="auto" w:fill="000000" w:themeFill="text1"/>
          </w:tcPr>
          <w:p w14:paraId="539BFD50" w14:textId="77777777" w:rsidR="009A4BC4" w:rsidRPr="008262B9" w:rsidRDefault="009A4BC4" w:rsidP="001359AD">
            <w:pPr>
              <w:pStyle w:val="TableParagraph"/>
              <w:rPr>
                <w:rFonts w:ascii="Bookman Old Style" w:hAnsi="Bookman Old Style"/>
                <w:sz w:val="20"/>
                <w:szCs w:val="20"/>
              </w:rPr>
            </w:pPr>
          </w:p>
        </w:tc>
        <w:tc>
          <w:tcPr>
            <w:tcW w:w="992" w:type="dxa"/>
            <w:shd w:val="clear" w:color="auto" w:fill="000000" w:themeFill="text1"/>
          </w:tcPr>
          <w:p w14:paraId="2251B63D" w14:textId="77777777" w:rsidR="009A4BC4" w:rsidRPr="008262B9" w:rsidRDefault="009A4BC4" w:rsidP="001359AD">
            <w:pPr>
              <w:pStyle w:val="TableParagraph"/>
              <w:rPr>
                <w:rFonts w:ascii="Bookman Old Style" w:hAnsi="Bookman Old Style"/>
                <w:sz w:val="20"/>
                <w:szCs w:val="20"/>
              </w:rPr>
            </w:pPr>
          </w:p>
        </w:tc>
        <w:tc>
          <w:tcPr>
            <w:tcW w:w="1103" w:type="dxa"/>
            <w:shd w:val="clear" w:color="auto" w:fill="000000" w:themeFill="text1"/>
          </w:tcPr>
          <w:p w14:paraId="33C90346" w14:textId="77777777" w:rsidR="009A4BC4" w:rsidRPr="008262B9" w:rsidRDefault="009A4BC4" w:rsidP="001359AD">
            <w:pPr>
              <w:pStyle w:val="TableParagraph"/>
              <w:rPr>
                <w:rFonts w:ascii="Bookman Old Style" w:hAnsi="Bookman Old Style"/>
                <w:sz w:val="20"/>
                <w:szCs w:val="20"/>
              </w:rPr>
            </w:pPr>
          </w:p>
        </w:tc>
        <w:tc>
          <w:tcPr>
            <w:tcW w:w="881" w:type="dxa"/>
            <w:shd w:val="clear" w:color="auto" w:fill="000000" w:themeFill="text1"/>
          </w:tcPr>
          <w:p w14:paraId="418F6859" w14:textId="77777777" w:rsidR="009A4BC4" w:rsidRPr="008262B9" w:rsidRDefault="009A4BC4" w:rsidP="001359AD">
            <w:pPr>
              <w:pStyle w:val="TableParagraph"/>
              <w:rPr>
                <w:rFonts w:ascii="Bookman Old Style" w:hAnsi="Bookman Old Style"/>
                <w:sz w:val="20"/>
                <w:szCs w:val="20"/>
              </w:rPr>
            </w:pPr>
          </w:p>
        </w:tc>
        <w:tc>
          <w:tcPr>
            <w:tcW w:w="1186" w:type="dxa"/>
            <w:shd w:val="clear" w:color="auto" w:fill="auto"/>
          </w:tcPr>
          <w:p w14:paraId="35A308F5" w14:textId="77777777" w:rsidR="009A4BC4" w:rsidRPr="008262B9" w:rsidRDefault="009A4BC4" w:rsidP="001359AD">
            <w:pPr>
              <w:pStyle w:val="TableParagraph"/>
              <w:rPr>
                <w:rFonts w:ascii="Bookman Old Style" w:hAnsi="Bookman Old Style"/>
                <w:sz w:val="20"/>
                <w:szCs w:val="20"/>
              </w:rPr>
            </w:pPr>
          </w:p>
        </w:tc>
        <w:tc>
          <w:tcPr>
            <w:tcW w:w="1082" w:type="dxa"/>
            <w:gridSpan w:val="2"/>
            <w:shd w:val="clear" w:color="auto" w:fill="000000" w:themeFill="text1"/>
          </w:tcPr>
          <w:p w14:paraId="4A9B64B0" w14:textId="77777777" w:rsidR="009A4BC4" w:rsidRPr="008262B9" w:rsidRDefault="009A4BC4" w:rsidP="001359AD">
            <w:pPr>
              <w:pStyle w:val="TableParagraph"/>
              <w:rPr>
                <w:rFonts w:ascii="Bookman Old Style" w:hAnsi="Bookman Old Style"/>
                <w:sz w:val="20"/>
                <w:szCs w:val="20"/>
              </w:rPr>
            </w:pPr>
          </w:p>
        </w:tc>
        <w:tc>
          <w:tcPr>
            <w:tcW w:w="993" w:type="dxa"/>
            <w:shd w:val="clear" w:color="auto" w:fill="000000" w:themeFill="text1"/>
          </w:tcPr>
          <w:p w14:paraId="46728AEE" w14:textId="77777777" w:rsidR="009A4BC4" w:rsidRPr="008262B9" w:rsidRDefault="009A4BC4" w:rsidP="001359AD">
            <w:pPr>
              <w:pStyle w:val="TableParagraph"/>
              <w:rPr>
                <w:rFonts w:ascii="Bookman Old Style" w:hAnsi="Bookman Old Style"/>
                <w:b/>
                <w:sz w:val="20"/>
                <w:szCs w:val="20"/>
              </w:rPr>
            </w:pPr>
          </w:p>
        </w:tc>
        <w:tc>
          <w:tcPr>
            <w:tcW w:w="1080" w:type="dxa"/>
            <w:shd w:val="clear" w:color="auto" w:fill="000000" w:themeFill="text1"/>
          </w:tcPr>
          <w:p w14:paraId="3348A1E1" w14:textId="77777777" w:rsidR="009A4BC4" w:rsidRPr="008262B9" w:rsidRDefault="009A4BC4" w:rsidP="001359AD">
            <w:pPr>
              <w:pStyle w:val="TableParagraph"/>
              <w:rPr>
                <w:rFonts w:ascii="Bookman Old Style" w:hAnsi="Bookman Old Style"/>
                <w:sz w:val="20"/>
                <w:szCs w:val="20"/>
              </w:rPr>
            </w:pPr>
          </w:p>
        </w:tc>
        <w:tc>
          <w:tcPr>
            <w:tcW w:w="904" w:type="dxa"/>
            <w:shd w:val="clear" w:color="auto" w:fill="000000" w:themeFill="text1"/>
          </w:tcPr>
          <w:p w14:paraId="04771147" w14:textId="77777777" w:rsidR="009A4BC4" w:rsidRPr="008262B9" w:rsidRDefault="009A4BC4" w:rsidP="001359AD">
            <w:pPr>
              <w:pStyle w:val="TableParagraph"/>
              <w:rPr>
                <w:rFonts w:ascii="Bookman Old Style" w:hAnsi="Bookman Old Style"/>
                <w:sz w:val="20"/>
                <w:szCs w:val="20"/>
              </w:rPr>
            </w:pPr>
          </w:p>
        </w:tc>
        <w:tc>
          <w:tcPr>
            <w:tcW w:w="1263" w:type="dxa"/>
            <w:shd w:val="clear" w:color="auto" w:fill="auto"/>
          </w:tcPr>
          <w:p w14:paraId="66DE90C8" w14:textId="77777777" w:rsidR="009A4BC4" w:rsidRPr="008262B9" w:rsidRDefault="009A4BC4" w:rsidP="001359AD">
            <w:pPr>
              <w:pStyle w:val="TableParagraph"/>
              <w:rPr>
                <w:rFonts w:ascii="Bookman Old Style" w:hAnsi="Bookman Old Style"/>
                <w:sz w:val="20"/>
                <w:szCs w:val="20"/>
              </w:rPr>
            </w:pPr>
          </w:p>
        </w:tc>
        <w:tc>
          <w:tcPr>
            <w:tcW w:w="1385" w:type="dxa"/>
            <w:gridSpan w:val="2"/>
            <w:shd w:val="clear" w:color="auto" w:fill="auto"/>
          </w:tcPr>
          <w:p w14:paraId="03652725" w14:textId="77777777" w:rsidR="009A4BC4" w:rsidRPr="008262B9" w:rsidRDefault="009A4BC4" w:rsidP="001359AD">
            <w:pPr>
              <w:pStyle w:val="TableParagraph"/>
              <w:spacing w:before="11"/>
              <w:rPr>
                <w:rFonts w:ascii="Bookman Old Style" w:hAnsi="Bookman Old Style"/>
                <w:b/>
                <w:sz w:val="20"/>
                <w:szCs w:val="20"/>
                <w:lang w:val="en-US"/>
              </w:rPr>
            </w:pPr>
            <w:r w:rsidRPr="008262B9">
              <w:rPr>
                <w:rFonts w:ascii="Bookman Old Style" w:hAnsi="Bookman Old Style"/>
                <w:b/>
                <w:sz w:val="20"/>
                <w:szCs w:val="20"/>
                <w:lang w:val="en-US"/>
              </w:rPr>
              <w:t>7</w:t>
            </w:r>
          </w:p>
        </w:tc>
      </w:tr>
    </w:tbl>
    <w:p w14:paraId="6B189A82" w14:textId="18CC1D5F" w:rsidR="009A4BC4" w:rsidRDefault="009A4BC4"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tbl>
      <w:tblPr>
        <w:tblW w:w="0" w:type="auto"/>
        <w:tblInd w:w="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3"/>
        <w:gridCol w:w="4359"/>
        <w:gridCol w:w="1201"/>
        <w:gridCol w:w="675"/>
        <w:gridCol w:w="1126"/>
        <w:gridCol w:w="815"/>
        <w:gridCol w:w="1427"/>
        <w:gridCol w:w="1089"/>
        <w:gridCol w:w="810"/>
        <w:gridCol w:w="1082"/>
        <w:gridCol w:w="813"/>
        <w:gridCol w:w="8"/>
        <w:gridCol w:w="1443"/>
        <w:gridCol w:w="1559"/>
      </w:tblGrid>
      <w:tr w:rsidR="008262B9" w:rsidRPr="008262B9" w14:paraId="1915426C" w14:textId="77777777" w:rsidTr="008262B9">
        <w:trPr>
          <w:trHeight w:val="313"/>
          <w:tblHeader/>
        </w:trPr>
        <w:tc>
          <w:tcPr>
            <w:tcW w:w="4842" w:type="dxa"/>
            <w:gridSpan w:val="2"/>
            <w:vMerge w:val="restart"/>
            <w:shd w:val="clear" w:color="auto" w:fill="808080"/>
          </w:tcPr>
          <w:p w14:paraId="40DB228D" w14:textId="77777777" w:rsidR="008262B9" w:rsidRPr="008262B9" w:rsidRDefault="008262B9" w:rsidP="001359AD">
            <w:pPr>
              <w:pStyle w:val="TableParagraph"/>
              <w:rPr>
                <w:rFonts w:ascii="Bookman Old Style" w:hAnsi="Bookman Old Style"/>
                <w:sz w:val="20"/>
                <w:szCs w:val="20"/>
              </w:rPr>
            </w:pPr>
          </w:p>
          <w:p w14:paraId="31C95AC2" w14:textId="77777777" w:rsidR="008262B9" w:rsidRPr="008262B9" w:rsidRDefault="008262B9" w:rsidP="001359AD">
            <w:pPr>
              <w:pStyle w:val="TableParagraph"/>
              <w:rPr>
                <w:rFonts w:ascii="Bookman Old Style" w:hAnsi="Bookman Old Style"/>
                <w:sz w:val="20"/>
                <w:szCs w:val="20"/>
              </w:rPr>
            </w:pPr>
          </w:p>
          <w:p w14:paraId="14AB8EA9" w14:textId="77777777" w:rsidR="008262B9" w:rsidRPr="008262B9" w:rsidRDefault="008262B9" w:rsidP="001359AD">
            <w:pPr>
              <w:pStyle w:val="TableParagraph"/>
              <w:rPr>
                <w:rFonts w:ascii="Bookman Old Style" w:hAnsi="Bookman Old Style"/>
                <w:sz w:val="20"/>
                <w:szCs w:val="20"/>
              </w:rPr>
            </w:pPr>
          </w:p>
          <w:p w14:paraId="148C9621" w14:textId="77777777" w:rsidR="008262B9" w:rsidRPr="008262B9" w:rsidRDefault="008262B9" w:rsidP="001359AD">
            <w:pPr>
              <w:pStyle w:val="TableParagraph"/>
              <w:ind w:left="310"/>
              <w:jc w:val="center"/>
              <w:rPr>
                <w:rFonts w:ascii="Bookman Old Style" w:hAnsi="Bookman Old Style"/>
                <w:b/>
                <w:sz w:val="20"/>
                <w:szCs w:val="20"/>
              </w:rPr>
            </w:pPr>
            <w:r w:rsidRPr="008262B9">
              <w:rPr>
                <w:rFonts w:ascii="Bookman Old Style" w:hAnsi="Bookman Old Style"/>
                <w:b/>
                <w:sz w:val="20"/>
                <w:szCs w:val="20"/>
              </w:rPr>
              <w:t>Komponen</w:t>
            </w:r>
            <w:r w:rsidRPr="008262B9">
              <w:rPr>
                <w:rFonts w:ascii="Bookman Old Style" w:hAnsi="Bookman Old Style"/>
                <w:b/>
                <w:spacing w:val="-3"/>
                <w:sz w:val="20"/>
                <w:szCs w:val="20"/>
              </w:rPr>
              <w:t xml:space="preserve"> </w:t>
            </w:r>
            <w:r w:rsidRPr="008262B9">
              <w:rPr>
                <w:rFonts w:ascii="Bookman Old Style" w:hAnsi="Bookman Old Style"/>
                <w:b/>
                <w:spacing w:val="-3"/>
                <w:sz w:val="20"/>
                <w:szCs w:val="20"/>
                <w:lang w:val="en-US"/>
              </w:rPr>
              <w:t>R</w:t>
            </w:r>
            <w:r w:rsidRPr="008262B9">
              <w:rPr>
                <w:rFonts w:ascii="Bookman Old Style" w:hAnsi="Bookman Old Style"/>
                <w:b/>
                <w:sz w:val="20"/>
                <w:szCs w:val="20"/>
              </w:rPr>
              <w:t>SF</w:t>
            </w:r>
          </w:p>
        </w:tc>
        <w:tc>
          <w:tcPr>
            <w:tcW w:w="5244" w:type="dxa"/>
            <w:gridSpan w:val="5"/>
            <w:shd w:val="clear" w:color="auto" w:fill="808080"/>
          </w:tcPr>
          <w:p w14:paraId="70683452" w14:textId="77777777" w:rsidR="008262B9" w:rsidRPr="008262B9" w:rsidRDefault="008262B9" w:rsidP="001359AD">
            <w:pPr>
              <w:pStyle w:val="TableParagraph"/>
              <w:spacing w:before="124"/>
              <w:ind w:left="211"/>
              <w:jc w:val="center"/>
              <w:rPr>
                <w:rFonts w:ascii="Bookman Old Style" w:hAnsi="Bookman Old Style"/>
                <w:b/>
                <w:sz w:val="20"/>
                <w:szCs w:val="20"/>
              </w:rPr>
            </w:pPr>
            <w:r w:rsidRPr="008262B9">
              <w:rPr>
                <w:rFonts w:ascii="Bookman Old Style" w:hAnsi="Bookman Old Style"/>
                <w:b/>
                <w:sz w:val="20"/>
                <w:szCs w:val="20"/>
              </w:rPr>
              <w:t>Posisi Tanggal Laporan Sebelumnya (Bulan/Tahun)</w:t>
            </w:r>
          </w:p>
        </w:tc>
        <w:tc>
          <w:tcPr>
            <w:tcW w:w="5245" w:type="dxa"/>
            <w:gridSpan w:val="6"/>
            <w:shd w:val="clear" w:color="auto" w:fill="808080"/>
          </w:tcPr>
          <w:p w14:paraId="68AC20CD" w14:textId="77777777" w:rsidR="008262B9" w:rsidRPr="008262B9" w:rsidRDefault="008262B9" w:rsidP="001359AD">
            <w:pPr>
              <w:pStyle w:val="TableParagraph"/>
              <w:spacing w:before="127" w:line="166" w:lineRule="exact"/>
              <w:ind w:left="792"/>
              <w:rPr>
                <w:rFonts w:ascii="Bookman Old Style" w:hAnsi="Bookman Old Style"/>
                <w:b/>
                <w:sz w:val="20"/>
                <w:szCs w:val="20"/>
              </w:rPr>
            </w:pPr>
            <w:r w:rsidRPr="008262B9">
              <w:rPr>
                <w:rFonts w:ascii="Bookman Old Style" w:hAnsi="Bookman Old Style"/>
                <w:b/>
                <w:sz w:val="20"/>
                <w:szCs w:val="20"/>
              </w:rPr>
              <w:t>Posisi</w:t>
            </w:r>
            <w:r w:rsidRPr="008262B9">
              <w:rPr>
                <w:rFonts w:ascii="Bookman Old Style" w:hAnsi="Bookman Old Style"/>
                <w:b/>
                <w:spacing w:val="-6"/>
                <w:sz w:val="20"/>
                <w:szCs w:val="20"/>
              </w:rPr>
              <w:t xml:space="preserve"> </w:t>
            </w:r>
            <w:r w:rsidRPr="008262B9">
              <w:rPr>
                <w:rFonts w:ascii="Bookman Old Style" w:hAnsi="Bookman Old Style"/>
                <w:b/>
                <w:sz w:val="20"/>
                <w:szCs w:val="20"/>
              </w:rPr>
              <w:t>Tanggal</w:t>
            </w:r>
            <w:r w:rsidRPr="008262B9">
              <w:rPr>
                <w:rFonts w:ascii="Bookman Old Style" w:hAnsi="Bookman Old Style"/>
                <w:b/>
                <w:spacing w:val="-6"/>
                <w:sz w:val="20"/>
                <w:szCs w:val="20"/>
              </w:rPr>
              <w:t xml:space="preserve"> </w:t>
            </w:r>
            <w:r w:rsidRPr="008262B9">
              <w:rPr>
                <w:rFonts w:ascii="Bookman Old Style" w:hAnsi="Bookman Old Style"/>
                <w:b/>
                <w:sz w:val="20"/>
                <w:szCs w:val="20"/>
              </w:rPr>
              <w:t>Laporan</w:t>
            </w:r>
            <w:r w:rsidRPr="008262B9">
              <w:rPr>
                <w:rFonts w:ascii="Bookman Old Style" w:hAnsi="Bookman Old Style"/>
                <w:b/>
                <w:spacing w:val="-1"/>
                <w:sz w:val="20"/>
                <w:szCs w:val="20"/>
              </w:rPr>
              <w:t xml:space="preserve"> </w:t>
            </w:r>
            <w:r w:rsidRPr="008262B9">
              <w:rPr>
                <w:rFonts w:ascii="Bookman Old Style" w:hAnsi="Bookman Old Style"/>
                <w:b/>
                <w:sz w:val="20"/>
                <w:szCs w:val="20"/>
              </w:rPr>
              <w:t>(Bulan/Tahun)</w:t>
            </w:r>
          </w:p>
        </w:tc>
        <w:tc>
          <w:tcPr>
            <w:tcW w:w="1559" w:type="dxa"/>
            <w:vMerge w:val="restart"/>
            <w:shd w:val="clear" w:color="auto" w:fill="808080"/>
          </w:tcPr>
          <w:p w14:paraId="2E7351C8" w14:textId="77777777" w:rsidR="008262B9" w:rsidRPr="008262B9" w:rsidRDefault="008262B9" w:rsidP="001359AD">
            <w:pPr>
              <w:pStyle w:val="TableParagraph"/>
              <w:spacing w:before="141"/>
              <w:ind w:right="329"/>
              <w:jc w:val="center"/>
              <w:rPr>
                <w:rFonts w:ascii="Bookman Old Style" w:hAnsi="Bookman Old Style"/>
                <w:b/>
                <w:sz w:val="20"/>
                <w:szCs w:val="20"/>
              </w:rPr>
            </w:pPr>
            <w:r w:rsidRPr="008262B9">
              <w:rPr>
                <w:rFonts w:ascii="Bookman Old Style" w:hAnsi="Bookman Old Style"/>
                <w:b/>
                <w:sz w:val="20"/>
                <w:szCs w:val="20"/>
              </w:rPr>
              <w:t>No. Ref. dari</w:t>
            </w:r>
            <w:r w:rsidRPr="008262B9">
              <w:rPr>
                <w:rFonts w:ascii="Bookman Old Style" w:hAnsi="Bookman Old Style"/>
                <w:b/>
                <w:spacing w:val="-52"/>
                <w:sz w:val="20"/>
                <w:szCs w:val="20"/>
              </w:rPr>
              <w:t xml:space="preserve"> </w:t>
            </w:r>
            <w:r w:rsidRPr="008262B9">
              <w:rPr>
                <w:rFonts w:ascii="Bookman Old Style" w:hAnsi="Bookman Old Style"/>
                <w:b/>
                <w:sz w:val="20"/>
                <w:szCs w:val="20"/>
              </w:rPr>
              <w:t>Kertas Kerja</w:t>
            </w:r>
            <w:r w:rsidRPr="008262B9">
              <w:rPr>
                <w:rFonts w:ascii="Bookman Old Style" w:hAnsi="Bookman Old Style"/>
                <w:b/>
                <w:spacing w:val="-52"/>
                <w:sz w:val="20"/>
                <w:szCs w:val="20"/>
              </w:rPr>
              <w:t xml:space="preserve"> </w:t>
            </w:r>
            <w:r w:rsidRPr="008262B9">
              <w:rPr>
                <w:rFonts w:ascii="Bookman Old Style" w:hAnsi="Bookman Old Style"/>
                <w:b/>
                <w:sz w:val="20"/>
                <w:szCs w:val="20"/>
              </w:rPr>
              <w:t>NSFR</w:t>
            </w:r>
          </w:p>
        </w:tc>
      </w:tr>
      <w:tr w:rsidR="008262B9" w:rsidRPr="008262B9" w14:paraId="7D29EBD2" w14:textId="77777777" w:rsidTr="008262B9">
        <w:trPr>
          <w:trHeight w:val="436"/>
          <w:tblHeader/>
        </w:trPr>
        <w:tc>
          <w:tcPr>
            <w:tcW w:w="4842" w:type="dxa"/>
            <w:gridSpan w:val="2"/>
            <w:vMerge/>
            <w:tcBorders>
              <w:top w:val="nil"/>
            </w:tcBorders>
            <w:shd w:val="clear" w:color="auto" w:fill="808080"/>
          </w:tcPr>
          <w:p w14:paraId="5FA1D7C3" w14:textId="77777777" w:rsidR="008262B9" w:rsidRPr="008262B9" w:rsidRDefault="008262B9" w:rsidP="001359AD">
            <w:pPr>
              <w:rPr>
                <w:rFonts w:ascii="Bookman Old Style" w:hAnsi="Bookman Old Style"/>
                <w:sz w:val="20"/>
                <w:szCs w:val="20"/>
              </w:rPr>
            </w:pPr>
          </w:p>
        </w:tc>
        <w:tc>
          <w:tcPr>
            <w:tcW w:w="3817" w:type="dxa"/>
            <w:gridSpan w:val="4"/>
            <w:shd w:val="clear" w:color="auto" w:fill="808080"/>
          </w:tcPr>
          <w:p w14:paraId="5EDF4C53" w14:textId="77777777" w:rsidR="008262B9" w:rsidRPr="008262B9" w:rsidRDefault="008262B9" w:rsidP="001359AD">
            <w:pPr>
              <w:pStyle w:val="TableParagraph"/>
              <w:spacing w:before="31"/>
              <w:ind w:left="231" w:right="205" w:hanging="4"/>
              <w:jc w:val="center"/>
              <w:rPr>
                <w:rFonts w:ascii="Bookman Old Style" w:hAnsi="Bookman Old Style"/>
                <w:b/>
                <w:sz w:val="20"/>
                <w:szCs w:val="20"/>
              </w:rPr>
            </w:pPr>
            <w:r w:rsidRPr="008262B9">
              <w:rPr>
                <w:rFonts w:ascii="Bookman Old Style" w:hAnsi="Bookman Old Style"/>
                <w:b/>
                <w:sz w:val="20"/>
                <w:szCs w:val="20"/>
              </w:rPr>
              <w:t>Nilai Tercatat Berdasarkan Sisa</w:t>
            </w:r>
            <w:r w:rsidRPr="008262B9">
              <w:rPr>
                <w:rFonts w:ascii="Bookman Old Style" w:hAnsi="Bookman Old Style"/>
                <w:b/>
                <w:spacing w:val="1"/>
                <w:sz w:val="20"/>
                <w:szCs w:val="20"/>
              </w:rPr>
              <w:t xml:space="preserve"> </w:t>
            </w:r>
            <w:r w:rsidRPr="008262B9">
              <w:rPr>
                <w:rFonts w:ascii="Bookman Old Style" w:hAnsi="Bookman Old Style"/>
                <w:b/>
                <w:sz w:val="20"/>
                <w:szCs w:val="20"/>
              </w:rPr>
              <w:t>Jangka</w:t>
            </w:r>
            <w:r w:rsidRPr="008262B9">
              <w:rPr>
                <w:rFonts w:ascii="Bookman Old Style" w:hAnsi="Bookman Old Style"/>
                <w:b/>
                <w:spacing w:val="-4"/>
                <w:sz w:val="20"/>
                <w:szCs w:val="20"/>
              </w:rPr>
              <w:t xml:space="preserve"> </w:t>
            </w:r>
            <w:r w:rsidRPr="008262B9">
              <w:rPr>
                <w:rFonts w:ascii="Bookman Old Style" w:hAnsi="Bookman Old Style"/>
                <w:b/>
                <w:sz w:val="20"/>
                <w:szCs w:val="20"/>
              </w:rPr>
              <w:t>Waktu</w:t>
            </w:r>
            <w:r w:rsidRPr="008262B9">
              <w:rPr>
                <w:rFonts w:ascii="Bookman Old Style" w:hAnsi="Bookman Old Style"/>
                <w:b/>
                <w:spacing w:val="-6"/>
                <w:sz w:val="20"/>
                <w:szCs w:val="20"/>
              </w:rPr>
              <w:t xml:space="preserve"> </w:t>
            </w:r>
            <w:r w:rsidRPr="008262B9">
              <w:rPr>
                <w:rFonts w:ascii="Bookman Old Style" w:hAnsi="Bookman Old Style"/>
                <w:b/>
                <w:sz w:val="20"/>
                <w:szCs w:val="20"/>
              </w:rPr>
              <w:t>(Dalam</w:t>
            </w:r>
            <w:r w:rsidRPr="008262B9">
              <w:rPr>
                <w:rFonts w:ascii="Bookman Old Style" w:hAnsi="Bookman Old Style"/>
                <w:b/>
                <w:spacing w:val="-4"/>
                <w:sz w:val="20"/>
                <w:szCs w:val="20"/>
              </w:rPr>
              <w:t xml:space="preserve"> </w:t>
            </w:r>
            <w:r w:rsidRPr="008262B9">
              <w:rPr>
                <w:rFonts w:ascii="Bookman Old Style" w:hAnsi="Bookman Old Style"/>
                <w:b/>
                <w:sz w:val="20"/>
                <w:szCs w:val="20"/>
              </w:rPr>
              <w:t>Juta</w:t>
            </w:r>
            <w:r w:rsidRPr="008262B9">
              <w:rPr>
                <w:rFonts w:ascii="Bookman Old Style" w:hAnsi="Bookman Old Style"/>
                <w:b/>
                <w:spacing w:val="-2"/>
                <w:sz w:val="20"/>
                <w:szCs w:val="20"/>
              </w:rPr>
              <w:t xml:space="preserve"> </w:t>
            </w:r>
            <w:r w:rsidRPr="008262B9">
              <w:rPr>
                <w:rFonts w:ascii="Bookman Old Style" w:hAnsi="Bookman Old Style"/>
                <w:b/>
                <w:sz w:val="20"/>
                <w:szCs w:val="20"/>
              </w:rPr>
              <w:t>Rupiah)</w:t>
            </w:r>
          </w:p>
        </w:tc>
        <w:tc>
          <w:tcPr>
            <w:tcW w:w="1427" w:type="dxa"/>
            <w:shd w:val="clear" w:color="auto" w:fill="808080"/>
          </w:tcPr>
          <w:p w14:paraId="377FE8FD" w14:textId="77777777" w:rsidR="008262B9" w:rsidRPr="008262B9" w:rsidRDefault="008262B9" w:rsidP="001359AD">
            <w:pPr>
              <w:pStyle w:val="TableParagraph"/>
              <w:ind w:right="115"/>
              <w:rPr>
                <w:rFonts w:ascii="Bookman Old Style" w:hAnsi="Bookman Old Style"/>
                <w:b/>
                <w:sz w:val="20"/>
                <w:szCs w:val="20"/>
              </w:rPr>
            </w:pPr>
            <w:r w:rsidRPr="008262B9">
              <w:rPr>
                <w:rFonts w:ascii="Bookman Old Style" w:hAnsi="Bookman Old Style"/>
                <w:b/>
                <w:sz w:val="20"/>
                <w:szCs w:val="20"/>
              </w:rPr>
              <w:t>Total Nilai</w:t>
            </w:r>
            <w:r w:rsidRPr="008262B9">
              <w:rPr>
                <w:rFonts w:ascii="Bookman Old Style" w:hAnsi="Bookman Old Style"/>
                <w:b/>
                <w:spacing w:val="-52"/>
                <w:sz w:val="20"/>
                <w:szCs w:val="20"/>
              </w:rPr>
              <w:t xml:space="preserve"> </w:t>
            </w:r>
            <w:r w:rsidRPr="008262B9">
              <w:rPr>
                <w:rFonts w:ascii="Bookman Old Style" w:hAnsi="Bookman Old Style"/>
                <w:b/>
                <w:sz w:val="20"/>
                <w:szCs w:val="20"/>
              </w:rPr>
              <w:t>Tertimbang</w:t>
            </w:r>
          </w:p>
        </w:tc>
        <w:tc>
          <w:tcPr>
            <w:tcW w:w="3802" w:type="dxa"/>
            <w:gridSpan w:val="5"/>
            <w:shd w:val="clear" w:color="auto" w:fill="808080"/>
          </w:tcPr>
          <w:p w14:paraId="411A0DC6" w14:textId="77777777" w:rsidR="008262B9" w:rsidRPr="008262B9" w:rsidRDefault="008262B9" w:rsidP="001359AD">
            <w:pPr>
              <w:pStyle w:val="TableParagraph"/>
              <w:spacing w:before="40" w:line="188" w:lineRule="exact"/>
              <w:ind w:left="607" w:right="94" w:hanging="495"/>
              <w:rPr>
                <w:rFonts w:ascii="Bookman Old Style" w:hAnsi="Bookman Old Style"/>
                <w:b/>
                <w:sz w:val="20"/>
                <w:szCs w:val="20"/>
              </w:rPr>
            </w:pPr>
            <w:r w:rsidRPr="008262B9">
              <w:rPr>
                <w:rFonts w:ascii="Bookman Old Style" w:hAnsi="Bookman Old Style"/>
                <w:b/>
                <w:sz w:val="20"/>
                <w:szCs w:val="20"/>
              </w:rPr>
              <w:t>Nilai Tercatat Berdasarkan Sisa Jangka</w:t>
            </w:r>
            <w:r w:rsidRPr="008262B9">
              <w:rPr>
                <w:rFonts w:ascii="Bookman Old Style" w:hAnsi="Bookman Old Style"/>
                <w:b/>
                <w:spacing w:val="-52"/>
                <w:sz w:val="20"/>
                <w:szCs w:val="20"/>
              </w:rPr>
              <w:t xml:space="preserve"> </w:t>
            </w:r>
            <w:r w:rsidRPr="008262B9">
              <w:rPr>
                <w:rFonts w:ascii="Bookman Old Style" w:hAnsi="Bookman Old Style"/>
                <w:b/>
                <w:sz w:val="20"/>
                <w:szCs w:val="20"/>
              </w:rPr>
              <w:t>Waktu</w:t>
            </w:r>
            <w:r w:rsidRPr="008262B9">
              <w:rPr>
                <w:rFonts w:ascii="Bookman Old Style" w:hAnsi="Bookman Old Style"/>
                <w:b/>
                <w:spacing w:val="-1"/>
                <w:sz w:val="20"/>
                <w:szCs w:val="20"/>
              </w:rPr>
              <w:t xml:space="preserve"> </w:t>
            </w:r>
            <w:r w:rsidRPr="008262B9">
              <w:rPr>
                <w:rFonts w:ascii="Bookman Old Style" w:hAnsi="Bookman Old Style"/>
                <w:b/>
                <w:sz w:val="20"/>
                <w:szCs w:val="20"/>
              </w:rPr>
              <w:t>(Dalam</w:t>
            </w:r>
            <w:r w:rsidRPr="008262B9">
              <w:rPr>
                <w:rFonts w:ascii="Bookman Old Style" w:hAnsi="Bookman Old Style"/>
                <w:b/>
                <w:spacing w:val="-3"/>
                <w:sz w:val="20"/>
                <w:szCs w:val="20"/>
              </w:rPr>
              <w:t xml:space="preserve"> </w:t>
            </w:r>
            <w:r w:rsidRPr="008262B9">
              <w:rPr>
                <w:rFonts w:ascii="Bookman Old Style" w:hAnsi="Bookman Old Style"/>
                <w:b/>
                <w:sz w:val="20"/>
                <w:szCs w:val="20"/>
              </w:rPr>
              <w:t>Juta</w:t>
            </w:r>
            <w:r w:rsidRPr="008262B9">
              <w:rPr>
                <w:rFonts w:ascii="Bookman Old Style" w:hAnsi="Bookman Old Style"/>
                <w:b/>
                <w:spacing w:val="-1"/>
                <w:sz w:val="20"/>
                <w:szCs w:val="20"/>
              </w:rPr>
              <w:t xml:space="preserve"> </w:t>
            </w:r>
            <w:r w:rsidRPr="008262B9">
              <w:rPr>
                <w:rFonts w:ascii="Bookman Old Style" w:hAnsi="Bookman Old Style"/>
                <w:b/>
                <w:sz w:val="20"/>
                <w:szCs w:val="20"/>
              </w:rPr>
              <w:t>Rupiah)</w:t>
            </w:r>
          </w:p>
        </w:tc>
        <w:tc>
          <w:tcPr>
            <w:tcW w:w="1443" w:type="dxa"/>
            <w:shd w:val="clear" w:color="auto" w:fill="808080"/>
          </w:tcPr>
          <w:p w14:paraId="1F8F32EF" w14:textId="77777777" w:rsidR="008262B9" w:rsidRPr="008262B9" w:rsidRDefault="008262B9" w:rsidP="001359AD">
            <w:pPr>
              <w:pStyle w:val="TableParagraph"/>
              <w:ind w:right="125"/>
              <w:rPr>
                <w:rFonts w:ascii="Bookman Old Style" w:hAnsi="Bookman Old Style"/>
                <w:b/>
                <w:sz w:val="20"/>
                <w:szCs w:val="20"/>
              </w:rPr>
            </w:pPr>
            <w:r w:rsidRPr="008262B9">
              <w:rPr>
                <w:rFonts w:ascii="Bookman Old Style" w:hAnsi="Bookman Old Style"/>
                <w:b/>
                <w:sz w:val="20"/>
                <w:szCs w:val="20"/>
              </w:rPr>
              <w:t>Total Nilai</w:t>
            </w:r>
            <w:r w:rsidRPr="008262B9">
              <w:rPr>
                <w:rFonts w:ascii="Bookman Old Style" w:hAnsi="Bookman Old Style"/>
                <w:b/>
                <w:spacing w:val="-52"/>
                <w:sz w:val="20"/>
                <w:szCs w:val="20"/>
              </w:rPr>
              <w:t xml:space="preserve"> </w:t>
            </w:r>
            <w:r w:rsidRPr="008262B9">
              <w:rPr>
                <w:rFonts w:ascii="Bookman Old Style" w:hAnsi="Bookman Old Style"/>
                <w:b/>
                <w:sz w:val="20"/>
                <w:szCs w:val="20"/>
              </w:rPr>
              <w:t>Tertimbang</w:t>
            </w:r>
          </w:p>
        </w:tc>
        <w:tc>
          <w:tcPr>
            <w:tcW w:w="1559" w:type="dxa"/>
            <w:vMerge/>
            <w:tcBorders>
              <w:top w:val="nil"/>
            </w:tcBorders>
            <w:shd w:val="clear" w:color="auto" w:fill="808080"/>
          </w:tcPr>
          <w:p w14:paraId="53A1B1AC" w14:textId="77777777" w:rsidR="008262B9" w:rsidRPr="008262B9" w:rsidRDefault="008262B9" w:rsidP="001359AD">
            <w:pPr>
              <w:rPr>
                <w:rFonts w:ascii="Bookman Old Style" w:hAnsi="Bookman Old Style"/>
                <w:sz w:val="20"/>
                <w:szCs w:val="20"/>
              </w:rPr>
            </w:pPr>
          </w:p>
        </w:tc>
      </w:tr>
      <w:tr w:rsidR="008262B9" w:rsidRPr="008262B9" w14:paraId="0C00E73B" w14:textId="77777777" w:rsidTr="008262B9">
        <w:trPr>
          <w:trHeight w:val="899"/>
          <w:tblHeader/>
        </w:trPr>
        <w:tc>
          <w:tcPr>
            <w:tcW w:w="4842" w:type="dxa"/>
            <w:gridSpan w:val="2"/>
            <w:vMerge/>
            <w:tcBorders>
              <w:top w:val="nil"/>
            </w:tcBorders>
            <w:shd w:val="clear" w:color="auto" w:fill="808080"/>
          </w:tcPr>
          <w:p w14:paraId="4C48DD69" w14:textId="77777777" w:rsidR="008262B9" w:rsidRPr="008262B9" w:rsidRDefault="008262B9" w:rsidP="001359AD">
            <w:pPr>
              <w:rPr>
                <w:rFonts w:ascii="Bookman Old Style" w:hAnsi="Bookman Old Style"/>
                <w:sz w:val="20"/>
                <w:szCs w:val="20"/>
              </w:rPr>
            </w:pPr>
          </w:p>
        </w:tc>
        <w:tc>
          <w:tcPr>
            <w:tcW w:w="1201" w:type="dxa"/>
            <w:shd w:val="clear" w:color="auto" w:fill="808080"/>
          </w:tcPr>
          <w:p w14:paraId="2262E461" w14:textId="77777777" w:rsidR="008262B9" w:rsidRPr="008262B9" w:rsidRDefault="008262B9" w:rsidP="001359AD">
            <w:pPr>
              <w:pStyle w:val="TableParagraph"/>
              <w:spacing w:before="6"/>
              <w:rPr>
                <w:rFonts w:ascii="Bookman Old Style" w:hAnsi="Bookman Old Style"/>
                <w:sz w:val="20"/>
                <w:szCs w:val="20"/>
              </w:rPr>
            </w:pPr>
          </w:p>
          <w:p w14:paraId="46E031E8" w14:textId="77777777" w:rsidR="008262B9" w:rsidRPr="008262B9" w:rsidRDefault="008262B9" w:rsidP="001359AD">
            <w:pPr>
              <w:pStyle w:val="TableParagraph"/>
              <w:ind w:left="107" w:right="85" w:firstLine="40"/>
              <w:jc w:val="both"/>
              <w:rPr>
                <w:rFonts w:ascii="Bookman Old Style" w:hAnsi="Bookman Old Style"/>
                <w:b/>
                <w:sz w:val="20"/>
                <w:szCs w:val="20"/>
              </w:rPr>
            </w:pPr>
            <w:r w:rsidRPr="008262B9">
              <w:rPr>
                <w:rFonts w:ascii="Bookman Old Style" w:hAnsi="Bookman Old Style"/>
                <w:b/>
                <w:sz w:val="20"/>
                <w:szCs w:val="20"/>
              </w:rPr>
              <w:t>Tanpa</w:t>
            </w:r>
            <w:r w:rsidRPr="008262B9">
              <w:rPr>
                <w:rFonts w:ascii="Bookman Old Style" w:hAnsi="Bookman Old Style"/>
                <w:b/>
                <w:spacing w:val="-52"/>
                <w:sz w:val="20"/>
                <w:szCs w:val="20"/>
              </w:rPr>
              <w:t xml:space="preserve"> </w:t>
            </w:r>
            <w:r w:rsidRPr="008262B9">
              <w:rPr>
                <w:rFonts w:ascii="Bookman Old Style" w:hAnsi="Bookman Old Style"/>
                <w:b/>
                <w:sz w:val="20"/>
                <w:szCs w:val="20"/>
              </w:rPr>
              <w:t>Jangka</w:t>
            </w:r>
            <w:r w:rsidRPr="008262B9">
              <w:rPr>
                <w:rFonts w:ascii="Bookman Old Style" w:hAnsi="Bookman Old Style"/>
                <w:b/>
                <w:spacing w:val="-52"/>
                <w:sz w:val="20"/>
                <w:szCs w:val="20"/>
              </w:rPr>
              <w:t xml:space="preserve"> </w:t>
            </w:r>
            <w:r w:rsidRPr="008262B9">
              <w:rPr>
                <w:rFonts w:ascii="Bookman Old Style" w:hAnsi="Bookman Old Style"/>
                <w:b/>
                <w:sz w:val="20"/>
                <w:szCs w:val="20"/>
              </w:rPr>
              <w:t>Waktu¹</w:t>
            </w:r>
          </w:p>
        </w:tc>
        <w:tc>
          <w:tcPr>
            <w:tcW w:w="675" w:type="dxa"/>
            <w:shd w:val="clear" w:color="auto" w:fill="808080"/>
          </w:tcPr>
          <w:p w14:paraId="21E774DD" w14:textId="77777777" w:rsidR="008262B9" w:rsidRPr="008262B9" w:rsidRDefault="008262B9" w:rsidP="001359AD">
            <w:pPr>
              <w:pStyle w:val="TableParagraph"/>
              <w:spacing w:before="5"/>
              <w:rPr>
                <w:rFonts w:ascii="Bookman Old Style" w:hAnsi="Bookman Old Style"/>
                <w:sz w:val="20"/>
                <w:szCs w:val="20"/>
              </w:rPr>
            </w:pPr>
          </w:p>
          <w:p w14:paraId="477B051F" w14:textId="77777777" w:rsidR="008262B9" w:rsidRPr="008262B9" w:rsidRDefault="008262B9" w:rsidP="001359AD">
            <w:pPr>
              <w:pStyle w:val="TableParagraph"/>
              <w:spacing w:line="188" w:lineRule="exact"/>
              <w:ind w:left="86" w:right="70"/>
              <w:jc w:val="center"/>
              <w:rPr>
                <w:rFonts w:ascii="Bookman Old Style" w:hAnsi="Bookman Old Style"/>
                <w:b/>
                <w:sz w:val="20"/>
                <w:szCs w:val="20"/>
              </w:rPr>
            </w:pPr>
            <w:r w:rsidRPr="008262B9">
              <w:rPr>
                <w:rFonts w:ascii="Bookman Old Style" w:hAnsi="Bookman Old Style"/>
                <w:b/>
                <w:sz w:val="20"/>
                <w:szCs w:val="20"/>
              </w:rPr>
              <w:t>&lt; 6</w:t>
            </w:r>
          </w:p>
          <w:p w14:paraId="55805100" w14:textId="77777777" w:rsidR="008262B9" w:rsidRPr="008262B9" w:rsidRDefault="008262B9" w:rsidP="001359AD">
            <w:pPr>
              <w:pStyle w:val="TableParagraph"/>
              <w:spacing w:line="188" w:lineRule="exact"/>
              <w:ind w:left="86" w:right="70"/>
              <w:jc w:val="center"/>
              <w:rPr>
                <w:rFonts w:ascii="Bookman Old Style" w:hAnsi="Bookman Old Style"/>
                <w:b/>
                <w:sz w:val="20"/>
                <w:szCs w:val="20"/>
              </w:rPr>
            </w:pPr>
            <w:r w:rsidRPr="008262B9">
              <w:rPr>
                <w:rFonts w:ascii="Bookman Old Style" w:hAnsi="Bookman Old Style"/>
                <w:b/>
                <w:sz w:val="20"/>
                <w:szCs w:val="20"/>
              </w:rPr>
              <w:t>bulan</w:t>
            </w:r>
          </w:p>
        </w:tc>
        <w:tc>
          <w:tcPr>
            <w:tcW w:w="1126" w:type="dxa"/>
            <w:shd w:val="clear" w:color="auto" w:fill="808080"/>
          </w:tcPr>
          <w:p w14:paraId="36B04591" w14:textId="77777777" w:rsidR="008262B9" w:rsidRPr="008262B9" w:rsidRDefault="008262B9" w:rsidP="001359AD">
            <w:pPr>
              <w:pStyle w:val="TableParagraph"/>
              <w:spacing w:before="5"/>
              <w:rPr>
                <w:rFonts w:ascii="Bookman Old Style" w:hAnsi="Bookman Old Style"/>
                <w:sz w:val="20"/>
                <w:szCs w:val="20"/>
              </w:rPr>
            </w:pPr>
          </w:p>
          <w:p w14:paraId="236999FA" w14:textId="77777777" w:rsidR="008262B9" w:rsidRPr="008262B9" w:rsidRDefault="008262B9" w:rsidP="001359AD">
            <w:pPr>
              <w:pStyle w:val="TableParagraph"/>
              <w:spacing w:line="188" w:lineRule="exact"/>
              <w:ind w:left="151"/>
              <w:rPr>
                <w:rFonts w:ascii="Bookman Old Style" w:hAnsi="Bookman Old Style"/>
                <w:b/>
                <w:sz w:val="20"/>
                <w:szCs w:val="20"/>
              </w:rPr>
            </w:pPr>
            <w:r w:rsidRPr="008262B9">
              <w:rPr>
                <w:rFonts w:ascii="Bookman Old Style" w:hAnsi="Bookman Old Style"/>
                <w:b/>
                <w:sz w:val="20"/>
                <w:szCs w:val="20"/>
              </w:rPr>
              <w:t>≥</w:t>
            </w:r>
            <w:r w:rsidRPr="008262B9">
              <w:rPr>
                <w:rFonts w:ascii="Bookman Old Style" w:hAnsi="Bookman Old Style"/>
                <w:b/>
                <w:spacing w:val="-1"/>
                <w:sz w:val="20"/>
                <w:szCs w:val="20"/>
              </w:rPr>
              <w:t xml:space="preserve"> </w:t>
            </w:r>
            <w:r w:rsidRPr="008262B9">
              <w:rPr>
                <w:rFonts w:ascii="Bookman Old Style" w:hAnsi="Bookman Old Style"/>
                <w:b/>
                <w:sz w:val="20"/>
                <w:szCs w:val="20"/>
              </w:rPr>
              <w:t>6</w:t>
            </w:r>
            <w:r w:rsidRPr="008262B9">
              <w:rPr>
                <w:rFonts w:ascii="Bookman Old Style" w:hAnsi="Bookman Old Style"/>
                <w:b/>
                <w:spacing w:val="51"/>
                <w:sz w:val="20"/>
                <w:szCs w:val="20"/>
              </w:rPr>
              <w:t xml:space="preserve"> </w:t>
            </w:r>
            <w:r w:rsidRPr="008262B9">
              <w:rPr>
                <w:rFonts w:ascii="Bookman Old Style" w:hAnsi="Bookman Old Style"/>
                <w:b/>
                <w:sz w:val="20"/>
                <w:szCs w:val="20"/>
              </w:rPr>
              <w:t>bulan</w:t>
            </w:r>
          </w:p>
          <w:p w14:paraId="2544DE8B" w14:textId="77777777" w:rsidR="008262B9" w:rsidRPr="008262B9" w:rsidRDefault="008262B9" w:rsidP="001359AD">
            <w:pPr>
              <w:pStyle w:val="TableParagraph"/>
              <w:spacing w:line="188" w:lineRule="exact"/>
              <w:ind w:left="177"/>
              <w:rPr>
                <w:rFonts w:ascii="Bookman Old Style" w:hAnsi="Bookman Old Style"/>
                <w:b/>
                <w:sz w:val="20"/>
                <w:szCs w:val="20"/>
              </w:rPr>
            </w:pPr>
            <w:r w:rsidRPr="008262B9">
              <w:rPr>
                <w:rFonts w:ascii="Bookman Old Style" w:hAnsi="Bookman Old Style"/>
                <w:b/>
                <w:sz w:val="20"/>
                <w:szCs w:val="20"/>
              </w:rPr>
              <w:t>-</w:t>
            </w:r>
            <w:r w:rsidRPr="008262B9">
              <w:rPr>
                <w:rFonts w:ascii="Bookman Old Style" w:hAnsi="Bookman Old Style"/>
                <w:b/>
                <w:spacing w:val="-1"/>
                <w:sz w:val="20"/>
                <w:szCs w:val="20"/>
              </w:rPr>
              <w:t xml:space="preserve"> </w:t>
            </w:r>
            <w:r w:rsidRPr="008262B9">
              <w:rPr>
                <w:rFonts w:ascii="Bookman Old Style" w:hAnsi="Bookman Old Style"/>
                <w:b/>
                <w:sz w:val="20"/>
                <w:szCs w:val="20"/>
              </w:rPr>
              <w:t>1</w:t>
            </w:r>
            <w:r w:rsidRPr="008262B9">
              <w:rPr>
                <w:rFonts w:ascii="Bookman Old Style" w:hAnsi="Bookman Old Style"/>
                <w:b/>
                <w:spacing w:val="-1"/>
                <w:sz w:val="20"/>
                <w:szCs w:val="20"/>
              </w:rPr>
              <w:t xml:space="preserve"> </w:t>
            </w:r>
            <w:r w:rsidRPr="008262B9">
              <w:rPr>
                <w:rFonts w:ascii="Bookman Old Style" w:hAnsi="Bookman Old Style"/>
                <w:b/>
                <w:sz w:val="20"/>
                <w:szCs w:val="20"/>
              </w:rPr>
              <w:t>tahun</w:t>
            </w:r>
          </w:p>
        </w:tc>
        <w:tc>
          <w:tcPr>
            <w:tcW w:w="815" w:type="dxa"/>
            <w:shd w:val="clear" w:color="auto" w:fill="808080"/>
          </w:tcPr>
          <w:p w14:paraId="5E1A425A" w14:textId="77777777" w:rsidR="008262B9" w:rsidRPr="008262B9" w:rsidRDefault="008262B9" w:rsidP="001359AD">
            <w:pPr>
              <w:pStyle w:val="TableParagraph"/>
              <w:spacing w:before="5"/>
              <w:rPr>
                <w:rFonts w:ascii="Bookman Old Style" w:hAnsi="Bookman Old Style"/>
                <w:sz w:val="20"/>
                <w:szCs w:val="20"/>
              </w:rPr>
            </w:pPr>
          </w:p>
          <w:p w14:paraId="307057F4" w14:textId="77777777" w:rsidR="008262B9" w:rsidRPr="008262B9" w:rsidRDefault="008262B9" w:rsidP="001359AD">
            <w:pPr>
              <w:pStyle w:val="TableParagraph"/>
              <w:ind w:left="153" w:right="127" w:firstLine="120"/>
              <w:rPr>
                <w:rFonts w:ascii="Bookman Old Style" w:hAnsi="Bookman Old Style"/>
                <w:b/>
                <w:sz w:val="20"/>
                <w:szCs w:val="20"/>
              </w:rPr>
            </w:pPr>
            <w:r w:rsidRPr="008262B9">
              <w:rPr>
                <w:rFonts w:ascii="Bookman Old Style" w:hAnsi="Bookman Old Style"/>
                <w:b/>
                <w:sz w:val="20"/>
                <w:szCs w:val="20"/>
              </w:rPr>
              <w:t>≥ 1</w:t>
            </w:r>
            <w:r w:rsidRPr="008262B9">
              <w:rPr>
                <w:rFonts w:ascii="Bookman Old Style" w:hAnsi="Bookman Old Style"/>
                <w:b/>
                <w:spacing w:val="1"/>
                <w:sz w:val="20"/>
                <w:szCs w:val="20"/>
              </w:rPr>
              <w:t xml:space="preserve"> </w:t>
            </w:r>
            <w:r w:rsidRPr="008262B9">
              <w:rPr>
                <w:rFonts w:ascii="Bookman Old Style" w:hAnsi="Bookman Old Style"/>
                <w:b/>
                <w:sz w:val="20"/>
                <w:szCs w:val="20"/>
              </w:rPr>
              <w:t>tahun</w:t>
            </w:r>
          </w:p>
        </w:tc>
        <w:tc>
          <w:tcPr>
            <w:tcW w:w="1427" w:type="dxa"/>
            <w:tcBorders>
              <w:top w:val="nil"/>
            </w:tcBorders>
            <w:shd w:val="clear" w:color="auto" w:fill="808080"/>
          </w:tcPr>
          <w:p w14:paraId="60EAFCA3" w14:textId="77777777" w:rsidR="008262B9" w:rsidRPr="008262B9" w:rsidRDefault="008262B9" w:rsidP="001359AD">
            <w:pPr>
              <w:rPr>
                <w:rFonts w:ascii="Bookman Old Style" w:hAnsi="Bookman Old Style"/>
                <w:sz w:val="20"/>
                <w:szCs w:val="20"/>
              </w:rPr>
            </w:pPr>
          </w:p>
        </w:tc>
        <w:tc>
          <w:tcPr>
            <w:tcW w:w="1089" w:type="dxa"/>
            <w:shd w:val="clear" w:color="auto" w:fill="808080"/>
          </w:tcPr>
          <w:p w14:paraId="31EAE09E" w14:textId="77777777" w:rsidR="008262B9" w:rsidRPr="008262B9" w:rsidRDefault="008262B9" w:rsidP="001359AD">
            <w:pPr>
              <w:pStyle w:val="TableParagraph"/>
              <w:spacing w:before="6"/>
              <w:rPr>
                <w:rFonts w:ascii="Bookman Old Style" w:hAnsi="Bookman Old Style"/>
                <w:sz w:val="20"/>
                <w:szCs w:val="20"/>
              </w:rPr>
            </w:pPr>
          </w:p>
          <w:p w14:paraId="1AB7DA5A" w14:textId="77777777" w:rsidR="008262B9" w:rsidRPr="008262B9" w:rsidRDefault="008262B9" w:rsidP="001359AD">
            <w:pPr>
              <w:pStyle w:val="TableParagraph"/>
              <w:ind w:left="-1" w:right="89" w:firstLine="40"/>
              <w:jc w:val="both"/>
              <w:rPr>
                <w:rFonts w:ascii="Bookman Old Style" w:hAnsi="Bookman Old Style"/>
                <w:b/>
                <w:sz w:val="20"/>
                <w:szCs w:val="20"/>
              </w:rPr>
            </w:pPr>
            <w:r w:rsidRPr="008262B9">
              <w:rPr>
                <w:rFonts w:ascii="Bookman Old Style" w:hAnsi="Bookman Old Style"/>
                <w:b/>
                <w:sz w:val="20"/>
                <w:szCs w:val="20"/>
              </w:rPr>
              <w:t>Tanpa</w:t>
            </w:r>
            <w:r w:rsidRPr="008262B9">
              <w:rPr>
                <w:rFonts w:ascii="Bookman Old Style" w:hAnsi="Bookman Old Style"/>
                <w:b/>
                <w:spacing w:val="-52"/>
                <w:sz w:val="20"/>
                <w:szCs w:val="20"/>
              </w:rPr>
              <w:t xml:space="preserve"> </w:t>
            </w:r>
            <w:r w:rsidRPr="008262B9">
              <w:rPr>
                <w:rFonts w:ascii="Bookman Old Style" w:hAnsi="Bookman Old Style"/>
                <w:b/>
                <w:sz w:val="20"/>
                <w:szCs w:val="20"/>
              </w:rPr>
              <w:t>Jangka</w:t>
            </w:r>
            <w:r w:rsidRPr="008262B9">
              <w:rPr>
                <w:rFonts w:ascii="Bookman Old Style" w:hAnsi="Bookman Old Style"/>
                <w:b/>
                <w:spacing w:val="-52"/>
                <w:sz w:val="20"/>
                <w:szCs w:val="20"/>
              </w:rPr>
              <w:t xml:space="preserve"> </w:t>
            </w:r>
            <w:r w:rsidRPr="008262B9">
              <w:rPr>
                <w:rFonts w:ascii="Bookman Old Style" w:hAnsi="Bookman Old Style"/>
                <w:b/>
                <w:sz w:val="20"/>
                <w:szCs w:val="20"/>
              </w:rPr>
              <w:t>Waktu¹</w:t>
            </w:r>
          </w:p>
        </w:tc>
        <w:tc>
          <w:tcPr>
            <w:tcW w:w="810" w:type="dxa"/>
            <w:shd w:val="clear" w:color="auto" w:fill="808080"/>
          </w:tcPr>
          <w:p w14:paraId="1A407714" w14:textId="77777777" w:rsidR="008262B9" w:rsidRPr="008262B9" w:rsidRDefault="008262B9" w:rsidP="001359AD">
            <w:pPr>
              <w:pStyle w:val="TableParagraph"/>
              <w:spacing w:before="5"/>
              <w:rPr>
                <w:rFonts w:ascii="Bookman Old Style" w:hAnsi="Bookman Old Style"/>
                <w:sz w:val="20"/>
                <w:szCs w:val="20"/>
              </w:rPr>
            </w:pPr>
          </w:p>
          <w:p w14:paraId="3624FF93" w14:textId="77777777" w:rsidR="008262B9" w:rsidRPr="008262B9" w:rsidRDefault="008262B9" w:rsidP="001359AD">
            <w:pPr>
              <w:pStyle w:val="TableParagraph"/>
              <w:spacing w:line="188" w:lineRule="exact"/>
              <w:ind w:left="150" w:right="142"/>
              <w:jc w:val="center"/>
              <w:rPr>
                <w:rFonts w:ascii="Bookman Old Style" w:hAnsi="Bookman Old Style"/>
                <w:b/>
                <w:sz w:val="20"/>
                <w:szCs w:val="20"/>
              </w:rPr>
            </w:pPr>
            <w:r w:rsidRPr="008262B9">
              <w:rPr>
                <w:rFonts w:ascii="Bookman Old Style" w:hAnsi="Bookman Old Style"/>
                <w:b/>
                <w:sz w:val="20"/>
                <w:szCs w:val="20"/>
              </w:rPr>
              <w:t>&lt; 6</w:t>
            </w:r>
          </w:p>
          <w:p w14:paraId="446D84EA" w14:textId="77777777" w:rsidR="008262B9" w:rsidRPr="008262B9" w:rsidRDefault="008262B9" w:rsidP="001359AD">
            <w:pPr>
              <w:pStyle w:val="TableParagraph"/>
              <w:spacing w:line="188" w:lineRule="exact"/>
              <w:ind w:left="150" w:right="142"/>
              <w:jc w:val="center"/>
              <w:rPr>
                <w:rFonts w:ascii="Bookman Old Style" w:hAnsi="Bookman Old Style"/>
                <w:b/>
                <w:sz w:val="20"/>
                <w:szCs w:val="20"/>
              </w:rPr>
            </w:pPr>
            <w:r w:rsidRPr="008262B9">
              <w:rPr>
                <w:rFonts w:ascii="Bookman Old Style" w:hAnsi="Bookman Old Style"/>
                <w:b/>
                <w:sz w:val="20"/>
                <w:szCs w:val="20"/>
              </w:rPr>
              <w:t>bulan</w:t>
            </w:r>
          </w:p>
        </w:tc>
        <w:tc>
          <w:tcPr>
            <w:tcW w:w="1082" w:type="dxa"/>
            <w:shd w:val="clear" w:color="auto" w:fill="808080"/>
          </w:tcPr>
          <w:p w14:paraId="3890EF08" w14:textId="77777777" w:rsidR="008262B9" w:rsidRPr="008262B9" w:rsidRDefault="008262B9" w:rsidP="001359AD">
            <w:pPr>
              <w:pStyle w:val="TableParagraph"/>
              <w:spacing w:before="6"/>
              <w:rPr>
                <w:rFonts w:ascii="Bookman Old Style" w:hAnsi="Bookman Old Style"/>
                <w:sz w:val="20"/>
                <w:szCs w:val="20"/>
              </w:rPr>
            </w:pPr>
          </w:p>
          <w:p w14:paraId="2B2EE092" w14:textId="77777777" w:rsidR="008262B9" w:rsidRPr="008262B9" w:rsidRDefault="008262B9" w:rsidP="001359AD">
            <w:pPr>
              <w:pStyle w:val="TableParagraph"/>
              <w:spacing w:line="188" w:lineRule="exact"/>
              <w:ind w:left="107" w:right="104"/>
              <w:jc w:val="center"/>
              <w:rPr>
                <w:rFonts w:ascii="Bookman Old Style" w:hAnsi="Bookman Old Style"/>
                <w:b/>
                <w:sz w:val="20"/>
                <w:szCs w:val="20"/>
              </w:rPr>
            </w:pPr>
            <w:r w:rsidRPr="008262B9">
              <w:rPr>
                <w:rFonts w:ascii="Bookman Old Style" w:hAnsi="Bookman Old Style"/>
                <w:b/>
                <w:sz w:val="20"/>
                <w:szCs w:val="20"/>
              </w:rPr>
              <w:t>≥</w:t>
            </w:r>
            <w:r w:rsidRPr="008262B9">
              <w:rPr>
                <w:rFonts w:ascii="Bookman Old Style" w:hAnsi="Bookman Old Style"/>
                <w:b/>
                <w:spacing w:val="-1"/>
                <w:sz w:val="20"/>
                <w:szCs w:val="20"/>
              </w:rPr>
              <w:t xml:space="preserve"> </w:t>
            </w:r>
            <w:r w:rsidRPr="008262B9">
              <w:rPr>
                <w:rFonts w:ascii="Bookman Old Style" w:hAnsi="Bookman Old Style"/>
                <w:b/>
                <w:sz w:val="20"/>
                <w:szCs w:val="20"/>
              </w:rPr>
              <w:t>6</w:t>
            </w:r>
            <w:r w:rsidRPr="008262B9">
              <w:rPr>
                <w:rFonts w:ascii="Bookman Old Style" w:hAnsi="Bookman Old Style"/>
                <w:b/>
                <w:spacing w:val="52"/>
                <w:sz w:val="20"/>
                <w:szCs w:val="20"/>
              </w:rPr>
              <w:t xml:space="preserve"> </w:t>
            </w:r>
            <w:r w:rsidRPr="008262B9">
              <w:rPr>
                <w:rFonts w:ascii="Bookman Old Style" w:hAnsi="Bookman Old Style"/>
                <w:b/>
                <w:sz w:val="20"/>
                <w:szCs w:val="20"/>
              </w:rPr>
              <w:t>bulan</w:t>
            </w:r>
          </w:p>
          <w:p w14:paraId="406A12A3" w14:textId="77777777" w:rsidR="008262B9" w:rsidRPr="008262B9" w:rsidRDefault="008262B9" w:rsidP="001359AD">
            <w:pPr>
              <w:pStyle w:val="TableParagraph"/>
              <w:spacing w:line="187" w:lineRule="exact"/>
              <w:ind w:left="107" w:right="102"/>
              <w:jc w:val="center"/>
              <w:rPr>
                <w:rFonts w:ascii="Bookman Old Style" w:hAnsi="Bookman Old Style"/>
                <w:b/>
                <w:sz w:val="20"/>
                <w:szCs w:val="20"/>
              </w:rPr>
            </w:pPr>
            <w:r w:rsidRPr="008262B9">
              <w:rPr>
                <w:rFonts w:ascii="Bookman Old Style" w:hAnsi="Bookman Old Style"/>
                <w:b/>
                <w:sz w:val="20"/>
                <w:szCs w:val="20"/>
              </w:rPr>
              <w:t>- &lt; 1</w:t>
            </w:r>
          </w:p>
          <w:p w14:paraId="4059C9A3" w14:textId="77777777" w:rsidR="008262B9" w:rsidRPr="008262B9" w:rsidRDefault="008262B9" w:rsidP="001359AD">
            <w:pPr>
              <w:pStyle w:val="TableParagraph"/>
              <w:spacing w:line="188" w:lineRule="exact"/>
              <w:ind w:left="107" w:right="101"/>
              <w:jc w:val="center"/>
              <w:rPr>
                <w:rFonts w:ascii="Bookman Old Style" w:hAnsi="Bookman Old Style"/>
                <w:b/>
                <w:sz w:val="20"/>
                <w:szCs w:val="20"/>
              </w:rPr>
            </w:pPr>
            <w:r w:rsidRPr="008262B9">
              <w:rPr>
                <w:rFonts w:ascii="Bookman Old Style" w:hAnsi="Bookman Old Style"/>
                <w:b/>
                <w:sz w:val="20"/>
                <w:szCs w:val="20"/>
              </w:rPr>
              <w:t>tahun</w:t>
            </w:r>
          </w:p>
        </w:tc>
        <w:tc>
          <w:tcPr>
            <w:tcW w:w="813" w:type="dxa"/>
            <w:shd w:val="clear" w:color="auto" w:fill="808080"/>
          </w:tcPr>
          <w:p w14:paraId="4F99448F" w14:textId="77777777" w:rsidR="008262B9" w:rsidRPr="008262B9" w:rsidRDefault="008262B9" w:rsidP="001359AD">
            <w:pPr>
              <w:pStyle w:val="TableParagraph"/>
              <w:spacing w:before="5"/>
              <w:rPr>
                <w:rFonts w:ascii="Bookman Old Style" w:hAnsi="Bookman Old Style"/>
                <w:sz w:val="20"/>
                <w:szCs w:val="20"/>
              </w:rPr>
            </w:pPr>
          </w:p>
          <w:p w14:paraId="45E813B1" w14:textId="77777777" w:rsidR="008262B9" w:rsidRPr="008262B9" w:rsidRDefault="008262B9" w:rsidP="001359AD">
            <w:pPr>
              <w:pStyle w:val="TableParagraph"/>
              <w:ind w:left="150" w:right="133" w:firstLine="120"/>
              <w:rPr>
                <w:rFonts w:ascii="Bookman Old Style" w:hAnsi="Bookman Old Style"/>
                <w:b/>
                <w:sz w:val="20"/>
                <w:szCs w:val="20"/>
              </w:rPr>
            </w:pPr>
            <w:r w:rsidRPr="008262B9">
              <w:rPr>
                <w:rFonts w:ascii="Bookman Old Style" w:hAnsi="Bookman Old Style"/>
                <w:b/>
                <w:sz w:val="20"/>
                <w:szCs w:val="20"/>
              </w:rPr>
              <w:t>≥ 1</w:t>
            </w:r>
            <w:r w:rsidRPr="008262B9">
              <w:rPr>
                <w:rFonts w:ascii="Bookman Old Style" w:hAnsi="Bookman Old Style"/>
                <w:b/>
                <w:spacing w:val="1"/>
                <w:sz w:val="20"/>
                <w:szCs w:val="20"/>
              </w:rPr>
              <w:t xml:space="preserve"> </w:t>
            </w:r>
            <w:r w:rsidRPr="008262B9">
              <w:rPr>
                <w:rFonts w:ascii="Bookman Old Style" w:hAnsi="Bookman Old Style"/>
                <w:b/>
                <w:sz w:val="20"/>
                <w:szCs w:val="20"/>
              </w:rPr>
              <w:t>tahun</w:t>
            </w:r>
          </w:p>
        </w:tc>
        <w:tc>
          <w:tcPr>
            <w:tcW w:w="1451" w:type="dxa"/>
            <w:gridSpan w:val="2"/>
            <w:tcBorders>
              <w:top w:val="nil"/>
            </w:tcBorders>
            <w:shd w:val="clear" w:color="auto" w:fill="808080"/>
          </w:tcPr>
          <w:p w14:paraId="73483CCC" w14:textId="77777777" w:rsidR="008262B9" w:rsidRPr="008262B9" w:rsidRDefault="008262B9" w:rsidP="001359AD">
            <w:pPr>
              <w:rPr>
                <w:rFonts w:ascii="Bookman Old Style" w:hAnsi="Bookman Old Style"/>
                <w:sz w:val="20"/>
                <w:szCs w:val="20"/>
              </w:rPr>
            </w:pPr>
          </w:p>
        </w:tc>
        <w:tc>
          <w:tcPr>
            <w:tcW w:w="1559" w:type="dxa"/>
            <w:tcBorders>
              <w:top w:val="nil"/>
            </w:tcBorders>
            <w:shd w:val="clear" w:color="auto" w:fill="808080"/>
          </w:tcPr>
          <w:p w14:paraId="35515399" w14:textId="77777777" w:rsidR="008262B9" w:rsidRPr="008262B9" w:rsidRDefault="008262B9" w:rsidP="001359AD">
            <w:pPr>
              <w:rPr>
                <w:rFonts w:ascii="Bookman Old Style" w:hAnsi="Bookman Old Style"/>
                <w:sz w:val="20"/>
                <w:szCs w:val="20"/>
              </w:rPr>
            </w:pPr>
          </w:p>
        </w:tc>
      </w:tr>
      <w:tr w:rsidR="008262B9" w:rsidRPr="008262B9" w14:paraId="75115D67" w14:textId="77777777" w:rsidTr="008262B9">
        <w:trPr>
          <w:trHeight w:val="482"/>
        </w:trPr>
        <w:tc>
          <w:tcPr>
            <w:tcW w:w="483" w:type="dxa"/>
            <w:shd w:val="clear" w:color="auto" w:fill="BEBEBE"/>
          </w:tcPr>
          <w:p w14:paraId="19B38353" w14:textId="77777777" w:rsidR="008262B9" w:rsidRPr="008262B9" w:rsidRDefault="008262B9" w:rsidP="001359AD">
            <w:pPr>
              <w:pStyle w:val="TableParagraph"/>
              <w:spacing w:before="123"/>
              <w:jc w:val="center"/>
              <w:rPr>
                <w:rFonts w:ascii="Bookman Old Style" w:hAnsi="Bookman Old Style"/>
                <w:sz w:val="20"/>
                <w:szCs w:val="20"/>
                <w:lang w:val="en-US"/>
              </w:rPr>
            </w:pPr>
            <w:r w:rsidRPr="008262B9">
              <w:rPr>
                <w:rFonts w:ascii="Bookman Old Style" w:hAnsi="Bookman Old Style"/>
                <w:sz w:val="20"/>
                <w:szCs w:val="20"/>
              </w:rPr>
              <w:t>1</w:t>
            </w:r>
            <w:r w:rsidRPr="008262B9">
              <w:rPr>
                <w:rFonts w:ascii="Bookman Old Style" w:hAnsi="Bookman Old Style"/>
                <w:sz w:val="20"/>
                <w:szCs w:val="20"/>
                <w:lang w:val="en-US"/>
              </w:rPr>
              <w:t>6</w:t>
            </w:r>
          </w:p>
        </w:tc>
        <w:tc>
          <w:tcPr>
            <w:tcW w:w="4359" w:type="dxa"/>
            <w:shd w:val="clear" w:color="auto" w:fill="BEBEBE"/>
          </w:tcPr>
          <w:p w14:paraId="16C1C62B" w14:textId="4AB72E4C" w:rsidR="008262B9" w:rsidRPr="008262B9" w:rsidRDefault="008262B9" w:rsidP="008262B9">
            <w:pPr>
              <w:pStyle w:val="TableParagraph"/>
              <w:spacing w:line="230" w:lineRule="atLeast"/>
              <w:ind w:left="107" w:right="128"/>
              <w:rPr>
                <w:rFonts w:ascii="Bookman Old Style" w:hAnsi="Bookman Old Style"/>
                <w:sz w:val="20"/>
                <w:szCs w:val="20"/>
              </w:rPr>
            </w:pPr>
            <w:r w:rsidRPr="008262B9">
              <w:rPr>
                <w:rFonts w:ascii="Bookman Old Style" w:hAnsi="Bookman Old Style"/>
                <w:sz w:val="20"/>
                <w:szCs w:val="20"/>
              </w:rPr>
              <w:t>Total</w:t>
            </w:r>
            <w:r w:rsidRPr="008262B9">
              <w:rPr>
                <w:rFonts w:ascii="Bookman Old Style" w:hAnsi="Bookman Old Style"/>
                <w:spacing w:val="-3"/>
                <w:sz w:val="20"/>
                <w:szCs w:val="20"/>
              </w:rPr>
              <w:t xml:space="preserve"> </w:t>
            </w:r>
            <w:r w:rsidRPr="008262B9">
              <w:rPr>
                <w:rFonts w:ascii="Bookman Old Style" w:hAnsi="Bookman Old Style"/>
                <w:sz w:val="20"/>
                <w:szCs w:val="20"/>
              </w:rPr>
              <w:t>HQLA</w:t>
            </w:r>
            <w:r w:rsidRPr="008262B9">
              <w:rPr>
                <w:rFonts w:ascii="Bookman Old Style" w:hAnsi="Bookman Old Style"/>
                <w:spacing w:val="-5"/>
                <w:sz w:val="20"/>
                <w:szCs w:val="20"/>
              </w:rPr>
              <w:t xml:space="preserve"> </w:t>
            </w:r>
            <w:r w:rsidRPr="008262B9">
              <w:rPr>
                <w:rFonts w:ascii="Bookman Old Style" w:hAnsi="Bookman Old Style"/>
                <w:sz w:val="20"/>
                <w:szCs w:val="20"/>
              </w:rPr>
              <w:t>dalam</w:t>
            </w:r>
            <w:r w:rsidRPr="008262B9">
              <w:rPr>
                <w:rFonts w:ascii="Bookman Old Style" w:hAnsi="Bookman Old Style"/>
                <w:spacing w:val="-5"/>
                <w:sz w:val="20"/>
                <w:szCs w:val="20"/>
              </w:rPr>
              <w:t xml:space="preserve"> </w:t>
            </w:r>
            <w:r w:rsidRPr="008262B9">
              <w:rPr>
                <w:rFonts w:ascii="Bookman Old Style" w:hAnsi="Bookman Old Style"/>
                <w:sz w:val="20"/>
                <w:szCs w:val="20"/>
              </w:rPr>
              <w:t>rangka</w:t>
            </w:r>
            <w:r w:rsidRPr="008262B9">
              <w:rPr>
                <w:rFonts w:ascii="Bookman Old Style" w:hAnsi="Bookman Old Style"/>
                <w:spacing w:val="-61"/>
                <w:sz w:val="20"/>
                <w:szCs w:val="20"/>
              </w:rPr>
              <w:t xml:space="preserve"> </w:t>
            </w:r>
            <w:r w:rsidRPr="008262B9">
              <w:rPr>
                <w:rFonts w:ascii="Bookman Old Style" w:hAnsi="Bookman Old Style"/>
                <w:spacing w:val="-61"/>
                <w:sz w:val="20"/>
                <w:szCs w:val="20"/>
                <w:lang w:val="en-US"/>
              </w:rPr>
              <w:t xml:space="preserve"> p</w:t>
            </w:r>
            <w:r w:rsidRPr="008262B9">
              <w:rPr>
                <w:rFonts w:ascii="Bookman Old Style" w:hAnsi="Bookman Old Style"/>
                <w:sz w:val="20"/>
                <w:szCs w:val="20"/>
              </w:rPr>
              <w:t>erhitungan</w:t>
            </w:r>
            <w:r w:rsidRPr="008262B9">
              <w:rPr>
                <w:rFonts w:ascii="Bookman Old Style" w:hAnsi="Bookman Old Style"/>
                <w:spacing w:val="1"/>
                <w:sz w:val="20"/>
                <w:szCs w:val="20"/>
                <w:lang w:val="en-US"/>
              </w:rPr>
              <w:t xml:space="preserve"> </w:t>
            </w:r>
            <w:r w:rsidRPr="008262B9">
              <w:rPr>
                <w:rFonts w:ascii="Bookman Old Style" w:hAnsi="Bookman Old Style"/>
                <w:sz w:val="20"/>
                <w:szCs w:val="20"/>
              </w:rPr>
              <w:t>NSFR</w:t>
            </w:r>
          </w:p>
        </w:tc>
        <w:tc>
          <w:tcPr>
            <w:tcW w:w="3817" w:type="dxa"/>
            <w:gridSpan w:val="4"/>
            <w:tcBorders>
              <w:top w:val="nil"/>
              <w:left w:val="nil"/>
              <w:bottom w:val="nil"/>
              <w:right w:val="nil"/>
            </w:tcBorders>
            <w:shd w:val="clear" w:color="auto" w:fill="000000"/>
          </w:tcPr>
          <w:p w14:paraId="22DC303F"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BEBEBE"/>
          </w:tcPr>
          <w:p w14:paraId="7433A571" w14:textId="77777777" w:rsidR="008262B9" w:rsidRPr="008262B9" w:rsidRDefault="008262B9" w:rsidP="001359AD">
            <w:pPr>
              <w:pStyle w:val="TableParagraph"/>
              <w:rPr>
                <w:rFonts w:ascii="Bookman Old Style" w:hAnsi="Bookman Old Style"/>
                <w:sz w:val="20"/>
                <w:szCs w:val="20"/>
              </w:rPr>
            </w:pPr>
          </w:p>
        </w:tc>
        <w:tc>
          <w:tcPr>
            <w:tcW w:w="3802" w:type="dxa"/>
            <w:gridSpan w:val="5"/>
            <w:tcBorders>
              <w:top w:val="nil"/>
              <w:left w:val="nil"/>
              <w:bottom w:val="nil"/>
              <w:right w:val="nil"/>
            </w:tcBorders>
            <w:shd w:val="clear" w:color="auto" w:fill="000000"/>
          </w:tcPr>
          <w:p w14:paraId="7C5EE7F8" w14:textId="77777777" w:rsidR="008262B9" w:rsidRPr="008262B9" w:rsidRDefault="008262B9" w:rsidP="001359AD">
            <w:pPr>
              <w:pStyle w:val="TableParagraph"/>
              <w:rPr>
                <w:rFonts w:ascii="Bookman Old Style" w:hAnsi="Bookman Old Style"/>
                <w:sz w:val="20"/>
                <w:szCs w:val="20"/>
              </w:rPr>
            </w:pPr>
          </w:p>
        </w:tc>
        <w:tc>
          <w:tcPr>
            <w:tcW w:w="1443" w:type="dxa"/>
            <w:shd w:val="clear" w:color="auto" w:fill="BEBEBE"/>
          </w:tcPr>
          <w:p w14:paraId="5FF6021D" w14:textId="77777777" w:rsidR="008262B9" w:rsidRPr="008262B9" w:rsidRDefault="008262B9" w:rsidP="001359AD">
            <w:pPr>
              <w:pStyle w:val="TableParagraph"/>
              <w:rPr>
                <w:rFonts w:ascii="Bookman Old Style" w:hAnsi="Bookman Old Style"/>
                <w:sz w:val="20"/>
                <w:szCs w:val="20"/>
              </w:rPr>
            </w:pPr>
          </w:p>
        </w:tc>
        <w:tc>
          <w:tcPr>
            <w:tcW w:w="1559" w:type="dxa"/>
          </w:tcPr>
          <w:p w14:paraId="7BBBF776" w14:textId="77777777" w:rsidR="008262B9" w:rsidRPr="008262B9" w:rsidRDefault="008262B9" w:rsidP="001359AD">
            <w:pPr>
              <w:pStyle w:val="TableParagraph"/>
              <w:spacing w:before="123"/>
              <w:ind w:left="93"/>
              <w:rPr>
                <w:rFonts w:ascii="Bookman Old Style" w:hAnsi="Bookman Old Style"/>
                <w:b/>
                <w:sz w:val="20"/>
                <w:szCs w:val="20"/>
              </w:rPr>
            </w:pPr>
            <w:r w:rsidRPr="008262B9">
              <w:rPr>
                <w:rFonts w:ascii="Bookman Old Style" w:hAnsi="Bookman Old Style"/>
                <w:b/>
                <w:w w:val="99"/>
                <w:sz w:val="20"/>
                <w:szCs w:val="20"/>
              </w:rPr>
              <w:t>1</w:t>
            </w:r>
          </w:p>
        </w:tc>
      </w:tr>
      <w:tr w:rsidR="008262B9" w:rsidRPr="008262B9" w14:paraId="1C49E35F" w14:textId="77777777" w:rsidTr="008262B9">
        <w:trPr>
          <w:trHeight w:val="479"/>
        </w:trPr>
        <w:tc>
          <w:tcPr>
            <w:tcW w:w="483" w:type="dxa"/>
            <w:tcBorders>
              <w:left w:val="single" w:sz="4" w:space="0" w:color="000000"/>
            </w:tcBorders>
            <w:shd w:val="clear" w:color="auto" w:fill="BEBEBE"/>
          </w:tcPr>
          <w:p w14:paraId="36393C38" w14:textId="77777777" w:rsidR="008262B9" w:rsidRPr="008262B9" w:rsidRDefault="008262B9" w:rsidP="001359AD">
            <w:pPr>
              <w:pStyle w:val="TableParagraph"/>
              <w:spacing w:before="120"/>
              <w:jc w:val="center"/>
              <w:rPr>
                <w:rFonts w:ascii="Bookman Old Style" w:hAnsi="Bookman Old Style"/>
                <w:sz w:val="20"/>
                <w:szCs w:val="20"/>
                <w:lang w:val="en-US"/>
              </w:rPr>
            </w:pPr>
            <w:r w:rsidRPr="008262B9">
              <w:rPr>
                <w:rFonts w:ascii="Bookman Old Style" w:hAnsi="Bookman Old Style"/>
                <w:sz w:val="20"/>
                <w:szCs w:val="20"/>
              </w:rPr>
              <w:t>1</w:t>
            </w:r>
            <w:r w:rsidRPr="008262B9">
              <w:rPr>
                <w:rFonts w:ascii="Bookman Old Style" w:hAnsi="Bookman Old Style"/>
                <w:sz w:val="20"/>
                <w:szCs w:val="20"/>
                <w:lang w:val="en-US"/>
              </w:rPr>
              <w:t>7</w:t>
            </w:r>
          </w:p>
        </w:tc>
        <w:tc>
          <w:tcPr>
            <w:tcW w:w="4359" w:type="dxa"/>
            <w:shd w:val="clear" w:color="auto" w:fill="BEBEBE"/>
          </w:tcPr>
          <w:p w14:paraId="4CC7F74D" w14:textId="77777777" w:rsidR="008262B9" w:rsidRPr="008262B9" w:rsidRDefault="008262B9" w:rsidP="001359AD">
            <w:pPr>
              <w:pStyle w:val="TableParagraph"/>
              <w:spacing w:line="230" w:lineRule="atLeast"/>
              <w:ind w:left="107" w:right="425"/>
              <w:rPr>
                <w:rFonts w:ascii="Bookman Old Style" w:hAnsi="Bookman Old Style"/>
                <w:sz w:val="20"/>
                <w:szCs w:val="20"/>
              </w:rPr>
            </w:pPr>
            <w:r w:rsidRPr="008262B9">
              <w:rPr>
                <w:rFonts w:ascii="Bookman Old Style" w:hAnsi="Bookman Old Style"/>
                <w:sz w:val="20"/>
                <w:szCs w:val="20"/>
              </w:rPr>
              <w:t>Simpanan</w:t>
            </w:r>
            <w:r w:rsidRPr="008262B9">
              <w:rPr>
                <w:rFonts w:ascii="Bookman Old Style" w:hAnsi="Bookman Old Style"/>
                <w:spacing w:val="-8"/>
                <w:sz w:val="20"/>
                <w:szCs w:val="20"/>
              </w:rPr>
              <w:t xml:space="preserve"> </w:t>
            </w:r>
            <w:r w:rsidRPr="008262B9">
              <w:rPr>
                <w:rFonts w:ascii="Bookman Old Style" w:hAnsi="Bookman Old Style"/>
                <w:sz w:val="20"/>
                <w:szCs w:val="20"/>
              </w:rPr>
              <w:t>pada</w:t>
            </w:r>
            <w:r w:rsidRPr="008262B9">
              <w:rPr>
                <w:rFonts w:ascii="Bookman Old Style" w:hAnsi="Bookman Old Style"/>
                <w:spacing w:val="-7"/>
                <w:sz w:val="20"/>
                <w:szCs w:val="20"/>
              </w:rPr>
              <w:t xml:space="preserve"> </w:t>
            </w:r>
            <w:r w:rsidRPr="008262B9">
              <w:rPr>
                <w:rFonts w:ascii="Bookman Old Style" w:hAnsi="Bookman Old Style"/>
                <w:sz w:val="20"/>
                <w:szCs w:val="20"/>
              </w:rPr>
              <w:t>lembaga</w:t>
            </w:r>
            <w:r w:rsidRPr="008262B9">
              <w:rPr>
                <w:rFonts w:ascii="Bookman Old Style" w:hAnsi="Bookman Old Style"/>
                <w:spacing w:val="-5"/>
                <w:sz w:val="20"/>
                <w:szCs w:val="20"/>
              </w:rPr>
              <w:t xml:space="preserve"> </w:t>
            </w:r>
            <w:r w:rsidRPr="008262B9">
              <w:rPr>
                <w:rFonts w:ascii="Bookman Old Style" w:hAnsi="Bookman Old Style"/>
                <w:sz w:val="20"/>
                <w:szCs w:val="20"/>
              </w:rPr>
              <w:t>keuangan</w:t>
            </w:r>
            <w:r w:rsidRPr="008262B9">
              <w:rPr>
                <w:rFonts w:ascii="Bookman Old Style" w:hAnsi="Bookman Old Style"/>
                <w:spacing w:val="-61"/>
                <w:sz w:val="20"/>
                <w:szCs w:val="20"/>
              </w:rPr>
              <w:t xml:space="preserve"> </w:t>
            </w:r>
            <w:r w:rsidRPr="008262B9">
              <w:rPr>
                <w:rFonts w:ascii="Bookman Old Style" w:hAnsi="Bookman Old Style"/>
                <w:sz w:val="20"/>
                <w:szCs w:val="20"/>
              </w:rPr>
              <w:t>lain</w:t>
            </w:r>
            <w:r w:rsidRPr="008262B9">
              <w:rPr>
                <w:rFonts w:ascii="Bookman Old Style" w:hAnsi="Bookman Old Style"/>
                <w:spacing w:val="-1"/>
                <w:sz w:val="20"/>
                <w:szCs w:val="20"/>
              </w:rPr>
              <w:t xml:space="preserve"> </w:t>
            </w:r>
            <w:r w:rsidRPr="008262B9">
              <w:rPr>
                <w:rFonts w:ascii="Bookman Old Style" w:hAnsi="Bookman Old Style"/>
                <w:sz w:val="20"/>
                <w:szCs w:val="20"/>
              </w:rPr>
              <w:t>untuk</w:t>
            </w:r>
            <w:r w:rsidRPr="008262B9">
              <w:rPr>
                <w:rFonts w:ascii="Bookman Old Style" w:hAnsi="Bookman Old Style"/>
                <w:spacing w:val="-3"/>
                <w:sz w:val="20"/>
                <w:szCs w:val="20"/>
              </w:rPr>
              <w:t xml:space="preserve"> </w:t>
            </w:r>
            <w:r w:rsidRPr="008262B9">
              <w:rPr>
                <w:rFonts w:ascii="Bookman Old Style" w:hAnsi="Bookman Old Style"/>
                <w:sz w:val="20"/>
                <w:szCs w:val="20"/>
              </w:rPr>
              <w:t>tujuan</w:t>
            </w:r>
            <w:r w:rsidRPr="008262B9">
              <w:rPr>
                <w:rFonts w:ascii="Bookman Old Style" w:hAnsi="Bookman Old Style"/>
                <w:spacing w:val="-2"/>
                <w:sz w:val="20"/>
                <w:szCs w:val="20"/>
              </w:rPr>
              <w:t xml:space="preserve"> </w:t>
            </w:r>
            <w:r w:rsidRPr="008262B9">
              <w:rPr>
                <w:rFonts w:ascii="Bookman Old Style" w:hAnsi="Bookman Old Style"/>
                <w:sz w:val="20"/>
                <w:szCs w:val="20"/>
              </w:rPr>
              <w:t>operasional</w:t>
            </w:r>
          </w:p>
        </w:tc>
        <w:tc>
          <w:tcPr>
            <w:tcW w:w="1201" w:type="dxa"/>
            <w:tcBorders>
              <w:top w:val="nil"/>
            </w:tcBorders>
            <w:shd w:val="clear" w:color="auto" w:fill="BEBEBE"/>
          </w:tcPr>
          <w:p w14:paraId="2E671F56"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BEBEBE"/>
          </w:tcPr>
          <w:p w14:paraId="452A0254"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BEBEBE"/>
          </w:tcPr>
          <w:p w14:paraId="77A8336B"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BEBEBE"/>
          </w:tcPr>
          <w:p w14:paraId="0AC98716"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BEBEBE"/>
          </w:tcPr>
          <w:p w14:paraId="70500A2A" w14:textId="77777777" w:rsidR="008262B9" w:rsidRPr="008262B9" w:rsidRDefault="008262B9" w:rsidP="001359AD">
            <w:pPr>
              <w:pStyle w:val="TableParagraph"/>
              <w:rPr>
                <w:rFonts w:ascii="Bookman Old Style" w:hAnsi="Bookman Old Style"/>
                <w:sz w:val="20"/>
                <w:szCs w:val="20"/>
              </w:rPr>
            </w:pPr>
          </w:p>
        </w:tc>
        <w:tc>
          <w:tcPr>
            <w:tcW w:w="1089" w:type="dxa"/>
            <w:tcBorders>
              <w:top w:val="nil"/>
            </w:tcBorders>
            <w:shd w:val="clear" w:color="auto" w:fill="BEBEBE"/>
          </w:tcPr>
          <w:p w14:paraId="49A2EFC8"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BEBEBE"/>
          </w:tcPr>
          <w:p w14:paraId="0AD5B5AF"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BEBEBE"/>
          </w:tcPr>
          <w:p w14:paraId="43A7AEE0"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BEBEBE"/>
          </w:tcPr>
          <w:p w14:paraId="12EC98FA"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BEBEBE"/>
          </w:tcPr>
          <w:p w14:paraId="19B55AE1" w14:textId="77777777" w:rsidR="008262B9" w:rsidRPr="008262B9" w:rsidRDefault="008262B9" w:rsidP="001359AD">
            <w:pPr>
              <w:pStyle w:val="TableParagraph"/>
              <w:rPr>
                <w:rFonts w:ascii="Bookman Old Style" w:hAnsi="Bookman Old Style"/>
                <w:sz w:val="20"/>
                <w:szCs w:val="20"/>
              </w:rPr>
            </w:pPr>
          </w:p>
        </w:tc>
        <w:tc>
          <w:tcPr>
            <w:tcW w:w="1559" w:type="dxa"/>
          </w:tcPr>
          <w:p w14:paraId="5D6C3C15" w14:textId="77777777" w:rsidR="008262B9" w:rsidRPr="008262B9" w:rsidRDefault="008262B9" w:rsidP="001359AD">
            <w:pPr>
              <w:pStyle w:val="TableParagraph"/>
              <w:spacing w:before="120"/>
              <w:ind w:left="93"/>
              <w:rPr>
                <w:rFonts w:ascii="Bookman Old Style" w:hAnsi="Bookman Old Style"/>
                <w:b/>
                <w:sz w:val="20"/>
                <w:szCs w:val="20"/>
              </w:rPr>
            </w:pPr>
            <w:r w:rsidRPr="008262B9">
              <w:rPr>
                <w:rFonts w:ascii="Bookman Old Style" w:hAnsi="Bookman Old Style"/>
                <w:b/>
                <w:w w:val="99"/>
                <w:sz w:val="20"/>
                <w:szCs w:val="20"/>
              </w:rPr>
              <w:t>2</w:t>
            </w:r>
          </w:p>
        </w:tc>
      </w:tr>
      <w:tr w:rsidR="008262B9" w:rsidRPr="008262B9" w14:paraId="555C3E4B" w14:textId="77777777" w:rsidTr="008262B9">
        <w:trPr>
          <w:trHeight w:val="704"/>
        </w:trPr>
        <w:tc>
          <w:tcPr>
            <w:tcW w:w="483" w:type="dxa"/>
            <w:shd w:val="clear" w:color="auto" w:fill="BEBEBE"/>
          </w:tcPr>
          <w:p w14:paraId="59A48302" w14:textId="77777777" w:rsidR="008262B9" w:rsidRPr="008262B9" w:rsidRDefault="008262B9" w:rsidP="001359AD">
            <w:pPr>
              <w:pStyle w:val="TableParagraph"/>
              <w:spacing w:before="10"/>
              <w:jc w:val="center"/>
              <w:rPr>
                <w:rFonts w:ascii="Bookman Old Style" w:hAnsi="Bookman Old Style"/>
                <w:sz w:val="20"/>
                <w:szCs w:val="20"/>
              </w:rPr>
            </w:pPr>
          </w:p>
          <w:p w14:paraId="1742D938" w14:textId="77777777" w:rsidR="008262B9" w:rsidRPr="008262B9" w:rsidRDefault="008262B9" w:rsidP="001359AD">
            <w:pPr>
              <w:pStyle w:val="TableParagraph"/>
              <w:jc w:val="center"/>
              <w:rPr>
                <w:rFonts w:ascii="Bookman Old Style" w:hAnsi="Bookman Old Style"/>
                <w:sz w:val="20"/>
                <w:szCs w:val="20"/>
                <w:lang w:val="en-US"/>
              </w:rPr>
            </w:pPr>
            <w:r w:rsidRPr="008262B9">
              <w:rPr>
                <w:rFonts w:ascii="Bookman Old Style" w:hAnsi="Bookman Old Style"/>
                <w:sz w:val="20"/>
                <w:szCs w:val="20"/>
              </w:rPr>
              <w:t>1</w:t>
            </w:r>
            <w:r w:rsidRPr="008262B9">
              <w:rPr>
                <w:rFonts w:ascii="Bookman Old Style" w:hAnsi="Bookman Old Style"/>
                <w:sz w:val="20"/>
                <w:szCs w:val="20"/>
                <w:lang w:val="en-US"/>
              </w:rPr>
              <w:t>8</w:t>
            </w:r>
          </w:p>
        </w:tc>
        <w:tc>
          <w:tcPr>
            <w:tcW w:w="4359" w:type="dxa"/>
            <w:shd w:val="clear" w:color="auto" w:fill="BEBEBE"/>
          </w:tcPr>
          <w:p w14:paraId="7A93E5A0" w14:textId="77777777" w:rsidR="008262B9" w:rsidRPr="008262B9" w:rsidRDefault="008262B9" w:rsidP="001359AD">
            <w:pPr>
              <w:pStyle w:val="TableParagraph"/>
              <w:ind w:left="107" w:right="145"/>
              <w:rPr>
                <w:rFonts w:ascii="Bookman Old Style" w:hAnsi="Bookman Old Style"/>
                <w:sz w:val="20"/>
                <w:szCs w:val="20"/>
              </w:rPr>
            </w:pPr>
            <w:r w:rsidRPr="008262B9">
              <w:rPr>
                <w:rFonts w:ascii="Bookman Old Style" w:hAnsi="Bookman Old Style"/>
                <w:sz w:val="20"/>
                <w:szCs w:val="20"/>
              </w:rPr>
              <w:t>Pembiayaan</w:t>
            </w:r>
            <w:r w:rsidRPr="008262B9">
              <w:rPr>
                <w:rFonts w:ascii="Bookman Old Style" w:hAnsi="Bookman Old Style"/>
                <w:spacing w:val="-6"/>
                <w:sz w:val="20"/>
                <w:szCs w:val="20"/>
              </w:rPr>
              <w:t xml:space="preserve"> </w:t>
            </w:r>
            <w:r w:rsidRPr="008262B9">
              <w:rPr>
                <w:rFonts w:ascii="Bookman Old Style" w:hAnsi="Bookman Old Style"/>
                <w:sz w:val="20"/>
                <w:szCs w:val="20"/>
              </w:rPr>
              <w:t>dengan</w:t>
            </w:r>
            <w:r w:rsidRPr="008262B9">
              <w:rPr>
                <w:rFonts w:ascii="Bookman Old Style" w:hAnsi="Bookman Old Style"/>
                <w:spacing w:val="-5"/>
                <w:sz w:val="20"/>
                <w:szCs w:val="20"/>
              </w:rPr>
              <w:t xml:space="preserve"> </w:t>
            </w:r>
            <w:r w:rsidRPr="008262B9">
              <w:rPr>
                <w:rFonts w:ascii="Bookman Old Style" w:hAnsi="Bookman Old Style"/>
                <w:sz w:val="20"/>
                <w:szCs w:val="20"/>
              </w:rPr>
              <w:t>kategori</w:t>
            </w:r>
            <w:r w:rsidRPr="008262B9">
              <w:rPr>
                <w:rFonts w:ascii="Bookman Old Style" w:hAnsi="Bookman Old Style"/>
                <w:spacing w:val="-4"/>
                <w:sz w:val="20"/>
                <w:szCs w:val="20"/>
              </w:rPr>
              <w:t xml:space="preserve"> </w:t>
            </w:r>
            <w:r w:rsidRPr="008262B9">
              <w:rPr>
                <w:rFonts w:ascii="Bookman Old Style" w:hAnsi="Bookman Old Style"/>
                <w:sz w:val="20"/>
                <w:szCs w:val="20"/>
              </w:rPr>
              <w:t>Lancar</w:t>
            </w:r>
            <w:r w:rsidRPr="008262B9">
              <w:rPr>
                <w:rFonts w:ascii="Bookman Old Style" w:hAnsi="Bookman Old Style"/>
                <w:spacing w:val="-5"/>
                <w:sz w:val="20"/>
                <w:szCs w:val="20"/>
              </w:rPr>
              <w:t xml:space="preserve"> </w:t>
            </w:r>
            <w:r w:rsidRPr="008262B9">
              <w:rPr>
                <w:rFonts w:ascii="Bookman Old Style" w:hAnsi="Bookman Old Style"/>
                <w:sz w:val="20"/>
                <w:szCs w:val="20"/>
              </w:rPr>
              <w:t>dan</w:t>
            </w:r>
            <w:r w:rsidRPr="008262B9">
              <w:rPr>
                <w:rFonts w:ascii="Bookman Old Style" w:hAnsi="Bookman Old Style"/>
                <w:spacing w:val="-61"/>
                <w:sz w:val="20"/>
                <w:szCs w:val="20"/>
              </w:rPr>
              <w:t xml:space="preserve"> </w:t>
            </w:r>
            <w:r w:rsidRPr="008262B9">
              <w:rPr>
                <w:rFonts w:ascii="Bookman Old Style" w:hAnsi="Bookman Old Style"/>
                <w:sz w:val="20"/>
                <w:szCs w:val="20"/>
              </w:rPr>
              <w:t>Dalam</w:t>
            </w:r>
            <w:r w:rsidRPr="008262B9">
              <w:rPr>
                <w:rFonts w:ascii="Bookman Old Style" w:hAnsi="Bookman Old Style"/>
                <w:spacing w:val="-5"/>
                <w:sz w:val="20"/>
                <w:szCs w:val="20"/>
              </w:rPr>
              <w:t xml:space="preserve"> </w:t>
            </w:r>
            <w:r w:rsidRPr="008262B9">
              <w:rPr>
                <w:rFonts w:ascii="Bookman Old Style" w:hAnsi="Bookman Old Style"/>
                <w:sz w:val="20"/>
                <w:szCs w:val="20"/>
              </w:rPr>
              <w:t>Perhatian</w:t>
            </w:r>
            <w:r w:rsidRPr="008262B9">
              <w:rPr>
                <w:rFonts w:ascii="Bookman Old Style" w:hAnsi="Bookman Old Style"/>
                <w:spacing w:val="-4"/>
                <w:sz w:val="20"/>
                <w:szCs w:val="20"/>
              </w:rPr>
              <w:t xml:space="preserve"> </w:t>
            </w:r>
            <w:r w:rsidRPr="008262B9">
              <w:rPr>
                <w:rFonts w:ascii="Bookman Old Style" w:hAnsi="Bookman Old Style"/>
                <w:sz w:val="20"/>
                <w:szCs w:val="20"/>
              </w:rPr>
              <w:t>Khusus</w:t>
            </w:r>
            <w:r w:rsidRPr="008262B9">
              <w:rPr>
                <w:rFonts w:ascii="Bookman Old Style" w:hAnsi="Bookman Old Style"/>
                <w:spacing w:val="-5"/>
                <w:sz w:val="20"/>
                <w:szCs w:val="20"/>
              </w:rPr>
              <w:t xml:space="preserve"> </w:t>
            </w:r>
            <w:r w:rsidRPr="008262B9">
              <w:rPr>
                <w:rFonts w:ascii="Bookman Old Style" w:hAnsi="Bookman Old Style"/>
                <w:sz w:val="20"/>
                <w:szCs w:val="20"/>
              </w:rPr>
              <w:t>(</w:t>
            </w:r>
            <w:r w:rsidRPr="008262B9">
              <w:rPr>
                <w:rFonts w:ascii="Bookman Old Style" w:hAnsi="Bookman Old Style"/>
                <w:i/>
                <w:sz w:val="20"/>
                <w:szCs w:val="20"/>
              </w:rPr>
              <w:t xml:space="preserve">performing) </w:t>
            </w:r>
            <w:r w:rsidRPr="008262B9">
              <w:rPr>
                <w:rFonts w:ascii="Bookman Old Style" w:hAnsi="Bookman Old Style"/>
                <w:sz w:val="20"/>
                <w:szCs w:val="20"/>
              </w:rPr>
              <w:t>dan</w:t>
            </w:r>
            <w:r w:rsidRPr="008262B9">
              <w:rPr>
                <w:rFonts w:ascii="Bookman Old Style" w:hAnsi="Bookman Old Style"/>
                <w:spacing w:val="-5"/>
                <w:sz w:val="20"/>
                <w:szCs w:val="20"/>
              </w:rPr>
              <w:t xml:space="preserve"> </w:t>
            </w:r>
            <w:r w:rsidRPr="008262B9">
              <w:rPr>
                <w:rFonts w:ascii="Bookman Old Style" w:hAnsi="Bookman Old Style"/>
                <w:sz w:val="20"/>
                <w:szCs w:val="20"/>
              </w:rPr>
              <w:t>surat</w:t>
            </w:r>
            <w:r w:rsidRPr="008262B9">
              <w:rPr>
                <w:rFonts w:ascii="Bookman Old Style" w:hAnsi="Bookman Old Style"/>
                <w:spacing w:val="-4"/>
                <w:sz w:val="20"/>
                <w:szCs w:val="20"/>
              </w:rPr>
              <w:t xml:space="preserve"> </w:t>
            </w:r>
            <w:r w:rsidRPr="008262B9">
              <w:rPr>
                <w:rFonts w:ascii="Bookman Old Style" w:hAnsi="Bookman Old Style"/>
                <w:sz w:val="20"/>
                <w:szCs w:val="20"/>
              </w:rPr>
              <w:t>berharga syariah</w:t>
            </w:r>
          </w:p>
        </w:tc>
        <w:tc>
          <w:tcPr>
            <w:tcW w:w="1201" w:type="dxa"/>
            <w:shd w:val="clear" w:color="auto" w:fill="BEBEBE"/>
          </w:tcPr>
          <w:p w14:paraId="16DD1261"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BEBEBE"/>
          </w:tcPr>
          <w:p w14:paraId="3A16D267"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BEBEBE"/>
          </w:tcPr>
          <w:p w14:paraId="189297FB"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BEBEBE"/>
          </w:tcPr>
          <w:p w14:paraId="4ADD3480"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BEBEBE"/>
          </w:tcPr>
          <w:p w14:paraId="2333F4CF" w14:textId="77777777" w:rsidR="008262B9" w:rsidRPr="008262B9" w:rsidRDefault="008262B9" w:rsidP="001359AD">
            <w:pPr>
              <w:pStyle w:val="TableParagraph"/>
              <w:rPr>
                <w:rFonts w:ascii="Bookman Old Style" w:hAnsi="Bookman Old Style"/>
                <w:sz w:val="20"/>
                <w:szCs w:val="20"/>
              </w:rPr>
            </w:pPr>
          </w:p>
        </w:tc>
        <w:tc>
          <w:tcPr>
            <w:tcW w:w="1089" w:type="dxa"/>
            <w:shd w:val="clear" w:color="auto" w:fill="BEBEBE"/>
          </w:tcPr>
          <w:p w14:paraId="1B4368AB"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BEBEBE"/>
          </w:tcPr>
          <w:p w14:paraId="041315D5"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BEBEBE"/>
          </w:tcPr>
          <w:p w14:paraId="6B393836"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BEBEBE"/>
          </w:tcPr>
          <w:p w14:paraId="0D2E536D"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BEBEBE"/>
          </w:tcPr>
          <w:p w14:paraId="45432DFA" w14:textId="77777777" w:rsidR="008262B9" w:rsidRPr="008262B9" w:rsidRDefault="008262B9" w:rsidP="001359AD">
            <w:pPr>
              <w:pStyle w:val="TableParagraph"/>
              <w:rPr>
                <w:rFonts w:ascii="Bookman Old Style" w:hAnsi="Bookman Old Style"/>
                <w:sz w:val="20"/>
                <w:szCs w:val="20"/>
              </w:rPr>
            </w:pPr>
          </w:p>
        </w:tc>
        <w:tc>
          <w:tcPr>
            <w:tcW w:w="1559" w:type="dxa"/>
          </w:tcPr>
          <w:p w14:paraId="3D479E32" w14:textId="77777777" w:rsidR="008262B9" w:rsidRPr="008262B9" w:rsidRDefault="008262B9" w:rsidP="001359AD">
            <w:pPr>
              <w:pStyle w:val="TableParagraph"/>
              <w:spacing w:before="10"/>
              <w:rPr>
                <w:rFonts w:ascii="Bookman Old Style" w:hAnsi="Bookman Old Style"/>
                <w:sz w:val="20"/>
                <w:szCs w:val="20"/>
              </w:rPr>
            </w:pPr>
          </w:p>
          <w:p w14:paraId="7F8CBDDA"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w w:val="99"/>
                <w:sz w:val="20"/>
                <w:szCs w:val="20"/>
              </w:rPr>
              <w:t>3</w:t>
            </w:r>
          </w:p>
        </w:tc>
      </w:tr>
      <w:tr w:rsidR="008262B9" w:rsidRPr="008262B9" w14:paraId="0F05084A" w14:textId="77777777" w:rsidTr="008262B9">
        <w:trPr>
          <w:trHeight w:val="479"/>
        </w:trPr>
        <w:tc>
          <w:tcPr>
            <w:tcW w:w="483" w:type="dxa"/>
          </w:tcPr>
          <w:p w14:paraId="4ECEA4E1" w14:textId="77777777" w:rsidR="008262B9" w:rsidRPr="008262B9" w:rsidRDefault="008262B9" w:rsidP="001359AD">
            <w:pPr>
              <w:pStyle w:val="TableParagraph"/>
              <w:spacing w:before="10"/>
              <w:jc w:val="center"/>
              <w:rPr>
                <w:rFonts w:ascii="Bookman Old Style" w:hAnsi="Bookman Old Style"/>
                <w:sz w:val="20"/>
                <w:szCs w:val="20"/>
              </w:rPr>
            </w:pPr>
            <w:r w:rsidRPr="008262B9">
              <w:rPr>
                <w:rFonts w:ascii="Bookman Old Style" w:hAnsi="Bookman Old Style"/>
                <w:sz w:val="20"/>
                <w:szCs w:val="20"/>
              </w:rPr>
              <w:t>19</w:t>
            </w:r>
          </w:p>
        </w:tc>
        <w:tc>
          <w:tcPr>
            <w:tcW w:w="4359" w:type="dxa"/>
          </w:tcPr>
          <w:p w14:paraId="68981936" w14:textId="77777777" w:rsidR="008262B9" w:rsidRPr="008262B9" w:rsidRDefault="008262B9" w:rsidP="008262B9">
            <w:pPr>
              <w:pStyle w:val="TableParagraph"/>
              <w:spacing w:before="1"/>
              <w:ind w:left="371" w:right="-13"/>
              <w:rPr>
                <w:rFonts w:ascii="Bookman Old Style" w:hAnsi="Bookman Old Style"/>
                <w:sz w:val="20"/>
                <w:szCs w:val="20"/>
              </w:rPr>
            </w:pPr>
            <w:r w:rsidRPr="008262B9">
              <w:rPr>
                <w:rFonts w:ascii="Bookman Old Style" w:hAnsi="Bookman Old Style"/>
                <w:sz w:val="20"/>
                <w:szCs w:val="20"/>
              </w:rPr>
              <w:t>kepada</w:t>
            </w:r>
            <w:r w:rsidRPr="008262B9">
              <w:rPr>
                <w:rFonts w:ascii="Bookman Old Style" w:hAnsi="Bookman Old Style"/>
                <w:spacing w:val="57"/>
                <w:sz w:val="20"/>
                <w:szCs w:val="20"/>
              </w:rPr>
              <w:t xml:space="preserve"> </w:t>
            </w:r>
            <w:r w:rsidRPr="008262B9">
              <w:rPr>
                <w:rFonts w:ascii="Bookman Old Style" w:hAnsi="Bookman Old Style"/>
                <w:sz w:val="20"/>
                <w:szCs w:val="20"/>
              </w:rPr>
              <w:t>lembaga</w:t>
            </w:r>
            <w:r w:rsidRPr="008262B9">
              <w:rPr>
                <w:rFonts w:ascii="Bookman Old Style" w:hAnsi="Bookman Old Style"/>
                <w:spacing w:val="57"/>
                <w:sz w:val="20"/>
                <w:szCs w:val="20"/>
              </w:rPr>
              <w:t xml:space="preserve"> </w:t>
            </w:r>
            <w:r w:rsidRPr="008262B9">
              <w:rPr>
                <w:rFonts w:ascii="Bookman Old Style" w:hAnsi="Bookman Old Style"/>
                <w:sz w:val="20"/>
                <w:szCs w:val="20"/>
              </w:rPr>
              <w:t>keuangan</w:t>
            </w:r>
            <w:r w:rsidRPr="008262B9">
              <w:rPr>
                <w:rFonts w:ascii="Bookman Old Style" w:hAnsi="Bookman Old Style"/>
                <w:spacing w:val="58"/>
                <w:sz w:val="20"/>
                <w:szCs w:val="20"/>
              </w:rPr>
              <w:t xml:space="preserve"> </w:t>
            </w:r>
            <w:r w:rsidRPr="008262B9">
              <w:rPr>
                <w:rFonts w:ascii="Bookman Old Style" w:hAnsi="Bookman Old Style"/>
                <w:sz w:val="20"/>
                <w:szCs w:val="20"/>
              </w:rPr>
              <w:t>yang</w:t>
            </w:r>
            <w:r w:rsidRPr="008262B9">
              <w:rPr>
                <w:rFonts w:ascii="Bookman Old Style" w:hAnsi="Bookman Old Style"/>
                <w:spacing w:val="-61"/>
                <w:sz w:val="20"/>
                <w:szCs w:val="20"/>
              </w:rPr>
              <w:t xml:space="preserve"> </w:t>
            </w:r>
            <w:r w:rsidRPr="008262B9">
              <w:rPr>
                <w:rFonts w:ascii="Bookman Old Style" w:hAnsi="Bookman Old Style"/>
                <w:sz w:val="20"/>
                <w:szCs w:val="20"/>
              </w:rPr>
              <w:t>dijamin</w:t>
            </w:r>
            <w:r w:rsidRPr="008262B9">
              <w:rPr>
                <w:rFonts w:ascii="Bookman Old Style" w:hAnsi="Bookman Old Style"/>
                <w:spacing w:val="2"/>
                <w:sz w:val="20"/>
                <w:szCs w:val="20"/>
              </w:rPr>
              <w:t xml:space="preserve"> </w:t>
            </w:r>
            <w:r w:rsidRPr="008262B9">
              <w:rPr>
                <w:rFonts w:ascii="Bookman Old Style" w:hAnsi="Bookman Old Style"/>
                <w:sz w:val="20"/>
                <w:szCs w:val="20"/>
              </w:rPr>
              <w:t>dengan</w:t>
            </w:r>
            <w:r w:rsidRPr="008262B9">
              <w:rPr>
                <w:rFonts w:ascii="Bookman Old Style" w:hAnsi="Bookman Old Style"/>
                <w:spacing w:val="2"/>
                <w:sz w:val="20"/>
                <w:szCs w:val="20"/>
              </w:rPr>
              <w:t xml:space="preserve"> </w:t>
            </w:r>
            <w:r w:rsidRPr="008262B9">
              <w:rPr>
                <w:rFonts w:ascii="Bookman Old Style" w:hAnsi="Bookman Old Style"/>
                <w:sz w:val="20"/>
                <w:szCs w:val="20"/>
              </w:rPr>
              <w:t>HQLA</w:t>
            </w:r>
            <w:r w:rsidRPr="008262B9">
              <w:rPr>
                <w:rFonts w:ascii="Bookman Old Style" w:hAnsi="Bookman Old Style"/>
                <w:spacing w:val="-2"/>
                <w:sz w:val="20"/>
                <w:szCs w:val="20"/>
              </w:rPr>
              <w:t xml:space="preserve"> </w:t>
            </w:r>
            <w:r w:rsidRPr="008262B9">
              <w:rPr>
                <w:rFonts w:ascii="Bookman Old Style" w:hAnsi="Bookman Old Style"/>
                <w:sz w:val="20"/>
                <w:szCs w:val="20"/>
              </w:rPr>
              <w:t>Level</w:t>
            </w:r>
            <w:r w:rsidRPr="008262B9">
              <w:rPr>
                <w:rFonts w:ascii="Bookman Old Style" w:hAnsi="Bookman Old Style"/>
                <w:spacing w:val="-1"/>
                <w:sz w:val="20"/>
                <w:szCs w:val="20"/>
              </w:rPr>
              <w:t xml:space="preserve"> </w:t>
            </w:r>
            <w:r w:rsidRPr="008262B9">
              <w:rPr>
                <w:rFonts w:ascii="Bookman Old Style" w:hAnsi="Bookman Old Style"/>
                <w:sz w:val="20"/>
                <w:szCs w:val="20"/>
              </w:rPr>
              <w:t>1</w:t>
            </w:r>
          </w:p>
        </w:tc>
        <w:tc>
          <w:tcPr>
            <w:tcW w:w="1201" w:type="dxa"/>
          </w:tcPr>
          <w:p w14:paraId="2E0C25C7" w14:textId="77777777" w:rsidR="008262B9" w:rsidRPr="008262B9" w:rsidRDefault="008262B9" w:rsidP="001359AD">
            <w:pPr>
              <w:pStyle w:val="TableParagraph"/>
              <w:rPr>
                <w:rFonts w:ascii="Bookman Old Style" w:hAnsi="Bookman Old Style"/>
                <w:sz w:val="20"/>
                <w:szCs w:val="20"/>
              </w:rPr>
            </w:pPr>
          </w:p>
        </w:tc>
        <w:tc>
          <w:tcPr>
            <w:tcW w:w="675" w:type="dxa"/>
          </w:tcPr>
          <w:p w14:paraId="2312121F" w14:textId="77777777" w:rsidR="008262B9" w:rsidRPr="008262B9" w:rsidRDefault="008262B9" w:rsidP="001359AD">
            <w:pPr>
              <w:pStyle w:val="TableParagraph"/>
              <w:rPr>
                <w:rFonts w:ascii="Bookman Old Style" w:hAnsi="Bookman Old Style"/>
                <w:sz w:val="20"/>
                <w:szCs w:val="20"/>
              </w:rPr>
            </w:pPr>
          </w:p>
        </w:tc>
        <w:tc>
          <w:tcPr>
            <w:tcW w:w="1126" w:type="dxa"/>
          </w:tcPr>
          <w:p w14:paraId="074DE60A" w14:textId="77777777" w:rsidR="008262B9" w:rsidRPr="008262B9" w:rsidRDefault="008262B9" w:rsidP="001359AD">
            <w:pPr>
              <w:pStyle w:val="TableParagraph"/>
              <w:rPr>
                <w:rFonts w:ascii="Bookman Old Style" w:hAnsi="Bookman Old Style"/>
                <w:sz w:val="20"/>
                <w:szCs w:val="20"/>
              </w:rPr>
            </w:pPr>
          </w:p>
        </w:tc>
        <w:tc>
          <w:tcPr>
            <w:tcW w:w="815" w:type="dxa"/>
          </w:tcPr>
          <w:p w14:paraId="527EB8A4" w14:textId="77777777" w:rsidR="008262B9" w:rsidRPr="008262B9" w:rsidRDefault="008262B9" w:rsidP="001359AD">
            <w:pPr>
              <w:pStyle w:val="TableParagraph"/>
              <w:rPr>
                <w:rFonts w:ascii="Bookman Old Style" w:hAnsi="Bookman Old Style"/>
                <w:sz w:val="20"/>
                <w:szCs w:val="20"/>
              </w:rPr>
            </w:pPr>
          </w:p>
        </w:tc>
        <w:tc>
          <w:tcPr>
            <w:tcW w:w="1427" w:type="dxa"/>
          </w:tcPr>
          <w:p w14:paraId="627E4F75" w14:textId="77777777" w:rsidR="008262B9" w:rsidRPr="008262B9" w:rsidRDefault="008262B9" w:rsidP="001359AD">
            <w:pPr>
              <w:pStyle w:val="TableParagraph"/>
              <w:rPr>
                <w:rFonts w:ascii="Bookman Old Style" w:hAnsi="Bookman Old Style"/>
                <w:sz w:val="20"/>
                <w:szCs w:val="20"/>
              </w:rPr>
            </w:pPr>
          </w:p>
        </w:tc>
        <w:tc>
          <w:tcPr>
            <w:tcW w:w="1089" w:type="dxa"/>
          </w:tcPr>
          <w:p w14:paraId="22BB1A37" w14:textId="77777777" w:rsidR="008262B9" w:rsidRPr="008262B9" w:rsidRDefault="008262B9" w:rsidP="001359AD">
            <w:pPr>
              <w:pStyle w:val="TableParagraph"/>
              <w:rPr>
                <w:rFonts w:ascii="Bookman Old Style" w:hAnsi="Bookman Old Style"/>
                <w:sz w:val="20"/>
                <w:szCs w:val="20"/>
              </w:rPr>
            </w:pPr>
          </w:p>
        </w:tc>
        <w:tc>
          <w:tcPr>
            <w:tcW w:w="810" w:type="dxa"/>
          </w:tcPr>
          <w:p w14:paraId="7EE97A3B" w14:textId="77777777" w:rsidR="008262B9" w:rsidRPr="008262B9" w:rsidRDefault="008262B9" w:rsidP="001359AD">
            <w:pPr>
              <w:pStyle w:val="TableParagraph"/>
              <w:rPr>
                <w:rFonts w:ascii="Bookman Old Style" w:hAnsi="Bookman Old Style"/>
                <w:sz w:val="20"/>
                <w:szCs w:val="20"/>
              </w:rPr>
            </w:pPr>
          </w:p>
        </w:tc>
        <w:tc>
          <w:tcPr>
            <w:tcW w:w="1082" w:type="dxa"/>
          </w:tcPr>
          <w:p w14:paraId="5E0329DC" w14:textId="77777777" w:rsidR="008262B9" w:rsidRPr="008262B9" w:rsidRDefault="008262B9" w:rsidP="001359AD">
            <w:pPr>
              <w:pStyle w:val="TableParagraph"/>
              <w:rPr>
                <w:rFonts w:ascii="Bookman Old Style" w:hAnsi="Bookman Old Style"/>
                <w:sz w:val="20"/>
                <w:szCs w:val="20"/>
              </w:rPr>
            </w:pPr>
          </w:p>
        </w:tc>
        <w:tc>
          <w:tcPr>
            <w:tcW w:w="813" w:type="dxa"/>
          </w:tcPr>
          <w:p w14:paraId="3A69C3A6"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06839245" w14:textId="77777777" w:rsidR="008262B9" w:rsidRPr="008262B9" w:rsidRDefault="008262B9" w:rsidP="001359AD">
            <w:pPr>
              <w:pStyle w:val="TableParagraph"/>
              <w:rPr>
                <w:rFonts w:ascii="Bookman Old Style" w:hAnsi="Bookman Old Style"/>
                <w:sz w:val="20"/>
                <w:szCs w:val="20"/>
              </w:rPr>
            </w:pPr>
          </w:p>
        </w:tc>
        <w:tc>
          <w:tcPr>
            <w:tcW w:w="1559" w:type="dxa"/>
          </w:tcPr>
          <w:p w14:paraId="008F282D" w14:textId="77777777" w:rsidR="008262B9" w:rsidRPr="008262B9" w:rsidRDefault="008262B9" w:rsidP="001359AD">
            <w:pPr>
              <w:pStyle w:val="TableParagraph"/>
              <w:spacing w:before="120"/>
              <w:ind w:left="93"/>
              <w:rPr>
                <w:rFonts w:ascii="Bookman Old Style" w:hAnsi="Bookman Old Style"/>
                <w:b/>
                <w:sz w:val="20"/>
                <w:szCs w:val="20"/>
              </w:rPr>
            </w:pPr>
            <w:r w:rsidRPr="008262B9">
              <w:rPr>
                <w:rFonts w:ascii="Bookman Old Style" w:hAnsi="Bookman Old Style"/>
                <w:b/>
                <w:sz w:val="20"/>
                <w:szCs w:val="20"/>
              </w:rPr>
              <w:t>3.1.1</w:t>
            </w:r>
          </w:p>
        </w:tc>
      </w:tr>
      <w:tr w:rsidR="008262B9" w:rsidRPr="008262B9" w14:paraId="14890AFF" w14:textId="77777777" w:rsidTr="008262B9">
        <w:trPr>
          <w:trHeight w:val="940"/>
        </w:trPr>
        <w:tc>
          <w:tcPr>
            <w:tcW w:w="483" w:type="dxa"/>
          </w:tcPr>
          <w:p w14:paraId="4F1BAC5D" w14:textId="77777777" w:rsidR="008262B9" w:rsidRPr="008262B9" w:rsidRDefault="008262B9" w:rsidP="001359AD">
            <w:pPr>
              <w:pStyle w:val="TableParagraph"/>
              <w:spacing w:before="10"/>
              <w:jc w:val="center"/>
              <w:rPr>
                <w:rFonts w:ascii="Bookman Old Style" w:hAnsi="Bookman Old Style"/>
                <w:sz w:val="20"/>
                <w:szCs w:val="20"/>
              </w:rPr>
            </w:pPr>
          </w:p>
          <w:p w14:paraId="73B05AF0" w14:textId="77777777" w:rsidR="008262B9" w:rsidRPr="008262B9" w:rsidRDefault="008262B9" w:rsidP="001359AD">
            <w:pPr>
              <w:pStyle w:val="TableParagraph"/>
              <w:spacing w:before="10"/>
              <w:ind w:left="24"/>
              <w:jc w:val="center"/>
              <w:rPr>
                <w:rFonts w:ascii="Bookman Old Style" w:hAnsi="Bookman Old Style"/>
                <w:sz w:val="20"/>
                <w:szCs w:val="20"/>
              </w:rPr>
            </w:pPr>
            <w:r w:rsidRPr="008262B9">
              <w:rPr>
                <w:rFonts w:ascii="Bookman Old Style" w:hAnsi="Bookman Old Style"/>
                <w:sz w:val="20"/>
                <w:szCs w:val="20"/>
              </w:rPr>
              <w:t>20</w:t>
            </w:r>
          </w:p>
        </w:tc>
        <w:tc>
          <w:tcPr>
            <w:tcW w:w="4359" w:type="dxa"/>
          </w:tcPr>
          <w:p w14:paraId="4F9DA7F7" w14:textId="77777777" w:rsidR="008262B9" w:rsidRPr="008262B9" w:rsidRDefault="008262B9" w:rsidP="001359AD">
            <w:pPr>
              <w:pStyle w:val="TableParagraph"/>
              <w:spacing w:before="1"/>
              <w:ind w:left="371" w:right="82"/>
              <w:rPr>
                <w:rFonts w:ascii="Bookman Old Style" w:hAnsi="Bookman Old Style"/>
                <w:sz w:val="20"/>
                <w:szCs w:val="20"/>
              </w:rPr>
            </w:pPr>
            <w:r w:rsidRPr="008262B9">
              <w:rPr>
                <w:rFonts w:ascii="Bookman Old Style" w:hAnsi="Bookman Old Style"/>
                <w:sz w:val="20"/>
                <w:szCs w:val="20"/>
              </w:rPr>
              <w:t>kepada</w:t>
            </w:r>
            <w:r w:rsidRPr="008262B9">
              <w:rPr>
                <w:rFonts w:ascii="Bookman Old Style" w:hAnsi="Bookman Old Style"/>
                <w:spacing w:val="57"/>
                <w:sz w:val="20"/>
                <w:szCs w:val="20"/>
              </w:rPr>
              <w:t xml:space="preserve"> </w:t>
            </w:r>
            <w:r w:rsidRPr="008262B9">
              <w:rPr>
                <w:rFonts w:ascii="Bookman Old Style" w:hAnsi="Bookman Old Style"/>
                <w:sz w:val="20"/>
                <w:szCs w:val="20"/>
              </w:rPr>
              <w:t>lembaga</w:t>
            </w:r>
            <w:r w:rsidRPr="008262B9">
              <w:rPr>
                <w:rFonts w:ascii="Bookman Old Style" w:hAnsi="Bookman Old Style"/>
                <w:spacing w:val="57"/>
                <w:sz w:val="20"/>
                <w:szCs w:val="20"/>
              </w:rPr>
              <w:t xml:space="preserve"> </w:t>
            </w:r>
            <w:r w:rsidRPr="008262B9">
              <w:rPr>
                <w:rFonts w:ascii="Bookman Old Style" w:hAnsi="Bookman Old Style"/>
                <w:sz w:val="20"/>
                <w:szCs w:val="20"/>
              </w:rPr>
              <w:t>keuangan</w:t>
            </w:r>
            <w:r w:rsidRPr="008262B9">
              <w:rPr>
                <w:rFonts w:ascii="Bookman Old Style" w:hAnsi="Bookman Old Style"/>
                <w:spacing w:val="58"/>
                <w:sz w:val="20"/>
                <w:szCs w:val="20"/>
              </w:rPr>
              <w:t xml:space="preserve"> </w:t>
            </w:r>
            <w:r w:rsidRPr="008262B9">
              <w:rPr>
                <w:rFonts w:ascii="Bookman Old Style" w:hAnsi="Bookman Old Style"/>
                <w:sz w:val="20"/>
                <w:szCs w:val="20"/>
              </w:rPr>
              <w:t>yang</w:t>
            </w:r>
            <w:r w:rsidRPr="008262B9">
              <w:rPr>
                <w:rFonts w:ascii="Bookman Old Style" w:hAnsi="Bookman Old Style"/>
                <w:spacing w:val="-61"/>
                <w:sz w:val="20"/>
                <w:szCs w:val="20"/>
              </w:rPr>
              <w:t xml:space="preserve"> </w:t>
            </w:r>
            <w:r w:rsidRPr="008262B9">
              <w:rPr>
                <w:rFonts w:ascii="Bookman Old Style" w:hAnsi="Bookman Old Style"/>
                <w:sz w:val="20"/>
                <w:szCs w:val="20"/>
              </w:rPr>
              <w:t>dijamin</w:t>
            </w:r>
            <w:r w:rsidRPr="008262B9">
              <w:rPr>
                <w:rFonts w:ascii="Bookman Old Style" w:hAnsi="Bookman Old Style"/>
                <w:spacing w:val="27"/>
                <w:sz w:val="20"/>
                <w:szCs w:val="20"/>
              </w:rPr>
              <w:t xml:space="preserve"> </w:t>
            </w:r>
            <w:r w:rsidRPr="008262B9">
              <w:rPr>
                <w:rFonts w:ascii="Bookman Old Style" w:hAnsi="Bookman Old Style"/>
                <w:sz w:val="20"/>
                <w:szCs w:val="20"/>
              </w:rPr>
              <w:t>bukan</w:t>
            </w:r>
            <w:r w:rsidRPr="008262B9">
              <w:rPr>
                <w:rFonts w:ascii="Bookman Old Style" w:hAnsi="Bookman Old Style"/>
                <w:spacing w:val="25"/>
                <w:sz w:val="20"/>
                <w:szCs w:val="20"/>
              </w:rPr>
              <w:t xml:space="preserve"> </w:t>
            </w:r>
            <w:r w:rsidRPr="008262B9">
              <w:rPr>
                <w:rFonts w:ascii="Bookman Old Style" w:hAnsi="Bookman Old Style"/>
                <w:sz w:val="20"/>
                <w:szCs w:val="20"/>
              </w:rPr>
              <w:t>dengan</w:t>
            </w:r>
            <w:r w:rsidRPr="008262B9">
              <w:rPr>
                <w:rFonts w:ascii="Bookman Old Style" w:hAnsi="Bookman Old Style"/>
                <w:spacing w:val="27"/>
                <w:sz w:val="20"/>
                <w:szCs w:val="20"/>
              </w:rPr>
              <w:t xml:space="preserve"> </w:t>
            </w:r>
            <w:r w:rsidRPr="008262B9">
              <w:rPr>
                <w:rFonts w:ascii="Bookman Old Style" w:hAnsi="Bookman Old Style"/>
                <w:sz w:val="20"/>
                <w:szCs w:val="20"/>
              </w:rPr>
              <w:t>HQLA</w:t>
            </w:r>
            <w:r w:rsidRPr="008262B9">
              <w:rPr>
                <w:rFonts w:ascii="Bookman Old Style" w:hAnsi="Bookman Old Style"/>
                <w:spacing w:val="24"/>
                <w:sz w:val="20"/>
                <w:szCs w:val="20"/>
              </w:rPr>
              <w:t xml:space="preserve"> </w:t>
            </w:r>
            <w:r w:rsidRPr="008262B9">
              <w:rPr>
                <w:rFonts w:ascii="Bookman Old Style" w:hAnsi="Bookman Old Style"/>
                <w:sz w:val="20"/>
                <w:szCs w:val="20"/>
              </w:rPr>
              <w:t>Level</w:t>
            </w:r>
            <w:r w:rsidRPr="008262B9">
              <w:rPr>
                <w:rFonts w:ascii="Bookman Old Style" w:hAnsi="Bookman Old Style"/>
                <w:sz w:val="20"/>
                <w:szCs w:val="20"/>
                <w:lang w:val="en-US"/>
              </w:rPr>
              <w:t xml:space="preserve"> </w:t>
            </w:r>
            <w:r w:rsidRPr="008262B9">
              <w:rPr>
                <w:rFonts w:ascii="Bookman Old Style" w:hAnsi="Bookman Old Style"/>
                <w:sz w:val="20"/>
                <w:szCs w:val="20"/>
              </w:rPr>
              <w:t>1</w:t>
            </w:r>
            <w:r w:rsidRPr="008262B9">
              <w:rPr>
                <w:rFonts w:ascii="Bookman Old Style" w:hAnsi="Bookman Old Style"/>
                <w:spacing w:val="76"/>
                <w:sz w:val="20"/>
                <w:szCs w:val="20"/>
              </w:rPr>
              <w:t xml:space="preserve"> </w:t>
            </w:r>
            <w:r w:rsidRPr="008262B9">
              <w:rPr>
                <w:rFonts w:ascii="Bookman Old Style" w:hAnsi="Bookman Old Style"/>
                <w:sz w:val="20"/>
                <w:szCs w:val="20"/>
              </w:rPr>
              <w:t>dan</w:t>
            </w:r>
            <w:r w:rsidRPr="008262B9">
              <w:rPr>
                <w:rFonts w:ascii="Bookman Old Style" w:hAnsi="Bookman Old Style"/>
                <w:spacing w:val="77"/>
                <w:sz w:val="20"/>
                <w:szCs w:val="20"/>
              </w:rPr>
              <w:t xml:space="preserve"> </w:t>
            </w:r>
            <w:r w:rsidRPr="008262B9">
              <w:rPr>
                <w:rFonts w:ascii="Bookman Old Style" w:hAnsi="Bookman Old Style"/>
                <w:sz w:val="20"/>
                <w:szCs w:val="20"/>
              </w:rPr>
              <w:t>pinjaman</w:t>
            </w:r>
            <w:r w:rsidRPr="008262B9">
              <w:rPr>
                <w:rFonts w:ascii="Bookman Old Style" w:hAnsi="Bookman Old Style"/>
                <w:spacing w:val="81"/>
                <w:sz w:val="20"/>
                <w:szCs w:val="20"/>
              </w:rPr>
              <w:t xml:space="preserve"> </w:t>
            </w:r>
            <w:r w:rsidRPr="008262B9">
              <w:rPr>
                <w:rFonts w:ascii="Bookman Old Style" w:hAnsi="Bookman Old Style"/>
                <w:sz w:val="20"/>
                <w:szCs w:val="20"/>
              </w:rPr>
              <w:t>kepada</w:t>
            </w:r>
            <w:r w:rsidRPr="008262B9">
              <w:rPr>
                <w:rFonts w:ascii="Bookman Old Style" w:hAnsi="Bookman Old Style"/>
                <w:spacing w:val="75"/>
                <w:sz w:val="20"/>
                <w:szCs w:val="20"/>
              </w:rPr>
              <w:t xml:space="preserve"> </w:t>
            </w:r>
            <w:r w:rsidRPr="008262B9">
              <w:rPr>
                <w:rFonts w:ascii="Bookman Old Style" w:hAnsi="Bookman Old Style"/>
                <w:sz w:val="20"/>
                <w:szCs w:val="20"/>
              </w:rPr>
              <w:t>lembaga</w:t>
            </w:r>
          </w:p>
          <w:p w14:paraId="6E419574" w14:textId="77777777" w:rsidR="008262B9" w:rsidRPr="008262B9" w:rsidRDefault="008262B9" w:rsidP="001359AD">
            <w:pPr>
              <w:pStyle w:val="TableParagraph"/>
              <w:spacing w:line="216" w:lineRule="exact"/>
              <w:ind w:left="371"/>
              <w:rPr>
                <w:rFonts w:ascii="Bookman Old Style" w:hAnsi="Bookman Old Style"/>
                <w:sz w:val="20"/>
                <w:szCs w:val="20"/>
              </w:rPr>
            </w:pPr>
            <w:r w:rsidRPr="008262B9">
              <w:rPr>
                <w:rFonts w:ascii="Bookman Old Style" w:hAnsi="Bookman Old Style"/>
                <w:sz w:val="20"/>
                <w:szCs w:val="20"/>
              </w:rPr>
              <w:t>keuangan</w:t>
            </w:r>
            <w:r w:rsidRPr="008262B9">
              <w:rPr>
                <w:rFonts w:ascii="Bookman Old Style" w:hAnsi="Bookman Old Style"/>
                <w:spacing w:val="-5"/>
                <w:sz w:val="20"/>
                <w:szCs w:val="20"/>
              </w:rPr>
              <w:t xml:space="preserve"> </w:t>
            </w:r>
            <w:r w:rsidRPr="008262B9">
              <w:rPr>
                <w:rFonts w:ascii="Bookman Old Style" w:hAnsi="Bookman Old Style"/>
                <w:sz w:val="20"/>
                <w:szCs w:val="20"/>
              </w:rPr>
              <w:t>tanpa</w:t>
            </w:r>
            <w:r w:rsidRPr="008262B9">
              <w:rPr>
                <w:rFonts w:ascii="Bookman Old Style" w:hAnsi="Bookman Old Style"/>
                <w:spacing w:val="-4"/>
                <w:sz w:val="20"/>
                <w:szCs w:val="20"/>
              </w:rPr>
              <w:t xml:space="preserve"> </w:t>
            </w:r>
            <w:r w:rsidRPr="008262B9">
              <w:rPr>
                <w:rFonts w:ascii="Bookman Old Style" w:hAnsi="Bookman Old Style"/>
                <w:sz w:val="20"/>
                <w:szCs w:val="20"/>
              </w:rPr>
              <w:t>jaminan</w:t>
            </w:r>
          </w:p>
        </w:tc>
        <w:tc>
          <w:tcPr>
            <w:tcW w:w="1201" w:type="dxa"/>
          </w:tcPr>
          <w:p w14:paraId="650F8477" w14:textId="77777777" w:rsidR="008262B9" w:rsidRPr="008262B9" w:rsidRDefault="008262B9" w:rsidP="001359AD">
            <w:pPr>
              <w:pStyle w:val="TableParagraph"/>
              <w:rPr>
                <w:rFonts w:ascii="Bookman Old Style" w:hAnsi="Bookman Old Style"/>
                <w:sz w:val="20"/>
                <w:szCs w:val="20"/>
              </w:rPr>
            </w:pPr>
          </w:p>
        </w:tc>
        <w:tc>
          <w:tcPr>
            <w:tcW w:w="675" w:type="dxa"/>
          </w:tcPr>
          <w:p w14:paraId="1F59B6DA" w14:textId="77777777" w:rsidR="008262B9" w:rsidRPr="008262B9" w:rsidRDefault="008262B9" w:rsidP="001359AD">
            <w:pPr>
              <w:pStyle w:val="TableParagraph"/>
              <w:rPr>
                <w:rFonts w:ascii="Bookman Old Style" w:hAnsi="Bookman Old Style"/>
                <w:sz w:val="20"/>
                <w:szCs w:val="20"/>
              </w:rPr>
            </w:pPr>
          </w:p>
        </w:tc>
        <w:tc>
          <w:tcPr>
            <w:tcW w:w="1126" w:type="dxa"/>
          </w:tcPr>
          <w:p w14:paraId="4FC89911" w14:textId="77777777" w:rsidR="008262B9" w:rsidRPr="008262B9" w:rsidRDefault="008262B9" w:rsidP="001359AD">
            <w:pPr>
              <w:pStyle w:val="TableParagraph"/>
              <w:rPr>
                <w:rFonts w:ascii="Bookman Old Style" w:hAnsi="Bookman Old Style"/>
                <w:sz w:val="20"/>
                <w:szCs w:val="20"/>
              </w:rPr>
            </w:pPr>
          </w:p>
        </w:tc>
        <w:tc>
          <w:tcPr>
            <w:tcW w:w="815" w:type="dxa"/>
          </w:tcPr>
          <w:p w14:paraId="5DA51324" w14:textId="77777777" w:rsidR="008262B9" w:rsidRPr="008262B9" w:rsidRDefault="008262B9" w:rsidP="001359AD">
            <w:pPr>
              <w:pStyle w:val="TableParagraph"/>
              <w:rPr>
                <w:rFonts w:ascii="Bookman Old Style" w:hAnsi="Bookman Old Style"/>
                <w:sz w:val="20"/>
                <w:szCs w:val="20"/>
              </w:rPr>
            </w:pPr>
          </w:p>
        </w:tc>
        <w:tc>
          <w:tcPr>
            <w:tcW w:w="1427" w:type="dxa"/>
          </w:tcPr>
          <w:p w14:paraId="20DC307C" w14:textId="77777777" w:rsidR="008262B9" w:rsidRPr="008262B9" w:rsidRDefault="008262B9" w:rsidP="001359AD">
            <w:pPr>
              <w:pStyle w:val="TableParagraph"/>
              <w:rPr>
                <w:rFonts w:ascii="Bookman Old Style" w:hAnsi="Bookman Old Style"/>
                <w:sz w:val="20"/>
                <w:szCs w:val="20"/>
              </w:rPr>
            </w:pPr>
          </w:p>
        </w:tc>
        <w:tc>
          <w:tcPr>
            <w:tcW w:w="1089" w:type="dxa"/>
          </w:tcPr>
          <w:p w14:paraId="3A3CC7CF" w14:textId="77777777" w:rsidR="008262B9" w:rsidRPr="008262B9" w:rsidRDefault="008262B9" w:rsidP="001359AD">
            <w:pPr>
              <w:pStyle w:val="TableParagraph"/>
              <w:rPr>
                <w:rFonts w:ascii="Bookman Old Style" w:hAnsi="Bookman Old Style"/>
                <w:sz w:val="20"/>
                <w:szCs w:val="20"/>
              </w:rPr>
            </w:pPr>
          </w:p>
        </w:tc>
        <w:tc>
          <w:tcPr>
            <w:tcW w:w="810" w:type="dxa"/>
          </w:tcPr>
          <w:p w14:paraId="48CA23F8" w14:textId="77777777" w:rsidR="008262B9" w:rsidRPr="008262B9" w:rsidRDefault="008262B9" w:rsidP="001359AD">
            <w:pPr>
              <w:pStyle w:val="TableParagraph"/>
              <w:rPr>
                <w:rFonts w:ascii="Bookman Old Style" w:hAnsi="Bookman Old Style"/>
                <w:sz w:val="20"/>
                <w:szCs w:val="20"/>
              </w:rPr>
            </w:pPr>
          </w:p>
        </w:tc>
        <w:tc>
          <w:tcPr>
            <w:tcW w:w="1082" w:type="dxa"/>
          </w:tcPr>
          <w:p w14:paraId="0DD2BDC9" w14:textId="77777777" w:rsidR="008262B9" w:rsidRPr="008262B9" w:rsidRDefault="008262B9" w:rsidP="001359AD">
            <w:pPr>
              <w:pStyle w:val="TableParagraph"/>
              <w:rPr>
                <w:rFonts w:ascii="Bookman Old Style" w:hAnsi="Bookman Old Style"/>
                <w:sz w:val="20"/>
                <w:szCs w:val="20"/>
              </w:rPr>
            </w:pPr>
          </w:p>
        </w:tc>
        <w:tc>
          <w:tcPr>
            <w:tcW w:w="813" w:type="dxa"/>
          </w:tcPr>
          <w:p w14:paraId="68C76F94"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46107D5F" w14:textId="77777777" w:rsidR="008262B9" w:rsidRPr="008262B9" w:rsidRDefault="008262B9" w:rsidP="001359AD">
            <w:pPr>
              <w:pStyle w:val="TableParagraph"/>
              <w:rPr>
                <w:rFonts w:ascii="Bookman Old Style" w:hAnsi="Bookman Old Style"/>
                <w:sz w:val="20"/>
                <w:szCs w:val="20"/>
              </w:rPr>
            </w:pPr>
          </w:p>
        </w:tc>
        <w:tc>
          <w:tcPr>
            <w:tcW w:w="1559" w:type="dxa"/>
          </w:tcPr>
          <w:p w14:paraId="01A681FA" w14:textId="77777777" w:rsidR="008262B9" w:rsidRPr="008262B9" w:rsidRDefault="008262B9" w:rsidP="001359AD">
            <w:pPr>
              <w:pStyle w:val="TableParagraph"/>
              <w:spacing w:before="10"/>
              <w:rPr>
                <w:rFonts w:ascii="Bookman Old Style" w:hAnsi="Bookman Old Style"/>
                <w:sz w:val="20"/>
                <w:szCs w:val="20"/>
              </w:rPr>
            </w:pPr>
          </w:p>
          <w:p w14:paraId="6BD50CD7"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sz w:val="20"/>
                <w:szCs w:val="20"/>
              </w:rPr>
              <w:t>3.1.2</w:t>
            </w:r>
          </w:p>
          <w:p w14:paraId="675A76B6" w14:textId="77777777" w:rsidR="008262B9" w:rsidRPr="008262B9" w:rsidRDefault="008262B9" w:rsidP="001359AD">
            <w:pPr>
              <w:pStyle w:val="TableParagraph"/>
              <w:spacing w:before="1"/>
              <w:ind w:left="93"/>
              <w:rPr>
                <w:rFonts w:ascii="Bookman Old Style" w:hAnsi="Bookman Old Style"/>
                <w:b/>
                <w:sz w:val="20"/>
                <w:szCs w:val="20"/>
              </w:rPr>
            </w:pPr>
            <w:r w:rsidRPr="008262B9">
              <w:rPr>
                <w:rFonts w:ascii="Bookman Old Style" w:hAnsi="Bookman Old Style"/>
                <w:b/>
                <w:sz w:val="20"/>
                <w:szCs w:val="20"/>
              </w:rPr>
              <w:t>3.1.3</w:t>
            </w:r>
          </w:p>
        </w:tc>
      </w:tr>
      <w:tr w:rsidR="008262B9" w:rsidRPr="008262B9" w14:paraId="5AB125FF" w14:textId="77777777" w:rsidTr="008262B9">
        <w:trPr>
          <w:trHeight w:val="1020"/>
        </w:trPr>
        <w:tc>
          <w:tcPr>
            <w:tcW w:w="483" w:type="dxa"/>
          </w:tcPr>
          <w:p w14:paraId="68779B2C" w14:textId="77777777" w:rsidR="008262B9" w:rsidRPr="008262B9" w:rsidRDefault="008262B9" w:rsidP="001359AD">
            <w:pPr>
              <w:pStyle w:val="TableParagraph"/>
              <w:spacing w:before="10"/>
              <w:jc w:val="center"/>
              <w:rPr>
                <w:rFonts w:ascii="Bookman Old Style" w:hAnsi="Bookman Old Style"/>
                <w:sz w:val="20"/>
                <w:szCs w:val="20"/>
              </w:rPr>
            </w:pPr>
          </w:p>
          <w:p w14:paraId="4F88CC36" w14:textId="77777777" w:rsidR="008262B9" w:rsidRPr="008262B9" w:rsidRDefault="008262B9" w:rsidP="001359AD">
            <w:pPr>
              <w:pStyle w:val="TableParagraph"/>
              <w:spacing w:before="10"/>
              <w:jc w:val="center"/>
              <w:rPr>
                <w:rFonts w:ascii="Bookman Old Style" w:hAnsi="Bookman Old Style"/>
                <w:sz w:val="20"/>
                <w:szCs w:val="20"/>
              </w:rPr>
            </w:pPr>
          </w:p>
          <w:p w14:paraId="4E0F1CAB" w14:textId="77777777" w:rsidR="008262B9" w:rsidRPr="008262B9" w:rsidRDefault="008262B9" w:rsidP="001359AD">
            <w:pPr>
              <w:pStyle w:val="TableParagraph"/>
              <w:spacing w:before="10"/>
              <w:ind w:left="24"/>
              <w:jc w:val="center"/>
              <w:rPr>
                <w:rFonts w:ascii="Bookman Old Style" w:hAnsi="Bookman Old Style"/>
                <w:sz w:val="20"/>
                <w:szCs w:val="20"/>
              </w:rPr>
            </w:pPr>
            <w:r w:rsidRPr="008262B9">
              <w:rPr>
                <w:rFonts w:ascii="Bookman Old Style" w:hAnsi="Bookman Old Style"/>
                <w:sz w:val="20"/>
                <w:szCs w:val="20"/>
              </w:rPr>
              <w:t>21</w:t>
            </w:r>
          </w:p>
        </w:tc>
        <w:tc>
          <w:tcPr>
            <w:tcW w:w="4359" w:type="dxa"/>
          </w:tcPr>
          <w:p w14:paraId="34CB98EC" w14:textId="77777777" w:rsidR="008262B9" w:rsidRPr="008262B9" w:rsidRDefault="008262B9" w:rsidP="001359AD">
            <w:pPr>
              <w:pStyle w:val="TableParagraph"/>
              <w:ind w:left="371" w:right="88"/>
              <w:jc w:val="both"/>
              <w:rPr>
                <w:rFonts w:ascii="Bookman Old Style" w:hAnsi="Bookman Old Style"/>
                <w:sz w:val="20"/>
                <w:szCs w:val="20"/>
              </w:rPr>
            </w:pPr>
            <w:r w:rsidRPr="008262B9">
              <w:rPr>
                <w:rFonts w:ascii="Bookman Old Style" w:hAnsi="Bookman Old Style"/>
                <w:sz w:val="20"/>
                <w:szCs w:val="20"/>
              </w:rPr>
              <w:t>kepada perusahaan non-keuangan,</w:t>
            </w:r>
            <w:r w:rsidRPr="008262B9">
              <w:rPr>
                <w:rFonts w:ascii="Bookman Old Style" w:hAnsi="Bookman Old Style"/>
                <w:spacing w:val="-61"/>
                <w:sz w:val="20"/>
                <w:szCs w:val="20"/>
              </w:rPr>
              <w:t xml:space="preserve"> </w:t>
            </w:r>
            <w:r w:rsidRPr="008262B9">
              <w:rPr>
                <w:rFonts w:ascii="Bookman Old Style" w:hAnsi="Bookman Old Style"/>
                <w:sz w:val="20"/>
                <w:szCs w:val="20"/>
              </w:rPr>
              <w:t>nasabah perorangan dan nasabah</w:t>
            </w:r>
            <w:r w:rsidRPr="008262B9">
              <w:rPr>
                <w:rFonts w:ascii="Bookman Old Style" w:hAnsi="Bookman Old Style"/>
                <w:spacing w:val="1"/>
                <w:sz w:val="20"/>
                <w:szCs w:val="20"/>
              </w:rPr>
              <w:t xml:space="preserve"> </w:t>
            </w:r>
            <w:r w:rsidRPr="008262B9">
              <w:rPr>
                <w:rFonts w:ascii="Bookman Old Style" w:hAnsi="Bookman Old Style"/>
                <w:sz w:val="20"/>
                <w:szCs w:val="20"/>
              </w:rPr>
              <w:t>usaha</w:t>
            </w:r>
            <w:r w:rsidRPr="008262B9">
              <w:rPr>
                <w:rFonts w:ascii="Bookman Old Style" w:hAnsi="Bookman Old Style"/>
                <w:spacing w:val="1"/>
                <w:sz w:val="20"/>
                <w:szCs w:val="20"/>
              </w:rPr>
              <w:t xml:space="preserve"> </w:t>
            </w:r>
            <w:r w:rsidRPr="008262B9">
              <w:rPr>
                <w:rFonts w:ascii="Bookman Old Style" w:hAnsi="Bookman Old Style"/>
                <w:sz w:val="20"/>
                <w:szCs w:val="20"/>
              </w:rPr>
              <w:t>mikro</w:t>
            </w:r>
            <w:r w:rsidRPr="008262B9">
              <w:rPr>
                <w:rFonts w:ascii="Bookman Old Style" w:hAnsi="Bookman Old Style"/>
                <w:spacing w:val="1"/>
                <w:sz w:val="20"/>
                <w:szCs w:val="20"/>
              </w:rPr>
              <w:t xml:space="preserve"> </w:t>
            </w:r>
            <w:r w:rsidRPr="008262B9">
              <w:rPr>
                <w:rFonts w:ascii="Bookman Old Style" w:hAnsi="Bookman Old Style"/>
                <w:sz w:val="20"/>
                <w:szCs w:val="20"/>
              </w:rPr>
              <w:t>dan</w:t>
            </w:r>
            <w:r w:rsidRPr="008262B9">
              <w:rPr>
                <w:rFonts w:ascii="Bookman Old Style" w:hAnsi="Bookman Old Style"/>
                <w:spacing w:val="1"/>
                <w:sz w:val="20"/>
                <w:szCs w:val="20"/>
              </w:rPr>
              <w:t xml:space="preserve"> </w:t>
            </w:r>
            <w:r w:rsidRPr="008262B9">
              <w:rPr>
                <w:rFonts w:ascii="Bookman Old Style" w:hAnsi="Bookman Old Style"/>
                <w:sz w:val="20"/>
                <w:szCs w:val="20"/>
              </w:rPr>
              <w:t>usaha</w:t>
            </w:r>
            <w:r w:rsidRPr="008262B9">
              <w:rPr>
                <w:rFonts w:ascii="Bookman Old Style" w:hAnsi="Bookman Old Style"/>
                <w:spacing w:val="1"/>
                <w:sz w:val="20"/>
                <w:szCs w:val="20"/>
              </w:rPr>
              <w:t xml:space="preserve"> </w:t>
            </w:r>
            <w:r w:rsidRPr="008262B9">
              <w:rPr>
                <w:rFonts w:ascii="Bookman Old Style" w:hAnsi="Bookman Old Style"/>
                <w:sz w:val="20"/>
                <w:szCs w:val="20"/>
              </w:rPr>
              <w:t>kecil,</w:t>
            </w:r>
            <w:r w:rsidRPr="008262B9">
              <w:rPr>
                <w:rFonts w:ascii="Bookman Old Style" w:hAnsi="Bookman Old Style"/>
                <w:spacing w:val="1"/>
                <w:sz w:val="20"/>
                <w:szCs w:val="20"/>
              </w:rPr>
              <w:t xml:space="preserve"> </w:t>
            </w:r>
            <w:r w:rsidRPr="008262B9">
              <w:rPr>
                <w:rFonts w:ascii="Bookman Old Style" w:hAnsi="Bookman Old Style"/>
                <w:sz w:val="20"/>
                <w:szCs w:val="20"/>
              </w:rPr>
              <w:t>Pemerintah</w:t>
            </w:r>
            <w:r w:rsidRPr="008262B9">
              <w:rPr>
                <w:rFonts w:ascii="Bookman Old Style" w:hAnsi="Bookman Old Style"/>
                <w:spacing w:val="1"/>
                <w:sz w:val="20"/>
                <w:szCs w:val="20"/>
              </w:rPr>
              <w:t xml:space="preserve"> </w:t>
            </w:r>
            <w:r w:rsidRPr="008262B9">
              <w:rPr>
                <w:rFonts w:ascii="Bookman Old Style" w:hAnsi="Bookman Old Style"/>
                <w:sz w:val="20"/>
                <w:szCs w:val="20"/>
              </w:rPr>
              <w:t>Indonesia,</w:t>
            </w:r>
            <w:r w:rsidRPr="008262B9">
              <w:rPr>
                <w:rFonts w:ascii="Bookman Old Style" w:hAnsi="Bookman Old Style"/>
                <w:spacing w:val="1"/>
                <w:sz w:val="20"/>
                <w:szCs w:val="20"/>
              </w:rPr>
              <w:t xml:space="preserve"> </w:t>
            </w:r>
            <w:r w:rsidRPr="008262B9">
              <w:rPr>
                <w:rFonts w:ascii="Bookman Old Style" w:hAnsi="Bookman Old Style"/>
                <w:sz w:val="20"/>
                <w:szCs w:val="20"/>
              </w:rPr>
              <w:t>pemerintah</w:t>
            </w:r>
            <w:r w:rsidRPr="008262B9">
              <w:rPr>
                <w:rFonts w:ascii="Bookman Old Style" w:hAnsi="Bookman Old Style"/>
                <w:spacing w:val="-61"/>
                <w:sz w:val="20"/>
                <w:szCs w:val="20"/>
              </w:rPr>
              <w:t xml:space="preserve"> </w:t>
            </w:r>
            <w:r w:rsidRPr="008262B9">
              <w:rPr>
                <w:rFonts w:ascii="Bookman Old Style" w:hAnsi="Bookman Old Style"/>
                <w:sz w:val="20"/>
                <w:szCs w:val="20"/>
              </w:rPr>
              <w:t>negara lain, Bank Indonesia, bank</w:t>
            </w:r>
            <w:r w:rsidRPr="008262B9">
              <w:rPr>
                <w:rFonts w:ascii="Bookman Old Style" w:hAnsi="Bookman Old Style"/>
                <w:spacing w:val="1"/>
                <w:sz w:val="20"/>
                <w:szCs w:val="20"/>
              </w:rPr>
              <w:t xml:space="preserve"> </w:t>
            </w:r>
            <w:r w:rsidRPr="008262B9">
              <w:rPr>
                <w:rFonts w:ascii="Bookman Old Style" w:hAnsi="Bookman Old Style"/>
                <w:sz w:val="20"/>
                <w:szCs w:val="20"/>
              </w:rPr>
              <w:t>sentral</w:t>
            </w:r>
            <w:r w:rsidRPr="008262B9">
              <w:rPr>
                <w:rFonts w:ascii="Bookman Old Style" w:hAnsi="Bookman Old Style"/>
                <w:spacing w:val="63"/>
                <w:sz w:val="20"/>
                <w:szCs w:val="20"/>
              </w:rPr>
              <w:t xml:space="preserve"> </w:t>
            </w:r>
            <w:r w:rsidRPr="008262B9">
              <w:rPr>
                <w:rFonts w:ascii="Bookman Old Style" w:hAnsi="Bookman Old Style"/>
                <w:sz w:val="20"/>
                <w:szCs w:val="20"/>
              </w:rPr>
              <w:t>negara</w:t>
            </w:r>
            <w:r w:rsidRPr="008262B9">
              <w:rPr>
                <w:rFonts w:ascii="Bookman Old Style" w:hAnsi="Bookman Old Style"/>
                <w:spacing w:val="62"/>
                <w:sz w:val="20"/>
                <w:szCs w:val="20"/>
              </w:rPr>
              <w:t xml:space="preserve"> </w:t>
            </w:r>
            <w:r w:rsidRPr="008262B9">
              <w:rPr>
                <w:rFonts w:ascii="Bookman Old Style" w:hAnsi="Bookman Old Style"/>
                <w:sz w:val="20"/>
                <w:szCs w:val="20"/>
              </w:rPr>
              <w:t>lain</w:t>
            </w:r>
            <w:r w:rsidRPr="008262B9">
              <w:rPr>
                <w:rFonts w:ascii="Bookman Old Style" w:hAnsi="Bookman Old Style"/>
                <w:spacing w:val="2"/>
                <w:sz w:val="20"/>
                <w:szCs w:val="20"/>
              </w:rPr>
              <w:t xml:space="preserve"> </w:t>
            </w:r>
            <w:r w:rsidRPr="008262B9">
              <w:rPr>
                <w:rFonts w:ascii="Bookman Old Style" w:hAnsi="Bookman Old Style"/>
                <w:sz w:val="20"/>
                <w:szCs w:val="20"/>
              </w:rPr>
              <w:t>dan</w:t>
            </w:r>
            <w:r w:rsidRPr="008262B9">
              <w:rPr>
                <w:rFonts w:ascii="Bookman Old Style" w:hAnsi="Bookman Old Style"/>
                <w:spacing w:val="63"/>
                <w:sz w:val="20"/>
                <w:szCs w:val="20"/>
              </w:rPr>
              <w:t xml:space="preserve"> </w:t>
            </w:r>
            <w:r w:rsidRPr="008262B9">
              <w:rPr>
                <w:rFonts w:ascii="Bookman Old Style" w:hAnsi="Bookman Old Style"/>
                <w:sz w:val="20"/>
                <w:szCs w:val="20"/>
              </w:rPr>
              <w:t>entitas</w:t>
            </w:r>
          </w:p>
          <w:p w14:paraId="01B6768C" w14:textId="77777777" w:rsidR="008262B9" w:rsidRPr="008262B9" w:rsidRDefault="008262B9" w:rsidP="001359AD">
            <w:pPr>
              <w:pStyle w:val="TableParagraph"/>
              <w:spacing w:line="216" w:lineRule="exact"/>
              <w:ind w:left="371"/>
              <w:jc w:val="both"/>
              <w:rPr>
                <w:rFonts w:ascii="Bookman Old Style" w:hAnsi="Bookman Old Style"/>
                <w:sz w:val="20"/>
                <w:szCs w:val="20"/>
              </w:rPr>
            </w:pPr>
            <w:r w:rsidRPr="008262B9">
              <w:rPr>
                <w:rFonts w:ascii="Bookman Old Style" w:hAnsi="Bookman Old Style"/>
                <w:sz w:val="20"/>
                <w:szCs w:val="20"/>
              </w:rPr>
              <w:t>sektor</w:t>
            </w:r>
            <w:r w:rsidRPr="008262B9">
              <w:rPr>
                <w:rFonts w:ascii="Bookman Old Style" w:hAnsi="Bookman Old Style"/>
                <w:spacing w:val="-5"/>
                <w:sz w:val="20"/>
                <w:szCs w:val="20"/>
              </w:rPr>
              <w:t xml:space="preserve"> </w:t>
            </w:r>
            <w:r w:rsidRPr="008262B9">
              <w:rPr>
                <w:rFonts w:ascii="Bookman Old Style" w:hAnsi="Bookman Old Style"/>
                <w:sz w:val="20"/>
                <w:szCs w:val="20"/>
              </w:rPr>
              <w:t>publik,</w:t>
            </w:r>
            <w:r w:rsidRPr="008262B9">
              <w:rPr>
                <w:rFonts w:ascii="Bookman Old Style" w:hAnsi="Bookman Old Style"/>
                <w:spacing w:val="-4"/>
                <w:sz w:val="20"/>
                <w:szCs w:val="20"/>
              </w:rPr>
              <w:t xml:space="preserve"> </w:t>
            </w:r>
            <w:r w:rsidRPr="008262B9">
              <w:rPr>
                <w:rFonts w:ascii="Bookman Old Style" w:hAnsi="Bookman Old Style"/>
                <w:sz w:val="20"/>
                <w:szCs w:val="20"/>
              </w:rPr>
              <w:t>yang</w:t>
            </w:r>
            <w:r w:rsidRPr="008262B9">
              <w:rPr>
                <w:rFonts w:ascii="Bookman Old Style" w:hAnsi="Bookman Old Style"/>
                <w:spacing w:val="-5"/>
                <w:sz w:val="20"/>
                <w:szCs w:val="20"/>
              </w:rPr>
              <w:t xml:space="preserve"> </w:t>
            </w:r>
            <w:r w:rsidRPr="008262B9">
              <w:rPr>
                <w:rFonts w:ascii="Bookman Old Style" w:hAnsi="Bookman Old Style"/>
                <w:sz w:val="20"/>
                <w:szCs w:val="20"/>
              </w:rPr>
              <w:t>diantaranya:</w:t>
            </w:r>
          </w:p>
        </w:tc>
        <w:tc>
          <w:tcPr>
            <w:tcW w:w="1201" w:type="dxa"/>
          </w:tcPr>
          <w:p w14:paraId="4FEE800C" w14:textId="77777777" w:rsidR="008262B9" w:rsidRPr="008262B9" w:rsidRDefault="008262B9" w:rsidP="001359AD">
            <w:pPr>
              <w:pStyle w:val="TableParagraph"/>
              <w:rPr>
                <w:rFonts w:ascii="Bookman Old Style" w:hAnsi="Bookman Old Style"/>
                <w:sz w:val="20"/>
                <w:szCs w:val="20"/>
              </w:rPr>
            </w:pPr>
          </w:p>
        </w:tc>
        <w:tc>
          <w:tcPr>
            <w:tcW w:w="675" w:type="dxa"/>
          </w:tcPr>
          <w:p w14:paraId="0BB32621" w14:textId="77777777" w:rsidR="008262B9" w:rsidRPr="008262B9" w:rsidRDefault="008262B9" w:rsidP="001359AD">
            <w:pPr>
              <w:pStyle w:val="TableParagraph"/>
              <w:rPr>
                <w:rFonts w:ascii="Bookman Old Style" w:hAnsi="Bookman Old Style"/>
                <w:sz w:val="20"/>
                <w:szCs w:val="20"/>
              </w:rPr>
            </w:pPr>
          </w:p>
        </w:tc>
        <w:tc>
          <w:tcPr>
            <w:tcW w:w="1126" w:type="dxa"/>
          </w:tcPr>
          <w:p w14:paraId="72CA7B54" w14:textId="77777777" w:rsidR="008262B9" w:rsidRPr="008262B9" w:rsidRDefault="008262B9" w:rsidP="001359AD">
            <w:pPr>
              <w:pStyle w:val="TableParagraph"/>
              <w:rPr>
                <w:rFonts w:ascii="Bookman Old Style" w:hAnsi="Bookman Old Style"/>
                <w:sz w:val="20"/>
                <w:szCs w:val="20"/>
              </w:rPr>
            </w:pPr>
          </w:p>
        </w:tc>
        <w:tc>
          <w:tcPr>
            <w:tcW w:w="815" w:type="dxa"/>
          </w:tcPr>
          <w:p w14:paraId="5CEA4052" w14:textId="77777777" w:rsidR="008262B9" w:rsidRPr="008262B9" w:rsidRDefault="008262B9" w:rsidP="001359AD">
            <w:pPr>
              <w:pStyle w:val="TableParagraph"/>
              <w:rPr>
                <w:rFonts w:ascii="Bookman Old Style" w:hAnsi="Bookman Old Style"/>
                <w:sz w:val="20"/>
                <w:szCs w:val="20"/>
              </w:rPr>
            </w:pPr>
          </w:p>
        </w:tc>
        <w:tc>
          <w:tcPr>
            <w:tcW w:w="1427" w:type="dxa"/>
          </w:tcPr>
          <w:p w14:paraId="21B27EE7" w14:textId="77777777" w:rsidR="008262B9" w:rsidRPr="008262B9" w:rsidRDefault="008262B9" w:rsidP="001359AD">
            <w:pPr>
              <w:pStyle w:val="TableParagraph"/>
              <w:rPr>
                <w:rFonts w:ascii="Bookman Old Style" w:hAnsi="Bookman Old Style"/>
                <w:sz w:val="20"/>
                <w:szCs w:val="20"/>
              </w:rPr>
            </w:pPr>
          </w:p>
        </w:tc>
        <w:tc>
          <w:tcPr>
            <w:tcW w:w="1089" w:type="dxa"/>
          </w:tcPr>
          <w:p w14:paraId="57BB3A16" w14:textId="77777777" w:rsidR="008262B9" w:rsidRPr="008262B9" w:rsidRDefault="008262B9" w:rsidP="001359AD">
            <w:pPr>
              <w:pStyle w:val="TableParagraph"/>
              <w:rPr>
                <w:rFonts w:ascii="Bookman Old Style" w:hAnsi="Bookman Old Style"/>
                <w:sz w:val="20"/>
                <w:szCs w:val="20"/>
              </w:rPr>
            </w:pPr>
          </w:p>
        </w:tc>
        <w:tc>
          <w:tcPr>
            <w:tcW w:w="810" w:type="dxa"/>
          </w:tcPr>
          <w:p w14:paraId="44B0337C" w14:textId="77777777" w:rsidR="008262B9" w:rsidRPr="008262B9" w:rsidRDefault="008262B9" w:rsidP="001359AD">
            <w:pPr>
              <w:pStyle w:val="TableParagraph"/>
              <w:rPr>
                <w:rFonts w:ascii="Bookman Old Style" w:hAnsi="Bookman Old Style"/>
                <w:sz w:val="20"/>
                <w:szCs w:val="20"/>
              </w:rPr>
            </w:pPr>
          </w:p>
        </w:tc>
        <w:tc>
          <w:tcPr>
            <w:tcW w:w="1082" w:type="dxa"/>
          </w:tcPr>
          <w:p w14:paraId="36B3FF8D" w14:textId="77777777" w:rsidR="008262B9" w:rsidRPr="008262B9" w:rsidRDefault="008262B9" w:rsidP="001359AD">
            <w:pPr>
              <w:pStyle w:val="TableParagraph"/>
              <w:rPr>
                <w:rFonts w:ascii="Bookman Old Style" w:hAnsi="Bookman Old Style"/>
                <w:sz w:val="20"/>
                <w:szCs w:val="20"/>
              </w:rPr>
            </w:pPr>
          </w:p>
        </w:tc>
        <w:tc>
          <w:tcPr>
            <w:tcW w:w="813" w:type="dxa"/>
          </w:tcPr>
          <w:p w14:paraId="325FA674"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1A818F01" w14:textId="77777777" w:rsidR="008262B9" w:rsidRPr="008262B9" w:rsidRDefault="008262B9" w:rsidP="001359AD">
            <w:pPr>
              <w:pStyle w:val="TableParagraph"/>
              <w:rPr>
                <w:rFonts w:ascii="Bookman Old Style" w:hAnsi="Bookman Old Style"/>
                <w:sz w:val="20"/>
                <w:szCs w:val="20"/>
              </w:rPr>
            </w:pPr>
          </w:p>
        </w:tc>
        <w:tc>
          <w:tcPr>
            <w:tcW w:w="1559" w:type="dxa"/>
          </w:tcPr>
          <w:p w14:paraId="7757CB30" w14:textId="77777777" w:rsidR="008262B9" w:rsidRPr="008262B9" w:rsidRDefault="008262B9" w:rsidP="001359AD">
            <w:pPr>
              <w:pStyle w:val="TableParagraph"/>
              <w:rPr>
                <w:rFonts w:ascii="Bookman Old Style" w:hAnsi="Bookman Old Style"/>
                <w:sz w:val="20"/>
                <w:szCs w:val="20"/>
              </w:rPr>
            </w:pPr>
          </w:p>
          <w:p w14:paraId="7E1AE89E" w14:textId="77777777" w:rsidR="008262B9" w:rsidRPr="008262B9" w:rsidRDefault="008262B9" w:rsidP="001359AD">
            <w:pPr>
              <w:pStyle w:val="TableParagraph"/>
              <w:spacing w:before="10"/>
              <w:rPr>
                <w:rFonts w:ascii="Bookman Old Style" w:hAnsi="Bookman Old Style"/>
                <w:sz w:val="20"/>
                <w:szCs w:val="20"/>
              </w:rPr>
            </w:pPr>
          </w:p>
          <w:p w14:paraId="695B0316" w14:textId="77777777" w:rsidR="008262B9" w:rsidRPr="008262B9" w:rsidRDefault="008262B9" w:rsidP="001359AD">
            <w:pPr>
              <w:pStyle w:val="TableParagraph"/>
              <w:spacing w:before="1"/>
              <w:ind w:left="93"/>
              <w:rPr>
                <w:rFonts w:ascii="Bookman Old Style" w:hAnsi="Bookman Old Style"/>
                <w:b/>
                <w:sz w:val="20"/>
                <w:szCs w:val="20"/>
              </w:rPr>
            </w:pPr>
            <w:r w:rsidRPr="008262B9">
              <w:rPr>
                <w:rFonts w:ascii="Bookman Old Style" w:hAnsi="Bookman Old Style"/>
                <w:b/>
                <w:sz w:val="20"/>
                <w:szCs w:val="20"/>
              </w:rPr>
              <w:t>3.1.4.2</w:t>
            </w:r>
          </w:p>
          <w:p w14:paraId="63924F69"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sz w:val="20"/>
                <w:szCs w:val="20"/>
              </w:rPr>
              <w:t>3.1.5</w:t>
            </w:r>
          </w:p>
          <w:p w14:paraId="7EFD68F9"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sz w:val="20"/>
                <w:szCs w:val="20"/>
              </w:rPr>
              <w:t>3.1.6</w:t>
            </w:r>
          </w:p>
        </w:tc>
      </w:tr>
      <w:tr w:rsidR="008262B9" w:rsidRPr="008262B9" w14:paraId="2850B22C" w14:textId="77777777" w:rsidTr="008262B9">
        <w:trPr>
          <w:trHeight w:val="940"/>
        </w:trPr>
        <w:tc>
          <w:tcPr>
            <w:tcW w:w="483" w:type="dxa"/>
          </w:tcPr>
          <w:p w14:paraId="590B861F" w14:textId="77777777" w:rsidR="008262B9" w:rsidRPr="008262B9" w:rsidRDefault="008262B9" w:rsidP="001359AD">
            <w:pPr>
              <w:pStyle w:val="TableParagraph"/>
              <w:spacing w:before="10"/>
              <w:rPr>
                <w:rFonts w:ascii="Bookman Old Style" w:hAnsi="Bookman Old Style"/>
                <w:sz w:val="20"/>
                <w:szCs w:val="20"/>
              </w:rPr>
            </w:pPr>
          </w:p>
          <w:p w14:paraId="2A252EFA"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rPr>
              <w:t>2</w:t>
            </w:r>
            <w:r w:rsidRPr="008262B9">
              <w:rPr>
                <w:rFonts w:ascii="Bookman Old Style" w:hAnsi="Bookman Old Style"/>
                <w:sz w:val="20"/>
                <w:szCs w:val="20"/>
                <w:lang w:val="en-US"/>
              </w:rPr>
              <w:t>2</w:t>
            </w:r>
          </w:p>
        </w:tc>
        <w:tc>
          <w:tcPr>
            <w:tcW w:w="4359" w:type="dxa"/>
          </w:tcPr>
          <w:p w14:paraId="6F87ECE2" w14:textId="77777777" w:rsidR="008262B9" w:rsidRPr="008262B9" w:rsidRDefault="008262B9" w:rsidP="001359AD">
            <w:pPr>
              <w:pStyle w:val="TableParagraph"/>
              <w:ind w:left="720" w:right="90"/>
              <w:jc w:val="both"/>
              <w:rPr>
                <w:rFonts w:ascii="Bookman Old Style" w:hAnsi="Bookman Old Style"/>
                <w:sz w:val="20"/>
                <w:szCs w:val="20"/>
              </w:rPr>
            </w:pPr>
            <w:r w:rsidRPr="008262B9">
              <w:rPr>
                <w:rFonts w:ascii="Bookman Old Style" w:hAnsi="Bookman Old Style"/>
                <w:sz w:val="20"/>
                <w:szCs w:val="20"/>
              </w:rPr>
              <w:t>memenuhi</w:t>
            </w:r>
            <w:r w:rsidRPr="008262B9">
              <w:rPr>
                <w:rFonts w:ascii="Bookman Old Style" w:hAnsi="Bookman Old Style"/>
                <w:spacing w:val="1"/>
                <w:sz w:val="20"/>
                <w:szCs w:val="20"/>
              </w:rPr>
              <w:t xml:space="preserve"> </w:t>
            </w:r>
            <w:r w:rsidRPr="008262B9">
              <w:rPr>
                <w:rFonts w:ascii="Bookman Old Style" w:hAnsi="Bookman Old Style"/>
                <w:sz w:val="20"/>
                <w:szCs w:val="20"/>
              </w:rPr>
              <w:t>kualifikasi</w:t>
            </w:r>
            <w:r w:rsidRPr="008262B9">
              <w:rPr>
                <w:rFonts w:ascii="Bookman Old Style" w:hAnsi="Bookman Old Style"/>
                <w:spacing w:val="1"/>
                <w:sz w:val="20"/>
                <w:szCs w:val="20"/>
              </w:rPr>
              <w:t xml:space="preserve"> </w:t>
            </w:r>
            <w:r w:rsidRPr="008262B9">
              <w:rPr>
                <w:rFonts w:ascii="Bookman Old Style" w:hAnsi="Bookman Old Style"/>
                <w:sz w:val="20"/>
                <w:szCs w:val="20"/>
              </w:rPr>
              <w:t>untuk</w:t>
            </w:r>
            <w:r w:rsidRPr="008262B9">
              <w:rPr>
                <w:rFonts w:ascii="Bookman Old Style" w:hAnsi="Bookman Old Style"/>
                <w:spacing w:val="1"/>
                <w:sz w:val="20"/>
                <w:szCs w:val="20"/>
              </w:rPr>
              <w:t xml:space="preserve"> </w:t>
            </w:r>
            <w:r w:rsidRPr="008262B9">
              <w:rPr>
                <w:rFonts w:ascii="Bookman Old Style" w:hAnsi="Bookman Old Style"/>
                <w:sz w:val="20"/>
                <w:szCs w:val="20"/>
              </w:rPr>
              <w:t>mendapat</w:t>
            </w:r>
            <w:r w:rsidRPr="008262B9">
              <w:rPr>
                <w:rFonts w:ascii="Bookman Old Style" w:hAnsi="Bookman Old Style"/>
                <w:spacing w:val="1"/>
                <w:sz w:val="20"/>
                <w:szCs w:val="20"/>
              </w:rPr>
              <w:t xml:space="preserve"> </w:t>
            </w:r>
            <w:r w:rsidRPr="008262B9">
              <w:rPr>
                <w:rFonts w:ascii="Bookman Old Style" w:hAnsi="Bookman Old Style"/>
                <w:sz w:val="20"/>
                <w:szCs w:val="20"/>
              </w:rPr>
              <w:t>bobot</w:t>
            </w:r>
            <w:r w:rsidRPr="008262B9">
              <w:rPr>
                <w:rFonts w:ascii="Bookman Old Style" w:hAnsi="Bookman Old Style"/>
                <w:spacing w:val="1"/>
                <w:sz w:val="20"/>
                <w:szCs w:val="20"/>
              </w:rPr>
              <w:t xml:space="preserve"> </w:t>
            </w:r>
            <w:r w:rsidRPr="008262B9">
              <w:rPr>
                <w:rFonts w:ascii="Bookman Old Style" w:hAnsi="Bookman Old Style"/>
                <w:sz w:val="20"/>
                <w:szCs w:val="20"/>
              </w:rPr>
              <w:t>risiko</w:t>
            </w:r>
            <w:r w:rsidRPr="008262B9">
              <w:rPr>
                <w:rFonts w:ascii="Bookman Old Style" w:hAnsi="Bookman Old Style"/>
                <w:spacing w:val="64"/>
                <w:sz w:val="20"/>
                <w:szCs w:val="20"/>
              </w:rPr>
              <w:t xml:space="preserve"> </w:t>
            </w:r>
            <w:r w:rsidRPr="008262B9">
              <w:rPr>
                <w:rFonts w:ascii="Bookman Old Style" w:hAnsi="Bookman Old Style"/>
                <w:sz w:val="20"/>
                <w:szCs w:val="20"/>
              </w:rPr>
              <w:t>35%</w:t>
            </w:r>
            <w:r w:rsidRPr="008262B9">
              <w:rPr>
                <w:rFonts w:ascii="Bookman Old Style" w:hAnsi="Bookman Old Style"/>
                <w:spacing w:val="1"/>
                <w:sz w:val="20"/>
                <w:szCs w:val="20"/>
              </w:rPr>
              <w:t xml:space="preserve"> </w:t>
            </w:r>
            <w:r w:rsidRPr="008262B9">
              <w:rPr>
                <w:rFonts w:ascii="Bookman Old Style" w:hAnsi="Bookman Old Style"/>
                <w:sz w:val="20"/>
                <w:szCs w:val="20"/>
              </w:rPr>
              <w:t>atau</w:t>
            </w:r>
            <w:r w:rsidRPr="008262B9">
              <w:rPr>
                <w:rFonts w:ascii="Bookman Old Style" w:hAnsi="Bookman Old Style"/>
                <w:spacing w:val="27"/>
                <w:sz w:val="20"/>
                <w:szCs w:val="20"/>
              </w:rPr>
              <w:t xml:space="preserve"> </w:t>
            </w:r>
            <w:r w:rsidRPr="008262B9">
              <w:rPr>
                <w:rFonts w:ascii="Bookman Old Style" w:hAnsi="Bookman Old Style"/>
                <w:sz w:val="20"/>
                <w:szCs w:val="20"/>
              </w:rPr>
              <w:t>kurang,</w:t>
            </w:r>
            <w:r w:rsidRPr="008262B9">
              <w:rPr>
                <w:rFonts w:ascii="Bookman Old Style" w:hAnsi="Bookman Old Style"/>
                <w:spacing w:val="27"/>
                <w:sz w:val="20"/>
                <w:szCs w:val="20"/>
              </w:rPr>
              <w:t xml:space="preserve"> </w:t>
            </w:r>
            <w:r w:rsidRPr="008262B9">
              <w:rPr>
                <w:rFonts w:ascii="Bookman Old Style" w:hAnsi="Bookman Old Style"/>
                <w:sz w:val="20"/>
                <w:szCs w:val="20"/>
              </w:rPr>
              <w:t>sesuai</w:t>
            </w:r>
            <w:r w:rsidRPr="008262B9">
              <w:rPr>
                <w:rFonts w:ascii="Bookman Old Style" w:hAnsi="Bookman Old Style"/>
                <w:spacing w:val="26"/>
                <w:sz w:val="20"/>
                <w:szCs w:val="20"/>
              </w:rPr>
              <w:t xml:space="preserve"> </w:t>
            </w:r>
            <w:r w:rsidRPr="008262B9">
              <w:rPr>
                <w:rFonts w:ascii="Bookman Old Style" w:hAnsi="Bookman Old Style"/>
                <w:sz w:val="20"/>
                <w:szCs w:val="20"/>
              </w:rPr>
              <w:t>SE</w:t>
            </w:r>
            <w:r w:rsidRPr="008262B9">
              <w:rPr>
                <w:rFonts w:ascii="Bookman Old Style" w:hAnsi="Bookman Old Style"/>
                <w:spacing w:val="26"/>
                <w:sz w:val="20"/>
                <w:szCs w:val="20"/>
              </w:rPr>
              <w:t xml:space="preserve"> </w:t>
            </w:r>
            <w:r w:rsidRPr="008262B9">
              <w:rPr>
                <w:rFonts w:ascii="Bookman Old Style" w:hAnsi="Bookman Old Style"/>
                <w:sz w:val="20"/>
                <w:szCs w:val="20"/>
              </w:rPr>
              <w:t>OJK</w:t>
            </w:r>
            <w:r w:rsidRPr="008262B9">
              <w:rPr>
                <w:rFonts w:ascii="Bookman Old Style" w:hAnsi="Bookman Old Style"/>
                <w:sz w:val="20"/>
                <w:szCs w:val="20"/>
                <w:lang w:val="en-US"/>
              </w:rPr>
              <w:t xml:space="preserve"> </w:t>
            </w:r>
            <w:r w:rsidRPr="008262B9">
              <w:rPr>
                <w:rFonts w:ascii="Bookman Old Style" w:hAnsi="Bookman Old Style"/>
                <w:sz w:val="20"/>
                <w:szCs w:val="20"/>
              </w:rPr>
              <w:t>ATMR</w:t>
            </w:r>
            <w:r w:rsidRPr="008262B9">
              <w:rPr>
                <w:rFonts w:ascii="Bookman Old Style" w:hAnsi="Bookman Old Style"/>
                <w:spacing w:val="-3"/>
                <w:sz w:val="20"/>
                <w:szCs w:val="20"/>
              </w:rPr>
              <w:t xml:space="preserve"> </w:t>
            </w:r>
            <w:r w:rsidRPr="008262B9">
              <w:rPr>
                <w:rFonts w:ascii="Bookman Old Style" w:hAnsi="Bookman Old Style"/>
                <w:sz w:val="20"/>
                <w:szCs w:val="20"/>
              </w:rPr>
              <w:t>untuk</w:t>
            </w:r>
            <w:r w:rsidRPr="008262B9">
              <w:rPr>
                <w:rFonts w:ascii="Bookman Old Style" w:hAnsi="Bookman Old Style"/>
                <w:spacing w:val="-4"/>
                <w:sz w:val="20"/>
                <w:szCs w:val="20"/>
              </w:rPr>
              <w:t xml:space="preserve"> </w:t>
            </w:r>
            <w:r w:rsidRPr="008262B9">
              <w:rPr>
                <w:rFonts w:ascii="Bookman Old Style" w:hAnsi="Bookman Old Style"/>
                <w:sz w:val="20"/>
                <w:szCs w:val="20"/>
              </w:rPr>
              <w:t>Risiko</w:t>
            </w:r>
            <w:r w:rsidRPr="008262B9">
              <w:rPr>
                <w:rFonts w:ascii="Bookman Old Style" w:hAnsi="Bookman Old Style"/>
                <w:spacing w:val="-4"/>
                <w:sz w:val="20"/>
                <w:szCs w:val="20"/>
              </w:rPr>
              <w:t xml:space="preserve"> </w:t>
            </w:r>
            <w:r w:rsidRPr="008262B9">
              <w:rPr>
                <w:rFonts w:ascii="Bookman Old Style" w:hAnsi="Bookman Old Style"/>
                <w:sz w:val="20"/>
                <w:szCs w:val="20"/>
              </w:rPr>
              <w:t>Kredit BUS</w:t>
            </w:r>
          </w:p>
        </w:tc>
        <w:tc>
          <w:tcPr>
            <w:tcW w:w="1201" w:type="dxa"/>
          </w:tcPr>
          <w:p w14:paraId="4C977F8E" w14:textId="77777777" w:rsidR="008262B9" w:rsidRPr="008262B9" w:rsidRDefault="008262B9" w:rsidP="001359AD">
            <w:pPr>
              <w:pStyle w:val="TableParagraph"/>
              <w:rPr>
                <w:rFonts w:ascii="Bookman Old Style" w:hAnsi="Bookman Old Style"/>
                <w:sz w:val="20"/>
                <w:szCs w:val="20"/>
              </w:rPr>
            </w:pPr>
          </w:p>
        </w:tc>
        <w:tc>
          <w:tcPr>
            <w:tcW w:w="675" w:type="dxa"/>
          </w:tcPr>
          <w:p w14:paraId="6B054253" w14:textId="77777777" w:rsidR="008262B9" w:rsidRPr="008262B9" w:rsidRDefault="008262B9" w:rsidP="001359AD">
            <w:pPr>
              <w:pStyle w:val="TableParagraph"/>
              <w:rPr>
                <w:rFonts w:ascii="Bookman Old Style" w:hAnsi="Bookman Old Style"/>
                <w:sz w:val="20"/>
                <w:szCs w:val="20"/>
              </w:rPr>
            </w:pPr>
          </w:p>
        </w:tc>
        <w:tc>
          <w:tcPr>
            <w:tcW w:w="1126" w:type="dxa"/>
          </w:tcPr>
          <w:p w14:paraId="43CE5EE4" w14:textId="77777777" w:rsidR="008262B9" w:rsidRPr="008262B9" w:rsidRDefault="008262B9" w:rsidP="001359AD">
            <w:pPr>
              <w:pStyle w:val="TableParagraph"/>
              <w:rPr>
                <w:rFonts w:ascii="Bookman Old Style" w:hAnsi="Bookman Old Style"/>
                <w:sz w:val="20"/>
                <w:szCs w:val="20"/>
              </w:rPr>
            </w:pPr>
          </w:p>
        </w:tc>
        <w:tc>
          <w:tcPr>
            <w:tcW w:w="815" w:type="dxa"/>
          </w:tcPr>
          <w:p w14:paraId="5F1B2AAA" w14:textId="77777777" w:rsidR="008262B9" w:rsidRPr="008262B9" w:rsidRDefault="008262B9" w:rsidP="001359AD">
            <w:pPr>
              <w:pStyle w:val="TableParagraph"/>
              <w:rPr>
                <w:rFonts w:ascii="Bookman Old Style" w:hAnsi="Bookman Old Style"/>
                <w:sz w:val="20"/>
                <w:szCs w:val="20"/>
              </w:rPr>
            </w:pPr>
          </w:p>
        </w:tc>
        <w:tc>
          <w:tcPr>
            <w:tcW w:w="1427" w:type="dxa"/>
          </w:tcPr>
          <w:p w14:paraId="3040B3CB" w14:textId="77777777" w:rsidR="008262B9" w:rsidRPr="008262B9" w:rsidRDefault="008262B9" w:rsidP="001359AD">
            <w:pPr>
              <w:pStyle w:val="TableParagraph"/>
              <w:rPr>
                <w:rFonts w:ascii="Bookman Old Style" w:hAnsi="Bookman Old Style"/>
                <w:sz w:val="20"/>
                <w:szCs w:val="20"/>
              </w:rPr>
            </w:pPr>
          </w:p>
        </w:tc>
        <w:tc>
          <w:tcPr>
            <w:tcW w:w="1089" w:type="dxa"/>
          </w:tcPr>
          <w:p w14:paraId="3D3E4C23" w14:textId="77777777" w:rsidR="008262B9" w:rsidRPr="008262B9" w:rsidRDefault="008262B9" w:rsidP="001359AD">
            <w:pPr>
              <w:pStyle w:val="TableParagraph"/>
              <w:rPr>
                <w:rFonts w:ascii="Bookman Old Style" w:hAnsi="Bookman Old Style"/>
                <w:sz w:val="20"/>
                <w:szCs w:val="20"/>
              </w:rPr>
            </w:pPr>
          </w:p>
        </w:tc>
        <w:tc>
          <w:tcPr>
            <w:tcW w:w="810" w:type="dxa"/>
          </w:tcPr>
          <w:p w14:paraId="19FBA8F1" w14:textId="77777777" w:rsidR="008262B9" w:rsidRPr="008262B9" w:rsidRDefault="008262B9" w:rsidP="001359AD">
            <w:pPr>
              <w:pStyle w:val="TableParagraph"/>
              <w:rPr>
                <w:rFonts w:ascii="Bookman Old Style" w:hAnsi="Bookman Old Style"/>
                <w:sz w:val="20"/>
                <w:szCs w:val="20"/>
              </w:rPr>
            </w:pPr>
          </w:p>
        </w:tc>
        <w:tc>
          <w:tcPr>
            <w:tcW w:w="1082" w:type="dxa"/>
          </w:tcPr>
          <w:p w14:paraId="668CF14D" w14:textId="77777777" w:rsidR="008262B9" w:rsidRPr="008262B9" w:rsidRDefault="008262B9" w:rsidP="001359AD">
            <w:pPr>
              <w:pStyle w:val="TableParagraph"/>
              <w:rPr>
                <w:rFonts w:ascii="Bookman Old Style" w:hAnsi="Bookman Old Style"/>
                <w:sz w:val="20"/>
                <w:szCs w:val="20"/>
              </w:rPr>
            </w:pPr>
          </w:p>
        </w:tc>
        <w:tc>
          <w:tcPr>
            <w:tcW w:w="813" w:type="dxa"/>
          </w:tcPr>
          <w:p w14:paraId="48120950"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76FC22F1" w14:textId="77777777" w:rsidR="008262B9" w:rsidRPr="008262B9" w:rsidRDefault="008262B9" w:rsidP="001359AD">
            <w:pPr>
              <w:pStyle w:val="TableParagraph"/>
              <w:rPr>
                <w:rFonts w:ascii="Bookman Old Style" w:hAnsi="Bookman Old Style"/>
                <w:sz w:val="20"/>
                <w:szCs w:val="20"/>
              </w:rPr>
            </w:pPr>
          </w:p>
        </w:tc>
        <w:tc>
          <w:tcPr>
            <w:tcW w:w="1559" w:type="dxa"/>
          </w:tcPr>
          <w:p w14:paraId="41D5726F" w14:textId="77777777" w:rsidR="008262B9" w:rsidRPr="008262B9" w:rsidRDefault="008262B9" w:rsidP="001359AD">
            <w:pPr>
              <w:pStyle w:val="TableParagraph"/>
              <w:spacing w:before="10"/>
              <w:rPr>
                <w:rFonts w:ascii="Bookman Old Style" w:hAnsi="Bookman Old Style"/>
                <w:sz w:val="20"/>
                <w:szCs w:val="20"/>
              </w:rPr>
            </w:pPr>
          </w:p>
          <w:p w14:paraId="3493E1F8"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sz w:val="20"/>
                <w:szCs w:val="20"/>
              </w:rPr>
              <w:t>3.1.4.1</w:t>
            </w:r>
          </w:p>
        </w:tc>
      </w:tr>
      <w:tr w:rsidR="008262B9" w:rsidRPr="008262B9" w14:paraId="63161C6F" w14:textId="77777777" w:rsidTr="008262B9">
        <w:trPr>
          <w:trHeight w:val="702"/>
        </w:trPr>
        <w:tc>
          <w:tcPr>
            <w:tcW w:w="483" w:type="dxa"/>
          </w:tcPr>
          <w:p w14:paraId="3AD01BF9" w14:textId="77777777" w:rsidR="008262B9" w:rsidRPr="008262B9" w:rsidRDefault="008262B9" w:rsidP="001359AD">
            <w:pPr>
              <w:pStyle w:val="TableParagraph"/>
              <w:spacing w:before="10"/>
              <w:ind w:left="24"/>
              <w:jc w:val="center"/>
              <w:rPr>
                <w:rFonts w:ascii="Bookman Old Style" w:hAnsi="Bookman Old Style"/>
                <w:sz w:val="20"/>
                <w:szCs w:val="20"/>
              </w:rPr>
            </w:pPr>
          </w:p>
          <w:p w14:paraId="5CCDFF10" w14:textId="77777777" w:rsidR="008262B9" w:rsidRPr="008262B9" w:rsidRDefault="008262B9" w:rsidP="001359AD">
            <w:pPr>
              <w:pStyle w:val="TableParagraph"/>
              <w:ind w:left="24"/>
              <w:jc w:val="center"/>
              <w:rPr>
                <w:rFonts w:ascii="Bookman Old Style" w:hAnsi="Bookman Old Style"/>
                <w:sz w:val="20"/>
                <w:szCs w:val="20"/>
              </w:rPr>
            </w:pPr>
            <w:r w:rsidRPr="008262B9">
              <w:rPr>
                <w:rFonts w:ascii="Bookman Old Style" w:hAnsi="Bookman Old Style"/>
                <w:sz w:val="20"/>
                <w:szCs w:val="20"/>
              </w:rPr>
              <w:t>23</w:t>
            </w:r>
          </w:p>
        </w:tc>
        <w:tc>
          <w:tcPr>
            <w:tcW w:w="4359" w:type="dxa"/>
          </w:tcPr>
          <w:p w14:paraId="65BF0052"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Pembiayaan</w:t>
            </w:r>
            <w:r w:rsidRPr="008262B9">
              <w:rPr>
                <w:rFonts w:ascii="Bookman Old Style" w:hAnsi="Bookman Old Style"/>
                <w:spacing w:val="18"/>
                <w:sz w:val="20"/>
                <w:szCs w:val="20"/>
              </w:rPr>
              <w:t xml:space="preserve"> </w:t>
            </w:r>
            <w:r w:rsidRPr="008262B9">
              <w:rPr>
                <w:rFonts w:ascii="Bookman Old Style" w:hAnsi="Bookman Old Style"/>
                <w:sz w:val="20"/>
                <w:szCs w:val="20"/>
              </w:rPr>
              <w:t>beragun</w:t>
            </w:r>
            <w:r w:rsidRPr="008262B9">
              <w:rPr>
                <w:rFonts w:ascii="Bookman Old Style" w:hAnsi="Bookman Old Style"/>
                <w:spacing w:val="17"/>
                <w:sz w:val="20"/>
                <w:szCs w:val="20"/>
              </w:rPr>
              <w:t xml:space="preserve"> </w:t>
            </w:r>
            <w:r w:rsidRPr="008262B9">
              <w:rPr>
                <w:rFonts w:ascii="Bookman Old Style" w:hAnsi="Bookman Old Style"/>
                <w:sz w:val="20"/>
                <w:szCs w:val="20"/>
              </w:rPr>
              <w:t>rumah</w:t>
            </w:r>
            <w:r w:rsidRPr="008262B9">
              <w:rPr>
                <w:rFonts w:ascii="Bookman Old Style" w:hAnsi="Bookman Old Style"/>
                <w:spacing w:val="18"/>
                <w:sz w:val="20"/>
                <w:szCs w:val="20"/>
              </w:rPr>
              <w:t xml:space="preserve"> </w:t>
            </w:r>
            <w:r w:rsidRPr="008262B9">
              <w:rPr>
                <w:rFonts w:ascii="Bookman Old Style" w:hAnsi="Bookman Old Style"/>
                <w:sz w:val="20"/>
                <w:szCs w:val="20"/>
              </w:rPr>
              <w:t>tinggal</w:t>
            </w:r>
            <w:r w:rsidRPr="008262B9">
              <w:rPr>
                <w:rFonts w:ascii="Bookman Old Style" w:hAnsi="Bookman Old Style"/>
                <w:spacing w:val="17"/>
                <w:sz w:val="20"/>
                <w:szCs w:val="20"/>
              </w:rPr>
              <w:t xml:space="preserve"> </w:t>
            </w:r>
            <w:r w:rsidRPr="008262B9">
              <w:rPr>
                <w:rFonts w:ascii="Bookman Old Style" w:hAnsi="Bookman Old Style"/>
                <w:sz w:val="20"/>
                <w:szCs w:val="20"/>
              </w:rPr>
              <w:t>yang</w:t>
            </w:r>
            <w:r w:rsidRPr="008262B9">
              <w:rPr>
                <w:rFonts w:ascii="Bookman Old Style" w:hAnsi="Bookman Old Style"/>
                <w:spacing w:val="-60"/>
                <w:sz w:val="20"/>
                <w:szCs w:val="20"/>
              </w:rPr>
              <w:t xml:space="preserve">  </w:t>
            </w:r>
            <w:r w:rsidRPr="008262B9">
              <w:rPr>
                <w:rFonts w:ascii="Bookman Old Style" w:hAnsi="Bookman Old Style"/>
                <w:sz w:val="20"/>
                <w:szCs w:val="20"/>
              </w:rPr>
              <w:t xml:space="preserve">tidak sedang dijaminkan, </w:t>
            </w:r>
            <w:r w:rsidRPr="008262B9">
              <w:rPr>
                <w:rFonts w:ascii="Bookman Old Style" w:hAnsi="Bookman Old Style"/>
                <w:spacing w:val="-1"/>
                <w:sz w:val="20"/>
                <w:szCs w:val="20"/>
              </w:rPr>
              <w:t>yang</w:t>
            </w:r>
            <w:r w:rsidRPr="008262B9">
              <w:rPr>
                <w:rFonts w:ascii="Bookman Old Style" w:hAnsi="Bookman Old Style"/>
                <w:sz w:val="20"/>
                <w:szCs w:val="20"/>
              </w:rPr>
              <w:t xml:space="preserve"> diantaranya:</w:t>
            </w:r>
          </w:p>
        </w:tc>
        <w:tc>
          <w:tcPr>
            <w:tcW w:w="1201" w:type="dxa"/>
          </w:tcPr>
          <w:p w14:paraId="6B7C3F20" w14:textId="77777777" w:rsidR="008262B9" w:rsidRPr="008262B9" w:rsidRDefault="008262B9" w:rsidP="001359AD">
            <w:pPr>
              <w:pStyle w:val="TableParagraph"/>
              <w:rPr>
                <w:rFonts w:ascii="Bookman Old Style" w:hAnsi="Bookman Old Style"/>
                <w:sz w:val="20"/>
                <w:szCs w:val="20"/>
              </w:rPr>
            </w:pPr>
          </w:p>
        </w:tc>
        <w:tc>
          <w:tcPr>
            <w:tcW w:w="675" w:type="dxa"/>
          </w:tcPr>
          <w:p w14:paraId="188E99B3" w14:textId="77777777" w:rsidR="008262B9" w:rsidRPr="008262B9" w:rsidRDefault="008262B9" w:rsidP="001359AD">
            <w:pPr>
              <w:pStyle w:val="TableParagraph"/>
              <w:rPr>
                <w:rFonts w:ascii="Bookman Old Style" w:hAnsi="Bookman Old Style"/>
                <w:sz w:val="20"/>
                <w:szCs w:val="20"/>
              </w:rPr>
            </w:pPr>
          </w:p>
        </w:tc>
        <w:tc>
          <w:tcPr>
            <w:tcW w:w="1126" w:type="dxa"/>
          </w:tcPr>
          <w:p w14:paraId="31AB313C" w14:textId="77777777" w:rsidR="008262B9" w:rsidRPr="008262B9" w:rsidRDefault="008262B9" w:rsidP="001359AD">
            <w:pPr>
              <w:pStyle w:val="TableParagraph"/>
              <w:rPr>
                <w:rFonts w:ascii="Bookman Old Style" w:hAnsi="Bookman Old Style"/>
                <w:sz w:val="20"/>
                <w:szCs w:val="20"/>
              </w:rPr>
            </w:pPr>
          </w:p>
        </w:tc>
        <w:tc>
          <w:tcPr>
            <w:tcW w:w="815" w:type="dxa"/>
          </w:tcPr>
          <w:p w14:paraId="0F8C9009" w14:textId="77777777" w:rsidR="008262B9" w:rsidRPr="008262B9" w:rsidRDefault="008262B9" w:rsidP="001359AD">
            <w:pPr>
              <w:pStyle w:val="TableParagraph"/>
              <w:rPr>
                <w:rFonts w:ascii="Bookman Old Style" w:hAnsi="Bookman Old Style"/>
                <w:sz w:val="20"/>
                <w:szCs w:val="20"/>
              </w:rPr>
            </w:pPr>
          </w:p>
        </w:tc>
        <w:tc>
          <w:tcPr>
            <w:tcW w:w="1427" w:type="dxa"/>
          </w:tcPr>
          <w:p w14:paraId="1E7E5674" w14:textId="77777777" w:rsidR="008262B9" w:rsidRPr="008262B9" w:rsidRDefault="008262B9" w:rsidP="001359AD">
            <w:pPr>
              <w:pStyle w:val="TableParagraph"/>
              <w:rPr>
                <w:rFonts w:ascii="Bookman Old Style" w:hAnsi="Bookman Old Style"/>
                <w:sz w:val="20"/>
                <w:szCs w:val="20"/>
              </w:rPr>
            </w:pPr>
          </w:p>
        </w:tc>
        <w:tc>
          <w:tcPr>
            <w:tcW w:w="1089" w:type="dxa"/>
          </w:tcPr>
          <w:p w14:paraId="6FC767EB" w14:textId="77777777" w:rsidR="008262B9" w:rsidRPr="008262B9" w:rsidRDefault="008262B9" w:rsidP="001359AD">
            <w:pPr>
              <w:pStyle w:val="TableParagraph"/>
              <w:rPr>
                <w:rFonts w:ascii="Bookman Old Style" w:hAnsi="Bookman Old Style"/>
                <w:sz w:val="20"/>
                <w:szCs w:val="20"/>
              </w:rPr>
            </w:pPr>
          </w:p>
        </w:tc>
        <w:tc>
          <w:tcPr>
            <w:tcW w:w="810" w:type="dxa"/>
          </w:tcPr>
          <w:p w14:paraId="4FEAA306" w14:textId="77777777" w:rsidR="008262B9" w:rsidRPr="008262B9" w:rsidRDefault="008262B9" w:rsidP="001359AD">
            <w:pPr>
              <w:pStyle w:val="TableParagraph"/>
              <w:rPr>
                <w:rFonts w:ascii="Bookman Old Style" w:hAnsi="Bookman Old Style"/>
                <w:sz w:val="20"/>
                <w:szCs w:val="20"/>
              </w:rPr>
            </w:pPr>
          </w:p>
        </w:tc>
        <w:tc>
          <w:tcPr>
            <w:tcW w:w="1082" w:type="dxa"/>
          </w:tcPr>
          <w:p w14:paraId="777CF25F" w14:textId="77777777" w:rsidR="008262B9" w:rsidRPr="008262B9" w:rsidRDefault="008262B9" w:rsidP="001359AD">
            <w:pPr>
              <w:pStyle w:val="TableParagraph"/>
              <w:rPr>
                <w:rFonts w:ascii="Bookman Old Style" w:hAnsi="Bookman Old Style"/>
                <w:sz w:val="20"/>
                <w:szCs w:val="20"/>
              </w:rPr>
            </w:pPr>
          </w:p>
        </w:tc>
        <w:tc>
          <w:tcPr>
            <w:tcW w:w="813" w:type="dxa"/>
          </w:tcPr>
          <w:p w14:paraId="0F6B1482"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19FE8B95" w14:textId="77777777" w:rsidR="008262B9" w:rsidRPr="008262B9" w:rsidRDefault="008262B9" w:rsidP="001359AD">
            <w:pPr>
              <w:pStyle w:val="TableParagraph"/>
              <w:rPr>
                <w:rFonts w:ascii="Bookman Old Style" w:hAnsi="Bookman Old Style"/>
                <w:sz w:val="20"/>
                <w:szCs w:val="20"/>
              </w:rPr>
            </w:pPr>
          </w:p>
        </w:tc>
        <w:tc>
          <w:tcPr>
            <w:tcW w:w="1559" w:type="dxa"/>
          </w:tcPr>
          <w:p w14:paraId="553D8A20" w14:textId="77777777" w:rsidR="008262B9" w:rsidRPr="008262B9" w:rsidRDefault="008262B9" w:rsidP="001359AD">
            <w:pPr>
              <w:pStyle w:val="TableParagraph"/>
              <w:spacing w:before="10"/>
              <w:rPr>
                <w:rFonts w:ascii="Bookman Old Style" w:hAnsi="Bookman Old Style"/>
                <w:sz w:val="20"/>
                <w:szCs w:val="20"/>
              </w:rPr>
            </w:pPr>
          </w:p>
          <w:p w14:paraId="34E8D3E7"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sz w:val="20"/>
                <w:szCs w:val="20"/>
              </w:rPr>
              <w:t>3.1.7.2</w:t>
            </w:r>
          </w:p>
        </w:tc>
      </w:tr>
      <w:tr w:rsidR="008262B9" w:rsidRPr="008262B9" w14:paraId="305A347A" w14:textId="77777777" w:rsidTr="008262B9">
        <w:trPr>
          <w:trHeight w:val="1491"/>
        </w:trPr>
        <w:tc>
          <w:tcPr>
            <w:tcW w:w="483" w:type="dxa"/>
          </w:tcPr>
          <w:p w14:paraId="624DAE28" w14:textId="77777777" w:rsidR="008262B9" w:rsidRPr="008262B9" w:rsidRDefault="008262B9" w:rsidP="001359AD">
            <w:pPr>
              <w:pStyle w:val="TableParagraph"/>
              <w:spacing w:before="10"/>
              <w:ind w:left="24"/>
              <w:jc w:val="center"/>
              <w:rPr>
                <w:rFonts w:ascii="Bookman Old Style" w:hAnsi="Bookman Old Style"/>
                <w:sz w:val="20"/>
                <w:szCs w:val="20"/>
              </w:rPr>
            </w:pPr>
          </w:p>
          <w:p w14:paraId="591F1A95" w14:textId="77777777" w:rsidR="008262B9" w:rsidRPr="008262B9" w:rsidRDefault="008262B9" w:rsidP="001359AD">
            <w:pPr>
              <w:pStyle w:val="TableParagraph"/>
              <w:spacing w:before="10"/>
              <w:ind w:left="24"/>
              <w:jc w:val="center"/>
              <w:rPr>
                <w:rFonts w:ascii="Bookman Old Style" w:hAnsi="Bookman Old Style"/>
                <w:sz w:val="20"/>
                <w:szCs w:val="20"/>
              </w:rPr>
            </w:pPr>
            <w:r w:rsidRPr="008262B9">
              <w:rPr>
                <w:rFonts w:ascii="Bookman Old Style" w:hAnsi="Bookman Old Style"/>
                <w:sz w:val="20"/>
                <w:szCs w:val="20"/>
              </w:rPr>
              <w:t>24</w:t>
            </w:r>
          </w:p>
        </w:tc>
        <w:tc>
          <w:tcPr>
            <w:tcW w:w="4359" w:type="dxa"/>
          </w:tcPr>
          <w:p w14:paraId="194BAF1B" w14:textId="77777777" w:rsidR="008262B9" w:rsidRPr="008262B9" w:rsidRDefault="008262B9" w:rsidP="001359AD">
            <w:pPr>
              <w:pStyle w:val="TableParagraph"/>
              <w:tabs>
                <w:tab w:val="left" w:pos="1103"/>
                <w:tab w:val="left" w:pos="2023"/>
                <w:tab w:val="left" w:pos="3431"/>
              </w:tabs>
              <w:ind w:left="720" w:right="90"/>
              <w:rPr>
                <w:rFonts w:ascii="Bookman Old Style" w:hAnsi="Bookman Old Style"/>
                <w:sz w:val="20"/>
                <w:szCs w:val="20"/>
                <w:lang w:val="en-US"/>
              </w:rPr>
            </w:pPr>
            <w:r w:rsidRPr="008262B9">
              <w:rPr>
                <w:rFonts w:ascii="Bookman Old Style" w:hAnsi="Bookman Old Style"/>
                <w:sz w:val="20"/>
                <w:szCs w:val="20"/>
              </w:rPr>
              <w:t>memenuhi</w:t>
            </w:r>
            <w:r w:rsidRPr="008262B9">
              <w:rPr>
                <w:rFonts w:ascii="Bookman Old Style" w:hAnsi="Bookman Old Style"/>
                <w:sz w:val="20"/>
                <w:szCs w:val="20"/>
              </w:rPr>
              <w:tab/>
              <w:t>kualifikas untuk mendapat bobo</w:t>
            </w:r>
            <w:r w:rsidRPr="008262B9">
              <w:rPr>
                <w:rFonts w:ascii="Bookman Old Style" w:hAnsi="Bookman Old Style"/>
                <w:sz w:val="20"/>
                <w:szCs w:val="20"/>
                <w:lang w:val="en-US"/>
              </w:rPr>
              <w:t xml:space="preserve">t </w:t>
            </w:r>
            <w:r w:rsidRPr="008262B9">
              <w:rPr>
                <w:rFonts w:ascii="Bookman Old Style" w:hAnsi="Bookman Old Style"/>
                <w:sz w:val="20"/>
                <w:szCs w:val="20"/>
              </w:rPr>
              <w:t>risiko</w:t>
            </w:r>
            <w:r w:rsidRPr="008262B9">
              <w:rPr>
                <w:rFonts w:ascii="Bookman Old Style" w:hAnsi="Bookman Old Style"/>
                <w:sz w:val="20"/>
                <w:szCs w:val="20"/>
              </w:rPr>
              <w:tab/>
              <w:t>35% atau kurang, sesuai SE OJK</w:t>
            </w:r>
            <w:r w:rsidRPr="008262B9">
              <w:rPr>
                <w:rFonts w:ascii="Bookman Old Style" w:hAnsi="Bookman Old Style"/>
                <w:sz w:val="20"/>
                <w:szCs w:val="20"/>
                <w:lang w:val="en-US"/>
              </w:rPr>
              <w:t xml:space="preserve"> </w:t>
            </w:r>
            <w:r w:rsidRPr="008262B9">
              <w:rPr>
                <w:rFonts w:ascii="Bookman Old Style" w:hAnsi="Bookman Old Style"/>
                <w:sz w:val="20"/>
                <w:szCs w:val="20"/>
              </w:rPr>
              <w:t>ATMR</w:t>
            </w:r>
            <w:r w:rsidRPr="008262B9">
              <w:rPr>
                <w:rFonts w:ascii="Bookman Old Style" w:hAnsi="Bookman Old Style"/>
                <w:spacing w:val="-3"/>
                <w:sz w:val="20"/>
                <w:szCs w:val="20"/>
              </w:rPr>
              <w:t xml:space="preserve"> </w:t>
            </w:r>
            <w:r w:rsidRPr="008262B9">
              <w:rPr>
                <w:rFonts w:ascii="Bookman Old Style" w:hAnsi="Bookman Old Style"/>
                <w:sz w:val="20"/>
                <w:szCs w:val="20"/>
              </w:rPr>
              <w:t>untuk</w:t>
            </w:r>
            <w:r w:rsidRPr="008262B9">
              <w:rPr>
                <w:rFonts w:ascii="Bookman Old Style" w:hAnsi="Bookman Old Style"/>
                <w:spacing w:val="-4"/>
                <w:sz w:val="20"/>
                <w:szCs w:val="20"/>
              </w:rPr>
              <w:t xml:space="preserve"> </w:t>
            </w:r>
            <w:r w:rsidRPr="008262B9">
              <w:rPr>
                <w:rFonts w:ascii="Bookman Old Style" w:hAnsi="Bookman Old Style"/>
                <w:sz w:val="20"/>
                <w:szCs w:val="20"/>
              </w:rPr>
              <w:t>Risiko</w:t>
            </w:r>
            <w:r w:rsidRPr="008262B9">
              <w:rPr>
                <w:rFonts w:ascii="Bookman Old Style" w:hAnsi="Bookman Old Style"/>
                <w:spacing w:val="-4"/>
                <w:sz w:val="20"/>
                <w:szCs w:val="20"/>
              </w:rPr>
              <w:t xml:space="preserve"> </w:t>
            </w:r>
            <w:r w:rsidRPr="008262B9">
              <w:rPr>
                <w:rFonts w:ascii="Bookman Old Style" w:hAnsi="Bookman Old Style"/>
                <w:sz w:val="20"/>
                <w:szCs w:val="20"/>
              </w:rPr>
              <w:t>Kredit BUS</w:t>
            </w:r>
          </w:p>
        </w:tc>
        <w:tc>
          <w:tcPr>
            <w:tcW w:w="1201" w:type="dxa"/>
          </w:tcPr>
          <w:p w14:paraId="078964A5" w14:textId="77777777" w:rsidR="008262B9" w:rsidRPr="008262B9" w:rsidRDefault="008262B9" w:rsidP="001359AD">
            <w:pPr>
              <w:pStyle w:val="TableParagraph"/>
              <w:rPr>
                <w:rFonts w:ascii="Bookman Old Style" w:hAnsi="Bookman Old Style"/>
                <w:sz w:val="20"/>
                <w:szCs w:val="20"/>
              </w:rPr>
            </w:pPr>
          </w:p>
        </w:tc>
        <w:tc>
          <w:tcPr>
            <w:tcW w:w="675" w:type="dxa"/>
          </w:tcPr>
          <w:p w14:paraId="3CE6CC82" w14:textId="77777777" w:rsidR="008262B9" w:rsidRPr="008262B9" w:rsidRDefault="008262B9" w:rsidP="001359AD">
            <w:pPr>
              <w:pStyle w:val="TableParagraph"/>
              <w:rPr>
                <w:rFonts w:ascii="Bookman Old Style" w:hAnsi="Bookman Old Style"/>
                <w:sz w:val="20"/>
                <w:szCs w:val="20"/>
              </w:rPr>
            </w:pPr>
          </w:p>
        </w:tc>
        <w:tc>
          <w:tcPr>
            <w:tcW w:w="1126" w:type="dxa"/>
          </w:tcPr>
          <w:p w14:paraId="7D406466" w14:textId="77777777" w:rsidR="008262B9" w:rsidRPr="008262B9" w:rsidRDefault="008262B9" w:rsidP="001359AD">
            <w:pPr>
              <w:pStyle w:val="TableParagraph"/>
              <w:rPr>
                <w:rFonts w:ascii="Bookman Old Style" w:hAnsi="Bookman Old Style"/>
                <w:sz w:val="20"/>
                <w:szCs w:val="20"/>
              </w:rPr>
            </w:pPr>
          </w:p>
        </w:tc>
        <w:tc>
          <w:tcPr>
            <w:tcW w:w="815" w:type="dxa"/>
          </w:tcPr>
          <w:p w14:paraId="2A58A0B5" w14:textId="77777777" w:rsidR="008262B9" w:rsidRPr="008262B9" w:rsidRDefault="008262B9" w:rsidP="001359AD">
            <w:pPr>
              <w:pStyle w:val="TableParagraph"/>
              <w:rPr>
                <w:rFonts w:ascii="Bookman Old Style" w:hAnsi="Bookman Old Style"/>
                <w:sz w:val="20"/>
                <w:szCs w:val="20"/>
              </w:rPr>
            </w:pPr>
          </w:p>
        </w:tc>
        <w:tc>
          <w:tcPr>
            <w:tcW w:w="1427" w:type="dxa"/>
          </w:tcPr>
          <w:p w14:paraId="2519F8C7" w14:textId="77777777" w:rsidR="008262B9" w:rsidRPr="008262B9" w:rsidRDefault="008262B9" w:rsidP="001359AD">
            <w:pPr>
              <w:pStyle w:val="TableParagraph"/>
              <w:rPr>
                <w:rFonts w:ascii="Bookman Old Style" w:hAnsi="Bookman Old Style"/>
                <w:sz w:val="20"/>
                <w:szCs w:val="20"/>
              </w:rPr>
            </w:pPr>
          </w:p>
        </w:tc>
        <w:tc>
          <w:tcPr>
            <w:tcW w:w="1089" w:type="dxa"/>
          </w:tcPr>
          <w:p w14:paraId="7069A688" w14:textId="77777777" w:rsidR="008262B9" w:rsidRPr="008262B9" w:rsidRDefault="008262B9" w:rsidP="001359AD">
            <w:pPr>
              <w:pStyle w:val="TableParagraph"/>
              <w:rPr>
                <w:rFonts w:ascii="Bookman Old Style" w:hAnsi="Bookman Old Style"/>
                <w:sz w:val="20"/>
                <w:szCs w:val="20"/>
              </w:rPr>
            </w:pPr>
          </w:p>
        </w:tc>
        <w:tc>
          <w:tcPr>
            <w:tcW w:w="810" w:type="dxa"/>
          </w:tcPr>
          <w:p w14:paraId="2026B11C" w14:textId="77777777" w:rsidR="008262B9" w:rsidRPr="008262B9" w:rsidRDefault="008262B9" w:rsidP="001359AD">
            <w:pPr>
              <w:pStyle w:val="TableParagraph"/>
              <w:rPr>
                <w:rFonts w:ascii="Bookman Old Style" w:hAnsi="Bookman Old Style"/>
                <w:sz w:val="20"/>
                <w:szCs w:val="20"/>
              </w:rPr>
            </w:pPr>
          </w:p>
        </w:tc>
        <w:tc>
          <w:tcPr>
            <w:tcW w:w="1082" w:type="dxa"/>
          </w:tcPr>
          <w:p w14:paraId="076542D6" w14:textId="77777777" w:rsidR="008262B9" w:rsidRPr="008262B9" w:rsidRDefault="008262B9" w:rsidP="001359AD">
            <w:pPr>
              <w:pStyle w:val="TableParagraph"/>
              <w:rPr>
                <w:rFonts w:ascii="Bookman Old Style" w:hAnsi="Bookman Old Style"/>
                <w:sz w:val="20"/>
                <w:szCs w:val="20"/>
              </w:rPr>
            </w:pPr>
          </w:p>
        </w:tc>
        <w:tc>
          <w:tcPr>
            <w:tcW w:w="813" w:type="dxa"/>
          </w:tcPr>
          <w:p w14:paraId="52C1C00B"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6DF13797" w14:textId="77777777" w:rsidR="008262B9" w:rsidRPr="008262B9" w:rsidRDefault="008262B9" w:rsidP="001359AD">
            <w:pPr>
              <w:pStyle w:val="TableParagraph"/>
              <w:rPr>
                <w:rFonts w:ascii="Bookman Old Style" w:hAnsi="Bookman Old Style"/>
                <w:sz w:val="20"/>
                <w:szCs w:val="20"/>
              </w:rPr>
            </w:pPr>
          </w:p>
        </w:tc>
        <w:tc>
          <w:tcPr>
            <w:tcW w:w="1559" w:type="dxa"/>
          </w:tcPr>
          <w:p w14:paraId="59EE94A3" w14:textId="77777777" w:rsidR="008262B9" w:rsidRPr="008262B9" w:rsidRDefault="008262B9" w:rsidP="001359AD">
            <w:pPr>
              <w:pStyle w:val="TableParagraph"/>
              <w:spacing w:before="1"/>
              <w:rPr>
                <w:rFonts w:ascii="Bookman Old Style" w:hAnsi="Bookman Old Style"/>
                <w:sz w:val="20"/>
                <w:szCs w:val="20"/>
              </w:rPr>
            </w:pPr>
          </w:p>
          <w:p w14:paraId="30C929ED" w14:textId="77777777" w:rsidR="008262B9" w:rsidRPr="008262B9" w:rsidRDefault="008262B9" w:rsidP="001359AD">
            <w:pPr>
              <w:pStyle w:val="TableParagraph"/>
              <w:ind w:left="93"/>
              <w:rPr>
                <w:rFonts w:ascii="Bookman Old Style" w:hAnsi="Bookman Old Style"/>
                <w:b/>
                <w:sz w:val="20"/>
                <w:szCs w:val="20"/>
              </w:rPr>
            </w:pPr>
            <w:r w:rsidRPr="008262B9">
              <w:rPr>
                <w:rFonts w:ascii="Bookman Old Style" w:hAnsi="Bookman Old Style"/>
                <w:b/>
                <w:sz w:val="20"/>
                <w:szCs w:val="20"/>
              </w:rPr>
              <w:t>3.1.7.1</w:t>
            </w:r>
          </w:p>
        </w:tc>
      </w:tr>
      <w:tr w:rsidR="008262B9" w:rsidRPr="008262B9" w14:paraId="183AAB66" w14:textId="77777777" w:rsidTr="008262B9">
        <w:trPr>
          <w:trHeight w:val="705"/>
        </w:trPr>
        <w:tc>
          <w:tcPr>
            <w:tcW w:w="483" w:type="dxa"/>
          </w:tcPr>
          <w:p w14:paraId="0F9BFBD3"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25</w:t>
            </w:r>
          </w:p>
        </w:tc>
        <w:tc>
          <w:tcPr>
            <w:tcW w:w="4359" w:type="dxa"/>
          </w:tcPr>
          <w:p w14:paraId="6E187669" w14:textId="58B11C52"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Surat berharga syariah yang tidak sedang</w:t>
            </w:r>
            <w:r w:rsidRPr="008262B9">
              <w:rPr>
                <w:rFonts w:ascii="Bookman Old Style" w:hAnsi="Bookman Old Style"/>
                <w:spacing w:val="1"/>
                <w:sz w:val="20"/>
                <w:szCs w:val="20"/>
              </w:rPr>
              <w:t xml:space="preserve"> </w:t>
            </w:r>
            <w:r w:rsidRPr="008262B9">
              <w:rPr>
                <w:rFonts w:ascii="Bookman Old Style" w:hAnsi="Bookman Old Style"/>
                <w:sz w:val="20"/>
                <w:szCs w:val="20"/>
              </w:rPr>
              <w:t>dijaminkan, tidak gagal bayar, dan</w:t>
            </w:r>
            <w:r w:rsidRPr="008262B9">
              <w:rPr>
                <w:rFonts w:ascii="Bookman Old Style" w:hAnsi="Bookman Old Style"/>
                <w:spacing w:val="-61"/>
                <w:sz w:val="20"/>
                <w:szCs w:val="20"/>
              </w:rPr>
              <w:t xml:space="preserve"> </w:t>
            </w:r>
            <w:r w:rsidRPr="008262B9">
              <w:rPr>
                <w:rFonts w:ascii="Bookman Old Style" w:hAnsi="Bookman Old Style"/>
                <w:sz w:val="20"/>
                <w:szCs w:val="20"/>
              </w:rPr>
              <w:t>tidak</w:t>
            </w:r>
            <w:r w:rsidRPr="008262B9">
              <w:rPr>
                <w:rFonts w:ascii="Bookman Old Style" w:hAnsi="Bookman Old Style"/>
                <w:spacing w:val="6"/>
                <w:sz w:val="20"/>
                <w:szCs w:val="20"/>
              </w:rPr>
              <w:t xml:space="preserve"> </w:t>
            </w:r>
            <w:r w:rsidRPr="008262B9">
              <w:rPr>
                <w:rFonts w:ascii="Bookman Old Style" w:hAnsi="Bookman Old Style"/>
                <w:sz w:val="20"/>
                <w:szCs w:val="20"/>
              </w:rPr>
              <w:t>masuk</w:t>
            </w:r>
            <w:r w:rsidRPr="008262B9">
              <w:rPr>
                <w:rFonts w:ascii="Bookman Old Style" w:hAnsi="Bookman Old Style"/>
                <w:spacing w:val="7"/>
                <w:sz w:val="20"/>
                <w:szCs w:val="20"/>
              </w:rPr>
              <w:t xml:space="preserve"> </w:t>
            </w:r>
            <w:r w:rsidRPr="008262B9">
              <w:rPr>
                <w:rFonts w:ascii="Bookman Old Style" w:hAnsi="Bookman Old Style"/>
                <w:sz w:val="20"/>
                <w:szCs w:val="20"/>
              </w:rPr>
              <w:t>sebagai</w:t>
            </w:r>
            <w:r w:rsidRPr="008262B9">
              <w:rPr>
                <w:rFonts w:ascii="Bookman Old Style" w:hAnsi="Bookman Old Style"/>
                <w:spacing w:val="5"/>
                <w:sz w:val="20"/>
                <w:szCs w:val="20"/>
              </w:rPr>
              <w:t xml:space="preserve"> </w:t>
            </w:r>
            <w:r w:rsidRPr="008262B9">
              <w:rPr>
                <w:rFonts w:ascii="Bookman Old Style" w:hAnsi="Bookman Old Style"/>
                <w:sz w:val="20"/>
                <w:szCs w:val="20"/>
              </w:rPr>
              <w:t>HQLA, termasuk</w:t>
            </w:r>
            <w:r w:rsidRPr="008262B9">
              <w:rPr>
                <w:rFonts w:ascii="Bookman Old Style" w:hAnsi="Bookman Old Style"/>
                <w:sz w:val="20"/>
                <w:szCs w:val="20"/>
                <w:lang w:val="en-US"/>
              </w:rPr>
              <w:t xml:space="preserve"> </w:t>
            </w:r>
            <w:r w:rsidRPr="008262B9">
              <w:rPr>
                <w:rFonts w:ascii="Bookman Old Style" w:hAnsi="Bookman Old Style"/>
                <w:sz w:val="20"/>
                <w:szCs w:val="20"/>
              </w:rPr>
              <w:t>saha</w:t>
            </w:r>
            <w:r w:rsidRPr="008262B9">
              <w:rPr>
                <w:rFonts w:ascii="Bookman Old Style" w:hAnsi="Bookman Old Style"/>
                <w:sz w:val="20"/>
                <w:szCs w:val="20"/>
                <w:lang w:val="en-US"/>
              </w:rPr>
              <w:t xml:space="preserve">m </w:t>
            </w:r>
            <w:r w:rsidRPr="008262B9">
              <w:rPr>
                <w:rFonts w:ascii="Bookman Old Style" w:hAnsi="Bookman Old Style"/>
                <w:spacing w:val="-2"/>
                <w:sz w:val="20"/>
                <w:szCs w:val="20"/>
              </w:rPr>
              <w:t>yang</w:t>
            </w:r>
            <w:r w:rsidRPr="008262B9">
              <w:rPr>
                <w:rFonts w:ascii="Bookman Old Style" w:hAnsi="Bookman Old Style"/>
                <w:spacing w:val="-62"/>
                <w:sz w:val="20"/>
                <w:szCs w:val="20"/>
              </w:rPr>
              <w:t xml:space="preserve"> </w:t>
            </w:r>
            <w:r w:rsidRPr="008262B9">
              <w:rPr>
                <w:rFonts w:ascii="Bookman Old Style" w:hAnsi="Bookman Old Style"/>
                <w:spacing w:val="-62"/>
                <w:sz w:val="20"/>
                <w:szCs w:val="20"/>
                <w:lang w:val="en-US"/>
              </w:rPr>
              <w:t xml:space="preserve"> </w:t>
            </w:r>
            <w:r w:rsidRPr="008262B9">
              <w:rPr>
                <w:rFonts w:ascii="Bookman Old Style" w:hAnsi="Bookman Old Style"/>
                <w:sz w:val="20"/>
                <w:szCs w:val="20"/>
              </w:rPr>
              <w:t>diperdagangkan</w:t>
            </w:r>
            <w:r w:rsidRPr="008262B9">
              <w:rPr>
                <w:rFonts w:ascii="Bookman Old Style" w:hAnsi="Bookman Old Style"/>
                <w:spacing w:val="-1"/>
                <w:sz w:val="20"/>
                <w:szCs w:val="20"/>
              </w:rPr>
              <w:t xml:space="preserve"> </w:t>
            </w:r>
            <w:r w:rsidRPr="008262B9">
              <w:rPr>
                <w:rFonts w:ascii="Bookman Old Style" w:hAnsi="Bookman Old Style"/>
                <w:sz w:val="20"/>
                <w:szCs w:val="20"/>
              </w:rPr>
              <w:t>di bursa</w:t>
            </w:r>
          </w:p>
        </w:tc>
        <w:tc>
          <w:tcPr>
            <w:tcW w:w="1201" w:type="dxa"/>
          </w:tcPr>
          <w:p w14:paraId="3B839328" w14:textId="77777777" w:rsidR="008262B9" w:rsidRPr="008262B9" w:rsidRDefault="008262B9" w:rsidP="001359AD">
            <w:pPr>
              <w:pStyle w:val="TableParagraph"/>
              <w:rPr>
                <w:rFonts w:ascii="Bookman Old Style" w:hAnsi="Bookman Old Style"/>
                <w:sz w:val="20"/>
                <w:szCs w:val="20"/>
              </w:rPr>
            </w:pPr>
          </w:p>
        </w:tc>
        <w:tc>
          <w:tcPr>
            <w:tcW w:w="675" w:type="dxa"/>
          </w:tcPr>
          <w:p w14:paraId="41B1267F" w14:textId="77777777" w:rsidR="008262B9" w:rsidRPr="008262B9" w:rsidRDefault="008262B9" w:rsidP="001359AD">
            <w:pPr>
              <w:pStyle w:val="TableParagraph"/>
              <w:rPr>
                <w:rFonts w:ascii="Bookman Old Style" w:hAnsi="Bookman Old Style"/>
                <w:sz w:val="20"/>
                <w:szCs w:val="20"/>
              </w:rPr>
            </w:pPr>
          </w:p>
        </w:tc>
        <w:tc>
          <w:tcPr>
            <w:tcW w:w="1126" w:type="dxa"/>
          </w:tcPr>
          <w:p w14:paraId="441E9C1F" w14:textId="77777777" w:rsidR="008262B9" w:rsidRPr="008262B9" w:rsidRDefault="008262B9" w:rsidP="001359AD">
            <w:pPr>
              <w:pStyle w:val="TableParagraph"/>
              <w:rPr>
                <w:rFonts w:ascii="Bookman Old Style" w:hAnsi="Bookman Old Style"/>
                <w:sz w:val="20"/>
                <w:szCs w:val="20"/>
              </w:rPr>
            </w:pPr>
          </w:p>
        </w:tc>
        <w:tc>
          <w:tcPr>
            <w:tcW w:w="815" w:type="dxa"/>
          </w:tcPr>
          <w:p w14:paraId="65581DC3" w14:textId="77777777" w:rsidR="008262B9" w:rsidRPr="008262B9" w:rsidRDefault="008262B9" w:rsidP="001359AD">
            <w:pPr>
              <w:pStyle w:val="TableParagraph"/>
              <w:rPr>
                <w:rFonts w:ascii="Bookman Old Style" w:hAnsi="Bookman Old Style"/>
                <w:sz w:val="20"/>
                <w:szCs w:val="20"/>
              </w:rPr>
            </w:pPr>
          </w:p>
        </w:tc>
        <w:tc>
          <w:tcPr>
            <w:tcW w:w="1427" w:type="dxa"/>
          </w:tcPr>
          <w:p w14:paraId="007AAD24" w14:textId="77777777" w:rsidR="008262B9" w:rsidRPr="008262B9" w:rsidRDefault="008262B9" w:rsidP="001359AD">
            <w:pPr>
              <w:pStyle w:val="TableParagraph"/>
              <w:rPr>
                <w:rFonts w:ascii="Bookman Old Style" w:hAnsi="Bookman Old Style"/>
                <w:sz w:val="20"/>
                <w:szCs w:val="20"/>
              </w:rPr>
            </w:pPr>
          </w:p>
        </w:tc>
        <w:tc>
          <w:tcPr>
            <w:tcW w:w="1089" w:type="dxa"/>
          </w:tcPr>
          <w:p w14:paraId="7D50F5BF" w14:textId="77777777" w:rsidR="008262B9" w:rsidRPr="008262B9" w:rsidRDefault="008262B9" w:rsidP="001359AD">
            <w:pPr>
              <w:pStyle w:val="TableParagraph"/>
              <w:rPr>
                <w:rFonts w:ascii="Bookman Old Style" w:hAnsi="Bookman Old Style"/>
                <w:sz w:val="20"/>
                <w:szCs w:val="20"/>
              </w:rPr>
            </w:pPr>
          </w:p>
        </w:tc>
        <w:tc>
          <w:tcPr>
            <w:tcW w:w="810" w:type="dxa"/>
          </w:tcPr>
          <w:p w14:paraId="25F09F05" w14:textId="77777777" w:rsidR="008262B9" w:rsidRPr="008262B9" w:rsidRDefault="008262B9" w:rsidP="001359AD">
            <w:pPr>
              <w:pStyle w:val="TableParagraph"/>
              <w:rPr>
                <w:rFonts w:ascii="Bookman Old Style" w:hAnsi="Bookman Old Style"/>
                <w:sz w:val="20"/>
                <w:szCs w:val="20"/>
              </w:rPr>
            </w:pPr>
          </w:p>
        </w:tc>
        <w:tc>
          <w:tcPr>
            <w:tcW w:w="1082" w:type="dxa"/>
          </w:tcPr>
          <w:p w14:paraId="1B1140C9" w14:textId="77777777" w:rsidR="008262B9" w:rsidRPr="008262B9" w:rsidRDefault="008262B9" w:rsidP="001359AD">
            <w:pPr>
              <w:pStyle w:val="TableParagraph"/>
              <w:rPr>
                <w:rFonts w:ascii="Bookman Old Style" w:hAnsi="Bookman Old Style"/>
                <w:sz w:val="20"/>
                <w:szCs w:val="20"/>
              </w:rPr>
            </w:pPr>
          </w:p>
        </w:tc>
        <w:tc>
          <w:tcPr>
            <w:tcW w:w="813" w:type="dxa"/>
          </w:tcPr>
          <w:p w14:paraId="7FEF1ACF"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12E47575" w14:textId="77777777" w:rsidR="008262B9" w:rsidRPr="008262B9" w:rsidRDefault="008262B9" w:rsidP="001359AD">
            <w:pPr>
              <w:pStyle w:val="TableParagraph"/>
              <w:rPr>
                <w:rFonts w:ascii="Bookman Old Style" w:hAnsi="Bookman Old Style"/>
                <w:sz w:val="20"/>
                <w:szCs w:val="20"/>
              </w:rPr>
            </w:pPr>
          </w:p>
        </w:tc>
        <w:tc>
          <w:tcPr>
            <w:tcW w:w="1559" w:type="dxa"/>
          </w:tcPr>
          <w:p w14:paraId="617ABF87" w14:textId="77777777" w:rsidR="008262B9" w:rsidRPr="008262B9" w:rsidRDefault="008262B9" w:rsidP="001359AD">
            <w:pPr>
              <w:pStyle w:val="TableParagraph"/>
              <w:rPr>
                <w:rFonts w:ascii="Bookman Old Style" w:hAnsi="Bookman Old Style"/>
                <w:sz w:val="20"/>
                <w:szCs w:val="20"/>
              </w:rPr>
            </w:pPr>
          </w:p>
          <w:p w14:paraId="3D127675" w14:textId="77777777" w:rsidR="008262B9" w:rsidRPr="008262B9" w:rsidRDefault="008262B9" w:rsidP="001359AD">
            <w:pPr>
              <w:pStyle w:val="TableParagraph"/>
              <w:spacing w:before="10"/>
              <w:rPr>
                <w:rFonts w:ascii="Bookman Old Style" w:hAnsi="Bookman Old Style"/>
                <w:sz w:val="20"/>
                <w:szCs w:val="20"/>
              </w:rPr>
            </w:pPr>
          </w:p>
          <w:p w14:paraId="08574D3C"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3.2</w:t>
            </w:r>
          </w:p>
        </w:tc>
      </w:tr>
      <w:tr w:rsidR="008262B9" w:rsidRPr="008262B9" w14:paraId="0EE847F5" w14:textId="77777777" w:rsidTr="008262B9">
        <w:trPr>
          <w:trHeight w:val="705"/>
        </w:trPr>
        <w:tc>
          <w:tcPr>
            <w:tcW w:w="483" w:type="dxa"/>
          </w:tcPr>
          <w:p w14:paraId="1DCE2F2A"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26</w:t>
            </w:r>
          </w:p>
        </w:tc>
        <w:tc>
          <w:tcPr>
            <w:tcW w:w="4359" w:type="dxa"/>
            <w:shd w:val="clear" w:color="auto" w:fill="BFBFBF" w:themeFill="background1" w:themeFillShade="BF"/>
          </w:tcPr>
          <w:p w14:paraId="09F42033" w14:textId="77777777" w:rsidR="008262B9" w:rsidRPr="008262B9" w:rsidRDefault="008262B9" w:rsidP="001359AD">
            <w:pPr>
              <w:pStyle w:val="TableParagraph"/>
              <w:tabs>
                <w:tab w:val="left" w:pos="1103"/>
                <w:tab w:val="left" w:pos="2023"/>
                <w:tab w:val="left" w:pos="3431"/>
              </w:tabs>
              <w:rPr>
                <w:rFonts w:ascii="Bookman Old Style" w:hAnsi="Bookman Old Style"/>
                <w:sz w:val="20"/>
                <w:szCs w:val="20"/>
              </w:rPr>
            </w:pPr>
            <w:r w:rsidRPr="008262B9">
              <w:rPr>
                <w:rFonts w:ascii="Bookman Old Style" w:hAnsi="Bookman Old Style"/>
                <w:sz w:val="20"/>
                <w:szCs w:val="20"/>
              </w:rPr>
              <w:t>Aset</w:t>
            </w:r>
            <w:r w:rsidRPr="008262B9">
              <w:rPr>
                <w:rFonts w:ascii="Bookman Old Style" w:hAnsi="Bookman Old Style"/>
                <w:spacing w:val="1"/>
                <w:sz w:val="20"/>
                <w:szCs w:val="20"/>
              </w:rPr>
              <w:t xml:space="preserve"> </w:t>
            </w:r>
            <w:r w:rsidRPr="008262B9">
              <w:rPr>
                <w:rFonts w:ascii="Bookman Old Style" w:hAnsi="Bookman Old Style"/>
                <w:sz w:val="20"/>
                <w:szCs w:val="20"/>
              </w:rPr>
              <w:t>yang</w:t>
            </w:r>
            <w:r w:rsidRPr="008262B9">
              <w:rPr>
                <w:rFonts w:ascii="Bookman Old Style" w:hAnsi="Bookman Old Style"/>
                <w:spacing w:val="1"/>
                <w:sz w:val="20"/>
                <w:szCs w:val="20"/>
              </w:rPr>
              <w:t xml:space="preserve"> </w:t>
            </w:r>
            <w:r w:rsidRPr="008262B9">
              <w:rPr>
                <w:rFonts w:ascii="Bookman Old Style" w:hAnsi="Bookman Old Style"/>
                <w:sz w:val="20"/>
                <w:szCs w:val="20"/>
              </w:rPr>
              <w:t>memiliki</w:t>
            </w:r>
            <w:r w:rsidRPr="008262B9">
              <w:rPr>
                <w:rFonts w:ascii="Bookman Old Style" w:hAnsi="Bookman Old Style"/>
                <w:spacing w:val="3"/>
                <w:sz w:val="20"/>
                <w:szCs w:val="20"/>
              </w:rPr>
              <w:t xml:space="preserve"> </w:t>
            </w:r>
            <w:r w:rsidRPr="008262B9">
              <w:rPr>
                <w:rFonts w:ascii="Bookman Old Style" w:hAnsi="Bookman Old Style"/>
                <w:sz w:val="20"/>
                <w:szCs w:val="20"/>
              </w:rPr>
              <w:t>pasangan</w:t>
            </w:r>
            <w:r w:rsidRPr="008262B9">
              <w:rPr>
                <w:rFonts w:ascii="Bookman Old Style" w:hAnsi="Bookman Old Style"/>
                <w:spacing w:val="1"/>
                <w:sz w:val="20"/>
                <w:szCs w:val="20"/>
              </w:rPr>
              <w:t xml:space="preserve"> </w:t>
            </w:r>
            <w:r w:rsidRPr="008262B9">
              <w:rPr>
                <w:rFonts w:ascii="Bookman Old Style" w:hAnsi="Bookman Old Style"/>
                <w:sz w:val="20"/>
                <w:szCs w:val="20"/>
              </w:rPr>
              <w:t>liabilitas</w:t>
            </w:r>
            <w:r w:rsidRPr="008262B9">
              <w:rPr>
                <w:rFonts w:ascii="Bookman Old Style" w:hAnsi="Bookman Old Style"/>
                <w:spacing w:val="-61"/>
                <w:sz w:val="20"/>
                <w:szCs w:val="20"/>
              </w:rPr>
              <w:t xml:space="preserve"> </w:t>
            </w:r>
            <w:r w:rsidRPr="008262B9">
              <w:rPr>
                <w:rFonts w:ascii="Bookman Old Style" w:hAnsi="Bookman Old Style"/>
                <w:sz w:val="20"/>
                <w:szCs w:val="20"/>
              </w:rPr>
              <w:t>yang</w:t>
            </w:r>
            <w:r w:rsidRPr="008262B9">
              <w:rPr>
                <w:rFonts w:ascii="Bookman Old Style" w:hAnsi="Bookman Old Style"/>
                <w:spacing w:val="-1"/>
                <w:sz w:val="20"/>
                <w:szCs w:val="20"/>
              </w:rPr>
              <w:t xml:space="preserve"> </w:t>
            </w:r>
            <w:r w:rsidRPr="008262B9">
              <w:rPr>
                <w:rFonts w:ascii="Bookman Old Style" w:hAnsi="Bookman Old Style"/>
                <w:sz w:val="20"/>
                <w:szCs w:val="20"/>
              </w:rPr>
              <w:t>saling</w:t>
            </w:r>
            <w:r w:rsidRPr="008262B9">
              <w:rPr>
                <w:rFonts w:ascii="Bookman Old Style" w:hAnsi="Bookman Old Style"/>
                <w:sz w:val="20"/>
                <w:szCs w:val="20"/>
                <w:lang w:val="en-US"/>
              </w:rPr>
              <w:t xml:space="preserve"> </w:t>
            </w:r>
            <w:r w:rsidRPr="008262B9">
              <w:rPr>
                <w:rFonts w:ascii="Bookman Old Style" w:hAnsi="Bookman Old Style"/>
                <w:sz w:val="20"/>
                <w:szCs w:val="20"/>
              </w:rPr>
              <w:t>bergantung</w:t>
            </w:r>
          </w:p>
        </w:tc>
        <w:tc>
          <w:tcPr>
            <w:tcW w:w="1201" w:type="dxa"/>
            <w:shd w:val="clear" w:color="auto" w:fill="BFBFBF" w:themeFill="background1" w:themeFillShade="BF"/>
          </w:tcPr>
          <w:p w14:paraId="7583F202"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BFBFBF" w:themeFill="background1" w:themeFillShade="BF"/>
          </w:tcPr>
          <w:p w14:paraId="61E81A61"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BFBFBF" w:themeFill="background1" w:themeFillShade="BF"/>
          </w:tcPr>
          <w:p w14:paraId="2048EB8F"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BFBFBF" w:themeFill="background1" w:themeFillShade="BF"/>
          </w:tcPr>
          <w:p w14:paraId="28818B24"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BFBFBF" w:themeFill="background1" w:themeFillShade="BF"/>
          </w:tcPr>
          <w:p w14:paraId="0CC3B4C8" w14:textId="77777777" w:rsidR="008262B9" w:rsidRPr="008262B9" w:rsidRDefault="008262B9" w:rsidP="001359AD">
            <w:pPr>
              <w:pStyle w:val="TableParagraph"/>
              <w:rPr>
                <w:rFonts w:ascii="Bookman Old Style" w:hAnsi="Bookman Old Style"/>
                <w:sz w:val="20"/>
                <w:szCs w:val="20"/>
              </w:rPr>
            </w:pPr>
          </w:p>
        </w:tc>
        <w:tc>
          <w:tcPr>
            <w:tcW w:w="1089" w:type="dxa"/>
            <w:shd w:val="clear" w:color="auto" w:fill="BFBFBF" w:themeFill="background1" w:themeFillShade="BF"/>
          </w:tcPr>
          <w:p w14:paraId="4AFB01D2"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BFBFBF" w:themeFill="background1" w:themeFillShade="BF"/>
          </w:tcPr>
          <w:p w14:paraId="1A81B2BA"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BFBFBF" w:themeFill="background1" w:themeFillShade="BF"/>
          </w:tcPr>
          <w:p w14:paraId="7CB25073"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BFBFBF" w:themeFill="background1" w:themeFillShade="BF"/>
          </w:tcPr>
          <w:p w14:paraId="5FC54589"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BFBFBF" w:themeFill="background1" w:themeFillShade="BF"/>
          </w:tcPr>
          <w:p w14:paraId="2E09790E" w14:textId="77777777" w:rsidR="008262B9" w:rsidRPr="008262B9" w:rsidRDefault="008262B9" w:rsidP="001359AD">
            <w:pPr>
              <w:pStyle w:val="TableParagraph"/>
              <w:rPr>
                <w:rFonts w:ascii="Bookman Old Style" w:hAnsi="Bookman Old Style"/>
                <w:sz w:val="20"/>
                <w:szCs w:val="20"/>
              </w:rPr>
            </w:pPr>
          </w:p>
        </w:tc>
        <w:tc>
          <w:tcPr>
            <w:tcW w:w="1559" w:type="dxa"/>
            <w:shd w:val="clear" w:color="auto" w:fill="BFBFBF" w:themeFill="background1" w:themeFillShade="BF"/>
          </w:tcPr>
          <w:p w14:paraId="3C75D139"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w w:val="99"/>
                <w:sz w:val="20"/>
                <w:szCs w:val="20"/>
              </w:rPr>
              <w:t>4</w:t>
            </w:r>
          </w:p>
        </w:tc>
      </w:tr>
      <w:tr w:rsidR="008262B9" w:rsidRPr="008262B9" w14:paraId="43761C29" w14:textId="77777777" w:rsidTr="008262B9">
        <w:trPr>
          <w:trHeight w:val="279"/>
        </w:trPr>
        <w:tc>
          <w:tcPr>
            <w:tcW w:w="483" w:type="dxa"/>
          </w:tcPr>
          <w:p w14:paraId="001D4A17"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27</w:t>
            </w:r>
          </w:p>
        </w:tc>
        <w:tc>
          <w:tcPr>
            <w:tcW w:w="4359" w:type="dxa"/>
            <w:shd w:val="clear" w:color="auto" w:fill="BFBFBF" w:themeFill="background1" w:themeFillShade="BF"/>
          </w:tcPr>
          <w:p w14:paraId="7EAFFDCA" w14:textId="77777777" w:rsidR="008262B9" w:rsidRPr="008262B9" w:rsidRDefault="008262B9" w:rsidP="001359AD">
            <w:pPr>
              <w:pStyle w:val="TableParagraph"/>
              <w:tabs>
                <w:tab w:val="left" w:pos="1103"/>
                <w:tab w:val="left" w:pos="2023"/>
                <w:tab w:val="left" w:pos="3431"/>
              </w:tabs>
              <w:ind w:right="90"/>
              <w:rPr>
                <w:rFonts w:ascii="Bookman Old Style" w:hAnsi="Bookman Old Style"/>
                <w:sz w:val="20"/>
                <w:szCs w:val="20"/>
              </w:rPr>
            </w:pPr>
            <w:r w:rsidRPr="008262B9">
              <w:rPr>
                <w:rFonts w:ascii="Bookman Old Style" w:hAnsi="Bookman Old Style"/>
                <w:sz w:val="20"/>
                <w:szCs w:val="20"/>
              </w:rPr>
              <w:t>Aset</w:t>
            </w:r>
            <w:r w:rsidRPr="008262B9">
              <w:rPr>
                <w:rFonts w:ascii="Bookman Old Style" w:hAnsi="Bookman Old Style"/>
                <w:spacing w:val="-4"/>
                <w:sz w:val="20"/>
                <w:szCs w:val="20"/>
              </w:rPr>
              <w:t xml:space="preserve"> </w:t>
            </w:r>
            <w:r w:rsidRPr="008262B9">
              <w:rPr>
                <w:rFonts w:ascii="Bookman Old Style" w:hAnsi="Bookman Old Style"/>
                <w:sz w:val="20"/>
                <w:szCs w:val="20"/>
              </w:rPr>
              <w:t>lainnya:</w:t>
            </w:r>
          </w:p>
        </w:tc>
        <w:tc>
          <w:tcPr>
            <w:tcW w:w="1201" w:type="dxa"/>
            <w:shd w:val="clear" w:color="auto" w:fill="BFBFBF" w:themeFill="background1" w:themeFillShade="BF"/>
          </w:tcPr>
          <w:p w14:paraId="40A81962"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BFBFBF" w:themeFill="background1" w:themeFillShade="BF"/>
          </w:tcPr>
          <w:p w14:paraId="0BE29527"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BFBFBF" w:themeFill="background1" w:themeFillShade="BF"/>
          </w:tcPr>
          <w:p w14:paraId="0E80B6C3"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BFBFBF" w:themeFill="background1" w:themeFillShade="BF"/>
          </w:tcPr>
          <w:p w14:paraId="7AF01627"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BFBFBF" w:themeFill="background1" w:themeFillShade="BF"/>
          </w:tcPr>
          <w:p w14:paraId="678EC2A9" w14:textId="77777777" w:rsidR="008262B9" w:rsidRPr="008262B9" w:rsidRDefault="008262B9" w:rsidP="001359AD">
            <w:pPr>
              <w:pStyle w:val="TableParagraph"/>
              <w:rPr>
                <w:rFonts w:ascii="Bookman Old Style" w:hAnsi="Bookman Old Style"/>
                <w:sz w:val="20"/>
                <w:szCs w:val="20"/>
              </w:rPr>
            </w:pPr>
          </w:p>
        </w:tc>
        <w:tc>
          <w:tcPr>
            <w:tcW w:w="1089" w:type="dxa"/>
            <w:shd w:val="clear" w:color="auto" w:fill="BFBFBF" w:themeFill="background1" w:themeFillShade="BF"/>
          </w:tcPr>
          <w:p w14:paraId="6ACECE32"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BFBFBF" w:themeFill="background1" w:themeFillShade="BF"/>
          </w:tcPr>
          <w:p w14:paraId="1AC93739"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BFBFBF" w:themeFill="background1" w:themeFillShade="BF"/>
          </w:tcPr>
          <w:p w14:paraId="34583E47"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BFBFBF" w:themeFill="background1" w:themeFillShade="BF"/>
          </w:tcPr>
          <w:p w14:paraId="385A08F4"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BFBFBF" w:themeFill="background1" w:themeFillShade="BF"/>
          </w:tcPr>
          <w:p w14:paraId="71164657" w14:textId="77777777" w:rsidR="008262B9" w:rsidRPr="008262B9" w:rsidRDefault="008262B9" w:rsidP="001359AD">
            <w:pPr>
              <w:pStyle w:val="TableParagraph"/>
              <w:rPr>
                <w:rFonts w:ascii="Bookman Old Style" w:hAnsi="Bookman Old Style"/>
                <w:sz w:val="20"/>
                <w:szCs w:val="20"/>
              </w:rPr>
            </w:pPr>
          </w:p>
        </w:tc>
        <w:tc>
          <w:tcPr>
            <w:tcW w:w="1559" w:type="dxa"/>
            <w:shd w:val="clear" w:color="auto" w:fill="BFBFBF" w:themeFill="background1" w:themeFillShade="BF"/>
          </w:tcPr>
          <w:p w14:paraId="7E955F4D"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w w:val="99"/>
                <w:sz w:val="20"/>
                <w:szCs w:val="20"/>
              </w:rPr>
              <w:t>5</w:t>
            </w:r>
          </w:p>
        </w:tc>
      </w:tr>
      <w:tr w:rsidR="008262B9" w:rsidRPr="008262B9" w14:paraId="6FF6959B" w14:textId="77777777" w:rsidTr="008262B9">
        <w:trPr>
          <w:trHeight w:val="597"/>
        </w:trPr>
        <w:tc>
          <w:tcPr>
            <w:tcW w:w="483" w:type="dxa"/>
          </w:tcPr>
          <w:p w14:paraId="25232F3B"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28</w:t>
            </w:r>
          </w:p>
        </w:tc>
        <w:tc>
          <w:tcPr>
            <w:tcW w:w="4359" w:type="dxa"/>
          </w:tcPr>
          <w:p w14:paraId="51D7B835"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Komoditas</w:t>
            </w:r>
            <w:r w:rsidRPr="008262B9">
              <w:rPr>
                <w:rFonts w:ascii="Bookman Old Style" w:hAnsi="Bookman Old Style"/>
                <w:sz w:val="20"/>
                <w:szCs w:val="20"/>
              </w:rPr>
              <w:tab/>
              <w:t>fisik</w:t>
            </w:r>
            <w:r w:rsidRPr="008262B9">
              <w:rPr>
                <w:rFonts w:ascii="Bookman Old Style" w:hAnsi="Bookman Old Style"/>
                <w:sz w:val="20"/>
                <w:szCs w:val="20"/>
                <w:lang w:val="en-US"/>
              </w:rPr>
              <w:t xml:space="preserve"> </w:t>
            </w:r>
            <w:r w:rsidRPr="008262B9">
              <w:rPr>
                <w:rFonts w:ascii="Bookman Old Style" w:hAnsi="Bookman Old Style"/>
                <w:spacing w:val="-2"/>
                <w:sz w:val="20"/>
                <w:szCs w:val="20"/>
              </w:rPr>
              <w:t>yang</w:t>
            </w:r>
            <w:r w:rsidRPr="008262B9">
              <w:rPr>
                <w:rFonts w:ascii="Bookman Old Style" w:hAnsi="Bookman Old Style"/>
                <w:spacing w:val="-61"/>
                <w:sz w:val="20"/>
                <w:szCs w:val="20"/>
                <w:lang w:val="en-US"/>
              </w:rPr>
              <w:t xml:space="preserve"> </w:t>
            </w:r>
            <w:r w:rsidRPr="008262B9">
              <w:rPr>
                <w:rFonts w:ascii="Bookman Old Style" w:hAnsi="Bookman Old Style"/>
                <w:sz w:val="20"/>
                <w:szCs w:val="20"/>
              </w:rPr>
              <w:t>diperdagangkan,</w:t>
            </w:r>
            <w:r w:rsidRPr="008262B9">
              <w:rPr>
                <w:rFonts w:ascii="Bookman Old Style" w:hAnsi="Bookman Old Style"/>
                <w:spacing w:val="-2"/>
                <w:sz w:val="20"/>
                <w:szCs w:val="20"/>
              </w:rPr>
              <w:t xml:space="preserve"> </w:t>
            </w:r>
            <w:r w:rsidRPr="008262B9">
              <w:rPr>
                <w:rFonts w:ascii="Bookman Old Style" w:hAnsi="Bookman Old Style"/>
                <w:sz w:val="20"/>
                <w:szCs w:val="20"/>
              </w:rPr>
              <w:t>termasuk</w:t>
            </w:r>
            <w:r w:rsidRPr="008262B9">
              <w:rPr>
                <w:rFonts w:ascii="Bookman Old Style" w:hAnsi="Bookman Old Style"/>
                <w:spacing w:val="-3"/>
                <w:sz w:val="20"/>
                <w:szCs w:val="20"/>
              </w:rPr>
              <w:t xml:space="preserve"> </w:t>
            </w:r>
            <w:r w:rsidRPr="008262B9">
              <w:rPr>
                <w:rFonts w:ascii="Bookman Old Style" w:hAnsi="Bookman Old Style"/>
                <w:sz w:val="20"/>
                <w:szCs w:val="20"/>
              </w:rPr>
              <w:t>emas</w:t>
            </w:r>
          </w:p>
        </w:tc>
        <w:tc>
          <w:tcPr>
            <w:tcW w:w="1201" w:type="dxa"/>
          </w:tcPr>
          <w:p w14:paraId="5BC2B7EC"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000000" w:themeFill="text1"/>
          </w:tcPr>
          <w:p w14:paraId="5816BD70"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000000" w:themeFill="text1"/>
          </w:tcPr>
          <w:p w14:paraId="7B6E5052"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000000" w:themeFill="text1"/>
          </w:tcPr>
          <w:p w14:paraId="520C4370" w14:textId="77777777" w:rsidR="008262B9" w:rsidRPr="008262B9" w:rsidRDefault="008262B9" w:rsidP="001359AD">
            <w:pPr>
              <w:pStyle w:val="TableParagraph"/>
              <w:rPr>
                <w:rFonts w:ascii="Bookman Old Style" w:hAnsi="Bookman Old Style"/>
                <w:sz w:val="20"/>
                <w:szCs w:val="20"/>
              </w:rPr>
            </w:pPr>
          </w:p>
        </w:tc>
        <w:tc>
          <w:tcPr>
            <w:tcW w:w="1427" w:type="dxa"/>
          </w:tcPr>
          <w:p w14:paraId="3B83FE06" w14:textId="77777777" w:rsidR="008262B9" w:rsidRPr="008262B9" w:rsidRDefault="008262B9" w:rsidP="001359AD">
            <w:pPr>
              <w:pStyle w:val="TableParagraph"/>
              <w:rPr>
                <w:rFonts w:ascii="Bookman Old Style" w:hAnsi="Bookman Old Style"/>
                <w:sz w:val="20"/>
                <w:szCs w:val="20"/>
              </w:rPr>
            </w:pPr>
          </w:p>
        </w:tc>
        <w:tc>
          <w:tcPr>
            <w:tcW w:w="1089" w:type="dxa"/>
          </w:tcPr>
          <w:p w14:paraId="51B4F9F4"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000000" w:themeFill="text1"/>
          </w:tcPr>
          <w:p w14:paraId="26E5F450"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000000" w:themeFill="text1"/>
          </w:tcPr>
          <w:p w14:paraId="5EDA5F67"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000000" w:themeFill="text1"/>
          </w:tcPr>
          <w:p w14:paraId="7A8AD10D"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3A82C95F" w14:textId="77777777" w:rsidR="008262B9" w:rsidRPr="008262B9" w:rsidRDefault="008262B9" w:rsidP="001359AD">
            <w:pPr>
              <w:pStyle w:val="TableParagraph"/>
              <w:rPr>
                <w:rFonts w:ascii="Bookman Old Style" w:hAnsi="Bookman Old Style"/>
                <w:sz w:val="20"/>
                <w:szCs w:val="20"/>
              </w:rPr>
            </w:pPr>
          </w:p>
        </w:tc>
        <w:tc>
          <w:tcPr>
            <w:tcW w:w="1559" w:type="dxa"/>
          </w:tcPr>
          <w:p w14:paraId="46741FD9"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5.1</w:t>
            </w:r>
          </w:p>
        </w:tc>
      </w:tr>
      <w:tr w:rsidR="008262B9" w:rsidRPr="008262B9" w14:paraId="398F347B" w14:textId="77777777" w:rsidTr="008262B9">
        <w:trPr>
          <w:trHeight w:val="705"/>
        </w:trPr>
        <w:tc>
          <w:tcPr>
            <w:tcW w:w="483" w:type="dxa"/>
          </w:tcPr>
          <w:p w14:paraId="61D649FA"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29</w:t>
            </w:r>
          </w:p>
        </w:tc>
        <w:tc>
          <w:tcPr>
            <w:tcW w:w="4359" w:type="dxa"/>
          </w:tcPr>
          <w:p w14:paraId="74E0E099" w14:textId="77777777" w:rsidR="008262B9" w:rsidRPr="008262B9" w:rsidRDefault="008262B9" w:rsidP="001359AD">
            <w:pPr>
              <w:pStyle w:val="TableParagraph"/>
              <w:ind w:left="371" w:right="91"/>
              <w:jc w:val="both"/>
              <w:rPr>
                <w:rFonts w:ascii="Bookman Old Style" w:hAnsi="Bookman Old Style"/>
                <w:i/>
                <w:sz w:val="20"/>
                <w:szCs w:val="20"/>
              </w:rPr>
            </w:pPr>
            <w:r w:rsidRPr="008262B9">
              <w:rPr>
                <w:rFonts w:ascii="Bookman Old Style" w:hAnsi="Bookman Old Style"/>
                <w:sz w:val="20"/>
                <w:szCs w:val="20"/>
              </w:rPr>
              <w:t>Kas,</w:t>
            </w:r>
            <w:r w:rsidRPr="008262B9">
              <w:rPr>
                <w:rFonts w:ascii="Bookman Old Style" w:hAnsi="Bookman Old Style"/>
                <w:spacing w:val="1"/>
                <w:sz w:val="20"/>
                <w:szCs w:val="20"/>
              </w:rPr>
              <w:t xml:space="preserve"> </w:t>
            </w:r>
            <w:r w:rsidRPr="008262B9">
              <w:rPr>
                <w:rFonts w:ascii="Bookman Old Style" w:hAnsi="Bookman Old Style"/>
                <w:sz w:val="20"/>
                <w:szCs w:val="20"/>
              </w:rPr>
              <w:t>surat</w:t>
            </w:r>
            <w:r w:rsidRPr="008262B9">
              <w:rPr>
                <w:rFonts w:ascii="Bookman Old Style" w:hAnsi="Bookman Old Style"/>
                <w:spacing w:val="1"/>
                <w:sz w:val="20"/>
                <w:szCs w:val="20"/>
              </w:rPr>
              <w:t xml:space="preserve"> </w:t>
            </w:r>
            <w:r w:rsidRPr="008262B9">
              <w:rPr>
                <w:rFonts w:ascii="Bookman Old Style" w:hAnsi="Bookman Old Style"/>
                <w:sz w:val="20"/>
                <w:szCs w:val="20"/>
              </w:rPr>
              <w:t>berharga syariah</w:t>
            </w:r>
            <w:r w:rsidRPr="008262B9">
              <w:rPr>
                <w:rFonts w:ascii="Bookman Old Style" w:hAnsi="Bookman Old Style"/>
                <w:spacing w:val="1"/>
                <w:sz w:val="20"/>
                <w:szCs w:val="20"/>
              </w:rPr>
              <w:t xml:space="preserve"> </w:t>
            </w:r>
            <w:r w:rsidRPr="008262B9">
              <w:rPr>
                <w:rFonts w:ascii="Bookman Old Style" w:hAnsi="Bookman Old Style"/>
                <w:sz w:val="20"/>
                <w:szCs w:val="20"/>
              </w:rPr>
              <w:t>dan</w:t>
            </w:r>
            <w:r w:rsidRPr="008262B9">
              <w:rPr>
                <w:rFonts w:ascii="Bookman Old Style" w:hAnsi="Bookman Old Style"/>
                <w:spacing w:val="1"/>
                <w:sz w:val="20"/>
                <w:szCs w:val="20"/>
              </w:rPr>
              <w:t xml:space="preserve"> </w:t>
            </w:r>
            <w:r w:rsidRPr="008262B9">
              <w:rPr>
                <w:rFonts w:ascii="Bookman Old Style" w:hAnsi="Bookman Old Style"/>
                <w:sz w:val="20"/>
                <w:szCs w:val="20"/>
              </w:rPr>
              <w:t>aset</w:t>
            </w:r>
            <w:r w:rsidRPr="008262B9">
              <w:rPr>
                <w:rFonts w:ascii="Bookman Old Style" w:hAnsi="Bookman Old Style"/>
                <w:spacing w:val="1"/>
                <w:sz w:val="20"/>
                <w:szCs w:val="20"/>
              </w:rPr>
              <w:t xml:space="preserve"> </w:t>
            </w:r>
            <w:r w:rsidRPr="008262B9">
              <w:rPr>
                <w:rFonts w:ascii="Bookman Old Style" w:hAnsi="Bookman Old Style"/>
                <w:sz w:val="20"/>
                <w:szCs w:val="20"/>
              </w:rPr>
              <w:t>lainnya yang dicatat sebagai initial</w:t>
            </w:r>
            <w:r w:rsidRPr="008262B9">
              <w:rPr>
                <w:rFonts w:ascii="Bookman Old Style" w:hAnsi="Bookman Old Style"/>
                <w:spacing w:val="1"/>
                <w:sz w:val="20"/>
                <w:szCs w:val="20"/>
              </w:rPr>
              <w:t xml:space="preserve"> </w:t>
            </w:r>
            <w:r w:rsidRPr="008262B9">
              <w:rPr>
                <w:rFonts w:ascii="Bookman Old Style" w:hAnsi="Bookman Old Style"/>
                <w:sz w:val="20"/>
                <w:szCs w:val="20"/>
              </w:rPr>
              <w:t xml:space="preserve">margin untuk kontrak </w:t>
            </w:r>
            <w:r w:rsidRPr="008262B9">
              <w:rPr>
                <w:rFonts w:ascii="Bookman Old Style" w:hAnsi="Bookman Old Style"/>
                <w:i/>
                <w:iCs/>
                <w:sz w:val="20"/>
                <w:szCs w:val="20"/>
              </w:rPr>
              <w:t xml:space="preserve">hedging </w:t>
            </w:r>
            <w:r w:rsidRPr="008262B9">
              <w:rPr>
                <w:rFonts w:ascii="Bookman Old Style" w:hAnsi="Bookman Old Style"/>
                <w:sz w:val="20"/>
                <w:szCs w:val="20"/>
              </w:rPr>
              <w:t>syariah dan</w:t>
            </w:r>
            <w:r w:rsidRPr="008262B9">
              <w:rPr>
                <w:rFonts w:ascii="Bookman Old Style" w:hAnsi="Bookman Old Style"/>
                <w:spacing w:val="-61"/>
                <w:sz w:val="20"/>
                <w:szCs w:val="20"/>
              </w:rPr>
              <w:t xml:space="preserve"> </w:t>
            </w:r>
            <w:r w:rsidRPr="008262B9">
              <w:rPr>
                <w:rFonts w:ascii="Bookman Old Style" w:hAnsi="Bookman Old Style"/>
                <w:sz w:val="20"/>
                <w:szCs w:val="20"/>
              </w:rPr>
              <w:t>kas atau aset lain yang diserahkan</w:t>
            </w:r>
            <w:r w:rsidRPr="008262B9">
              <w:rPr>
                <w:rFonts w:ascii="Bookman Old Style" w:hAnsi="Bookman Old Style"/>
                <w:spacing w:val="1"/>
                <w:sz w:val="20"/>
                <w:szCs w:val="20"/>
              </w:rPr>
              <w:t xml:space="preserve"> </w:t>
            </w:r>
            <w:r w:rsidRPr="008262B9">
              <w:rPr>
                <w:rFonts w:ascii="Bookman Old Style" w:hAnsi="Bookman Old Style"/>
                <w:sz w:val="20"/>
                <w:szCs w:val="20"/>
              </w:rPr>
              <w:t>sebagai</w:t>
            </w:r>
            <w:r w:rsidRPr="008262B9">
              <w:rPr>
                <w:rFonts w:ascii="Bookman Old Style" w:hAnsi="Bookman Old Style"/>
                <w:spacing w:val="5"/>
                <w:sz w:val="20"/>
                <w:szCs w:val="20"/>
              </w:rPr>
              <w:t xml:space="preserve"> </w:t>
            </w:r>
            <w:r w:rsidRPr="008262B9">
              <w:rPr>
                <w:rFonts w:ascii="Bookman Old Style" w:hAnsi="Bookman Old Style"/>
                <w:i/>
                <w:sz w:val="20"/>
                <w:szCs w:val="20"/>
              </w:rPr>
              <w:t>default</w:t>
            </w:r>
            <w:r w:rsidRPr="008262B9">
              <w:rPr>
                <w:rFonts w:ascii="Bookman Old Style" w:hAnsi="Bookman Old Style"/>
                <w:i/>
                <w:spacing w:val="6"/>
                <w:sz w:val="20"/>
                <w:szCs w:val="20"/>
              </w:rPr>
              <w:t xml:space="preserve"> </w:t>
            </w:r>
            <w:r w:rsidRPr="008262B9">
              <w:rPr>
                <w:rFonts w:ascii="Bookman Old Style" w:hAnsi="Bookman Old Style"/>
                <w:i/>
                <w:sz w:val="20"/>
                <w:szCs w:val="20"/>
              </w:rPr>
              <w:t>fund</w:t>
            </w:r>
            <w:r w:rsidRPr="008262B9">
              <w:rPr>
                <w:rFonts w:ascii="Bookman Old Style" w:hAnsi="Bookman Old Style"/>
                <w:i/>
                <w:spacing w:val="13"/>
                <w:sz w:val="20"/>
                <w:szCs w:val="20"/>
              </w:rPr>
              <w:t xml:space="preserve"> </w:t>
            </w:r>
            <w:r w:rsidRPr="008262B9">
              <w:rPr>
                <w:rFonts w:ascii="Bookman Old Style" w:hAnsi="Bookman Old Style"/>
                <w:sz w:val="20"/>
                <w:szCs w:val="20"/>
              </w:rPr>
              <w:t>pada</w:t>
            </w:r>
            <w:r w:rsidRPr="008262B9">
              <w:rPr>
                <w:rFonts w:ascii="Bookman Old Style" w:hAnsi="Bookman Old Style"/>
                <w:spacing w:val="4"/>
                <w:sz w:val="20"/>
                <w:szCs w:val="20"/>
              </w:rPr>
              <w:t xml:space="preserve"> </w:t>
            </w:r>
            <w:r w:rsidRPr="008262B9">
              <w:rPr>
                <w:rFonts w:ascii="Bookman Old Style" w:hAnsi="Bookman Old Style"/>
                <w:i/>
                <w:sz w:val="20"/>
                <w:szCs w:val="20"/>
              </w:rPr>
              <w:t>central</w:t>
            </w:r>
          </w:p>
          <w:p w14:paraId="7215332F"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i/>
                <w:sz w:val="20"/>
                <w:szCs w:val="20"/>
              </w:rPr>
              <w:t xml:space="preserve">counterparty </w:t>
            </w:r>
            <w:r w:rsidRPr="008262B9">
              <w:rPr>
                <w:rFonts w:ascii="Bookman Old Style" w:hAnsi="Bookman Old Style"/>
                <w:sz w:val="20"/>
                <w:szCs w:val="20"/>
              </w:rPr>
              <w:t>(CCP)</w:t>
            </w:r>
          </w:p>
        </w:tc>
        <w:tc>
          <w:tcPr>
            <w:tcW w:w="1201" w:type="dxa"/>
            <w:shd w:val="clear" w:color="auto" w:fill="000000" w:themeFill="text1"/>
          </w:tcPr>
          <w:p w14:paraId="3259779A" w14:textId="77777777" w:rsidR="008262B9" w:rsidRPr="008262B9" w:rsidRDefault="008262B9" w:rsidP="001359AD">
            <w:pPr>
              <w:pStyle w:val="TableParagraph"/>
              <w:rPr>
                <w:rFonts w:ascii="Bookman Old Style" w:hAnsi="Bookman Old Style"/>
                <w:sz w:val="20"/>
                <w:szCs w:val="20"/>
              </w:rPr>
            </w:pPr>
          </w:p>
        </w:tc>
        <w:tc>
          <w:tcPr>
            <w:tcW w:w="675" w:type="dxa"/>
          </w:tcPr>
          <w:p w14:paraId="2D4E2D95" w14:textId="77777777" w:rsidR="008262B9" w:rsidRPr="008262B9" w:rsidRDefault="008262B9" w:rsidP="001359AD">
            <w:pPr>
              <w:pStyle w:val="TableParagraph"/>
              <w:rPr>
                <w:rFonts w:ascii="Bookman Old Style" w:hAnsi="Bookman Old Style"/>
                <w:sz w:val="20"/>
                <w:szCs w:val="20"/>
              </w:rPr>
            </w:pPr>
          </w:p>
        </w:tc>
        <w:tc>
          <w:tcPr>
            <w:tcW w:w="1126" w:type="dxa"/>
          </w:tcPr>
          <w:p w14:paraId="2B37706B" w14:textId="77777777" w:rsidR="008262B9" w:rsidRPr="008262B9" w:rsidRDefault="008262B9" w:rsidP="001359AD">
            <w:pPr>
              <w:pStyle w:val="TableParagraph"/>
              <w:rPr>
                <w:rFonts w:ascii="Bookman Old Style" w:hAnsi="Bookman Old Style"/>
                <w:sz w:val="20"/>
                <w:szCs w:val="20"/>
              </w:rPr>
            </w:pPr>
          </w:p>
        </w:tc>
        <w:tc>
          <w:tcPr>
            <w:tcW w:w="815" w:type="dxa"/>
          </w:tcPr>
          <w:p w14:paraId="08E070B2" w14:textId="77777777" w:rsidR="008262B9" w:rsidRPr="008262B9" w:rsidRDefault="008262B9" w:rsidP="001359AD">
            <w:pPr>
              <w:pStyle w:val="TableParagraph"/>
              <w:rPr>
                <w:rFonts w:ascii="Bookman Old Style" w:hAnsi="Bookman Old Style"/>
                <w:sz w:val="20"/>
                <w:szCs w:val="20"/>
              </w:rPr>
            </w:pPr>
          </w:p>
        </w:tc>
        <w:tc>
          <w:tcPr>
            <w:tcW w:w="1427" w:type="dxa"/>
          </w:tcPr>
          <w:p w14:paraId="25501C81" w14:textId="77777777" w:rsidR="008262B9" w:rsidRPr="008262B9" w:rsidRDefault="008262B9" w:rsidP="001359AD">
            <w:pPr>
              <w:pStyle w:val="TableParagraph"/>
              <w:rPr>
                <w:rFonts w:ascii="Bookman Old Style" w:hAnsi="Bookman Old Style"/>
                <w:sz w:val="20"/>
                <w:szCs w:val="20"/>
              </w:rPr>
            </w:pPr>
          </w:p>
        </w:tc>
        <w:tc>
          <w:tcPr>
            <w:tcW w:w="1089" w:type="dxa"/>
          </w:tcPr>
          <w:p w14:paraId="0D62516A"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000000" w:themeFill="text1"/>
          </w:tcPr>
          <w:p w14:paraId="0FDA0D1A" w14:textId="77777777" w:rsidR="008262B9" w:rsidRPr="008262B9" w:rsidRDefault="008262B9" w:rsidP="001359AD">
            <w:pPr>
              <w:pStyle w:val="TableParagraph"/>
              <w:rPr>
                <w:rFonts w:ascii="Bookman Old Style" w:hAnsi="Bookman Old Style"/>
                <w:sz w:val="20"/>
                <w:szCs w:val="20"/>
              </w:rPr>
            </w:pPr>
          </w:p>
          <w:p w14:paraId="3B355DC3" w14:textId="77777777" w:rsidR="008262B9" w:rsidRPr="008262B9" w:rsidRDefault="008262B9" w:rsidP="001359AD">
            <w:pPr>
              <w:pStyle w:val="TableParagraph"/>
              <w:spacing w:before="11"/>
              <w:rPr>
                <w:rFonts w:ascii="Bookman Old Style" w:hAnsi="Bookman Old Style"/>
                <w:sz w:val="20"/>
                <w:szCs w:val="20"/>
              </w:rPr>
            </w:pPr>
          </w:p>
          <w:p w14:paraId="095AC7FA" w14:textId="77777777" w:rsidR="008262B9" w:rsidRPr="008262B9" w:rsidRDefault="008262B9" w:rsidP="001359AD">
            <w:pPr>
              <w:pStyle w:val="TableParagraph"/>
              <w:rPr>
                <w:rFonts w:ascii="Bookman Old Style" w:hAnsi="Bookman Old Style"/>
                <w:sz w:val="20"/>
                <w:szCs w:val="20"/>
              </w:rPr>
            </w:pPr>
          </w:p>
        </w:tc>
        <w:tc>
          <w:tcPr>
            <w:tcW w:w="1082" w:type="dxa"/>
          </w:tcPr>
          <w:p w14:paraId="7AB675E4" w14:textId="77777777" w:rsidR="008262B9" w:rsidRPr="008262B9" w:rsidRDefault="008262B9" w:rsidP="001359AD">
            <w:pPr>
              <w:pStyle w:val="TableParagraph"/>
              <w:rPr>
                <w:rFonts w:ascii="Bookman Old Style" w:hAnsi="Bookman Old Style"/>
                <w:sz w:val="20"/>
                <w:szCs w:val="20"/>
              </w:rPr>
            </w:pPr>
          </w:p>
        </w:tc>
        <w:tc>
          <w:tcPr>
            <w:tcW w:w="813" w:type="dxa"/>
          </w:tcPr>
          <w:p w14:paraId="44D5B53F"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559710D2" w14:textId="77777777" w:rsidR="008262B9" w:rsidRPr="008262B9" w:rsidRDefault="008262B9" w:rsidP="001359AD">
            <w:pPr>
              <w:pStyle w:val="TableParagraph"/>
              <w:rPr>
                <w:rFonts w:ascii="Bookman Old Style" w:hAnsi="Bookman Old Style"/>
                <w:sz w:val="20"/>
                <w:szCs w:val="20"/>
              </w:rPr>
            </w:pPr>
          </w:p>
        </w:tc>
        <w:tc>
          <w:tcPr>
            <w:tcW w:w="1559" w:type="dxa"/>
          </w:tcPr>
          <w:p w14:paraId="1F6D2773"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5.2</w:t>
            </w:r>
          </w:p>
        </w:tc>
      </w:tr>
      <w:tr w:rsidR="008262B9" w:rsidRPr="008262B9" w14:paraId="77C35B02" w14:textId="77777777" w:rsidTr="008262B9">
        <w:trPr>
          <w:trHeight w:val="645"/>
        </w:trPr>
        <w:tc>
          <w:tcPr>
            <w:tcW w:w="483" w:type="dxa"/>
          </w:tcPr>
          <w:p w14:paraId="45DD1405"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30</w:t>
            </w:r>
          </w:p>
        </w:tc>
        <w:tc>
          <w:tcPr>
            <w:tcW w:w="4359" w:type="dxa"/>
          </w:tcPr>
          <w:p w14:paraId="4D55ECA4"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NSFR net</w:t>
            </w:r>
            <w:r w:rsidRPr="008262B9">
              <w:rPr>
                <w:rFonts w:ascii="Bookman Old Style" w:hAnsi="Bookman Old Style"/>
                <w:spacing w:val="-3"/>
                <w:sz w:val="20"/>
                <w:szCs w:val="20"/>
              </w:rPr>
              <w:t xml:space="preserve"> </w:t>
            </w:r>
            <w:r w:rsidRPr="008262B9">
              <w:rPr>
                <w:rFonts w:ascii="Bookman Old Style" w:hAnsi="Bookman Old Style"/>
                <w:sz w:val="20"/>
                <w:szCs w:val="20"/>
              </w:rPr>
              <w:t>aset</w:t>
            </w:r>
            <w:r w:rsidRPr="008262B9">
              <w:rPr>
                <w:rFonts w:ascii="Bookman Old Style" w:hAnsi="Bookman Old Style"/>
                <w:spacing w:val="-3"/>
                <w:sz w:val="20"/>
                <w:szCs w:val="20"/>
              </w:rPr>
              <w:t xml:space="preserve"> lindung nilai (</w:t>
            </w:r>
            <w:r w:rsidRPr="008262B9">
              <w:rPr>
                <w:rFonts w:ascii="Bookman Old Style" w:hAnsi="Bookman Old Style"/>
                <w:i/>
                <w:iCs/>
                <w:spacing w:val="-3"/>
                <w:sz w:val="20"/>
                <w:szCs w:val="20"/>
              </w:rPr>
              <w:t>hedging</w:t>
            </w:r>
            <w:r w:rsidRPr="008262B9">
              <w:rPr>
                <w:rFonts w:ascii="Bookman Old Style" w:hAnsi="Bookman Old Style"/>
                <w:spacing w:val="-3"/>
                <w:sz w:val="20"/>
                <w:szCs w:val="20"/>
              </w:rPr>
              <w:t xml:space="preserve">) </w:t>
            </w:r>
            <w:r w:rsidRPr="008262B9">
              <w:rPr>
                <w:rFonts w:ascii="Bookman Old Style" w:hAnsi="Bookman Old Style"/>
                <w:sz w:val="20"/>
                <w:szCs w:val="20"/>
              </w:rPr>
              <w:t>syariah</w:t>
            </w:r>
          </w:p>
        </w:tc>
        <w:tc>
          <w:tcPr>
            <w:tcW w:w="1201" w:type="dxa"/>
            <w:shd w:val="clear" w:color="auto" w:fill="000000" w:themeFill="text1"/>
          </w:tcPr>
          <w:p w14:paraId="74642DD6" w14:textId="77777777" w:rsidR="008262B9" w:rsidRPr="008262B9" w:rsidRDefault="008262B9" w:rsidP="001359AD">
            <w:pPr>
              <w:pStyle w:val="TableParagraph"/>
              <w:rPr>
                <w:rFonts w:ascii="Bookman Old Style" w:hAnsi="Bookman Old Style"/>
                <w:sz w:val="20"/>
                <w:szCs w:val="20"/>
              </w:rPr>
            </w:pPr>
          </w:p>
        </w:tc>
        <w:tc>
          <w:tcPr>
            <w:tcW w:w="675" w:type="dxa"/>
          </w:tcPr>
          <w:p w14:paraId="423F57EA" w14:textId="77777777" w:rsidR="008262B9" w:rsidRPr="008262B9" w:rsidRDefault="008262B9" w:rsidP="001359AD">
            <w:pPr>
              <w:pStyle w:val="TableParagraph"/>
              <w:rPr>
                <w:rFonts w:ascii="Bookman Old Style" w:hAnsi="Bookman Old Style"/>
                <w:sz w:val="20"/>
                <w:szCs w:val="20"/>
              </w:rPr>
            </w:pPr>
          </w:p>
        </w:tc>
        <w:tc>
          <w:tcPr>
            <w:tcW w:w="1126" w:type="dxa"/>
          </w:tcPr>
          <w:p w14:paraId="131C7883" w14:textId="77777777" w:rsidR="008262B9" w:rsidRPr="008262B9" w:rsidRDefault="008262B9" w:rsidP="001359AD">
            <w:pPr>
              <w:pStyle w:val="TableParagraph"/>
              <w:rPr>
                <w:rFonts w:ascii="Bookman Old Style" w:hAnsi="Bookman Old Style"/>
                <w:sz w:val="20"/>
                <w:szCs w:val="20"/>
              </w:rPr>
            </w:pPr>
          </w:p>
        </w:tc>
        <w:tc>
          <w:tcPr>
            <w:tcW w:w="815" w:type="dxa"/>
          </w:tcPr>
          <w:p w14:paraId="4647FE86" w14:textId="77777777" w:rsidR="008262B9" w:rsidRPr="008262B9" w:rsidRDefault="008262B9" w:rsidP="001359AD">
            <w:pPr>
              <w:pStyle w:val="TableParagraph"/>
              <w:rPr>
                <w:rFonts w:ascii="Bookman Old Style" w:hAnsi="Bookman Old Style"/>
                <w:sz w:val="20"/>
                <w:szCs w:val="20"/>
              </w:rPr>
            </w:pPr>
          </w:p>
        </w:tc>
        <w:tc>
          <w:tcPr>
            <w:tcW w:w="1427" w:type="dxa"/>
          </w:tcPr>
          <w:p w14:paraId="52FC38B7" w14:textId="77777777" w:rsidR="008262B9" w:rsidRPr="008262B9" w:rsidRDefault="008262B9" w:rsidP="001359AD">
            <w:pPr>
              <w:pStyle w:val="TableParagraph"/>
              <w:rPr>
                <w:rFonts w:ascii="Bookman Old Style" w:hAnsi="Bookman Old Style"/>
                <w:sz w:val="20"/>
                <w:szCs w:val="20"/>
              </w:rPr>
            </w:pPr>
          </w:p>
        </w:tc>
        <w:tc>
          <w:tcPr>
            <w:tcW w:w="1089" w:type="dxa"/>
          </w:tcPr>
          <w:p w14:paraId="31189CBF"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000000" w:themeFill="text1"/>
          </w:tcPr>
          <w:p w14:paraId="1842242E" w14:textId="77777777" w:rsidR="008262B9" w:rsidRPr="008262B9" w:rsidRDefault="008262B9" w:rsidP="001359AD">
            <w:pPr>
              <w:pStyle w:val="TableParagraph"/>
              <w:rPr>
                <w:rFonts w:ascii="Bookman Old Style" w:hAnsi="Bookman Old Style"/>
                <w:sz w:val="20"/>
                <w:szCs w:val="20"/>
              </w:rPr>
            </w:pPr>
          </w:p>
        </w:tc>
        <w:tc>
          <w:tcPr>
            <w:tcW w:w="1082" w:type="dxa"/>
          </w:tcPr>
          <w:p w14:paraId="3C72B58E" w14:textId="77777777" w:rsidR="008262B9" w:rsidRPr="008262B9" w:rsidRDefault="008262B9" w:rsidP="001359AD">
            <w:pPr>
              <w:pStyle w:val="TableParagraph"/>
              <w:rPr>
                <w:rFonts w:ascii="Bookman Old Style" w:hAnsi="Bookman Old Style"/>
                <w:sz w:val="20"/>
                <w:szCs w:val="20"/>
              </w:rPr>
            </w:pPr>
          </w:p>
        </w:tc>
        <w:tc>
          <w:tcPr>
            <w:tcW w:w="813" w:type="dxa"/>
          </w:tcPr>
          <w:p w14:paraId="17ABCEF2"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352EE2E5" w14:textId="77777777" w:rsidR="008262B9" w:rsidRPr="008262B9" w:rsidRDefault="008262B9" w:rsidP="001359AD">
            <w:pPr>
              <w:pStyle w:val="TableParagraph"/>
              <w:rPr>
                <w:rFonts w:ascii="Bookman Old Style" w:hAnsi="Bookman Old Style"/>
                <w:sz w:val="20"/>
                <w:szCs w:val="20"/>
              </w:rPr>
            </w:pPr>
          </w:p>
        </w:tc>
        <w:tc>
          <w:tcPr>
            <w:tcW w:w="1559" w:type="dxa"/>
          </w:tcPr>
          <w:p w14:paraId="62C341E2"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5.3</w:t>
            </w:r>
          </w:p>
        </w:tc>
      </w:tr>
      <w:tr w:rsidR="008262B9" w:rsidRPr="008262B9" w14:paraId="5554378F" w14:textId="77777777" w:rsidTr="008262B9">
        <w:trPr>
          <w:trHeight w:val="705"/>
        </w:trPr>
        <w:tc>
          <w:tcPr>
            <w:tcW w:w="483" w:type="dxa"/>
          </w:tcPr>
          <w:p w14:paraId="1C8748C0"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lastRenderedPageBreak/>
              <w:t>31</w:t>
            </w:r>
          </w:p>
        </w:tc>
        <w:tc>
          <w:tcPr>
            <w:tcW w:w="4359" w:type="dxa"/>
          </w:tcPr>
          <w:p w14:paraId="0CFEAC52"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NSFR</w:t>
            </w:r>
            <w:r w:rsidRPr="008262B9">
              <w:rPr>
                <w:rFonts w:ascii="Bookman Old Style" w:hAnsi="Bookman Old Style"/>
                <w:spacing w:val="64"/>
                <w:sz w:val="20"/>
                <w:szCs w:val="20"/>
              </w:rPr>
              <w:t xml:space="preserve"> </w:t>
            </w:r>
            <w:r w:rsidRPr="008262B9">
              <w:rPr>
                <w:rFonts w:ascii="Bookman Old Style" w:hAnsi="Bookman Old Style"/>
                <w:sz w:val="20"/>
                <w:szCs w:val="20"/>
              </w:rPr>
              <w:t xml:space="preserve">liabilitas </w:t>
            </w:r>
            <w:r w:rsidRPr="008262B9">
              <w:rPr>
                <w:rFonts w:ascii="Bookman Old Style" w:hAnsi="Bookman Old Style"/>
                <w:i/>
                <w:iCs/>
                <w:sz w:val="20"/>
                <w:szCs w:val="20"/>
              </w:rPr>
              <w:t xml:space="preserve">hedging </w:t>
            </w:r>
            <w:r w:rsidRPr="008262B9">
              <w:rPr>
                <w:rFonts w:ascii="Bookman Old Style" w:hAnsi="Bookman Old Style"/>
                <w:sz w:val="20"/>
                <w:szCs w:val="20"/>
              </w:rPr>
              <w:t xml:space="preserve">syariah </w:t>
            </w:r>
            <w:r w:rsidRPr="008262B9">
              <w:rPr>
                <w:rFonts w:ascii="Bookman Old Style" w:hAnsi="Bookman Old Style"/>
                <w:spacing w:val="-1"/>
                <w:sz w:val="20"/>
                <w:szCs w:val="20"/>
              </w:rPr>
              <w:t xml:space="preserve">sebelum </w:t>
            </w:r>
            <w:r w:rsidRPr="008262B9">
              <w:rPr>
                <w:rFonts w:ascii="Bookman Old Style" w:hAnsi="Bookman Old Style"/>
                <w:spacing w:val="-61"/>
                <w:sz w:val="20"/>
                <w:szCs w:val="20"/>
              </w:rPr>
              <w:t xml:space="preserve"> </w:t>
            </w:r>
            <w:r w:rsidRPr="008262B9">
              <w:rPr>
                <w:rFonts w:ascii="Bookman Old Style" w:hAnsi="Bookman Old Style"/>
                <w:sz w:val="20"/>
                <w:szCs w:val="20"/>
              </w:rPr>
              <w:t>dikurangi</w:t>
            </w:r>
            <w:r w:rsidRPr="008262B9">
              <w:rPr>
                <w:rFonts w:ascii="Bookman Old Style" w:hAnsi="Bookman Old Style"/>
                <w:spacing w:val="-2"/>
                <w:sz w:val="20"/>
                <w:szCs w:val="20"/>
              </w:rPr>
              <w:t xml:space="preserve"> </w:t>
            </w:r>
            <w:r w:rsidRPr="008262B9">
              <w:rPr>
                <w:rFonts w:ascii="Bookman Old Style" w:hAnsi="Bookman Old Style"/>
                <w:sz w:val="20"/>
                <w:szCs w:val="20"/>
              </w:rPr>
              <w:t>dengan</w:t>
            </w:r>
            <w:r w:rsidRPr="008262B9">
              <w:rPr>
                <w:rFonts w:ascii="Bookman Old Style" w:hAnsi="Bookman Old Style"/>
                <w:spacing w:val="-1"/>
                <w:sz w:val="20"/>
                <w:szCs w:val="20"/>
              </w:rPr>
              <w:t xml:space="preserve"> </w:t>
            </w:r>
            <w:r w:rsidRPr="008262B9">
              <w:rPr>
                <w:rFonts w:ascii="Bookman Old Style" w:hAnsi="Bookman Old Style"/>
                <w:i/>
                <w:sz w:val="20"/>
                <w:szCs w:val="20"/>
              </w:rPr>
              <w:t>variation</w:t>
            </w:r>
            <w:r w:rsidRPr="008262B9">
              <w:rPr>
                <w:rFonts w:ascii="Bookman Old Style" w:hAnsi="Bookman Old Style"/>
                <w:i/>
                <w:spacing w:val="-4"/>
                <w:sz w:val="20"/>
                <w:szCs w:val="20"/>
              </w:rPr>
              <w:t xml:space="preserve"> </w:t>
            </w:r>
            <w:r w:rsidRPr="008262B9">
              <w:rPr>
                <w:rFonts w:ascii="Bookman Old Style" w:hAnsi="Bookman Old Style"/>
                <w:i/>
                <w:sz w:val="20"/>
                <w:szCs w:val="20"/>
              </w:rPr>
              <w:t>margin</w:t>
            </w:r>
          </w:p>
        </w:tc>
        <w:tc>
          <w:tcPr>
            <w:tcW w:w="1201" w:type="dxa"/>
            <w:shd w:val="clear" w:color="auto" w:fill="000000" w:themeFill="text1"/>
          </w:tcPr>
          <w:p w14:paraId="21256C9B" w14:textId="77777777" w:rsidR="008262B9" w:rsidRPr="008262B9" w:rsidRDefault="008262B9" w:rsidP="001359AD">
            <w:pPr>
              <w:pStyle w:val="TableParagraph"/>
              <w:rPr>
                <w:rFonts w:ascii="Bookman Old Style" w:hAnsi="Bookman Old Style"/>
                <w:sz w:val="20"/>
                <w:szCs w:val="20"/>
              </w:rPr>
            </w:pPr>
          </w:p>
        </w:tc>
        <w:tc>
          <w:tcPr>
            <w:tcW w:w="675" w:type="dxa"/>
          </w:tcPr>
          <w:p w14:paraId="33C42D3B" w14:textId="77777777" w:rsidR="008262B9" w:rsidRPr="008262B9" w:rsidRDefault="008262B9" w:rsidP="001359AD">
            <w:pPr>
              <w:pStyle w:val="TableParagraph"/>
              <w:rPr>
                <w:rFonts w:ascii="Bookman Old Style" w:hAnsi="Bookman Old Style"/>
                <w:sz w:val="20"/>
                <w:szCs w:val="20"/>
              </w:rPr>
            </w:pPr>
          </w:p>
        </w:tc>
        <w:tc>
          <w:tcPr>
            <w:tcW w:w="1126" w:type="dxa"/>
          </w:tcPr>
          <w:p w14:paraId="08080FBF" w14:textId="77777777" w:rsidR="008262B9" w:rsidRPr="008262B9" w:rsidRDefault="008262B9" w:rsidP="001359AD">
            <w:pPr>
              <w:pStyle w:val="TableParagraph"/>
              <w:rPr>
                <w:rFonts w:ascii="Bookman Old Style" w:hAnsi="Bookman Old Style"/>
                <w:sz w:val="20"/>
                <w:szCs w:val="20"/>
              </w:rPr>
            </w:pPr>
          </w:p>
        </w:tc>
        <w:tc>
          <w:tcPr>
            <w:tcW w:w="815" w:type="dxa"/>
          </w:tcPr>
          <w:p w14:paraId="3850C7A9" w14:textId="77777777" w:rsidR="008262B9" w:rsidRPr="008262B9" w:rsidRDefault="008262B9" w:rsidP="001359AD">
            <w:pPr>
              <w:pStyle w:val="TableParagraph"/>
              <w:rPr>
                <w:rFonts w:ascii="Bookman Old Style" w:hAnsi="Bookman Old Style"/>
                <w:sz w:val="20"/>
                <w:szCs w:val="20"/>
              </w:rPr>
            </w:pPr>
          </w:p>
        </w:tc>
        <w:tc>
          <w:tcPr>
            <w:tcW w:w="1427" w:type="dxa"/>
          </w:tcPr>
          <w:p w14:paraId="0E087DDB" w14:textId="77777777" w:rsidR="008262B9" w:rsidRPr="008262B9" w:rsidRDefault="008262B9" w:rsidP="001359AD">
            <w:pPr>
              <w:pStyle w:val="TableParagraph"/>
              <w:rPr>
                <w:rFonts w:ascii="Bookman Old Style" w:hAnsi="Bookman Old Style"/>
                <w:sz w:val="20"/>
                <w:szCs w:val="20"/>
              </w:rPr>
            </w:pPr>
          </w:p>
        </w:tc>
        <w:tc>
          <w:tcPr>
            <w:tcW w:w="1089" w:type="dxa"/>
          </w:tcPr>
          <w:p w14:paraId="76D0FDC4"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000000" w:themeFill="text1"/>
          </w:tcPr>
          <w:p w14:paraId="4AA445C8" w14:textId="77777777" w:rsidR="008262B9" w:rsidRPr="008262B9" w:rsidRDefault="008262B9" w:rsidP="001359AD">
            <w:pPr>
              <w:pStyle w:val="TableParagraph"/>
              <w:rPr>
                <w:rFonts w:ascii="Bookman Old Style" w:hAnsi="Bookman Old Style"/>
                <w:sz w:val="20"/>
                <w:szCs w:val="20"/>
              </w:rPr>
            </w:pPr>
          </w:p>
        </w:tc>
        <w:tc>
          <w:tcPr>
            <w:tcW w:w="1082" w:type="dxa"/>
          </w:tcPr>
          <w:p w14:paraId="1B15F3FB" w14:textId="77777777" w:rsidR="008262B9" w:rsidRPr="008262B9" w:rsidRDefault="008262B9" w:rsidP="001359AD">
            <w:pPr>
              <w:pStyle w:val="TableParagraph"/>
              <w:rPr>
                <w:rFonts w:ascii="Bookman Old Style" w:hAnsi="Bookman Old Style"/>
                <w:sz w:val="20"/>
                <w:szCs w:val="20"/>
              </w:rPr>
            </w:pPr>
          </w:p>
        </w:tc>
        <w:tc>
          <w:tcPr>
            <w:tcW w:w="813" w:type="dxa"/>
          </w:tcPr>
          <w:p w14:paraId="343DB45C"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3E3CEE89" w14:textId="77777777" w:rsidR="008262B9" w:rsidRPr="008262B9" w:rsidRDefault="008262B9" w:rsidP="001359AD">
            <w:pPr>
              <w:pStyle w:val="TableParagraph"/>
              <w:rPr>
                <w:rFonts w:ascii="Bookman Old Style" w:hAnsi="Bookman Old Style"/>
                <w:sz w:val="20"/>
                <w:szCs w:val="20"/>
              </w:rPr>
            </w:pPr>
          </w:p>
        </w:tc>
        <w:tc>
          <w:tcPr>
            <w:tcW w:w="1559" w:type="dxa"/>
          </w:tcPr>
          <w:p w14:paraId="4297D1B0"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5.4</w:t>
            </w:r>
          </w:p>
        </w:tc>
      </w:tr>
      <w:tr w:rsidR="008262B9" w:rsidRPr="008262B9" w14:paraId="57E03C45" w14:textId="77777777" w:rsidTr="008262B9">
        <w:trPr>
          <w:trHeight w:val="423"/>
        </w:trPr>
        <w:tc>
          <w:tcPr>
            <w:tcW w:w="483" w:type="dxa"/>
          </w:tcPr>
          <w:p w14:paraId="1AE45500"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lang w:val="en-US"/>
              </w:rPr>
              <w:t>32</w:t>
            </w:r>
          </w:p>
        </w:tc>
        <w:tc>
          <w:tcPr>
            <w:tcW w:w="4359" w:type="dxa"/>
          </w:tcPr>
          <w:p w14:paraId="449D91A1"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Seluruh</w:t>
            </w:r>
            <w:r w:rsidRPr="008262B9">
              <w:rPr>
                <w:rFonts w:ascii="Bookman Old Style" w:hAnsi="Bookman Old Style"/>
                <w:spacing w:val="34"/>
                <w:sz w:val="20"/>
                <w:szCs w:val="20"/>
              </w:rPr>
              <w:t xml:space="preserve"> </w:t>
            </w:r>
            <w:r w:rsidRPr="008262B9">
              <w:rPr>
                <w:rFonts w:ascii="Bookman Old Style" w:hAnsi="Bookman Old Style"/>
                <w:sz w:val="20"/>
                <w:szCs w:val="20"/>
              </w:rPr>
              <w:t>aset</w:t>
            </w:r>
            <w:r w:rsidRPr="008262B9">
              <w:rPr>
                <w:rFonts w:ascii="Bookman Old Style" w:hAnsi="Bookman Old Style"/>
                <w:spacing w:val="32"/>
                <w:sz w:val="20"/>
                <w:szCs w:val="20"/>
              </w:rPr>
              <w:t xml:space="preserve"> </w:t>
            </w:r>
            <w:r w:rsidRPr="008262B9">
              <w:rPr>
                <w:rFonts w:ascii="Bookman Old Style" w:hAnsi="Bookman Old Style"/>
                <w:sz w:val="20"/>
                <w:szCs w:val="20"/>
              </w:rPr>
              <w:t>lainnya</w:t>
            </w:r>
            <w:r w:rsidRPr="008262B9">
              <w:rPr>
                <w:rFonts w:ascii="Bookman Old Style" w:hAnsi="Bookman Old Style"/>
                <w:spacing w:val="34"/>
                <w:sz w:val="20"/>
                <w:szCs w:val="20"/>
              </w:rPr>
              <w:t xml:space="preserve"> </w:t>
            </w:r>
            <w:r w:rsidRPr="008262B9">
              <w:rPr>
                <w:rFonts w:ascii="Bookman Old Style" w:hAnsi="Bookman Old Style"/>
                <w:sz w:val="20"/>
                <w:szCs w:val="20"/>
              </w:rPr>
              <w:t>yang</w:t>
            </w:r>
            <w:r w:rsidRPr="008262B9">
              <w:rPr>
                <w:rFonts w:ascii="Bookman Old Style" w:hAnsi="Bookman Old Style"/>
                <w:spacing w:val="32"/>
                <w:sz w:val="20"/>
                <w:szCs w:val="20"/>
              </w:rPr>
              <w:t xml:space="preserve"> </w:t>
            </w:r>
            <w:r w:rsidRPr="008262B9">
              <w:rPr>
                <w:rFonts w:ascii="Bookman Old Style" w:hAnsi="Bookman Old Style"/>
                <w:sz w:val="20"/>
                <w:szCs w:val="20"/>
              </w:rPr>
              <w:t>tidak</w:t>
            </w:r>
            <w:r w:rsidRPr="008262B9">
              <w:rPr>
                <w:rFonts w:ascii="Bookman Old Style" w:hAnsi="Bookman Old Style"/>
                <w:spacing w:val="-61"/>
                <w:sz w:val="20"/>
                <w:szCs w:val="20"/>
              </w:rPr>
              <w:t xml:space="preserve"> </w:t>
            </w:r>
            <w:r w:rsidRPr="008262B9">
              <w:rPr>
                <w:rFonts w:ascii="Bookman Old Style" w:hAnsi="Bookman Old Style"/>
                <w:sz w:val="20"/>
                <w:szCs w:val="20"/>
              </w:rPr>
              <w:t>masuk</w:t>
            </w:r>
            <w:r w:rsidRPr="008262B9">
              <w:rPr>
                <w:rFonts w:ascii="Bookman Old Style" w:hAnsi="Bookman Old Style"/>
                <w:spacing w:val="-2"/>
                <w:sz w:val="20"/>
                <w:szCs w:val="20"/>
              </w:rPr>
              <w:t xml:space="preserve"> </w:t>
            </w:r>
            <w:r w:rsidRPr="008262B9">
              <w:rPr>
                <w:rFonts w:ascii="Bookman Old Style" w:hAnsi="Bookman Old Style"/>
                <w:sz w:val="20"/>
                <w:szCs w:val="20"/>
              </w:rPr>
              <w:t>dalam</w:t>
            </w:r>
            <w:r w:rsidRPr="008262B9">
              <w:rPr>
                <w:rFonts w:ascii="Bookman Old Style" w:hAnsi="Bookman Old Style"/>
                <w:spacing w:val="-2"/>
                <w:sz w:val="20"/>
                <w:szCs w:val="20"/>
              </w:rPr>
              <w:t xml:space="preserve"> </w:t>
            </w:r>
            <w:r w:rsidRPr="008262B9">
              <w:rPr>
                <w:rFonts w:ascii="Bookman Old Style" w:hAnsi="Bookman Old Style"/>
                <w:sz w:val="20"/>
                <w:szCs w:val="20"/>
              </w:rPr>
              <w:t>kategori</w:t>
            </w:r>
            <w:r w:rsidRPr="008262B9">
              <w:rPr>
                <w:rFonts w:ascii="Bookman Old Style" w:hAnsi="Bookman Old Style"/>
                <w:spacing w:val="-1"/>
                <w:sz w:val="20"/>
                <w:szCs w:val="20"/>
              </w:rPr>
              <w:t xml:space="preserve"> </w:t>
            </w:r>
            <w:r w:rsidRPr="008262B9">
              <w:rPr>
                <w:rFonts w:ascii="Bookman Old Style" w:hAnsi="Bookman Old Style"/>
                <w:sz w:val="20"/>
                <w:szCs w:val="20"/>
              </w:rPr>
              <w:t>di</w:t>
            </w:r>
            <w:r w:rsidRPr="008262B9">
              <w:rPr>
                <w:rFonts w:ascii="Bookman Old Style" w:hAnsi="Bookman Old Style"/>
                <w:spacing w:val="3"/>
                <w:sz w:val="20"/>
                <w:szCs w:val="20"/>
              </w:rPr>
              <w:t xml:space="preserve"> </w:t>
            </w:r>
            <w:r w:rsidRPr="008262B9">
              <w:rPr>
                <w:rFonts w:ascii="Bookman Old Style" w:hAnsi="Bookman Old Style"/>
                <w:sz w:val="20"/>
                <w:szCs w:val="20"/>
              </w:rPr>
              <w:t>atas**)</w:t>
            </w:r>
          </w:p>
        </w:tc>
        <w:tc>
          <w:tcPr>
            <w:tcW w:w="1201" w:type="dxa"/>
          </w:tcPr>
          <w:p w14:paraId="6BE8A2E7" w14:textId="77777777" w:rsidR="008262B9" w:rsidRPr="008262B9" w:rsidRDefault="008262B9" w:rsidP="001359AD">
            <w:pPr>
              <w:pStyle w:val="TableParagraph"/>
              <w:rPr>
                <w:rFonts w:ascii="Bookman Old Style" w:hAnsi="Bookman Old Style"/>
                <w:sz w:val="20"/>
                <w:szCs w:val="20"/>
              </w:rPr>
            </w:pPr>
          </w:p>
        </w:tc>
        <w:tc>
          <w:tcPr>
            <w:tcW w:w="675" w:type="dxa"/>
          </w:tcPr>
          <w:p w14:paraId="56BE7AD1" w14:textId="77777777" w:rsidR="008262B9" w:rsidRPr="008262B9" w:rsidRDefault="008262B9" w:rsidP="001359AD">
            <w:pPr>
              <w:pStyle w:val="TableParagraph"/>
              <w:rPr>
                <w:rFonts w:ascii="Bookman Old Style" w:hAnsi="Bookman Old Style"/>
                <w:sz w:val="20"/>
                <w:szCs w:val="20"/>
              </w:rPr>
            </w:pPr>
          </w:p>
        </w:tc>
        <w:tc>
          <w:tcPr>
            <w:tcW w:w="1126" w:type="dxa"/>
          </w:tcPr>
          <w:p w14:paraId="647A8A5A" w14:textId="77777777" w:rsidR="008262B9" w:rsidRPr="008262B9" w:rsidRDefault="008262B9" w:rsidP="001359AD">
            <w:pPr>
              <w:pStyle w:val="TableParagraph"/>
              <w:rPr>
                <w:rFonts w:ascii="Bookman Old Style" w:hAnsi="Bookman Old Style"/>
                <w:sz w:val="20"/>
                <w:szCs w:val="20"/>
              </w:rPr>
            </w:pPr>
          </w:p>
        </w:tc>
        <w:tc>
          <w:tcPr>
            <w:tcW w:w="815" w:type="dxa"/>
          </w:tcPr>
          <w:p w14:paraId="4C1A8426" w14:textId="77777777" w:rsidR="008262B9" w:rsidRPr="008262B9" w:rsidRDefault="008262B9" w:rsidP="001359AD">
            <w:pPr>
              <w:pStyle w:val="TableParagraph"/>
              <w:rPr>
                <w:rFonts w:ascii="Bookman Old Style" w:hAnsi="Bookman Old Style"/>
                <w:sz w:val="20"/>
                <w:szCs w:val="20"/>
              </w:rPr>
            </w:pPr>
          </w:p>
        </w:tc>
        <w:tc>
          <w:tcPr>
            <w:tcW w:w="1427" w:type="dxa"/>
          </w:tcPr>
          <w:p w14:paraId="304C7D66" w14:textId="77777777" w:rsidR="008262B9" w:rsidRPr="008262B9" w:rsidRDefault="008262B9" w:rsidP="001359AD">
            <w:pPr>
              <w:pStyle w:val="TableParagraph"/>
              <w:rPr>
                <w:rFonts w:ascii="Bookman Old Style" w:hAnsi="Bookman Old Style"/>
                <w:sz w:val="20"/>
                <w:szCs w:val="20"/>
              </w:rPr>
            </w:pPr>
          </w:p>
        </w:tc>
        <w:tc>
          <w:tcPr>
            <w:tcW w:w="1089" w:type="dxa"/>
          </w:tcPr>
          <w:p w14:paraId="0173727F" w14:textId="77777777" w:rsidR="008262B9" w:rsidRPr="008262B9" w:rsidRDefault="008262B9" w:rsidP="001359AD">
            <w:pPr>
              <w:pStyle w:val="TableParagraph"/>
              <w:rPr>
                <w:rFonts w:ascii="Bookman Old Style" w:hAnsi="Bookman Old Style"/>
                <w:sz w:val="20"/>
                <w:szCs w:val="20"/>
              </w:rPr>
            </w:pPr>
          </w:p>
        </w:tc>
        <w:tc>
          <w:tcPr>
            <w:tcW w:w="810" w:type="dxa"/>
          </w:tcPr>
          <w:p w14:paraId="44FC2DB4" w14:textId="77777777" w:rsidR="008262B9" w:rsidRPr="008262B9" w:rsidRDefault="008262B9" w:rsidP="001359AD">
            <w:pPr>
              <w:pStyle w:val="TableParagraph"/>
              <w:rPr>
                <w:rFonts w:ascii="Bookman Old Style" w:hAnsi="Bookman Old Style"/>
                <w:sz w:val="20"/>
                <w:szCs w:val="20"/>
              </w:rPr>
            </w:pPr>
          </w:p>
        </w:tc>
        <w:tc>
          <w:tcPr>
            <w:tcW w:w="1082" w:type="dxa"/>
          </w:tcPr>
          <w:p w14:paraId="19723BBE" w14:textId="77777777" w:rsidR="008262B9" w:rsidRPr="008262B9" w:rsidRDefault="008262B9" w:rsidP="001359AD">
            <w:pPr>
              <w:pStyle w:val="TableParagraph"/>
              <w:rPr>
                <w:rFonts w:ascii="Bookman Old Style" w:hAnsi="Bookman Old Style"/>
                <w:sz w:val="20"/>
                <w:szCs w:val="20"/>
              </w:rPr>
            </w:pPr>
          </w:p>
        </w:tc>
        <w:tc>
          <w:tcPr>
            <w:tcW w:w="813" w:type="dxa"/>
          </w:tcPr>
          <w:p w14:paraId="4E6AB5CC" w14:textId="77777777" w:rsidR="008262B9" w:rsidRPr="008262B9" w:rsidRDefault="008262B9" w:rsidP="001359AD">
            <w:pPr>
              <w:pStyle w:val="TableParagraph"/>
              <w:rPr>
                <w:rFonts w:ascii="Bookman Old Style" w:hAnsi="Bookman Old Style"/>
                <w:sz w:val="20"/>
                <w:szCs w:val="20"/>
              </w:rPr>
            </w:pPr>
          </w:p>
        </w:tc>
        <w:tc>
          <w:tcPr>
            <w:tcW w:w="1451" w:type="dxa"/>
            <w:gridSpan w:val="2"/>
          </w:tcPr>
          <w:p w14:paraId="6ECD41C7" w14:textId="77777777" w:rsidR="008262B9" w:rsidRPr="008262B9" w:rsidRDefault="008262B9" w:rsidP="001359AD">
            <w:pPr>
              <w:pStyle w:val="TableParagraph"/>
              <w:rPr>
                <w:rFonts w:ascii="Bookman Old Style" w:hAnsi="Bookman Old Style"/>
                <w:sz w:val="20"/>
                <w:szCs w:val="20"/>
              </w:rPr>
            </w:pPr>
          </w:p>
        </w:tc>
        <w:tc>
          <w:tcPr>
            <w:tcW w:w="1559" w:type="dxa"/>
          </w:tcPr>
          <w:p w14:paraId="536153FF"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5.5</w:t>
            </w:r>
            <w:r w:rsidRPr="008262B9">
              <w:rPr>
                <w:rFonts w:ascii="Bookman Old Style" w:hAnsi="Bookman Old Style"/>
                <w:b/>
                <w:spacing w:val="-3"/>
                <w:sz w:val="20"/>
                <w:szCs w:val="20"/>
              </w:rPr>
              <w:t xml:space="preserve"> </w:t>
            </w:r>
            <w:r w:rsidRPr="008262B9">
              <w:rPr>
                <w:rFonts w:ascii="Bookman Old Style" w:hAnsi="Bookman Old Style"/>
                <w:b/>
                <w:sz w:val="20"/>
                <w:szCs w:val="20"/>
              </w:rPr>
              <w:t>s.d.</w:t>
            </w:r>
            <w:r w:rsidRPr="008262B9">
              <w:rPr>
                <w:rFonts w:ascii="Bookman Old Style" w:hAnsi="Bookman Old Style"/>
                <w:b/>
                <w:spacing w:val="-4"/>
                <w:sz w:val="20"/>
                <w:szCs w:val="20"/>
              </w:rPr>
              <w:t xml:space="preserve"> </w:t>
            </w:r>
            <w:r w:rsidRPr="008262B9">
              <w:rPr>
                <w:rFonts w:ascii="Bookman Old Style" w:hAnsi="Bookman Old Style"/>
                <w:b/>
                <w:sz w:val="20"/>
                <w:szCs w:val="20"/>
              </w:rPr>
              <w:t>5.12</w:t>
            </w:r>
          </w:p>
        </w:tc>
      </w:tr>
      <w:tr w:rsidR="008262B9" w:rsidRPr="008262B9" w14:paraId="7A4CD92D" w14:textId="77777777" w:rsidTr="008262B9">
        <w:trPr>
          <w:trHeight w:val="423"/>
        </w:trPr>
        <w:tc>
          <w:tcPr>
            <w:tcW w:w="483" w:type="dxa"/>
            <w:shd w:val="clear" w:color="auto" w:fill="BFBFBF" w:themeFill="background1" w:themeFillShade="BF"/>
          </w:tcPr>
          <w:p w14:paraId="50750CB7" w14:textId="77777777" w:rsidR="008262B9" w:rsidRPr="008262B9" w:rsidRDefault="008262B9" w:rsidP="001359AD">
            <w:pPr>
              <w:pStyle w:val="TableParagraph"/>
              <w:spacing w:before="10"/>
              <w:ind w:left="24"/>
              <w:jc w:val="center"/>
              <w:rPr>
                <w:rFonts w:ascii="Bookman Old Style" w:hAnsi="Bookman Old Style"/>
                <w:sz w:val="20"/>
                <w:szCs w:val="20"/>
                <w:lang w:val="en-US"/>
              </w:rPr>
            </w:pPr>
            <w:r w:rsidRPr="008262B9">
              <w:rPr>
                <w:rFonts w:ascii="Bookman Old Style" w:hAnsi="Bookman Old Style"/>
                <w:sz w:val="20"/>
                <w:szCs w:val="20"/>
              </w:rPr>
              <w:t>3</w:t>
            </w:r>
            <w:r w:rsidRPr="008262B9">
              <w:rPr>
                <w:rFonts w:ascii="Bookman Old Style" w:hAnsi="Bookman Old Style"/>
                <w:sz w:val="20"/>
                <w:szCs w:val="20"/>
                <w:lang w:val="en-US"/>
              </w:rPr>
              <w:t>3</w:t>
            </w:r>
          </w:p>
        </w:tc>
        <w:tc>
          <w:tcPr>
            <w:tcW w:w="4359" w:type="dxa"/>
            <w:shd w:val="clear" w:color="auto" w:fill="BFBFBF" w:themeFill="background1" w:themeFillShade="BF"/>
          </w:tcPr>
          <w:p w14:paraId="3575A6AB"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sz w:val="20"/>
                <w:szCs w:val="20"/>
              </w:rPr>
              <w:t>Rekening</w:t>
            </w:r>
            <w:r w:rsidRPr="008262B9">
              <w:rPr>
                <w:rFonts w:ascii="Bookman Old Style" w:hAnsi="Bookman Old Style"/>
                <w:spacing w:val="-4"/>
                <w:sz w:val="20"/>
                <w:szCs w:val="20"/>
              </w:rPr>
              <w:t xml:space="preserve"> </w:t>
            </w:r>
            <w:r w:rsidRPr="008262B9">
              <w:rPr>
                <w:rFonts w:ascii="Bookman Old Style" w:hAnsi="Bookman Old Style"/>
                <w:sz w:val="20"/>
                <w:szCs w:val="20"/>
              </w:rPr>
              <w:t>Administratif</w:t>
            </w:r>
          </w:p>
        </w:tc>
        <w:tc>
          <w:tcPr>
            <w:tcW w:w="1201" w:type="dxa"/>
            <w:shd w:val="clear" w:color="auto" w:fill="BFBFBF" w:themeFill="background1" w:themeFillShade="BF"/>
          </w:tcPr>
          <w:p w14:paraId="7D87ADF5"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BFBFBF" w:themeFill="background1" w:themeFillShade="BF"/>
          </w:tcPr>
          <w:p w14:paraId="592986EA"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BFBFBF" w:themeFill="background1" w:themeFillShade="BF"/>
          </w:tcPr>
          <w:p w14:paraId="2929A30A"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BFBFBF" w:themeFill="background1" w:themeFillShade="BF"/>
          </w:tcPr>
          <w:p w14:paraId="3D607CEB"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BFBFBF" w:themeFill="background1" w:themeFillShade="BF"/>
          </w:tcPr>
          <w:p w14:paraId="39A50562" w14:textId="77777777" w:rsidR="008262B9" w:rsidRPr="008262B9" w:rsidRDefault="008262B9" w:rsidP="001359AD">
            <w:pPr>
              <w:pStyle w:val="TableParagraph"/>
              <w:rPr>
                <w:rFonts w:ascii="Bookman Old Style" w:hAnsi="Bookman Old Style"/>
                <w:sz w:val="20"/>
                <w:szCs w:val="20"/>
              </w:rPr>
            </w:pPr>
          </w:p>
        </w:tc>
        <w:tc>
          <w:tcPr>
            <w:tcW w:w="1089" w:type="dxa"/>
            <w:shd w:val="clear" w:color="auto" w:fill="BFBFBF" w:themeFill="background1" w:themeFillShade="BF"/>
          </w:tcPr>
          <w:p w14:paraId="0ACC5B6B"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BFBFBF" w:themeFill="background1" w:themeFillShade="BF"/>
          </w:tcPr>
          <w:p w14:paraId="5CDBD10A"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BFBFBF" w:themeFill="background1" w:themeFillShade="BF"/>
          </w:tcPr>
          <w:p w14:paraId="77EF5D2C"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BFBFBF" w:themeFill="background1" w:themeFillShade="BF"/>
          </w:tcPr>
          <w:p w14:paraId="34D65A72"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BFBFBF" w:themeFill="background1" w:themeFillShade="BF"/>
          </w:tcPr>
          <w:p w14:paraId="1E588BD3" w14:textId="77777777" w:rsidR="008262B9" w:rsidRPr="008262B9" w:rsidRDefault="008262B9" w:rsidP="001359AD">
            <w:pPr>
              <w:pStyle w:val="TableParagraph"/>
              <w:rPr>
                <w:rFonts w:ascii="Bookman Old Style" w:hAnsi="Bookman Old Style"/>
                <w:sz w:val="20"/>
                <w:szCs w:val="20"/>
              </w:rPr>
            </w:pPr>
          </w:p>
        </w:tc>
        <w:tc>
          <w:tcPr>
            <w:tcW w:w="1559" w:type="dxa"/>
            <w:shd w:val="clear" w:color="auto" w:fill="BFBFBF" w:themeFill="background1" w:themeFillShade="BF"/>
          </w:tcPr>
          <w:p w14:paraId="45F8F146" w14:textId="77777777" w:rsidR="008262B9" w:rsidRPr="008262B9" w:rsidRDefault="008262B9" w:rsidP="001359AD">
            <w:pPr>
              <w:pStyle w:val="TableParagraph"/>
              <w:spacing w:before="1"/>
              <w:rPr>
                <w:rFonts w:ascii="Bookman Old Style" w:hAnsi="Bookman Old Style"/>
                <w:sz w:val="20"/>
                <w:szCs w:val="20"/>
              </w:rPr>
            </w:pPr>
            <w:r w:rsidRPr="008262B9">
              <w:rPr>
                <w:rFonts w:ascii="Bookman Old Style" w:hAnsi="Bookman Old Style"/>
                <w:b/>
                <w:sz w:val="20"/>
                <w:szCs w:val="20"/>
              </w:rPr>
              <w:t>12</w:t>
            </w:r>
          </w:p>
        </w:tc>
      </w:tr>
      <w:tr w:rsidR="008262B9" w:rsidRPr="008262B9" w14:paraId="5C85C762" w14:textId="77777777" w:rsidTr="008262B9">
        <w:trPr>
          <w:trHeight w:val="281"/>
        </w:trPr>
        <w:tc>
          <w:tcPr>
            <w:tcW w:w="483" w:type="dxa"/>
            <w:shd w:val="clear" w:color="auto" w:fill="auto"/>
          </w:tcPr>
          <w:p w14:paraId="71348FE0" w14:textId="77777777" w:rsidR="008262B9" w:rsidRPr="008262B9" w:rsidRDefault="008262B9" w:rsidP="001359AD">
            <w:pPr>
              <w:pStyle w:val="TableParagraph"/>
              <w:spacing w:before="10"/>
              <w:ind w:left="24"/>
              <w:jc w:val="center"/>
              <w:rPr>
                <w:rFonts w:ascii="Bookman Old Style" w:hAnsi="Bookman Old Style"/>
                <w:sz w:val="20"/>
                <w:szCs w:val="20"/>
              </w:rPr>
            </w:pPr>
            <w:r w:rsidRPr="008262B9">
              <w:rPr>
                <w:rFonts w:ascii="Bookman Old Style" w:hAnsi="Bookman Old Style"/>
                <w:b/>
                <w:sz w:val="20"/>
                <w:szCs w:val="20"/>
              </w:rPr>
              <w:t>33</w:t>
            </w:r>
          </w:p>
        </w:tc>
        <w:tc>
          <w:tcPr>
            <w:tcW w:w="4359" w:type="dxa"/>
            <w:shd w:val="clear" w:color="auto" w:fill="auto"/>
          </w:tcPr>
          <w:p w14:paraId="08808063"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rPr>
            </w:pPr>
            <w:r w:rsidRPr="008262B9">
              <w:rPr>
                <w:rFonts w:ascii="Bookman Old Style" w:hAnsi="Bookman Old Style"/>
                <w:b/>
                <w:sz w:val="20"/>
                <w:szCs w:val="20"/>
              </w:rPr>
              <w:t>Total</w:t>
            </w:r>
            <w:r w:rsidRPr="008262B9">
              <w:rPr>
                <w:rFonts w:ascii="Bookman Old Style" w:hAnsi="Bookman Old Style"/>
                <w:b/>
                <w:spacing w:val="-5"/>
                <w:sz w:val="20"/>
                <w:szCs w:val="20"/>
              </w:rPr>
              <w:t xml:space="preserve"> </w:t>
            </w:r>
            <w:r w:rsidRPr="008262B9">
              <w:rPr>
                <w:rFonts w:ascii="Bookman Old Style" w:hAnsi="Bookman Old Style"/>
                <w:b/>
                <w:sz w:val="20"/>
                <w:szCs w:val="20"/>
              </w:rPr>
              <w:t>RSF</w:t>
            </w:r>
          </w:p>
        </w:tc>
        <w:tc>
          <w:tcPr>
            <w:tcW w:w="1201" w:type="dxa"/>
            <w:shd w:val="clear" w:color="auto" w:fill="000000" w:themeFill="text1"/>
          </w:tcPr>
          <w:p w14:paraId="44C9FAC1"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auto"/>
          </w:tcPr>
          <w:p w14:paraId="13A59F13"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auto"/>
          </w:tcPr>
          <w:p w14:paraId="53D45107"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auto"/>
          </w:tcPr>
          <w:p w14:paraId="13354B11"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auto"/>
          </w:tcPr>
          <w:p w14:paraId="7E8D96A0" w14:textId="77777777" w:rsidR="008262B9" w:rsidRPr="008262B9" w:rsidRDefault="008262B9" w:rsidP="001359AD">
            <w:pPr>
              <w:pStyle w:val="TableParagraph"/>
              <w:rPr>
                <w:rFonts w:ascii="Bookman Old Style" w:hAnsi="Bookman Old Style"/>
                <w:sz w:val="20"/>
                <w:szCs w:val="20"/>
              </w:rPr>
            </w:pPr>
          </w:p>
        </w:tc>
        <w:tc>
          <w:tcPr>
            <w:tcW w:w="1089" w:type="dxa"/>
            <w:shd w:val="clear" w:color="auto" w:fill="000000" w:themeFill="text1"/>
          </w:tcPr>
          <w:p w14:paraId="18D874F5"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auto"/>
          </w:tcPr>
          <w:p w14:paraId="430BA628"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auto"/>
          </w:tcPr>
          <w:p w14:paraId="30F22D7D"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auto"/>
          </w:tcPr>
          <w:p w14:paraId="55C7EFE6"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auto"/>
          </w:tcPr>
          <w:p w14:paraId="724B1C13" w14:textId="77777777" w:rsidR="008262B9" w:rsidRPr="008262B9" w:rsidRDefault="008262B9" w:rsidP="001359AD">
            <w:pPr>
              <w:pStyle w:val="TableParagraph"/>
              <w:rPr>
                <w:rFonts w:ascii="Bookman Old Style" w:hAnsi="Bookman Old Style"/>
                <w:sz w:val="20"/>
                <w:szCs w:val="20"/>
              </w:rPr>
            </w:pPr>
          </w:p>
        </w:tc>
        <w:tc>
          <w:tcPr>
            <w:tcW w:w="1559" w:type="dxa"/>
            <w:shd w:val="clear" w:color="auto" w:fill="auto"/>
          </w:tcPr>
          <w:p w14:paraId="4680F6B8" w14:textId="77777777" w:rsidR="008262B9" w:rsidRPr="008262B9" w:rsidRDefault="008262B9" w:rsidP="001359AD">
            <w:pPr>
              <w:pStyle w:val="TableParagraph"/>
              <w:spacing w:before="1"/>
              <w:rPr>
                <w:rFonts w:ascii="Bookman Old Style" w:hAnsi="Bookman Old Style"/>
                <w:b/>
                <w:sz w:val="20"/>
                <w:szCs w:val="20"/>
              </w:rPr>
            </w:pPr>
            <w:r w:rsidRPr="008262B9">
              <w:rPr>
                <w:rFonts w:ascii="Bookman Old Style" w:hAnsi="Bookman Old Style"/>
                <w:b/>
                <w:sz w:val="20"/>
                <w:szCs w:val="20"/>
              </w:rPr>
              <w:t>13</w:t>
            </w:r>
          </w:p>
        </w:tc>
      </w:tr>
      <w:tr w:rsidR="008262B9" w:rsidRPr="008262B9" w14:paraId="5D524679" w14:textId="77777777" w:rsidTr="008262B9">
        <w:trPr>
          <w:trHeight w:val="705"/>
        </w:trPr>
        <w:tc>
          <w:tcPr>
            <w:tcW w:w="483" w:type="dxa"/>
            <w:shd w:val="clear" w:color="auto" w:fill="auto"/>
          </w:tcPr>
          <w:p w14:paraId="133EF2F1" w14:textId="77777777" w:rsidR="008262B9" w:rsidRPr="008262B9" w:rsidRDefault="008262B9" w:rsidP="001359AD">
            <w:pPr>
              <w:pStyle w:val="TableParagraph"/>
              <w:spacing w:before="10"/>
              <w:ind w:left="24"/>
              <w:jc w:val="center"/>
              <w:rPr>
                <w:rFonts w:ascii="Bookman Old Style" w:hAnsi="Bookman Old Style"/>
                <w:sz w:val="20"/>
                <w:szCs w:val="20"/>
              </w:rPr>
            </w:pPr>
            <w:r w:rsidRPr="008262B9">
              <w:rPr>
                <w:rFonts w:ascii="Bookman Old Style" w:hAnsi="Bookman Old Style"/>
                <w:b/>
                <w:sz w:val="20"/>
                <w:szCs w:val="20"/>
              </w:rPr>
              <w:t>34</w:t>
            </w:r>
          </w:p>
        </w:tc>
        <w:tc>
          <w:tcPr>
            <w:tcW w:w="4359" w:type="dxa"/>
            <w:shd w:val="clear" w:color="auto" w:fill="auto"/>
          </w:tcPr>
          <w:p w14:paraId="70FAB016" w14:textId="77777777" w:rsidR="008262B9" w:rsidRPr="008262B9" w:rsidRDefault="008262B9" w:rsidP="001359AD">
            <w:pPr>
              <w:pStyle w:val="TableParagraph"/>
              <w:tabs>
                <w:tab w:val="left" w:pos="1103"/>
                <w:tab w:val="left" w:pos="2023"/>
                <w:tab w:val="left" w:pos="3431"/>
              </w:tabs>
              <w:ind w:left="371" w:right="90"/>
              <w:rPr>
                <w:rFonts w:ascii="Bookman Old Style" w:hAnsi="Bookman Old Style"/>
                <w:sz w:val="20"/>
                <w:szCs w:val="20"/>
                <w:lang w:val="en-US"/>
              </w:rPr>
            </w:pPr>
            <w:r w:rsidRPr="008262B9">
              <w:rPr>
                <w:rFonts w:ascii="Bookman Old Style" w:hAnsi="Bookman Old Style"/>
                <w:b/>
                <w:sz w:val="20"/>
                <w:szCs w:val="20"/>
              </w:rPr>
              <w:t>Rasio</w:t>
            </w:r>
            <w:r w:rsidRPr="008262B9">
              <w:rPr>
                <w:rFonts w:ascii="Bookman Old Style" w:hAnsi="Bookman Old Style"/>
                <w:b/>
                <w:spacing w:val="-4"/>
                <w:sz w:val="20"/>
                <w:szCs w:val="20"/>
              </w:rPr>
              <w:t xml:space="preserve"> </w:t>
            </w:r>
            <w:r w:rsidRPr="008262B9">
              <w:rPr>
                <w:rFonts w:ascii="Bookman Old Style" w:hAnsi="Bookman Old Style"/>
                <w:b/>
                <w:sz w:val="20"/>
                <w:szCs w:val="20"/>
              </w:rPr>
              <w:t>Pendanaan</w:t>
            </w:r>
            <w:r w:rsidRPr="008262B9">
              <w:rPr>
                <w:rFonts w:ascii="Bookman Old Style" w:hAnsi="Bookman Old Style"/>
                <w:b/>
                <w:spacing w:val="-5"/>
                <w:sz w:val="20"/>
                <w:szCs w:val="20"/>
              </w:rPr>
              <w:t xml:space="preserve"> </w:t>
            </w:r>
            <w:r w:rsidRPr="008262B9">
              <w:rPr>
                <w:rFonts w:ascii="Bookman Old Style" w:hAnsi="Bookman Old Style"/>
                <w:b/>
                <w:sz w:val="20"/>
                <w:szCs w:val="20"/>
              </w:rPr>
              <w:t>Stabil</w:t>
            </w:r>
            <w:r w:rsidRPr="008262B9">
              <w:rPr>
                <w:rFonts w:ascii="Bookman Old Style" w:hAnsi="Bookman Old Style"/>
                <w:b/>
                <w:spacing w:val="-4"/>
                <w:sz w:val="20"/>
                <w:szCs w:val="20"/>
              </w:rPr>
              <w:t xml:space="preserve"> </w:t>
            </w:r>
            <w:r w:rsidRPr="008262B9">
              <w:rPr>
                <w:rFonts w:ascii="Bookman Old Style" w:hAnsi="Bookman Old Style"/>
                <w:b/>
                <w:sz w:val="20"/>
                <w:szCs w:val="20"/>
              </w:rPr>
              <w:t>Bersih</w:t>
            </w:r>
            <w:r w:rsidRPr="008262B9">
              <w:rPr>
                <w:rFonts w:ascii="Bookman Old Style" w:hAnsi="Bookman Old Style"/>
                <w:b/>
                <w:spacing w:val="-7"/>
                <w:sz w:val="20"/>
                <w:szCs w:val="20"/>
              </w:rPr>
              <w:t xml:space="preserve"> </w:t>
            </w:r>
            <w:r w:rsidRPr="008262B9">
              <w:rPr>
                <w:rFonts w:ascii="Bookman Old Style" w:hAnsi="Bookman Old Style"/>
                <w:b/>
                <w:sz w:val="20"/>
                <w:szCs w:val="20"/>
              </w:rPr>
              <w:t>(</w:t>
            </w:r>
            <w:r w:rsidRPr="008262B9">
              <w:rPr>
                <w:rFonts w:ascii="Bookman Old Style" w:hAnsi="Bookman Old Style"/>
                <w:b/>
                <w:i/>
                <w:sz w:val="20"/>
                <w:szCs w:val="20"/>
              </w:rPr>
              <w:t>Net</w:t>
            </w:r>
            <w:r w:rsidRPr="008262B9">
              <w:rPr>
                <w:rFonts w:ascii="Bookman Old Style" w:hAnsi="Bookman Old Style"/>
                <w:b/>
                <w:i/>
                <w:spacing w:val="-65"/>
                <w:sz w:val="20"/>
                <w:szCs w:val="20"/>
              </w:rPr>
              <w:t xml:space="preserve"> </w:t>
            </w:r>
            <w:r w:rsidRPr="008262B9">
              <w:rPr>
                <w:rFonts w:ascii="Bookman Old Style" w:hAnsi="Bookman Old Style"/>
                <w:b/>
                <w:i/>
                <w:sz w:val="20"/>
                <w:szCs w:val="20"/>
              </w:rPr>
              <w:t>Stable</w:t>
            </w:r>
            <w:r w:rsidRPr="008262B9">
              <w:rPr>
                <w:rFonts w:ascii="Bookman Old Style" w:hAnsi="Bookman Old Style"/>
                <w:b/>
                <w:i/>
                <w:spacing w:val="-3"/>
                <w:sz w:val="20"/>
                <w:szCs w:val="20"/>
              </w:rPr>
              <w:t xml:space="preserve"> </w:t>
            </w:r>
            <w:r w:rsidRPr="008262B9">
              <w:rPr>
                <w:rFonts w:ascii="Bookman Old Style" w:hAnsi="Bookman Old Style"/>
                <w:b/>
                <w:i/>
                <w:sz w:val="20"/>
                <w:szCs w:val="20"/>
              </w:rPr>
              <w:t>Funding</w:t>
            </w:r>
            <w:r w:rsidRPr="008262B9">
              <w:rPr>
                <w:rFonts w:ascii="Bookman Old Style" w:hAnsi="Bookman Old Style"/>
                <w:b/>
                <w:i/>
                <w:spacing w:val="-1"/>
                <w:sz w:val="20"/>
                <w:szCs w:val="20"/>
              </w:rPr>
              <w:t xml:space="preserve"> </w:t>
            </w:r>
            <w:r w:rsidRPr="008262B9">
              <w:rPr>
                <w:rFonts w:ascii="Bookman Old Style" w:hAnsi="Bookman Old Style"/>
                <w:b/>
                <w:i/>
                <w:sz w:val="20"/>
                <w:szCs w:val="20"/>
              </w:rPr>
              <w:t>Ratio</w:t>
            </w:r>
            <w:r w:rsidRPr="008262B9">
              <w:rPr>
                <w:rFonts w:ascii="Bookman Old Style" w:hAnsi="Bookman Old Style"/>
                <w:b/>
                <w:i/>
                <w:spacing w:val="-1"/>
                <w:sz w:val="20"/>
                <w:szCs w:val="20"/>
              </w:rPr>
              <w:t xml:space="preserve"> </w:t>
            </w:r>
            <w:r w:rsidRPr="008262B9">
              <w:rPr>
                <w:rFonts w:ascii="Bookman Old Style" w:hAnsi="Bookman Old Style"/>
                <w:b/>
                <w:sz w:val="20"/>
                <w:szCs w:val="20"/>
              </w:rPr>
              <w:t>(%)</w:t>
            </w:r>
            <w:r w:rsidRPr="008262B9">
              <w:rPr>
                <w:rFonts w:ascii="Bookman Old Style" w:hAnsi="Bookman Old Style"/>
                <w:b/>
                <w:sz w:val="20"/>
                <w:szCs w:val="20"/>
                <w:lang w:val="en-US"/>
              </w:rPr>
              <w:t>)</w:t>
            </w:r>
          </w:p>
        </w:tc>
        <w:tc>
          <w:tcPr>
            <w:tcW w:w="1201" w:type="dxa"/>
            <w:shd w:val="clear" w:color="auto" w:fill="000000" w:themeFill="text1"/>
          </w:tcPr>
          <w:p w14:paraId="5C422018" w14:textId="77777777" w:rsidR="008262B9" w:rsidRPr="008262B9" w:rsidRDefault="008262B9" w:rsidP="001359AD">
            <w:pPr>
              <w:pStyle w:val="TableParagraph"/>
              <w:rPr>
                <w:rFonts w:ascii="Bookman Old Style" w:hAnsi="Bookman Old Style"/>
                <w:sz w:val="20"/>
                <w:szCs w:val="20"/>
              </w:rPr>
            </w:pPr>
          </w:p>
        </w:tc>
        <w:tc>
          <w:tcPr>
            <w:tcW w:w="675" w:type="dxa"/>
            <w:shd w:val="clear" w:color="auto" w:fill="000000" w:themeFill="text1"/>
          </w:tcPr>
          <w:p w14:paraId="6FD62C55" w14:textId="77777777" w:rsidR="008262B9" w:rsidRPr="008262B9" w:rsidRDefault="008262B9" w:rsidP="001359AD">
            <w:pPr>
              <w:pStyle w:val="TableParagraph"/>
              <w:rPr>
                <w:rFonts w:ascii="Bookman Old Style" w:hAnsi="Bookman Old Style"/>
                <w:sz w:val="20"/>
                <w:szCs w:val="20"/>
              </w:rPr>
            </w:pPr>
          </w:p>
        </w:tc>
        <w:tc>
          <w:tcPr>
            <w:tcW w:w="1126" w:type="dxa"/>
            <w:shd w:val="clear" w:color="auto" w:fill="000000" w:themeFill="text1"/>
          </w:tcPr>
          <w:p w14:paraId="066F9D23" w14:textId="77777777" w:rsidR="008262B9" w:rsidRPr="008262B9" w:rsidRDefault="008262B9" w:rsidP="001359AD">
            <w:pPr>
              <w:pStyle w:val="TableParagraph"/>
              <w:rPr>
                <w:rFonts w:ascii="Bookman Old Style" w:hAnsi="Bookman Old Style"/>
                <w:sz w:val="20"/>
                <w:szCs w:val="20"/>
              </w:rPr>
            </w:pPr>
          </w:p>
        </w:tc>
        <w:tc>
          <w:tcPr>
            <w:tcW w:w="815" w:type="dxa"/>
            <w:shd w:val="clear" w:color="auto" w:fill="000000" w:themeFill="text1"/>
          </w:tcPr>
          <w:p w14:paraId="02EBFCB1" w14:textId="77777777" w:rsidR="008262B9" w:rsidRPr="008262B9" w:rsidRDefault="008262B9" w:rsidP="001359AD">
            <w:pPr>
              <w:pStyle w:val="TableParagraph"/>
              <w:rPr>
                <w:rFonts w:ascii="Bookman Old Style" w:hAnsi="Bookman Old Style"/>
                <w:sz w:val="20"/>
                <w:szCs w:val="20"/>
              </w:rPr>
            </w:pPr>
          </w:p>
        </w:tc>
        <w:tc>
          <w:tcPr>
            <w:tcW w:w="1427" w:type="dxa"/>
            <w:shd w:val="clear" w:color="auto" w:fill="auto"/>
          </w:tcPr>
          <w:p w14:paraId="3249D5E3" w14:textId="77777777" w:rsidR="008262B9" w:rsidRPr="008262B9" w:rsidRDefault="008262B9" w:rsidP="001359AD">
            <w:pPr>
              <w:pStyle w:val="TableParagraph"/>
              <w:rPr>
                <w:rFonts w:ascii="Bookman Old Style" w:hAnsi="Bookman Old Style"/>
                <w:sz w:val="20"/>
                <w:szCs w:val="20"/>
              </w:rPr>
            </w:pPr>
          </w:p>
        </w:tc>
        <w:tc>
          <w:tcPr>
            <w:tcW w:w="1089" w:type="dxa"/>
            <w:shd w:val="clear" w:color="auto" w:fill="000000" w:themeFill="text1"/>
          </w:tcPr>
          <w:p w14:paraId="559F3929" w14:textId="77777777" w:rsidR="008262B9" w:rsidRPr="008262B9" w:rsidRDefault="008262B9" w:rsidP="001359AD">
            <w:pPr>
              <w:pStyle w:val="TableParagraph"/>
              <w:rPr>
                <w:rFonts w:ascii="Bookman Old Style" w:hAnsi="Bookman Old Style"/>
                <w:sz w:val="20"/>
                <w:szCs w:val="20"/>
              </w:rPr>
            </w:pPr>
          </w:p>
        </w:tc>
        <w:tc>
          <w:tcPr>
            <w:tcW w:w="810" w:type="dxa"/>
            <w:shd w:val="clear" w:color="auto" w:fill="000000" w:themeFill="text1"/>
          </w:tcPr>
          <w:p w14:paraId="5860C69D" w14:textId="77777777" w:rsidR="008262B9" w:rsidRPr="008262B9" w:rsidRDefault="008262B9" w:rsidP="001359AD">
            <w:pPr>
              <w:pStyle w:val="TableParagraph"/>
              <w:rPr>
                <w:rFonts w:ascii="Bookman Old Style" w:hAnsi="Bookman Old Style"/>
                <w:sz w:val="20"/>
                <w:szCs w:val="20"/>
              </w:rPr>
            </w:pPr>
          </w:p>
        </w:tc>
        <w:tc>
          <w:tcPr>
            <w:tcW w:w="1082" w:type="dxa"/>
            <w:shd w:val="clear" w:color="auto" w:fill="000000" w:themeFill="text1"/>
          </w:tcPr>
          <w:p w14:paraId="13B06462" w14:textId="77777777" w:rsidR="008262B9" w:rsidRPr="008262B9" w:rsidRDefault="008262B9" w:rsidP="001359AD">
            <w:pPr>
              <w:pStyle w:val="TableParagraph"/>
              <w:rPr>
                <w:rFonts w:ascii="Bookman Old Style" w:hAnsi="Bookman Old Style"/>
                <w:sz w:val="20"/>
                <w:szCs w:val="20"/>
              </w:rPr>
            </w:pPr>
          </w:p>
        </w:tc>
        <w:tc>
          <w:tcPr>
            <w:tcW w:w="813" w:type="dxa"/>
            <w:shd w:val="clear" w:color="auto" w:fill="000000" w:themeFill="text1"/>
          </w:tcPr>
          <w:p w14:paraId="7107B3ED" w14:textId="77777777" w:rsidR="008262B9" w:rsidRPr="008262B9" w:rsidRDefault="008262B9" w:rsidP="001359AD">
            <w:pPr>
              <w:pStyle w:val="TableParagraph"/>
              <w:rPr>
                <w:rFonts w:ascii="Bookman Old Style" w:hAnsi="Bookman Old Style"/>
                <w:sz w:val="20"/>
                <w:szCs w:val="20"/>
              </w:rPr>
            </w:pPr>
          </w:p>
        </w:tc>
        <w:tc>
          <w:tcPr>
            <w:tcW w:w="1451" w:type="dxa"/>
            <w:gridSpan w:val="2"/>
            <w:shd w:val="clear" w:color="auto" w:fill="auto"/>
          </w:tcPr>
          <w:p w14:paraId="4F8E915E" w14:textId="77777777" w:rsidR="008262B9" w:rsidRPr="008262B9" w:rsidRDefault="008262B9" w:rsidP="001359AD">
            <w:pPr>
              <w:pStyle w:val="TableParagraph"/>
              <w:rPr>
                <w:rFonts w:ascii="Bookman Old Style" w:hAnsi="Bookman Old Style"/>
                <w:sz w:val="20"/>
                <w:szCs w:val="20"/>
              </w:rPr>
            </w:pPr>
          </w:p>
        </w:tc>
        <w:tc>
          <w:tcPr>
            <w:tcW w:w="1559" w:type="dxa"/>
            <w:shd w:val="clear" w:color="auto" w:fill="auto"/>
          </w:tcPr>
          <w:p w14:paraId="2B6BB02C" w14:textId="77777777" w:rsidR="008262B9" w:rsidRPr="008262B9" w:rsidRDefault="008262B9" w:rsidP="001359AD">
            <w:pPr>
              <w:pStyle w:val="TableParagraph"/>
              <w:spacing w:before="1"/>
              <w:rPr>
                <w:rFonts w:ascii="Bookman Old Style" w:hAnsi="Bookman Old Style"/>
                <w:b/>
                <w:sz w:val="20"/>
                <w:szCs w:val="20"/>
              </w:rPr>
            </w:pPr>
            <w:r w:rsidRPr="008262B9">
              <w:rPr>
                <w:rFonts w:ascii="Bookman Old Style" w:hAnsi="Bookman Old Style"/>
                <w:b/>
                <w:sz w:val="20"/>
                <w:szCs w:val="20"/>
              </w:rPr>
              <w:t>14</w:t>
            </w:r>
          </w:p>
        </w:tc>
      </w:tr>
    </w:tbl>
    <w:p w14:paraId="5650A2B6" w14:textId="77777777" w:rsidR="008262B9" w:rsidRPr="008262B9" w:rsidRDefault="008262B9" w:rsidP="008262B9">
      <w:pPr>
        <w:pStyle w:val="BodyText"/>
        <w:ind w:left="284"/>
        <w:rPr>
          <w:rFonts w:ascii="Bookman Old Style" w:hAnsi="Bookman Old Style"/>
          <w:sz w:val="20"/>
          <w:szCs w:val="20"/>
        </w:rPr>
      </w:pPr>
      <w:r w:rsidRPr="008262B9">
        <w:rPr>
          <w:rFonts w:ascii="Bookman Old Style" w:hAnsi="Bookman Old Style"/>
          <w:sz w:val="20"/>
          <w:szCs w:val="20"/>
        </w:rPr>
        <w:t>*)</w:t>
      </w:r>
      <w:r w:rsidRPr="008262B9">
        <w:rPr>
          <w:rFonts w:ascii="Bookman Old Style" w:hAnsi="Bookman Old Style"/>
          <w:spacing w:val="95"/>
          <w:sz w:val="20"/>
          <w:szCs w:val="20"/>
        </w:rPr>
        <w:t xml:space="preserve"> </w:t>
      </w:r>
      <w:r w:rsidRPr="008262B9">
        <w:rPr>
          <w:rFonts w:ascii="Bookman Old Style" w:hAnsi="Bookman Old Style"/>
          <w:sz w:val="20"/>
          <w:szCs w:val="20"/>
        </w:rPr>
        <w:t>Pilih</w:t>
      </w:r>
      <w:r w:rsidRPr="008262B9">
        <w:rPr>
          <w:rFonts w:ascii="Bookman Old Style" w:hAnsi="Bookman Old Style"/>
          <w:spacing w:val="-2"/>
          <w:sz w:val="20"/>
          <w:szCs w:val="20"/>
        </w:rPr>
        <w:t xml:space="preserve"> </w:t>
      </w:r>
      <w:r w:rsidRPr="008262B9">
        <w:rPr>
          <w:rFonts w:ascii="Bookman Old Style" w:hAnsi="Bookman Old Style"/>
          <w:sz w:val="20"/>
          <w:szCs w:val="20"/>
        </w:rPr>
        <w:t>sesuai</w:t>
      </w:r>
      <w:r w:rsidRPr="008262B9">
        <w:rPr>
          <w:rFonts w:ascii="Bookman Old Style" w:hAnsi="Bookman Old Style"/>
          <w:spacing w:val="-1"/>
          <w:sz w:val="20"/>
          <w:szCs w:val="20"/>
        </w:rPr>
        <w:t xml:space="preserve"> </w:t>
      </w:r>
      <w:r w:rsidRPr="008262B9">
        <w:rPr>
          <w:rFonts w:ascii="Bookman Old Style" w:hAnsi="Bookman Old Style"/>
          <w:sz w:val="20"/>
          <w:szCs w:val="20"/>
        </w:rPr>
        <w:t>cakupan laporan.</w:t>
      </w:r>
    </w:p>
    <w:p w14:paraId="698F7371" w14:textId="6E7EFF46" w:rsidR="008262B9" w:rsidRPr="008262B9" w:rsidRDefault="008262B9" w:rsidP="008262B9">
      <w:pPr>
        <w:pStyle w:val="ListParagraph"/>
        <w:widowControl w:val="0"/>
        <w:autoSpaceDE w:val="0"/>
        <w:autoSpaceDN w:val="0"/>
        <w:spacing w:after="0" w:line="240" w:lineRule="auto"/>
        <w:ind w:left="284"/>
        <w:contextualSpacing w:val="0"/>
        <w:jc w:val="both"/>
        <w:rPr>
          <w:rFonts w:ascii="Bookman Old Style" w:hAnsi="Bookman Old Style"/>
          <w:sz w:val="20"/>
          <w:szCs w:val="20"/>
        </w:rPr>
      </w:pPr>
      <w:r w:rsidRPr="008262B9">
        <w:rPr>
          <w:rFonts w:ascii="Bookman Old Style" w:hAnsi="Bookman Old Style"/>
          <w:sz w:val="20"/>
          <w:szCs w:val="20"/>
        </w:rPr>
        <w:t>**) Aset lainnya yang tidak masuk dalam kategori di atas, antara lain c</w:t>
      </w:r>
      <w:r w:rsidRPr="008262B9">
        <w:rPr>
          <w:rFonts w:ascii="Bookman Old Style" w:hAnsi="Bookman Old Style"/>
          <w:i/>
          <w:sz w:val="20"/>
          <w:szCs w:val="20"/>
        </w:rPr>
        <w:t>ommemorative coins dan notes</w:t>
      </w:r>
      <w:r w:rsidRPr="008262B9">
        <w:rPr>
          <w:rFonts w:ascii="Bookman Old Style" w:hAnsi="Bookman Old Style"/>
          <w:sz w:val="20"/>
          <w:szCs w:val="20"/>
        </w:rPr>
        <w:t>, cek perjalanan (</w:t>
      </w:r>
      <w:r w:rsidRPr="008262B9">
        <w:rPr>
          <w:rFonts w:ascii="Bookman Old Style" w:hAnsi="Bookman Old Style"/>
          <w:i/>
          <w:sz w:val="20"/>
          <w:szCs w:val="20"/>
        </w:rPr>
        <w:t>travellers’</w:t>
      </w:r>
      <w:r w:rsidRPr="008262B9">
        <w:rPr>
          <w:rFonts w:ascii="Bookman Old Style" w:hAnsi="Bookman Old Style"/>
          <w:i/>
          <w:spacing w:val="1"/>
          <w:sz w:val="20"/>
          <w:szCs w:val="20"/>
        </w:rPr>
        <w:t xml:space="preserve"> </w:t>
      </w:r>
      <w:r w:rsidRPr="008262B9">
        <w:rPr>
          <w:rFonts w:ascii="Bookman Old Style" w:hAnsi="Bookman Old Style"/>
          <w:i/>
          <w:sz w:val="20"/>
          <w:szCs w:val="20"/>
        </w:rPr>
        <w:t>cheque</w:t>
      </w:r>
      <w:r w:rsidRPr="008262B9">
        <w:rPr>
          <w:rFonts w:ascii="Bookman Old Style" w:hAnsi="Bookman Old Style"/>
          <w:sz w:val="20"/>
          <w:szCs w:val="20"/>
        </w:rPr>
        <w:t>) yang dibeli/diambil alih, uang muka kepada nasabah, tagihan inkaso, tagihan lainnya, pendapatan yang ditangguhkan</w:t>
      </w:r>
      <w:r w:rsidRPr="008262B9">
        <w:rPr>
          <w:rFonts w:ascii="Bookman Old Style" w:hAnsi="Bookman Old Style"/>
          <w:spacing w:val="1"/>
          <w:sz w:val="20"/>
          <w:szCs w:val="20"/>
        </w:rPr>
        <w:t xml:space="preserve"> </w:t>
      </w:r>
      <w:r w:rsidRPr="008262B9">
        <w:rPr>
          <w:rFonts w:ascii="Bookman Old Style" w:hAnsi="Bookman Old Style"/>
          <w:sz w:val="20"/>
          <w:szCs w:val="20"/>
        </w:rPr>
        <w:t>dalam rangka restrukturisasi pembiayaan, pendapatan operasional yang akan diterima, uang muka pajak, biaya dibayar dimuka, biaya yang</w:t>
      </w:r>
      <w:r w:rsidRPr="008262B9">
        <w:rPr>
          <w:rFonts w:ascii="Bookman Old Style" w:hAnsi="Bookman Old Style"/>
          <w:spacing w:val="1"/>
          <w:sz w:val="20"/>
          <w:szCs w:val="20"/>
        </w:rPr>
        <w:t xml:space="preserve"> </w:t>
      </w:r>
      <w:r w:rsidRPr="008262B9">
        <w:rPr>
          <w:rFonts w:ascii="Bookman Old Style" w:hAnsi="Bookman Old Style"/>
          <w:sz w:val="20"/>
          <w:szCs w:val="20"/>
        </w:rPr>
        <w:t>ditangguhkan,</w:t>
      </w:r>
      <w:r w:rsidRPr="008262B9">
        <w:rPr>
          <w:rFonts w:ascii="Bookman Old Style" w:hAnsi="Bookman Old Style"/>
          <w:spacing w:val="76"/>
          <w:sz w:val="20"/>
          <w:szCs w:val="20"/>
        </w:rPr>
        <w:t xml:space="preserve"> </w:t>
      </w:r>
      <w:r w:rsidRPr="008262B9">
        <w:rPr>
          <w:rFonts w:ascii="Bookman Old Style" w:hAnsi="Bookman Old Style"/>
          <w:sz w:val="20"/>
          <w:szCs w:val="20"/>
        </w:rPr>
        <w:t>talangan dalam</w:t>
      </w:r>
      <w:r w:rsidRPr="008262B9">
        <w:rPr>
          <w:rFonts w:ascii="Bookman Old Style" w:hAnsi="Bookman Old Style"/>
          <w:spacing w:val="-1"/>
          <w:sz w:val="20"/>
          <w:szCs w:val="20"/>
        </w:rPr>
        <w:t xml:space="preserve"> </w:t>
      </w:r>
      <w:r w:rsidRPr="008262B9">
        <w:rPr>
          <w:rFonts w:ascii="Bookman Old Style" w:hAnsi="Bookman Old Style"/>
          <w:sz w:val="20"/>
          <w:szCs w:val="20"/>
        </w:rPr>
        <w:t>rangka</w:t>
      </w:r>
      <w:r w:rsidRPr="008262B9">
        <w:rPr>
          <w:rFonts w:ascii="Bookman Old Style" w:hAnsi="Bookman Old Style"/>
          <w:spacing w:val="-1"/>
          <w:sz w:val="20"/>
          <w:szCs w:val="20"/>
        </w:rPr>
        <w:t xml:space="preserve"> </w:t>
      </w:r>
      <w:r w:rsidRPr="008262B9">
        <w:rPr>
          <w:rFonts w:ascii="Bookman Old Style" w:hAnsi="Bookman Old Style"/>
          <w:sz w:val="20"/>
          <w:szCs w:val="20"/>
        </w:rPr>
        <w:t>program</w:t>
      </w:r>
      <w:r w:rsidRPr="008262B9">
        <w:rPr>
          <w:rFonts w:ascii="Bookman Old Style" w:hAnsi="Bookman Old Style"/>
          <w:spacing w:val="-1"/>
          <w:sz w:val="20"/>
          <w:szCs w:val="20"/>
        </w:rPr>
        <w:t xml:space="preserve"> </w:t>
      </w:r>
      <w:r w:rsidRPr="008262B9">
        <w:rPr>
          <w:rFonts w:ascii="Bookman Old Style" w:hAnsi="Bookman Old Style"/>
          <w:sz w:val="20"/>
          <w:szCs w:val="20"/>
        </w:rPr>
        <w:t>pemerintah.</w:t>
      </w:r>
    </w:p>
    <w:p w14:paraId="69D0B917" w14:textId="2E940B2F" w:rsidR="009A4BC4" w:rsidRDefault="009A4BC4"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007DD2AF" w14:textId="7608376C"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34431EC0" w14:textId="0DFF7C27"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1D4A93D3" w14:textId="5115CD35"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4C6E5600" w14:textId="7FE82D9E"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092AFBBD" w14:textId="77777777"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7A529795" w14:textId="4D8E3088"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62E89F8E" w14:textId="113DF5BD"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1108FD66" w14:textId="20EDEC34"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628B3891" w14:textId="1205FCED"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0AC4D94E" w14:textId="3CD14A92"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44269696" w14:textId="176BC047"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1BBC17B9" w14:textId="19E6C2F7" w:rsid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44D23E65" w14:textId="77777777" w:rsidR="008262B9" w:rsidRPr="008262B9" w:rsidRDefault="008262B9"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6C94111C" w14:textId="195DE9B7" w:rsidR="009A4BC4" w:rsidRPr="009A4BC4" w:rsidRDefault="009A4BC4" w:rsidP="00A32F86">
      <w:pPr>
        <w:pStyle w:val="ListParagraph"/>
        <w:widowControl w:val="0"/>
        <w:numPr>
          <w:ilvl w:val="0"/>
          <w:numId w:val="216"/>
        </w:numPr>
        <w:autoSpaceDE w:val="0"/>
        <w:autoSpaceDN w:val="0"/>
        <w:spacing w:after="0" w:line="240" w:lineRule="auto"/>
        <w:ind w:left="567" w:hanging="567"/>
        <w:contextualSpacing w:val="0"/>
        <w:jc w:val="both"/>
        <w:rPr>
          <w:rFonts w:ascii="Bookman Old Style" w:hAnsi="Bookman Old Style"/>
          <w:sz w:val="20"/>
          <w:szCs w:val="20"/>
        </w:rPr>
      </w:pPr>
      <w:r w:rsidRPr="009A4BC4">
        <w:rPr>
          <w:rFonts w:ascii="Bookman Old Style" w:hAnsi="Bookman Old Style"/>
          <w:sz w:val="20"/>
          <w:szCs w:val="20"/>
        </w:rPr>
        <w:t>ANALISIS</w:t>
      </w:r>
      <w:r w:rsidRPr="009A4BC4">
        <w:rPr>
          <w:rFonts w:ascii="Bookman Old Style" w:hAnsi="Bookman Old Style"/>
          <w:spacing w:val="-5"/>
          <w:sz w:val="20"/>
          <w:szCs w:val="20"/>
        </w:rPr>
        <w:t xml:space="preserve"> </w:t>
      </w:r>
      <w:r w:rsidRPr="009A4BC4">
        <w:rPr>
          <w:rFonts w:ascii="Bookman Old Style" w:hAnsi="Bookman Old Style"/>
          <w:sz w:val="20"/>
          <w:szCs w:val="20"/>
        </w:rPr>
        <w:t>PERKEMBANGAN</w:t>
      </w:r>
      <w:r w:rsidRPr="009A4BC4">
        <w:rPr>
          <w:rFonts w:ascii="Bookman Old Style" w:hAnsi="Bookman Old Style"/>
          <w:spacing w:val="-3"/>
          <w:sz w:val="20"/>
          <w:szCs w:val="20"/>
        </w:rPr>
        <w:t xml:space="preserve"> </w:t>
      </w:r>
      <w:r w:rsidRPr="009A4BC4">
        <w:rPr>
          <w:rFonts w:ascii="Bookman Old Style" w:hAnsi="Bookman Old Style"/>
          <w:sz w:val="20"/>
          <w:szCs w:val="20"/>
        </w:rPr>
        <w:t>NSFR</w:t>
      </w:r>
    </w:p>
    <w:tbl>
      <w:tblPr>
        <w:tblW w:w="1701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9"/>
      </w:tblGrid>
      <w:tr w:rsidR="009A4BC4" w:rsidRPr="009A4BC4" w14:paraId="22E5C30F" w14:textId="77777777" w:rsidTr="008262B9">
        <w:trPr>
          <w:trHeight w:val="604"/>
        </w:trPr>
        <w:tc>
          <w:tcPr>
            <w:tcW w:w="17019" w:type="dxa"/>
            <w:shd w:val="clear" w:color="auto" w:fill="BEBEBE"/>
          </w:tcPr>
          <w:p w14:paraId="06812143" w14:textId="77777777" w:rsidR="009A4BC4" w:rsidRPr="009A4BC4" w:rsidRDefault="009A4BC4" w:rsidP="001359AD">
            <w:pPr>
              <w:pStyle w:val="TableParagraph"/>
              <w:spacing w:before="119"/>
              <w:ind w:left="5913" w:right="5906"/>
              <w:jc w:val="center"/>
              <w:rPr>
                <w:rFonts w:ascii="Bookman Old Style" w:hAnsi="Bookman Old Style"/>
                <w:b/>
                <w:sz w:val="20"/>
                <w:szCs w:val="20"/>
              </w:rPr>
            </w:pPr>
            <w:r w:rsidRPr="009A4BC4">
              <w:rPr>
                <w:rFonts w:ascii="Bookman Old Style" w:hAnsi="Bookman Old Style"/>
                <w:b/>
                <w:sz w:val="20"/>
                <w:szCs w:val="20"/>
              </w:rPr>
              <w:t>Analisis</w:t>
            </w:r>
            <w:r w:rsidRPr="009A4BC4">
              <w:rPr>
                <w:rFonts w:ascii="Bookman Old Style" w:hAnsi="Bookman Old Style"/>
                <w:b/>
                <w:spacing w:val="-4"/>
                <w:sz w:val="20"/>
                <w:szCs w:val="20"/>
              </w:rPr>
              <w:t xml:space="preserve"> </w:t>
            </w:r>
            <w:r w:rsidRPr="009A4BC4">
              <w:rPr>
                <w:rFonts w:ascii="Bookman Old Style" w:hAnsi="Bookman Old Style"/>
                <w:b/>
                <w:sz w:val="20"/>
                <w:szCs w:val="20"/>
              </w:rPr>
              <w:t>Secara</w:t>
            </w:r>
            <w:r w:rsidRPr="009A4BC4">
              <w:rPr>
                <w:rFonts w:ascii="Bookman Old Style" w:hAnsi="Bookman Old Style"/>
                <w:b/>
                <w:spacing w:val="-3"/>
                <w:sz w:val="20"/>
                <w:szCs w:val="20"/>
              </w:rPr>
              <w:t xml:space="preserve"> </w:t>
            </w:r>
            <w:r w:rsidRPr="009A4BC4">
              <w:rPr>
                <w:rFonts w:ascii="Bookman Old Style" w:hAnsi="Bookman Old Style"/>
                <w:b/>
                <w:sz w:val="20"/>
                <w:szCs w:val="20"/>
              </w:rPr>
              <w:t>Individu</w:t>
            </w:r>
          </w:p>
        </w:tc>
      </w:tr>
      <w:tr w:rsidR="009A4BC4" w:rsidRPr="009A4BC4" w14:paraId="083A2435" w14:textId="77777777" w:rsidTr="008262B9">
        <w:trPr>
          <w:trHeight w:val="1956"/>
        </w:trPr>
        <w:tc>
          <w:tcPr>
            <w:tcW w:w="17019" w:type="dxa"/>
          </w:tcPr>
          <w:p w14:paraId="6378E75F" w14:textId="77777777" w:rsidR="009A4BC4" w:rsidRPr="009A4BC4" w:rsidRDefault="009A4BC4" w:rsidP="001359AD">
            <w:pPr>
              <w:pStyle w:val="TableParagraph"/>
              <w:spacing w:line="278" w:lineRule="exact"/>
              <w:ind w:left="107"/>
              <w:rPr>
                <w:rFonts w:ascii="Bookman Old Style" w:hAnsi="Bookman Old Style"/>
                <w:sz w:val="20"/>
                <w:szCs w:val="20"/>
              </w:rPr>
            </w:pPr>
            <w:r w:rsidRPr="009A4BC4">
              <w:rPr>
                <w:rFonts w:ascii="Bookman Old Style" w:hAnsi="Bookman Old Style"/>
                <w:sz w:val="20"/>
                <w:szCs w:val="20"/>
              </w:rPr>
              <w:t>Analisis</w:t>
            </w:r>
            <w:r w:rsidRPr="009A4BC4">
              <w:rPr>
                <w:rFonts w:ascii="Bookman Old Style" w:hAnsi="Bookman Old Style"/>
                <w:spacing w:val="-4"/>
                <w:sz w:val="20"/>
                <w:szCs w:val="20"/>
              </w:rPr>
              <w:t xml:space="preserve"> </w:t>
            </w:r>
            <w:r w:rsidRPr="009A4BC4">
              <w:rPr>
                <w:rFonts w:ascii="Bookman Old Style" w:hAnsi="Bookman Old Style"/>
                <w:sz w:val="20"/>
                <w:szCs w:val="20"/>
              </w:rPr>
              <w:t>perkembangan</w:t>
            </w:r>
            <w:r w:rsidRPr="009A4BC4">
              <w:rPr>
                <w:rFonts w:ascii="Bookman Old Style" w:hAnsi="Bookman Old Style"/>
                <w:spacing w:val="-5"/>
                <w:sz w:val="20"/>
                <w:szCs w:val="20"/>
              </w:rPr>
              <w:t xml:space="preserve"> </w:t>
            </w:r>
            <w:r w:rsidRPr="009A4BC4">
              <w:rPr>
                <w:rFonts w:ascii="Bookman Old Style" w:hAnsi="Bookman Old Style"/>
                <w:sz w:val="20"/>
                <w:szCs w:val="20"/>
              </w:rPr>
              <w:t>NSFR</w:t>
            </w:r>
            <w:r w:rsidRPr="009A4BC4">
              <w:rPr>
                <w:rFonts w:ascii="Bookman Old Style" w:hAnsi="Bookman Old Style"/>
                <w:spacing w:val="-4"/>
                <w:sz w:val="20"/>
                <w:szCs w:val="20"/>
              </w:rPr>
              <w:t xml:space="preserve"> </w:t>
            </w:r>
            <w:r w:rsidRPr="009A4BC4">
              <w:rPr>
                <w:rFonts w:ascii="Bookman Old Style" w:hAnsi="Bookman Old Style"/>
                <w:sz w:val="20"/>
                <w:szCs w:val="20"/>
              </w:rPr>
              <w:t>paling</w:t>
            </w:r>
            <w:r w:rsidRPr="009A4BC4">
              <w:rPr>
                <w:rFonts w:ascii="Bookman Old Style" w:hAnsi="Bookman Old Style"/>
                <w:spacing w:val="-5"/>
                <w:sz w:val="20"/>
                <w:szCs w:val="20"/>
              </w:rPr>
              <w:t xml:space="preserve"> </w:t>
            </w:r>
            <w:r w:rsidRPr="009A4BC4">
              <w:rPr>
                <w:rFonts w:ascii="Bookman Old Style" w:hAnsi="Bookman Old Style"/>
                <w:sz w:val="20"/>
                <w:szCs w:val="20"/>
              </w:rPr>
              <w:t>sedikit</w:t>
            </w:r>
            <w:r w:rsidRPr="009A4BC4">
              <w:rPr>
                <w:rFonts w:ascii="Bookman Old Style" w:hAnsi="Bookman Old Style"/>
                <w:spacing w:val="-4"/>
                <w:sz w:val="20"/>
                <w:szCs w:val="20"/>
              </w:rPr>
              <w:t xml:space="preserve"> </w:t>
            </w:r>
            <w:r w:rsidRPr="009A4BC4">
              <w:rPr>
                <w:rFonts w:ascii="Bookman Old Style" w:hAnsi="Bookman Old Style"/>
                <w:sz w:val="20"/>
                <w:szCs w:val="20"/>
              </w:rPr>
              <w:t>menjelaskan:</w:t>
            </w:r>
          </w:p>
          <w:p w14:paraId="305107F2" w14:textId="77777777" w:rsidR="009A4BC4" w:rsidRPr="009A4BC4" w:rsidRDefault="009A4BC4" w:rsidP="00A32F86">
            <w:pPr>
              <w:pStyle w:val="TableParagraph"/>
              <w:numPr>
                <w:ilvl w:val="0"/>
                <w:numId w:val="218"/>
              </w:numPr>
              <w:tabs>
                <w:tab w:val="left" w:pos="828"/>
                <w:tab w:val="left" w:pos="829"/>
              </w:tabs>
              <w:spacing w:before="42"/>
              <w:ind w:hanging="722"/>
              <w:rPr>
                <w:rFonts w:ascii="Bookman Old Style" w:hAnsi="Bookman Old Style"/>
                <w:sz w:val="20"/>
                <w:szCs w:val="20"/>
              </w:rPr>
            </w:pPr>
            <w:r w:rsidRPr="009A4BC4">
              <w:rPr>
                <w:rFonts w:ascii="Bookman Old Style" w:hAnsi="Bookman Old Style"/>
                <w:sz w:val="20"/>
                <w:szCs w:val="20"/>
              </w:rPr>
              <w:t>faktor</w:t>
            </w:r>
            <w:r w:rsidRPr="009A4BC4">
              <w:rPr>
                <w:rFonts w:ascii="Bookman Old Style" w:hAnsi="Bookman Old Style"/>
                <w:spacing w:val="-5"/>
                <w:sz w:val="20"/>
                <w:szCs w:val="20"/>
              </w:rPr>
              <w:t xml:space="preserve"> </w:t>
            </w:r>
            <w:r w:rsidRPr="009A4BC4">
              <w:rPr>
                <w:rFonts w:ascii="Bookman Old Style" w:hAnsi="Bookman Old Style"/>
                <w:sz w:val="20"/>
                <w:szCs w:val="20"/>
              </w:rPr>
              <w:t>utama</w:t>
            </w:r>
            <w:r w:rsidRPr="009A4BC4">
              <w:rPr>
                <w:rFonts w:ascii="Bookman Old Style" w:hAnsi="Bookman Old Style"/>
                <w:spacing w:val="-5"/>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mempengaruhi</w:t>
            </w:r>
            <w:r w:rsidRPr="009A4BC4">
              <w:rPr>
                <w:rFonts w:ascii="Bookman Old Style" w:hAnsi="Bookman Old Style"/>
                <w:spacing w:val="-4"/>
                <w:sz w:val="20"/>
                <w:szCs w:val="20"/>
              </w:rPr>
              <w:t xml:space="preserve"> </w:t>
            </w:r>
            <w:r w:rsidRPr="009A4BC4">
              <w:rPr>
                <w:rFonts w:ascii="Bookman Old Style" w:hAnsi="Bookman Old Style"/>
                <w:sz w:val="20"/>
                <w:szCs w:val="20"/>
              </w:rPr>
              <w:t>NSFR</w:t>
            </w:r>
            <w:r w:rsidRPr="009A4BC4">
              <w:rPr>
                <w:rFonts w:ascii="Bookman Old Style" w:hAnsi="Bookman Old Style"/>
                <w:spacing w:val="-3"/>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dipublikasikan;</w:t>
            </w:r>
          </w:p>
          <w:p w14:paraId="2FAA9FFD" w14:textId="77777777" w:rsidR="009A4BC4" w:rsidRPr="009A4BC4" w:rsidRDefault="009A4BC4" w:rsidP="00A32F86">
            <w:pPr>
              <w:pStyle w:val="TableParagraph"/>
              <w:numPr>
                <w:ilvl w:val="0"/>
                <w:numId w:val="218"/>
              </w:numPr>
              <w:tabs>
                <w:tab w:val="left" w:pos="816"/>
                <w:tab w:val="left" w:pos="817"/>
              </w:tabs>
              <w:spacing w:before="43" w:line="276" w:lineRule="auto"/>
              <w:ind w:left="816" w:right="365" w:hanging="709"/>
              <w:rPr>
                <w:rFonts w:ascii="Bookman Old Style" w:hAnsi="Bookman Old Style"/>
                <w:sz w:val="20"/>
                <w:szCs w:val="20"/>
              </w:rPr>
            </w:pPr>
            <w:r w:rsidRPr="009A4BC4">
              <w:rPr>
                <w:rFonts w:ascii="Bookman Old Style" w:hAnsi="Bookman Old Style"/>
                <w:sz w:val="20"/>
                <w:szCs w:val="20"/>
              </w:rPr>
              <w:t>faktor atau kondisi yang menyebabkan penurunan atau peningkatan NSFR (misalnya: terdapat perubahan strategi dan</w:t>
            </w:r>
            <w:r w:rsidRPr="009A4BC4">
              <w:rPr>
                <w:rFonts w:ascii="Bookman Old Style" w:hAnsi="Bookman Old Style"/>
                <w:spacing w:val="-74"/>
                <w:sz w:val="20"/>
                <w:szCs w:val="20"/>
              </w:rPr>
              <w:t xml:space="preserve"> </w:t>
            </w:r>
            <w:r w:rsidRPr="009A4BC4">
              <w:rPr>
                <w:rFonts w:ascii="Bookman Old Style" w:hAnsi="Bookman Old Style"/>
                <w:sz w:val="20"/>
                <w:szCs w:val="20"/>
              </w:rPr>
              <w:t>struktur</w:t>
            </w:r>
            <w:r w:rsidRPr="009A4BC4">
              <w:rPr>
                <w:rFonts w:ascii="Bookman Old Style" w:hAnsi="Bookman Old Style"/>
                <w:spacing w:val="-1"/>
                <w:sz w:val="20"/>
                <w:szCs w:val="20"/>
              </w:rPr>
              <w:t xml:space="preserve"> </w:t>
            </w:r>
            <w:r w:rsidRPr="009A4BC4">
              <w:rPr>
                <w:rFonts w:ascii="Bookman Old Style" w:hAnsi="Bookman Old Style"/>
                <w:sz w:val="20"/>
                <w:szCs w:val="20"/>
              </w:rPr>
              <w:t>Pendanaan); dan</w:t>
            </w:r>
          </w:p>
          <w:p w14:paraId="3FC874EB" w14:textId="77777777" w:rsidR="009A4BC4" w:rsidRPr="009A4BC4" w:rsidRDefault="009A4BC4" w:rsidP="00A32F86">
            <w:pPr>
              <w:pStyle w:val="TableParagraph"/>
              <w:numPr>
                <w:ilvl w:val="0"/>
                <w:numId w:val="218"/>
              </w:numPr>
              <w:tabs>
                <w:tab w:val="left" w:pos="828"/>
                <w:tab w:val="left" w:pos="829"/>
              </w:tabs>
              <w:spacing w:before="2"/>
              <w:ind w:hanging="722"/>
              <w:rPr>
                <w:rFonts w:ascii="Bookman Old Style" w:hAnsi="Bookman Old Style"/>
                <w:sz w:val="20"/>
                <w:szCs w:val="20"/>
              </w:rPr>
            </w:pPr>
            <w:r w:rsidRPr="009A4BC4">
              <w:rPr>
                <w:rFonts w:ascii="Bookman Old Style" w:hAnsi="Bookman Old Style"/>
                <w:sz w:val="20"/>
                <w:szCs w:val="20"/>
              </w:rPr>
              <w:t>komposisi</w:t>
            </w:r>
            <w:r w:rsidRPr="009A4BC4">
              <w:rPr>
                <w:rFonts w:ascii="Bookman Old Style" w:hAnsi="Bookman Old Style"/>
                <w:spacing w:val="-4"/>
                <w:sz w:val="20"/>
                <w:szCs w:val="20"/>
              </w:rPr>
              <w:t xml:space="preserve"> </w:t>
            </w:r>
            <w:r w:rsidRPr="009A4BC4">
              <w:rPr>
                <w:rFonts w:ascii="Bookman Old Style" w:hAnsi="Bookman Old Style"/>
                <w:sz w:val="20"/>
                <w:szCs w:val="20"/>
              </w:rPr>
              <w:t>aset</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4"/>
                <w:sz w:val="20"/>
                <w:szCs w:val="20"/>
              </w:rPr>
              <w:t xml:space="preserve"> </w:t>
            </w:r>
            <w:r w:rsidRPr="009A4BC4">
              <w:rPr>
                <w:rFonts w:ascii="Bookman Old Style" w:hAnsi="Bookman Old Style"/>
                <w:sz w:val="20"/>
                <w:szCs w:val="20"/>
              </w:rPr>
              <w:t>liabilitas</w:t>
            </w:r>
            <w:r w:rsidRPr="009A4BC4">
              <w:rPr>
                <w:rFonts w:ascii="Bookman Old Style" w:hAnsi="Bookman Old Style"/>
                <w:spacing w:val="-4"/>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saling</w:t>
            </w:r>
            <w:r w:rsidRPr="009A4BC4">
              <w:rPr>
                <w:rFonts w:ascii="Bookman Old Style" w:hAnsi="Bookman Old Style"/>
                <w:spacing w:val="-3"/>
                <w:sz w:val="20"/>
                <w:szCs w:val="20"/>
              </w:rPr>
              <w:t xml:space="preserve"> </w:t>
            </w:r>
            <w:r w:rsidRPr="009A4BC4">
              <w:rPr>
                <w:rFonts w:ascii="Bookman Old Style" w:hAnsi="Bookman Old Style"/>
                <w:sz w:val="20"/>
                <w:szCs w:val="20"/>
              </w:rPr>
              <w:t>bergantung</w:t>
            </w:r>
            <w:r w:rsidRPr="009A4BC4">
              <w:rPr>
                <w:rFonts w:ascii="Bookman Old Style" w:hAnsi="Bookman Old Style"/>
                <w:spacing w:val="-5"/>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interdependent</w:t>
            </w:r>
            <w:r w:rsidRPr="009A4BC4">
              <w:rPr>
                <w:rFonts w:ascii="Bookman Old Style" w:hAnsi="Bookman Old Style"/>
                <w:sz w:val="20"/>
                <w:szCs w:val="20"/>
              </w:rPr>
              <w:t>)</w:t>
            </w:r>
            <w:r w:rsidRPr="009A4BC4">
              <w:rPr>
                <w:rFonts w:ascii="Bookman Old Style" w:hAnsi="Bookman Old Style"/>
                <w:spacing w:val="-3"/>
                <w:sz w:val="20"/>
                <w:szCs w:val="20"/>
              </w:rPr>
              <w:t xml:space="preserve"> </w:t>
            </w:r>
            <w:r w:rsidRPr="009A4BC4">
              <w:rPr>
                <w:rFonts w:ascii="Bookman Old Style" w:hAnsi="Bookman Old Style"/>
                <w:sz w:val="20"/>
                <w:szCs w:val="20"/>
              </w:rPr>
              <w:t>dan</w:t>
            </w:r>
            <w:r w:rsidRPr="009A4BC4">
              <w:rPr>
                <w:rFonts w:ascii="Bookman Old Style" w:hAnsi="Bookman Old Style"/>
                <w:spacing w:val="-4"/>
                <w:sz w:val="20"/>
                <w:szCs w:val="20"/>
              </w:rPr>
              <w:t xml:space="preserve"> </w:t>
            </w:r>
            <w:r w:rsidRPr="009A4BC4">
              <w:rPr>
                <w:rFonts w:ascii="Bookman Old Style" w:hAnsi="Bookman Old Style"/>
                <w:sz w:val="20"/>
                <w:szCs w:val="20"/>
              </w:rPr>
              <w:t>keterkaitan</w:t>
            </w:r>
            <w:r w:rsidRPr="009A4BC4">
              <w:rPr>
                <w:rFonts w:ascii="Bookman Old Style" w:hAnsi="Bookman Old Style"/>
                <w:spacing w:val="-4"/>
                <w:sz w:val="20"/>
                <w:szCs w:val="20"/>
              </w:rPr>
              <w:t xml:space="preserve"> </w:t>
            </w:r>
            <w:r w:rsidRPr="009A4BC4">
              <w:rPr>
                <w:rFonts w:ascii="Bookman Old Style" w:hAnsi="Bookman Old Style"/>
                <w:sz w:val="20"/>
                <w:szCs w:val="20"/>
              </w:rPr>
              <w:t>antar</w:t>
            </w:r>
            <w:r w:rsidRPr="009A4BC4">
              <w:rPr>
                <w:rFonts w:ascii="Bookman Old Style" w:hAnsi="Bookman Old Style"/>
                <w:spacing w:val="-3"/>
                <w:sz w:val="20"/>
                <w:szCs w:val="20"/>
              </w:rPr>
              <w:t xml:space="preserve"> </w:t>
            </w:r>
            <w:r w:rsidRPr="009A4BC4">
              <w:rPr>
                <w:rFonts w:ascii="Bookman Old Style" w:hAnsi="Bookman Old Style"/>
                <w:sz w:val="20"/>
                <w:szCs w:val="20"/>
              </w:rPr>
              <w:t>transaksi.</w:t>
            </w:r>
          </w:p>
        </w:tc>
      </w:tr>
      <w:tr w:rsidR="009A4BC4" w:rsidRPr="009A4BC4" w14:paraId="3DAB4D18" w14:textId="77777777" w:rsidTr="008262B9">
        <w:trPr>
          <w:trHeight w:val="604"/>
        </w:trPr>
        <w:tc>
          <w:tcPr>
            <w:tcW w:w="17019" w:type="dxa"/>
            <w:shd w:val="clear" w:color="auto" w:fill="BEBEBE"/>
          </w:tcPr>
          <w:p w14:paraId="398BA7A6" w14:textId="77777777" w:rsidR="009A4BC4" w:rsidRPr="009A4BC4" w:rsidRDefault="009A4BC4" w:rsidP="001359AD">
            <w:pPr>
              <w:pStyle w:val="TableParagraph"/>
              <w:spacing w:before="119"/>
              <w:ind w:left="5913" w:right="5906"/>
              <w:jc w:val="center"/>
              <w:rPr>
                <w:rFonts w:ascii="Bookman Old Style" w:hAnsi="Bookman Old Style"/>
                <w:b/>
                <w:sz w:val="20"/>
                <w:szCs w:val="20"/>
              </w:rPr>
            </w:pPr>
            <w:r w:rsidRPr="009A4BC4">
              <w:rPr>
                <w:rFonts w:ascii="Bookman Old Style" w:hAnsi="Bookman Old Style"/>
                <w:b/>
                <w:sz w:val="20"/>
                <w:szCs w:val="20"/>
              </w:rPr>
              <w:t>Analisis</w:t>
            </w:r>
            <w:r w:rsidRPr="009A4BC4">
              <w:rPr>
                <w:rFonts w:ascii="Bookman Old Style" w:hAnsi="Bookman Old Style"/>
                <w:b/>
                <w:spacing w:val="-5"/>
                <w:sz w:val="20"/>
                <w:szCs w:val="20"/>
              </w:rPr>
              <w:t xml:space="preserve"> </w:t>
            </w:r>
            <w:r w:rsidRPr="009A4BC4">
              <w:rPr>
                <w:rFonts w:ascii="Bookman Old Style" w:hAnsi="Bookman Old Style"/>
                <w:b/>
                <w:sz w:val="20"/>
                <w:szCs w:val="20"/>
              </w:rPr>
              <w:t>Secara</w:t>
            </w:r>
            <w:r w:rsidRPr="009A4BC4">
              <w:rPr>
                <w:rFonts w:ascii="Bookman Old Style" w:hAnsi="Bookman Old Style"/>
                <w:b/>
                <w:spacing w:val="-4"/>
                <w:sz w:val="20"/>
                <w:szCs w:val="20"/>
              </w:rPr>
              <w:t xml:space="preserve"> </w:t>
            </w:r>
            <w:r w:rsidRPr="009A4BC4">
              <w:rPr>
                <w:rFonts w:ascii="Bookman Old Style" w:hAnsi="Bookman Old Style"/>
                <w:b/>
                <w:sz w:val="20"/>
                <w:szCs w:val="20"/>
              </w:rPr>
              <w:t>Konsolidasi</w:t>
            </w:r>
          </w:p>
        </w:tc>
      </w:tr>
      <w:tr w:rsidR="009A4BC4" w:rsidRPr="009A4BC4" w14:paraId="2F3BDF4B" w14:textId="77777777" w:rsidTr="008262B9">
        <w:trPr>
          <w:trHeight w:val="2073"/>
        </w:trPr>
        <w:tc>
          <w:tcPr>
            <w:tcW w:w="17019" w:type="dxa"/>
          </w:tcPr>
          <w:p w14:paraId="6FB957A0" w14:textId="77777777" w:rsidR="009A4BC4" w:rsidRPr="009A4BC4" w:rsidRDefault="009A4BC4" w:rsidP="001359AD">
            <w:pPr>
              <w:pStyle w:val="TableParagraph"/>
              <w:spacing w:line="281" w:lineRule="exact"/>
              <w:ind w:left="107"/>
              <w:rPr>
                <w:rFonts w:ascii="Bookman Old Style" w:hAnsi="Bookman Old Style"/>
                <w:sz w:val="20"/>
                <w:szCs w:val="20"/>
              </w:rPr>
            </w:pPr>
            <w:r w:rsidRPr="009A4BC4">
              <w:rPr>
                <w:rFonts w:ascii="Bookman Old Style" w:hAnsi="Bookman Old Style"/>
                <w:sz w:val="20"/>
                <w:szCs w:val="20"/>
              </w:rPr>
              <w:t>Analisis</w:t>
            </w:r>
            <w:r w:rsidRPr="009A4BC4">
              <w:rPr>
                <w:rFonts w:ascii="Bookman Old Style" w:hAnsi="Bookman Old Style"/>
                <w:spacing w:val="-4"/>
                <w:sz w:val="20"/>
                <w:szCs w:val="20"/>
              </w:rPr>
              <w:t xml:space="preserve"> </w:t>
            </w:r>
            <w:r w:rsidRPr="009A4BC4">
              <w:rPr>
                <w:rFonts w:ascii="Bookman Old Style" w:hAnsi="Bookman Old Style"/>
                <w:sz w:val="20"/>
                <w:szCs w:val="20"/>
              </w:rPr>
              <w:t>perkembangan</w:t>
            </w:r>
            <w:r w:rsidRPr="009A4BC4">
              <w:rPr>
                <w:rFonts w:ascii="Bookman Old Style" w:hAnsi="Bookman Old Style"/>
                <w:spacing w:val="-5"/>
                <w:sz w:val="20"/>
                <w:szCs w:val="20"/>
              </w:rPr>
              <w:t xml:space="preserve"> </w:t>
            </w:r>
            <w:r w:rsidRPr="009A4BC4">
              <w:rPr>
                <w:rFonts w:ascii="Bookman Old Style" w:hAnsi="Bookman Old Style"/>
                <w:sz w:val="20"/>
                <w:szCs w:val="20"/>
              </w:rPr>
              <w:t>NSFR</w:t>
            </w:r>
            <w:r w:rsidRPr="009A4BC4">
              <w:rPr>
                <w:rFonts w:ascii="Bookman Old Style" w:hAnsi="Bookman Old Style"/>
                <w:spacing w:val="-3"/>
                <w:sz w:val="20"/>
                <w:szCs w:val="20"/>
              </w:rPr>
              <w:t xml:space="preserve"> </w:t>
            </w:r>
            <w:r w:rsidRPr="009A4BC4">
              <w:rPr>
                <w:rFonts w:ascii="Bookman Old Style" w:hAnsi="Bookman Old Style"/>
                <w:sz w:val="20"/>
                <w:szCs w:val="20"/>
              </w:rPr>
              <w:t>paling</w:t>
            </w:r>
            <w:r w:rsidRPr="009A4BC4">
              <w:rPr>
                <w:rFonts w:ascii="Bookman Old Style" w:hAnsi="Bookman Old Style"/>
                <w:spacing w:val="-5"/>
                <w:sz w:val="20"/>
                <w:szCs w:val="20"/>
              </w:rPr>
              <w:t xml:space="preserve"> </w:t>
            </w:r>
            <w:r w:rsidRPr="009A4BC4">
              <w:rPr>
                <w:rFonts w:ascii="Bookman Old Style" w:hAnsi="Bookman Old Style"/>
                <w:sz w:val="20"/>
                <w:szCs w:val="20"/>
              </w:rPr>
              <w:t>sedikit</w:t>
            </w:r>
            <w:r w:rsidRPr="009A4BC4">
              <w:rPr>
                <w:rFonts w:ascii="Bookman Old Style" w:hAnsi="Bookman Old Style"/>
                <w:spacing w:val="-4"/>
                <w:sz w:val="20"/>
                <w:szCs w:val="20"/>
              </w:rPr>
              <w:t xml:space="preserve"> </w:t>
            </w:r>
            <w:r w:rsidRPr="009A4BC4">
              <w:rPr>
                <w:rFonts w:ascii="Bookman Old Style" w:hAnsi="Bookman Old Style"/>
                <w:sz w:val="20"/>
                <w:szCs w:val="20"/>
              </w:rPr>
              <w:t>menjelaskan:</w:t>
            </w:r>
          </w:p>
          <w:p w14:paraId="34638106" w14:textId="77777777" w:rsidR="009A4BC4" w:rsidRPr="009A4BC4" w:rsidRDefault="009A4BC4" w:rsidP="00A32F86">
            <w:pPr>
              <w:pStyle w:val="TableParagraph"/>
              <w:numPr>
                <w:ilvl w:val="0"/>
                <w:numId w:val="217"/>
              </w:numPr>
              <w:tabs>
                <w:tab w:val="left" w:pos="828"/>
                <w:tab w:val="left" w:pos="829"/>
              </w:tabs>
              <w:spacing w:before="42"/>
              <w:ind w:hanging="722"/>
              <w:rPr>
                <w:rFonts w:ascii="Bookman Old Style" w:hAnsi="Bookman Old Style"/>
                <w:sz w:val="20"/>
                <w:szCs w:val="20"/>
              </w:rPr>
            </w:pPr>
            <w:r w:rsidRPr="009A4BC4">
              <w:rPr>
                <w:rFonts w:ascii="Bookman Old Style" w:hAnsi="Bookman Old Style"/>
                <w:sz w:val="20"/>
                <w:szCs w:val="20"/>
              </w:rPr>
              <w:t>faktor</w:t>
            </w:r>
            <w:r w:rsidRPr="009A4BC4">
              <w:rPr>
                <w:rFonts w:ascii="Bookman Old Style" w:hAnsi="Bookman Old Style"/>
                <w:spacing w:val="-5"/>
                <w:sz w:val="20"/>
                <w:szCs w:val="20"/>
              </w:rPr>
              <w:t xml:space="preserve"> </w:t>
            </w:r>
            <w:r w:rsidRPr="009A4BC4">
              <w:rPr>
                <w:rFonts w:ascii="Bookman Old Style" w:hAnsi="Bookman Old Style"/>
                <w:sz w:val="20"/>
                <w:szCs w:val="20"/>
              </w:rPr>
              <w:t>utama</w:t>
            </w:r>
            <w:r w:rsidRPr="009A4BC4">
              <w:rPr>
                <w:rFonts w:ascii="Bookman Old Style" w:hAnsi="Bookman Old Style"/>
                <w:spacing w:val="-5"/>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mempengaruhi</w:t>
            </w:r>
            <w:r w:rsidRPr="009A4BC4">
              <w:rPr>
                <w:rFonts w:ascii="Bookman Old Style" w:hAnsi="Bookman Old Style"/>
                <w:spacing w:val="-4"/>
                <w:sz w:val="20"/>
                <w:szCs w:val="20"/>
              </w:rPr>
              <w:t xml:space="preserve"> </w:t>
            </w:r>
            <w:r w:rsidRPr="009A4BC4">
              <w:rPr>
                <w:rFonts w:ascii="Bookman Old Style" w:hAnsi="Bookman Old Style"/>
                <w:sz w:val="20"/>
                <w:szCs w:val="20"/>
              </w:rPr>
              <w:t>NSFR</w:t>
            </w:r>
            <w:r w:rsidRPr="009A4BC4">
              <w:rPr>
                <w:rFonts w:ascii="Bookman Old Style" w:hAnsi="Bookman Old Style"/>
                <w:spacing w:val="-4"/>
                <w:sz w:val="20"/>
                <w:szCs w:val="20"/>
              </w:rPr>
              <w:t xml:space="preserve"> </w:t>
            </w:r>
            <w:r w:rsidRPr="009A4BC4">
              <w:rPr>
                <w:rFonts w:ascii="Bookman Old Style" w:hAnsi="Bookman Old Style"/>
                <w:sz w:val="20"/>
                <w:szCs w:val="20"/>
              </w:rPr>
              <w:t>secara</w:t>
            </w:r>
            <w:r w:rsidRPr="009A4BC4">
              <w:rPr>
                <w:rFonts w:ascii="Bookman Old Style" w:hAnsi="Bookman Old Style"/>
                <w:spacing w:val="-4"/>
                <w:sz w:val="20"/>
                <w:szCs w:val="20"/>
              </w:rPr>
              <w:t xml:space="preserve"> </w:t>
            </w:r>
            <w:r w:rsidRPr="009A4BC4">
              <w:rPr>
                <w:rFonts w:ascii="Bookman Old Style" w:hAnsi="Bookman Old Style"/>
                <w:sz w:val="20"/>
                <w:szCs w:val="20"/>
              </w:rPr>
              <w:t>konsolidasi</w:t>
            </w:r>
            <w:r w:rsidRPr="009A4BC4">
              <w:rPr>
                <w:rFonts w:ascii="Bookman Old Style" w:hAnsi="Bookman Old Style"/>
                <w:spacing w:val="-4"/>
                <w:sz w:val="20"/>
                <w:szCs w:val="20"/>
              </w:rPr>
              <w:t xml:space="preserve"> </w:t>
            </w:r>
            <w:r w:rsidRPr="009A4BC4">
              <w:rPr>
                <w:rFonts w:ascii="Bookman Old Style" w:hAnsi="Bookman Old Style"/>
                <w:sz w:val="20"/>
                <w:szCs w:val="20"/>
              </w:rPr>
              <w:t>yang</w:t>
            </w:r>
            <w:r w:rsidRPr="009A4BC4">
              <w:rPr>
                <w:rFonts w:ascii="Bookman Old Style" w:hAnsi="Bookman Old Style"/>
                <w:spacing w:val="-3"/>
                <w:sz w:val="20"/>
                <w:szCs w:val="20"/>
              </w:rPr>
              <w:t xml:space="preserve"> </w:t>
            </w:r>
            <w:r w:rsidRPr="009A4BC4">
              <w:rPr>
                <w:rFonts w:ascii="Bookman Old Style" w:hAnsi="Bookman Old Style"/>
                <w:sz w:val="20"/>
                <w:szCs w:val="20"/>
              </w:rPr>
              <w:t>dipublikasikan;</w:t>
            </w:r>
          </w:p>
          <w:p w14:paraId="68598C3C" w14:textId="77777777" w:rsidR="009A4BC4" w:rsidRPr="009A4BC4" w:rsidRDefault="009A4BC4" w:rsidP="00A32F86">
            <w:pPr>
              <w:pStyle w:val="TableParagraph"/>
              <w:numPr>
                <w:ilvl w:val="0"/>
                <w:numId w:val="217"/>
              </w:numPr>
              <w:tabs>
                <w:tab w:val="left" w:pos="828"/>
                <w:tab w:val="left" w:pos="829"/>
              </w:tabs>
              <w:spacing w:before="43" w:line="276" w:lineRule="auto"/>
              <w:ind w:right="952"/>
              <w:rPr>
                <w:rFonts w:ascii="Bookman Old Style" w:hAnsi="Bookman Old Style"/>
                <w:sz w:val="20"/>
                <w:szCs w:val="20"/>
              </w:rPr>
            </w:pPr>
            <w:r w:rsidRPr="009A4BC4">
              <w:rPr>
                <w:rFonts w:ascii="Bookman Old Style" w:hAnsi="Bookman Old Style"/>
                <w:sz w:val="20"/>
                <w:szCs w:val="20"/>
              </w:rPr>
              <w:t>faktor atau kondisi yang menyebabkan penurunan atau peningkatan NSFR secara konsolidasi (misalnya: terdapat</w:t>
            </w:r>
            <w:r w:rsidRPr="009A4BC4">
              <w:rPr>
                <w:rFonts w:ascii="Bookman Old Style" w:hAnsi="Bookman Old Style"/>
                <w:spacing w:val="-74"/>
                <w:sz w:val="20"/>
                <w:szCs w:val="20"/>
              </w:rPr>
              <w:t xml:space="preserve"> </w:t>
            </w:r>
            <w:r w:rsidRPr="009A4BC4">
              <w:rPr>
                <w:rFonts w:ascii="Bookman Old Style" w:hAnsi="Bookman Old Style"/>
                <w:sz w:val="20"/>
                <w:szCs w:val="20"/>
              </w:rPr>
              <w:t>perubahan</w:t>
            </w:r>
            <w:r w:rsidRPr="009A4BC4">
              <w:rPr>
                <w:rFonts w:ascii="Bookman Old Style" w:hAnsi="Bookman Old Style"/>
                <w:spacing w:val="-2"/>
                <w:sz w:val="20"/>
                <w:szCs w:val="20"/>
              </w:rPr>
              <w:t xml:space="preserve"> </w:t>
            </w:r>
            <w:r w:rsidRPr="009A4BC4">
              <w:rPr>
                <w:rFonts w:ascii="Bookman Old Style" w:hAnsi="Bookman Old Style"/>
                <w:sz w:val="20"/>
                <w:szCs w:val="20"/>
              </w:rPr>
              <w:t>strategi dan</w:t>
            </w:r>
            <w:r w:rsidRPr="009A4BC4">
              <w:rPr>
                <w:rFonts w:ascii="Bookman Old Style" w:hAnsi="Bookman Old Style"/>
                <w:spacing w:val="-1"/>
                <w:sz w:val="20"/>
                <w:szCs w:val="20"/>
              </w:rPr>
              <w:t xml:space="preserve"> </w:t>
            </w:r>
            <w:r w:rsidRPr="009A4BC4">
              <w:rPr>
                <w:rFonts w:ascii="Bookman Old Style" w:hAnsi="Bookman Old Style"/>
                <w:sz w:val="20"/>
                <w:szCs w:val="20"/>
              </w:rPr>
              <w:t>struktur</w:t>
            </w:r>
            <w:r w:rsidRPr="009A4BC4">
              <w:rPr>
                <w:rFonts w:ascii="Bookman Old Style" w:hAnsi="Bookman Old Style"/>
                <w:spacing w:val="1"/>
                <w:sz w:val="20"/>
                <w:szCs w:val="20"/>
              </w:rPr>
              <w:t xml:space="preserve"> </w:t>
            </w:r>
            <w:r w:rsidRPr="009A4BC4">
              <w:rPr>
                <w:rFonts w:ascii="Bookman Old Style" w:hAnsi="Bookman Old Style"/>
                <w:sz w:val="20"/>
                <w:szCs w:val="20"/>
              </w:rPr>
              <w:t>Pendanaan); dan</w:t>
            </w:r>
          </w:p>
          <w:p w14:paraId="4E65B775" w14:textId="77777777" w:rsidR="009A4BC4" w:rsidRPr="009A4BC4" w:rsidRDefault="009A4BC4" w:rsidP="00A32F86">
            <w:pPr>
              <w:pStyle w:val="TableParagraph"/>
              <w:numPr>
                <w:ilvl w:val="0"/>
                <w:numId w:val="217"/>
              </w:numPr>
              <w:tabs>
                <w:tab w:val="left" w:pos="828"/>
                <w:tab w:val="left" w:pos="829"/>
              </w:tabs>
              <w:spacing w:before="2"/>
              <w:ind w:hanging="722"/>
              <w:rPr>
                <w:rFonts w:ascii="Bookman Old Style" w:hAnsi="Bookman Old Style"/>
                <w:sz w:val="20"/>
                <w:szCs w:val="20"/>
              </w:rPr>
            </w:pPr>
            <w:r w:rsidRPr="009A4BC4">
              <w:rPr>
                <w:rFonts w:ascii="Bookman Old Style" w:hAnsi="Bookman Old Style"/>
                <w:sz w:val="20"/>
                <w:szCs w:val="20"/>
              </w:rPr>
              <w:t>komposisi</w:t>
            </w:r>
            <w:r w:rsidRPr="009A4BC4">
              <w:rPr>
                <w:rFonts w:ascii="Bookman Old Style" w:hAnsi="Bookman Old Style"/>
                <w:spacing w:val="-5"/>
                <w:sz w:val="20"/>
                <w:szCs w:val="20"/>
              </w:rPr>
              <w:t xml:space="preserve"> </w:t>
            </w:r>
            <w:r w:rsidRPr="009A4BC4">
              <w:rPr>
                <w:rFonts w:ascii="Bookman Old Style" w:hAnsi="Bookman Old Style"/>
                <w:sz w:val="20"/>
                <w:szCs w:val="20"/>
              </w:rPr>
              <w:t>yang</w:t>
            </w:r>
            <w:r w:rsidRPr="009A4BC4">
              <w:rPr>
                <w:rFonts w:ascii="Bookman Old Style" w:hAnsi="Bookman Old Style"/>
                <w:spacing w:val="-4"/>
                <w:sz w:val="20"/>
                <w:szCs w:val="20"/>
              </w:rPr>
              <w:t xml:space="preserve"> </w:t>
            </w:r>
            <w:r w:rsidRPr="009A4BC4">
              <w:rPr>
                <w:rFonts w:ascii="Bookman Old Style" w:hAnsi="Bookman Old Style"/>
                <w:sz w:val="20"/>
                <w:szCs w:val="20"/>
              </w:rPr>
              <w:t>saling</w:t>
            </w:r>
            <w:r w:rsidRPr="009A4BC4">
              <w:rPr>
                <w:rFonts w:ascii="Bookman Old Style" w:hAnsi="Bookman Old Style"/>
                <w:spacing w:val="-4"/>
                <w:sz w:val="20"/>
                <w:szCs w:val="20"/>
              </w:rPr>
              <w:t xml:space="preserve"> </w:t>
            </w:r>
            <w:r w:rsidRPr="009A4BC4">
              <w:rPr>
                <w:rFonts w:ascii="Bookman Old Style" w:hAnsi="Bookman Old Style"/>
                <w:sz w:val="20"/>
                <w:szCs w:val="20"/>
              </w:rPr>
              <w:t>bergantung</w:t>
            </w:r>
            <w:r w:rsidRPr="009A4BC4">
              <w:rPr>
                <w:rFonts w:ascii="Bookman Old Style" w:hAnsi="Bookman Old Style"/>
                <w:spacing w:val="-5"/>
                <w:sz w:val="20"/>
                <w:szCs w:val="20"/>
              </w:rPr>
              <w:t xml:space="preserve"> </w:t>
            </w:r>
            <w:r w:rsidRPr="009A4BC4">
              <w:rPr>
                <w:rFonts w:ascii="Bookman Old Style" w:hAnsi="Bookman Old Style"/>
                <w:sz w:val="20"/>
                <w:szCs w:val="20"/>
              </w:rPr>
              <w:t>(</w:t>
            </w:r>
            <w:r w:rsidRPr="009A4BC4">
              <w:rPr>
                <w:rFonts w:ascii="Bookman Old Style" w:hAnsi="Bookman Old Style"/>
                <w:i/>
                <w:sz w:val="20"/>
                <w:szCs w:val="20"/>
              </w:rPr>
              <w:t>interdependent</w:t>
            </w:r>
            <w:r w:rsidRPr="009A4BC4">
              <w:rPr>
                <w:rFonts w:ascii="Bookman Old Style" w:hAnsi="Bookman Old Style"/>
                <w:sz w:val="20"/>
                <w:szCs w:val="20"/>
              </w:rPr>
              <w:t>)</w:t>
            </w:r>
            <w:r w:rsidRPr="009A4BC4">
              <w:rPr>
                <w:rFonts w:ascii="Bookman Old Style" w:hAnsi="Bookman Old Style"/>
                <w:spacing w:val="-4"/>
                <w:sz w:val="20"/>
                <w:szCs w:val="20"/>
              </w:rPr>
              <w:t xml:space="preserve"> </w:t>
            </w:r>
            <w:r w:rsidRPr="009A4BC4">
              <w:rPr>
                <w:rFonts w:ascii="Bookman Old Style" w:hAnsi="Bookman Old Style"/>
                <w:sz w:val="20"/>
                <w:szCs w:val="20"/>
              </w:rPr>
              <w:t>dan</w:t>
            </w:r>
            <w:r w:rsidRPr="009A4BC4">
              <w:rPr>
                <w:rFonts w:ascii="Bookman Old Style" w:hAnsi="Bookman Old Style"/>
                <w:spacing w:val="-4"/>
                <w:sz w:val="20"/>
                <w:szCs w:val="20"/>
              </w:rPr>
              <w:t xml:space="preserve"> </w:t>
            </w:r>
            <w:r w:rsidRPr="009A4BC4">
              <w:rPr>
                <w:rFonts w:ascii="Bookman Old Style" w:hAnsi="Bookman Old Style"/>
                <w:sz w:val="20"/>
                <w:szCs w:val="20"/>
              </w:rPr>
              <w:t>keterkaitan</w:t>
            </w:r>
            <w:r w:rsidRPr="009A4BC4">
              <w:rPr>
                <w:rFonts w:ascii="Bookman Old Style" w:hAnsi="Bookman Old Style"/>
                <w:spacing w:val="-4"/>
                <w:sz w:val="20"/>
                <w:szCs w:val="20"/>
              </w:rPr>
              <w:t xml:space="preserve"> </w:t>
            </w:r>
            <w:r w:rsidRPr="009A4BC4">
              <w:rPr>
                <w:rFonts w:ascii="Bookman Old Style" w:hAnsi="Bookman Old Style"/>
                <w:sz w:val="20"/>
                <w:szCs w:val="20"/>
              </w:rPr>
              <w:t>antar</w:t>
            </w:r>
            <w:r w:rsidRPr="009A4BC4">
              <w:rPr>
                <w:rFonts w:ascii="Bookman Old Style" w:hAnsi="Bookman Old Style"/>
                <w:spacing w:val="-4"/>
                <w:sz w:val="20"/>
                <w:szCs w:val="20"/>
              </w:rPr>
              <w:t xml:space="preserve"> </w:t>
            </w:r>
            <w:r w:rsidRPr="009A4BC4">
              <w:rPr>
                <w:rFonts w:ascii="Bookman Old Style" w:hAnsi="Bookman Old Style"/>
                <w:sz w:val="20"/>
                <w:szCs w:val="20"/>
              </w:rPr>
              <w:t>transaksi.</w:t>
            </w:r>
          </w:p>
        </w:tc>
      </w:tr>
    </w:tbl>
    <w:p w14:paraId="42DBD4D7" w14:textId="1763956C" w:rsidR="009A4BC4" w:rsidRDefault="009A4BC4"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p>
    <w:p w14:paraId="11814461" w14:textId="18C9477B" w:rsidR="009A4BC4" w:rsidRDefault="009A4BC4" w:rsidP="009A4BC4">
      <w:pPr>
        <w:pStyle w:val="ListParagraph"/>
        <w:widowControl w:val="0"/>
        <w:autoSpaceDE w:val="0"/>
        <w:autoSpaceDN w:val="0"/>
        <w:spacing w:after="0" w:line="240" w:lineRule="auto"/>
        <w:ind w:left="567"/>
        <w:contextualSpacing w:val="0"/>
        <w:jc w:val="both"/>
        <w:rPr>
          <w:rFonts w:ascii="Bookman Old Style" w:hAnsi="Bookman Old Style"/>
          <w:sz w:val="20"/>
          <w:szCs w:val="20"/>
        </w:rPr>
      </w:pPr>
      <w:r>
        <w:rPr>
          <w:noProof/>
          <w:sz w:val="24"/>
          <w:szCs w:val="24"/>
          <w:lang w:val="en-US"/>
        </w:rPr>
        <mc:AlternateContent>
          <mc:Choice Requires="wps">
            <w:drawing>
              <wp:anchor distT="0" distB="0" distL="114300" distR="114300" simplePos="0" relativeHeight="251664384" behindDoc="0" locked="0" layoutInCell="1" allowOverlap="1" wp14:anchorId="674F67C4" wp14:editId="52729D82">
                <wp:simplePos x="0" y="0"/>
                <wp:positionH relativeFrom="column">
                  <wp:posOffset>6755012</wp:posOffset>
                </wp:positionH>
                <wp:positionV relativeFrom="paragraph">
                  <wp:posOffset>8801</wp:posOffset>
                </wp:positionV>
                <wp:extent cx="2445488" cy="1816100"/>
                <wp:effectExtent l="0" t="0" r="0" b="0"/>
                <wp:wrapNone/>
                <wp:docPr id="3" name="Rectangle 3"/>
                <wp:cNvGraphicFramePr/>
                <a:graphic xmlns:a="http://schemas.openxmlformats.org/drawingml/2006/main">
                  <a:graphicData uri="http://schemas.microsoft.com/office/word/2010/wordprocessingShape">
                    <wps:wsp>
                      <wps:cNvSpPr/>
                      <wps:spPr>
                        <a:xfrm>
                          <a:off x="0" y="0"/>
                          <a:ext cx="2445488" cy="181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880C5" w14:textId="77777777" w:rsidR="009A4BC4" w:rsidRPr="009A4BC4" w:rsidRDefault="009A4BC4" w:rsidP="009A4BC4">
                            <w:pPr>
                              <w:pStyle w:val="BodyText"/>
                              <w:spacing w:before="100" w:line="360" w:lineRule="auto"/>
                              <w:ind w:left="358" w:right="112"/>
                              <w:rPr>
                                <w:rFonts w:ascii="Bookman Old Style" w:hAnsi="Bookman Old Style"/>
                                <w:color w:val="000000" w:themeColor="text1"/>
                                <w:sz w:val="20"/>
                                <w:szCs w:val="20"/>
                              </w:rPr>
                            </w:pPr>
                            <w:bookmarkStart w:id="5" w:name="_GoBack"/>
                            <w:r w:rsidRPr="009A4BC4">
                              <w:rPr>
                                <w:rFonts w:ascii="Bookman Old Style" w:hAnsi="Bookman Old Style"/>
                                <w:color w:val="000000" w:themeColor="text1"/>
                                <w:sz w:val="20"/>
                                <w:szCs w:val="20"/>
                              </w:rPr>
                              <w:t>KETUA DEWAN KOMISIONER</w:t>
                            </w:r>
                            <w:r w:rsidRPr="009A4BC4">
                              <w:rPr>
                                <w:rFonts w:ascii="Bookman Old Style" w:hAnsi="Bookman Old Style"/>
                                <w:color w:val="000000" w:themeColor="text1"/>
                                <w:spacing w:val="-74"/>
                                <w:sz w:val="20"/>
                                <w:szCs w:val="20"/>
                              </w:rPr>
                              <w:t xml:space="preserve"> </w:t>
                            </w:r>
                            <w:r w:rsidRPr="009A4BC4">
                              <w:rPr>
                                <w:rFonts w:ascii="Bookman Old Style" w:hAnsi="Bookman Old Style"/>
                                <w:color w:val="000000" w:themeColor="text1"/>
                                <w:sz w:val="20"/>
                                <w:szCs w:val="20"/>
                              </w:rPr>
                              <w:t>OTORITAS</w:t>
                            </w:r>
                            <w:r w:rsidRPr="009A4BC4">
                              <w:rPr>
                                <w:rFonts w:ascii="Bookman Old Style" w:hAnsi="Bookman Old Style"/>
                                <w:color w:val="000000" w:themeColor="text1"/>
                                <w:spacing w:val="-3"/>
                                <w:sz w:val="20"/>
                                <w:szCs w:val="20"/>
                              </w:rPr>
                              <w:t xml:space="preserve"> </w:t>
                            </w:r>
                            <w:r w:rsidRPr="009A4BC4">
                              <w:rPr>
                                <w:rFonts w:ascii="Bookman Old Style" w:hAnsi="Bookman Old Style"/>
                                <w:color w:val="000000" w:themeColor="text1"/>
                                <w:sz w:val="20"/>
                                <w:szCs w:val="20"/>
                              </w:rPr>
                              <w:t>JASA</w:t>
                            </w:r>
                            <w:r w:rsidRPr="009A4BC4">
                              <w:rPr>
                                <w:rFonts w:ascii="Bookman Old Style" w:hAnsi="Bookman Old Style"/>
                                <w:color w:val="000000" w:themeColor="text1"/>
                                <w:spacing w:val="-3"/>
                                <w:sz w:val="20"/>
                                <w:szCs w:val="20"/>
                              </w:rPr>
                              <w:t xml:space="preserve"> </w:t>
                            </w:r>
                            <w:r w:rsidRPr="009A4BC4">
                              <w:rPr>
                                <w:rFonts w:ascii="Bookman Old Style" w:hAnsi="Bookman Old Style"/>
                                <w:color w:val="000000" w:themeColor="text1"/>
                                <w:sz w:val="20"/>
                                <w:szCs w:val="20"/>
                              </w:rPr>
                              <w:t>KEUANGAN,</w:t>
                            </w:r>
                          </w:p>
                          <w:p w14:paraId="7800A70E" w14:textId="77777777" w:rsidR="009A4BC4" w:rsidRPr="009A4BC4" w:rsidRDefault="009A4BC4" w:rsidP="009A4BC4">
                            <w:pPr>
                              <w:pStyle w:val="BodyText"/>
                              <w:rPr>
                                <w:rFonts w:ascii="Bookman Old Style" w:hAnsi="Bookman Old Style"/>
                                <w:color w:val="000000" w:themeColor="text1"/>
                                <w:sz w:val="20"/>
                                <w:szCs w:val="20"/>
                              </w:rPr>
                            </w:pPr>
                          </w:p>
                          <w:p w14:paraId="4C15CBB5" w14:textId="77777777" w:rsidR="009A4BC4" w:rsidRPr="009A4BC4" w:rsidRDefault="009A4BC4" w:rsidP="009A4BC4">
                            <w:pPr>
                              <w:pStyle w:val="BodyText"/>
                              <w:ind w:left="358"/>
                              <w:rPr>
                                <w:rFonts w:ascii="Bookman Old Style" w:hAnsi="Bookman Old Style"/>
                                <w:color w:val="000000" w:themeColor="text1"/>
                                <w:sz w:val="20"/>
                                <w:szCs w:val="20"/>
                              </w:rPr>
                            </w:pPr>
                            <w:r w:rsidRPr="009A4BC4">
                              <w:rPr>
                                <w:rFonts w:ascii="Bookman Old Style" w:hAnsi="Bookman Old Style"/>
                                <w:color w:val="000000" w:themeColor="text1"/>
                                <w:sz w:val="20"/>
                                <w:szCs w:val="20"/>
                              </w:rPr>
                              <w:t>ttd</w:t>
                            </w:r>
                          </w:p>
                          <w:p w14:paraId="7B34AFE6" w14:textId="77777777" w:rsidR="009A4BC4" w:rsidRPr="009A4BC4" w:rsidRDefault="009A4BC4" w:rsidP="009A4BC4">
                            <w:pPr>
                              <w:pStyle w:val="BodyText"/>
                              <w:rPr>
                                <w:rFonts w:ascii="Bookman Old Style" w:hAnsi="Bookman Old Style"/>
                                <w:color w:val="000000" w:themeColor="text1"/>
                                <w:sz w:val="20"/>
                                <w:szCs w:val="20"/>
                              </w:rPr>
                            </w:pPr>
                          </w:p>
                          <w:p w14:paraId="2F4CFFE5" w14:textId="77777777" w:rsidR="009A4BC4" w:rsidRPr="009A4BC4" w:rsidRDefault="009A4BC4" w:rsidP="009A4BC4">
                            <w:pPr>
                              <w:ind w:left="284"/>
                              <w:rPr>
                                <w:rFonts w:ascii="Bookman Old Style" w:hAnsi="Bookman Old Style"/>
                                <w:color w:val="000000" w:themeColor="text1"/>
                                <w:sz w:val="20"/>
                                <w:szCs w:val="20"/>
                                <w:lang w:val="en-US"/>
                              </w:rPr>
                            </w:pPr>
                            <w:r w:rsidRPr="009A4BC4">
                              <w:rPr>
                                <w:rFonts w:ascii="Bookman Old Style" w:hAnsi="Bookman Old Style"/>
                                <w:color w:val="000000" w:themeColor="text1"/>
                                <w:sz w:val="20"/>
                                <w:szCs w:val="20"/>
                              </w:rPr>
                              <w:t>MAHENDRA SIREGAR</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4F67C4" id="Rectangle 3" o:spid="_x0000_s1027" style="position:absolute;left:0;text-align:left;margin-left:531.9pt;margin-top:.7pt;width:192.55pt;height:14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" filled="f" stroked="f" strokeweight="1pt">
                <v:textbox>
                  <w:txbxContent>
                    <w:p w14:paraId="05C880C5" w14:textId="77777777" w:rsidR="009A4BC4" w:rsidRPr="009A4BC4" w:rsidRDefault="009A4BC4" w:rsidP="009A4BC4">
                      <w:pPr>
                        <w:pStyle w:val="BodyText"/>
                        <w:spacing w:before="100" w:line="360" w:lineRule="auto"/>
                        <w:ind w:left="358" w:right="112"/>
                        <w:rPr>
                          <w:rFonts w:ascii="Bookman Old Style" w:hAnsi="Bookman Old Style"/>
                          <w:color w:val="000000" w:themeColor="text1"/>
                          <w:sz w:val="20"/>
                          <w:szCs w:val="20"/>
                        </w:rPr>
                      </w:pPr>
                      <w:bookmarkStart w:id="6" w:name="_GoBack"/>
                      <w:r w:rsidRPr="009A4BC4">
                        <w:rPr>
                          <w:rFonts w:ascii="Bookman Old Style" w:hAnsi="Bookman Old Style"/>
                          <w:color w:val="000000" w:themeColor="text1"/>
                          <w:sz w:val="20"/>
                          <w:szCs w:val="20"/>
                        </w:rPr>
                        <w:t>KETUA DEWAN KOMISIONER</w:t>
                      </w:r>
                      <w:r w:rsidRPr="009A4BC4">
                        <w:rPr>
                          <w:rFonts w:ascii="Bookman Old Style" w:hAnsi="Bookman Old Style"/>
                          <w:color w:val="000000" w:themeColor="text1"/>
                          <w:spacing w:val="-74"/>
                          <w:sz w:val="20"/>
                          <w:szCs w:val="20"/>
                        </w:rPr>
                        <w:t xml:space="preserve"> </w:t>
                      </w:r>
                      <w:r w:rsidRPr="009A4BC4">
                        <w:rPr>
                          <w:rFonts w:ascii="Bookman Old Style" w:hAnsi="Bookman Old Style"/>
                          <w:color w:val="000000" w:themeColor="text1"/>
                          <w:sz w:val="20"/>
                          <w:szCs w:val="20"/>
                        </w:rPr>
                        <w:t>OTORITAS</w:t>
                      </w:r>
                      <w:r w:rsidRPr="009A4BC4">
                        <w:rPr>
                          <w:rFonts w:ascii="Bookman Old Style" w:hAnsi="Bookman Old Style"/>
                          <w:color w:val="000000" w:themeColor="text1"/>
                          <w:spacing w:val="-3"/>
                          <w:sz w:val="20"/>
                          <w:szCs w:val="20"/>
                        </w:rPr>
                        <w:t xml:space="preserve"> </w:t>
                      </w:r>
                      <w:r w:rsidRPr="009A4BC4">
                        <w:rPr>
                          <w:rFonts w:ascii="Bookman Old Style" w:hAnsi="Bookman Old Style"/>
                          <w:color w:val="000000" w:themeColor="text1"/>
                          <w:sz w:val="20"/>
                          <w:szCs w:val="20"/>
                        </w:rPr>
                        <w:t>JASA</w:t>
                      </w:r>
                      <w:r w:rsidRPr="009A4BC4">
                        <w:rPr>
                          <w:rFonts w:ascii="Bookman Old Style" w:hAnsi="Bookman Old Style"/>
                          <w:color w:val="000000" w:themeColor="text1"/>
                          <w:spacing w:val="-3"/>
                          <w:sz w:val="20"/>
                          <w:szCs w:val="20"/>
                        </w:rPr>
                        <w:t xml:space="preserve"> </w:t>
                      </w:r>
                      <w:r w:rsidRPr="009A4BC4">
                        <w:rPr>
                          <w:rFonts w:ascii="Bookman Old Style" w:hAnsi="Bookman Old Style"/>
                          <w:color w:val="000000" w:themeColor="text1"/>
                          <w:sz w:val="20"/>
                          <w:szCs w:val="20"/>
                        </w:rPr>
                        <w:t>KEUANGAN,</w:t>
                      </w:r>
                    </w:p>
                    <w:p w14:paraId="7800A70E" w14:textId="77777777" w:rsidR="009A4BC4" w:rsidRPr="009A4BC4" w:rsidRDefault="009A4BC4" w:rsidP="009A4BC4">
                      <w:pPr>
                        <w:pStyle w:val="BodyText"/>
                        <w:rPr>
                          <w:rFonts w:ascii="Bookman Old Style" w:hAnsi="Bookman Old Style"/>
                          <w:color w:val="000000" w:themeColor="text1"/>
                          <w:sz w:val="20"/>
                          <w:szCs w:val="20"/>
                        </w:rPr>
                      </w:pPr>
                    </w:p>
                    <w:p w14:paraId="4C15CBB5" w14:textId="77777777" w:rsidR="009A4BC4" w:rsidRPr="009A4BC4" w:rsidRDefault="009A4BC4" w:rsidP="009A4BC4">
                      <w:pPr>
                        <w:pStyle w:val="BodyText"/>
                        <w:ind w:left="358"/>
                        <w:rPr>
                          <w:rFonts w:ascii="Bookman Old Style" w:hAnsi="Bookman Old Style"/>
                          <w:color w:val="000000" w:themeColor="text1"/>
                          <w:sz w:val="20"/>
                          <w:szCs w:val="20"/>
                        </w:rPr>
                      </w:pPr>
                      <w:r w:rsidRPr="009A4BC4">
                        <w:rPr>
                          <w:rFonts w:ascii="Bookman Old Style" w:hAnsi="Bookman Old Style"/>
                          <w:color w:val="000000" w:themeColor="text1"/>
                          <w:sz w:val="20"/>
                          <w:szCs w:val="20"/>
                        </w:rPr>
                        <w:t>ttd</w:t>
                      </w:r>
                    </w:p>
                    <w:p w14:paraId="7B34AFE6" w14:textId="77777777" w:rsidR="009A4BC4" w:rsidRPr="009A4BC4" w:rsidRDefault="009A4BC4" w:rsidP="009A4BC4">
                      <w:pPr>
                        <w:pStyle w:val="BodyText"/>
                        <w:rPr>
                          <w:rFonts w:ascii="Bookman Old Style" w:hAnsi="Bookman Old Style"/>
                          <w:color w:val="000000" w:themeColor="text1"/>
                          <w:sz w:val="20"/>
                          <w:szCs w:val="20"/>
                        </w:rPr>
                      </w:pPr>
                    </w:p>
                    <w:p w14:paraId="2F4CFFE5" w14:textId="77777777" w:rsidR="009A4BC4" w:rsidRPr="009A4BC4" w:rsidRDefault="009A4BC4" w:rsidP="009A4BC4">
                      <w:pPr>
                        <w:ind w:left="284"/>
                        <w:rPr>
                          <w:rFonts w:ascii="Bookman Old Style" w:hAnsi="Bookman Old Style"/>
                          <w:color w:val="000000" w:themeColor="text1"/>
                          <w:sz w:val="20"/>
                          <w:szCs w:val="20"/>
                          <w:lang w:val="en-US"/>
                        </w:rPr>
                      </w:pPr>
                      <w:r w:rsidRPr="009A4BC4">
                        <w:rPr>
                          <w:rFonts w:ascii="Bookman Old Style" w:hAnsi="Bookman Old Style"/>
                          <w:color w:val="000000" w:themeColor="text1"/>
                          <w:sz w:val="20"/>
                          <w:szCs w:val="20"/>
                        </w:rPr>
                        <w:t>MAHENDRA SIREGAR</w:t>
                      </w:r>
                      <w:bookmarkEnd w:id="6"/>
                    </w:p>
                  </w:txbxContent>
                </v:textbox>
              </v:rect>
            </w:pict>
          </mc:Fallback>
        </mc:AlternateContent>
      </w:r>
    </w:p>
    <w:p w14:paraId="1BE50CD2" w14:textId="2CBB5B4A" w:rsidR="009A4BC4" w:rsidRDefault="009A4BC4" w:rsidP="008262B9">
      <w:pPr>
        <w:spacing w:after="0" w:line="240" w:lineRule="auto"/>
        <w:ind w:left="567" w:right="32"/>
        <w:rPr>
          <w:rFonts w:ascii="Bookman Old Style" w:hAnsi="Bookman Old Style"/>
          <w:spacing w:val="-67"/>
          <w:sz w:val="20"/>
          <w:szCs w:val="20"/>
        </w:rPr>
      </w:pPr>
      <w:r w:rsidRPr="009A4BC4">
        <w:rPr>
          <w:rFonts w:ascii="Bookman Old Style" w:hAnsi="Bookman Old Style"/>
          <w:sz w:val="20"/>
          <w:szCs w:val="20"/>
        </w:rPr>
        <w:t>Salinan</w:t>
      </w:r>
      <w:r w:rsidRPr="009A4BC4">
        <w:rPr>
          <w:rFonts w:ascii="Bookman Old Style" w:hAnsi="Bookman Old Style"/>
          <w:spacing w:val="-4"/>
          <w:sz w:val="20"/>
          <w:szCs w:val="20"/>
        </w:rPr>
        <w:t xml:space="preserve"> </w:t>
      </w:r>
      <w:r w:rsidRPr="009A4BC4">
        <w:rPr>
          <w:rFonts w:ascii="Bookman Old Style" w:hAnsi="Bookman Old Style"/>
          <w:sz w:val="20"/>
          <w:szCs w:val="20"/>
        </w:rPr>
        <w:t>ini</w:t>
      </w:r>
      <w:r w:rsidRPr="009A4BC4">
        <w:rPr>
          <w:rFonts w:ascii="Bookman Old Style" w:hAnsi="Bookman Old Style"/>
          <w:spacing w:val="-3"/>
          <w:sz w:val="20"/>
          <w:szCs w:val="20"/>
        </w:rPr>
        <w:t xml:space="preserve"> </w:t>
      </w:r>
      <w:r w:rsidRPr="009A4BC4">
        <w:rPr>
          <w:rFonts w:ascii="Bookman Old Style" w:hAnsi="Bookman Old Style"/>
          <w:sz w:val="20"/>
          <w:szCs w:val="20"/>
        </w:rPr>
        <w:t>sesuai</w:t>
      </w:r>
      <w:r w:rsidRPr="009A4BC4">
        <w:rPr>
          <w:rFonts w:ascii="Bookman Old Style" w:hAnsi="Bookman Old Style"/>
          <w:spacing w:val="-4"/>
          <w:sz w:val="20"/>
          <w:szCs w:val="20"/>
        </w:rPr>
        <w:t xml:space="preserve"> </w:t>
      </w:r>
      <w:r w:rsidRPr="009A4BC4">
        <w:rPr>
          <w:rFonts w:ascii="Bookman Old Style" w:hAnsi="Bookman Old Style"/>
          <w:sz w:val="20"/>
          <w:szCs w:val="20"/>
        </w:rPr>
        <w:t>dengan</w:t>
      </w:r>
      <w:r w:rsidRPr="009A4BC4">
        <w:rPr>
          <w:rFonts w:ascii="Bookman Old Style" w:hAnsi="Bookman Old Style"/>
          <w:spacing w:val="-3"/>
          <w:sz w:val="20"/>
          <w:szCs w:val="20"/>
        </w:rPr>
        <w:t xml:space="preserve"> </w:t>
      </w:r>
      <w:r w:rsidRPr="009A4BC4">
        <w:rPr>
          <w:rFonts w:ascii="Bookman Old Style" w:hAnsi="Bookman Old Style"/>
          <w:sz w:val="20"/>
          <w:szCs w:val="20"/>
        </w:rPr>
        <w:t>aslinya</w:t>
      </w:r>
      <w:r w:rsidRPr="009A4BC4">
        <w:rPr>
          <w:rFonts w:ascii="Bookman Old Style" w:hAnsi="Bookman Old Style"/>
          <w:spacing w:val="-67"/>
          <w:sz w:val="20"/>
          <w:szCs w:val="20"/>
        </w:rPr>
        <w:t xml:space="preserve"> </w:t>
      </w:r>
    </w:p>
    <w:p w14:paraId="2AA9DF94" w14:textId="77777777" w:rsidR="009A4BC4" w:rsidRPr="009A4BC4" w:rsidRDefault="009A4BC4" w:rsidP="008262B9">
      <w:pPr>
        <w:spacing w:after="0" w:line="240" w:lineRule="auto"/>
        <w:ind w:left="567" w:right="32"/>
        <w:rPr>
          <w:rFonts w:ascii="Bookman Old Style" w:hAnsi="Bookman Old Style"/>
          <w:spacing w:val="-67"/>
          <w:sz w:val="20"/>
          <w:szCs w:val="20"/>
        </w:rPr>
      </w:pPr>
    </w:p>
    <w:p w14:paraId="3D29A24A" w14:textId="77777777" w:rsidR="009A4BC4" w:rsidRPr="009A4BC4" w:rsidRDefault="009A4BC4" w:rsidP="008262B9">
      <w:pPr>
        <w:spacing w:after="0" w:line="240" w:lineRule="auto"/>
        <w:ind w:left="567" w:right="32"/>
        <w:rPr>
          <w:rFonts w:ascii="Bookman Old Style" w:hAnsi="Bookman Old Style"/>
          <w:sz w:val="20"/>
          <w:szCs w:val="20"/>
        </w:rPr>
      </w:pPr>
      <w:r w:rsidRPr="009A4BC4">
        <w:rPr>
          <w:rFonts w:ascii="Bookman Old Style" w:hAnsi="Bookman Old Style"/>
          <w:sz w:val="20"/>
          <w:szCs w:val="20"/>
        </w:rPr>
        <w:t>Direktur</w:t>
      </w:r>
      <w:r w:rsidRPr="009A4BC4">
        <w:rPr>
          <w:rFonts w:ascii="Bookman Old Style" w:hAnsi="Bookman Old Style"/>
          <w:spacing w:val="-2"/>
          <w:sz w:val="20"/>
          <w:szCs w:val="20"/>
        </w:rPr>
        <w:t xml:space="preserve"> </w:t>
      </w:r>
      <w:r w:rsidRPr="009A4BC4">
        <w:rPr>
          <w:rFonts w:ascii="Bookman Old Style" w:hAnsi="Bookman Old Style"/>
          <w:sz w:val="20"/>
          <w:szCs w:val="20"/>
        </w:rPr>
        <w:t>Hukum</w:t>
      </w:r>
      <w:r w:rsidRPr="009A4BC4">
        <w:rPr>
          <w:rFonts w:ascii="Bookman Old Style" w:hAnsi="Bookman Old Style"/>
          <w:spacing w:val="-2"/>
          <w:sz w:val="20"/>
          <w:szCs w:val="20"/>
        </w:rPr>
        <w:t xml:space="preserve"> </w:t>
      </w:r>
      <w:r w:rsidRPr="009A4BC4">
        <w:rPr>
          <w:rFonts w:ascii="Bookman Old Style" w:hAnsi="Bookman Old Style"/>
          <w:sz w:val="20"/>
          <w:szCs w:val="20"/>
        </w:rPr>
        <w:t>1</w:t>
      </w:r>
    </w:p>
    <w:p w14:paraId="0143CE19" w14:textId="77777777" w:rsidR="009A4BC4" w:rsidRPr="009A4BC4" w:rsidRDefault="009A4BC4" w:rsidP="008262B9">
      <w:pPr>
        <w:spacing w:after="0" w:line="240" w:lineRule="auto"/>
        <w:ind w:left="567"/>
        <w:rPr>
          <w:rFonts w:ascii="Bookman Old Style" w:hAnsi="Bookman Old Style"/>
          <w:sz w:val="20"/>
          <w:szCs w:val="20"/>
        </w:rPr>
      </w:pPr>
      <w:r w:rsidRPr="009A4BC4">
        <w:rPr>
          <w:rFonts w:ascii="Bookman Old Style" w:hAnsi="Bookman Old Style"/>
          <w:sz w:val="20"/>
          <w:szCs w:val="20"/>
        </w:rPr>
        <w:t>Departemen Hukum</w:t>
      </w:r>
    </w:p>
    <w:p w14:paraId="21464710" w14:textId="77777777" w:rsidR="009A4BC4" w:rsidRPr="009A4BC4" w:rsidRDefault="009A4BC4" w:rsidP="008262B9">
      <w:pPr>
        <w:spacing w:after="0" w:line="240" w:lineRule="auto"/>
        <w:ind w:left="567"/>
        <w:rPr>
          <w:rFonts w:ascii="Bookman Old Style" w:hAnsi="Bookman Old Style"/>
          <w:sz w:val="20"/>
          <w:szCs w:val="20"/>
        </w:rPr>
      </w:pPr>
      <w:r w:rsidRPr="009A4BC4">
        <w:rPr>
          <w:rFonts w:ascii="Bookman Old Style" w:hAnsi="Bookman Old Style"/>
          <w:spacing w:val="-68"/>
          <w:sz w:val="20"/>
          <w:szCs w:val="20"/>
        </w:rPr>
        <w:t xml:space="preserve"> </w:t>
      </w:r>
      <w:r w:rsidRPr="009A4BC4">
        <w:rPr>
          <w:rFonts w:ascii="Bookman Old Style" w:hAnsi="Bookman Old Style"/>
          <w:sz w:val="20"/>
          <w:szCs w:val="20"/>
        </w:rPr>
        <w:t>ttd</w:t>
      </w:r>
    </w:p>
    <w:p w14:paraId="2020EA36" w14:textId="77777777" w:rsidR="009A4BC4" w:rsidRPr="009A4BC4" w:rsidRDefault="009A4BC4" w:rsidP="008262B9">
      <w:pPr>
        <w:ind w:left="567"/>
        <w:jc w:val="both"/>
        <w:rPr>
          <w:rFonts w:ascii="Bookman Old Style" w:hAnsi="Bookman Old Style"/>
          <w:sz w:val="20"/>
          <w:szCs w:val="20"/>
          <w:lang w:val="en-US"/>
        </w:rPr>
      </w:pPr>
    </w:p>
    <w:p w14:paraId="29C5DDD7" w14:textId="77777777" w:rsidR="009A4BC4" w:rsidRPr="009A4BC4" w:rsidRDefault="009A4BC4" w:rsidP="008262B9">
      <w:pPr>
        <w:ind w:left="567"/>
        <w:jc w:val="both"/>
        <w:rPr>
          <w:rFonts w:ascii="Bookman Old Style" w:hAnsi="Bookman Old Style"/>
          <w:sz w:val="20"/>
          <w:szCs w:val="20"/>
          <w:lang w:val="en-US"/>
        </w:rPr>
      </w:pPr>
    </w:p>
    <w:p w14:paraId="677F5B79" w14:textId="26DC567D" w:rsidR="009A4BC4" w:rsidRPr="009A4BC4" w:rsidRDefault="009A4BC4" w:rsidP="008262B9">
      <w:pPr>
        <w:pStyle w:val="ListParagraph"/>
        <w:widowControl w:val="0"/>
        <w:autoSpaceDE w:val="0"/>
        <w:autoSpaceDN w:val="0"/>
        <w:spacing w:after="0" w:line="240" w:lineRule="auto"/>
        <w:ind w:left="567"/>
        <w:contextualSpacing w:val="0"/>
        <w:jc w:val="both"/>
        <w:rPr>
          <w:rFonts w:ascii="Bookman Old Style" w:hAnsi="Bookman Old Style"/>
          <w:sz w:val="20"/>
          <w:szCs w:val="20"/>
        </w:rPr>
      </w:pPr>
      <w:r>
        <w:rPr>
          <w:sz w:val="24"/>
          <w:szCs w:val="24"/>
          <w:lang w:val="en-US"/>
        </w:rPr>
        <w:t>…</w:t>
      </w:r>
    </w:p>
    <w:p w14:paraId="717594AF" w14:textId="77777777" w:rsidR="009A4BC4" w:rsidRPr="006A283D" w:rsidRDefault="009A4BC4" w:rsidP="006A283D">
      <w:pPr>
        <w:tabs>
          <w:tab w:val="left" w:pos="1256"/>
        </w:tabs>
        <w:spacing w:after="0" w:line="240" w:lineRule="auto"/>
        <w:rPr>
          <w:rFonts w:ascii="Bookman Old Style" w:eastAsia="Bookman Old Style" w:hAnsi="Bookman Old Style" w:cs="Bookman Old Style"/>
          <w:sz w:val="20"/>
          <w:szCs w:val="20"/>
        </w:rPr>
      </w:pPr>
    </w:p>
    <w:sectPr w:rsidR="009A4BC4" w:rsidRPr="006A283D" w:rsidSect="00910A48">
      <w:headerReference w:type="default" r:id="rId9"/>
      <w:footerReference w:type="default" r:id="rId10"/>
      <w:pgSz w:w="20160" w:h="12240" w:orient="landscape" w:code="5"/>
      <w:pgMar w:top="1418" w:right="1418" w:bottom="1418" w:left="1418" w:header="709" w:footer="709"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6FB7" w14:textId="77777777" w:rsidR="00A32F86" w:rsidRDefault="00A32F86">
      <w:pPr>
        <w:spacing w:after="0" w:line="240" w:lineRule="auto"/>
      </w:pPr>
      <w:r>
        <w:separator/>
      </w:r>
    </w:p>
  </w:endnote>
  <w:endnote w:type="continuationSeparator" w:id="0">
    <w:p w14:paraId="243BF3B6" w14:textId="77777777" w:rsidR="00A32F86" w:rsidRDefault="00A32F86">
      <w:pPr>
        <w:spacing w:after="0" w:line="240" w:lineRule="auto"/>
      </w:pPr>
      <w:r>
        <w:continuationSeparator/>
      </w:r>
    </w:p>
  </w:endnote>
  <w:endnote w:type="continuationNotice" w:id="1">
    <w:p w14:paraId="6EF760C3" w14:textId="77777777" w:rsidR="00A32F86" w:rsidRDefault="00A32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260E" w14:textId="1DB3CAC4" w:rsidR="007A2AAB" w:rsidRDefault="007A2A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F7D7" w14:textId="77777777" w:rsidR="00A32F86" w:rsidRDefault="00A32F86">
      <w:pPr>
        <w:spacing w:after="0" w:line="240" w:lineRule="auto"/>
      </w:pPr>
      <w:r>
        <w:separator/>
      </w:r>
    </w:p>
  </w:footnote>
  <w:footnote w:type="continuationSeparator" w:id="0">
    <w:p w14:paraId="4F80EA24" w14:textId="77777777" w:rsidR="00A32F86" w:rsidRDefault="00A32F86">
      <w:pPr>
        <w:spacing w:after="0" w:line="240" w:lineRule="auto"/>
      </w:pPr>
      <w:r>
        <w:continuationSeparator/>
      </w:r>
    </w:p>
  </w:footnote>
  <w:footnote w:type="continuationNotice" w:id="1">
    <w:p w14:paraId="564BBA0A" w14:textId="77777777" w:rsidR="00A32F86" w:rsidRDefault="00A32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0AA4" w14:textId="7369C2A7" w:rsidR="007A2AAB" w:rsidRDefault="007A2AA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noProof/>
        <w:lang w:val="en-US"/>
      </w:rPr>
      <w:drawing>
        <wp:inline distT="114300" distB="114300" distL="114300" distR="114300" wp14:anchorId="3B5D66A5" wp14:editId="0937AA07">
          <wp:extent cx="1261286" cy="540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61286" cy="54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E91"/>
    <w:multiLevelType w:val="hybridMultilevel"/>
    <w:tmpl w:val="A7887F38"/>
    <w:lvl w:ilvl="0" w:tplc="7C74091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0A13C3D"/>
    <w:multiLevelType w:val="hybridMultilevel"/>
    <w:tmpl w:val="52448262"/>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15:restartNumberingAfterBreak="0">
    <w:nsid w:val="00A4328D"/>
    <w:multiLevelType w:val="hybridMultilevel"/>
    <w:tmpl w:val="8430BAB2"/>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3" w15:restartNumberingAfterBreak="0">
    <w:nsid w:val="01717B1E"/>
    <w:multiLevelType w:val="hybridMultilevel"/>
    <w:tmpl w:val="430C8796"/>
    <w:lvl w:ilvl="0" w:tplc="0442BFC4">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 w15:restartNumberingAfterBreak="0">
    <w:nsid w:val="017D4721"/>
    <w:multiLevelType w:val="hybridMultilevel"/>
    <w:tmpl w:val="47304F2E"/>
    <w:lvl w:ilvl="0" w:tplc="7CC4F638">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5" w15:restartNumberingAfterBreak="0">
    <w:nsid w:val="026F0486"/>
    <w:multiLevelType w:val="hybridMultilevel"/>
    <w:tmpl w:val="E140D750"/>
    <w:lvl w:ilvl="0" w:tplc="C3DECA9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 w15:restartNumberingAfterBreak="0">
    <w:nsid w:val="04BE1B62"/>
    <w:multiLevelType w:val="hybridMultilevel"/>
    <w:tmpl w:val="C8921CB8"/>
    <w:lvl w:ilvl="0" w:tplc="7312D534">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 w15:restartNumberingAfterBreak="0">
    <w:nsid w:val="04DC2C44"/>
    <w:multiLevelType w:val="hybridMultilevel"/>
    <w:tmpl w:val="EA206DC0"/>
    <w:lvl w:ilvl="0" w:tplc="56184D4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054722C7"/>
    <w:multiLevelType w:val="hybridMultilevel"/>
    <w:tmpl w:val="A6CA401C"/>
    <w:lvl w:ilvl="0" w:tplc="E1B680C8">
      <w:start w:val="1"/>
      <w:numFmt w:val="decimal"/>
      <w:lvlText w:val="%1."/>
      <w:lvlJc w:val="left"/>
      <w:pPr>
        <w:ind w:left="828" w:hanging="721"/>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E72C0D9A">
      <w:numFmt w:val="bullet"/>
      <w:lvlText w:val="•"/>
      <w:lvlJc w:val="left"/>
      <w:pPr>
        <w:ind w:left="2264" w:hanging="721"/>
      </w:pPr>
      <w:rPr>
        <w:rFonts w:hint="default"/>
        <w:lang w:val="id" w:eastAsia="en-US" w:bidi="ar-SA"/>
      </w:rPr>
    </w:lvl>
    <w:lvl w:ilvl="2" w:tplc="1A0486EE">
      <w:numFmt w:val="bullet"/>
      <w:lvlText w:val="•"/>
      <w:lvlJc w:val="left"/>
      <w:pPr>
        <w:ind w:left="3709" w:hanging="721"/>
      </w:pPr>
      <w:rPr>
        <w:rFonts w:hint="default"/>
        <w:lang w:val="id" w:eastAsia="en-US" w:bidi="ar-SA"/>
      </w:rPr>
    </w:lvl>
    <w:lvl w:ilvl="3" w:tplc="E4F04AA8">
      <w:numFmt w:val="bullet"/>
      <w:lvlText w:val="•"/>
      <w:lvlJc w:val="left"/>
      <w:pPr>
        <w:ind w:left="5154" w:hanging="721"/>
      </w:pPr>
      <w:rPr>
        <w:rFonts w:hint="default"/>
        <w:lang w:val="id" w:eastAsia="en-US" w:bidi="ar-SA"/>
      </w:rPr>
    </w:lvl>
    <w:lvl w:ilvl="4" w:tplc="73CA71C2">
      <w:numFmt w:val="bullet"/>
      <w:lvlText w:val="•"/>
      <w:lvlJc w:val="left"/>
      <w:pPr>
        <w:ind w:left="6599" w:hanging="721"/>
      </w:pPr>
      <w:rPr>
        <w:rFonts w:hint="default"/>
        <w:lang w:val="id" w:eastAsia="en-US" w:bidi="ar-SA"/>
      </w:rPr>
    </w:lvl>
    <w:lvl w:ilvl="5" w:tplc="9B08EC00">
      <w:numFmt w:val="bullet"/>
      <w:lvlText w:val="•"/>
      <w:lvlJc w:val="left"/>
      <w:pPr>
        <w:ind w:left="8044" w:hanging="721"/>
      </w:pPr>
      <w:rPr>
        <w:rFonts w:hint="default"/>
        <w:lang w:val="id" w:eastAsia="en-US" w:bidi="ar-SA"/>
      </w:rPr>
    </w:lvl>
    <w:lvl w:ilvl="6" w:tplc="46186AD0">
      <w:numFmt w:val="bullet"/>
      <w:lvlText w:val="•"/>
      <w:lvlJc w:val="left"/>
      <w:pPr>
        <w:ind w:left="9488" w:hanging="721"/>
      </w:pPr>
      <w:rPr>
        <w:rFonts w:hint="default"/>
        <w:lang w:val="id" w:eastAsia="en-US" w:bidi="ar-SA"/>
      </w:rPr>
    </w:lvl>
    <w:lvl w:ilvl="7" w:tplc="28EC71C8">
      <w:numFmt w:val="bullet"/>
      <w:lvlText w:val="•"/>
      <w:lvlJc w:val="left"/>
      <w:pPr>
        <w:ind w:left="10933" w:hanging="721"/>
      </w:pPr>
      <w:rPr>
        <w:rFonts w:hint="default"/>
        <w:lang w:val="id" w:eastAsia="en-US" w:bidi="ar-SA"/>
      </w:rPr>
    </w:lvl>
    <w:lvl w:ilvl="8" w:tplc="A3C6807A">
      <w:numFmt w:val="bullet"/>
      <w:lvlText w:val="•"/>
      <w:lvlJc w:val="left"/>
      <w:pPr>
        <w:ind w:left="12378" w:hanging="721"/>
      </w:pPr>
      <w:rPr>
        <w:rFonts w:hint="default"/>
        <w:lang w:val="id" w:eastAsia="en-US" w:bidi="ar-SA"/>
      </w:rPr>
    </w:lvl>
  </w:abstractNum>
  <w:abstractNum w:abstractNumId="9" w15:restartNumberingAfterBreak="0">
    <w:nsid w:val="061A409D"/>
    <w:multiLevelType w:val="hybridMultilevel"/>
    <w:tmpl w:val="F79EF7CE"/>
    <w:lvl w:ilvl="0" w:tplc="38090017">
      <w:start w:val="1"/>
      <w:numFmt w:val="lowerLetter"/>
      <w:lvlText w:val="%1)"/>
      <w:lvlJc w:val="left"/>
      <w:pPr>
        <w:ind w:left="3555" w:hanging="360"/>
      </w:p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10" w15:restartNumberingAfterBreak="0">
    <w:nsid w:val="068973E9"/>
    <w:multiLevelType w:val="hybridMultilevel"/>
    <w:tmpl w:val="FF760A7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6FB0569"/>
    <w:multiLevelType w:val="hybridMultilevel"/>
    <w:tmpl w:val="74C04FE6"/>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2" w15:restartNumberingAfterBreak="0">
    <w:nsid w:val="073C47A8"/>
    <w:multiLevelType w:val="hybridMultilevel"/>
    <w:tmpl w:val="EC9261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7B42F2F"/>
    <w:multiLevelType w:val="hybridMultilevel"/>
    <w:tmpl w:val="4398A460"/>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4" w15:restartNumberingAfterBreak="0">
    <w:nsid w:val="08543CBB"/>
    <w:multiLevelType w:val="hybridMultilevel"/>
    <w:tmpl w:val="FDFA1B42"/>
    <w:lvl w:ilvl="0" w:tplc="9FD8A3C4">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5" w15:restartNumberingAfterBreak="0">
    <w:nsid w:val="090B2915"/>
    <w:multiLevelType w:val="hybridMultilevel"/>
    <w:tmpl w:val="74961796"/>
    <w:lvl w:ilvl="0" w:tplc="0421000F">
      <w:start w:val="1"/>
      <w:numFmt w:val="decimal"/>
      <w:lvlText w:val="%1."/>
      <w:lvlJc w:val="left"/>
      <w:pPr>
        <w:ind w:left="360" w:hanging="360"/>
      </w:pPr>
      <w:rPr>
        <w:rFonts w:hint="default"/>
      </w:rPr>
    </w:lvl>
    <w:lvl w:ilvl="1" w:tplc="FFFFFFFF" w:tentative="1">
      <w:start w:val="1"/>
      <w:numFmt w:val="lowerLetter"/>
      <w:lvlText w:val="%2."/>
      <w:lvlJc w:val="left"/>
      <w:pPr>
        <w:ind w:left="-545" w:hanging="360"/>
      </w:pPr>
    </w:lvl>
    <w:lvl w:ilvl="2" w:tplc="FFFFFFFF" w:tentative="1">
      <w:start w:val="1"/>
      <w:numFmt w:val="lowerRoman"/>
      <w:lvlText w:val="%3."/>
      <w:lvlJc w:val="right"/>
      <w:pPr>
        <w:ind w:left="175" w:hanging="180"/>
      </w:pPr>
    </w:lvl>
    <w:lvl w:ilvl="3" w:tplc="FFFFFFFF" w:tentative="1">
      <w:start w:val="1"/>
      <w:numFmt w:val="decimal"/>
      <w:lvlText w:val="%4."/>
      <w:lvlJc w:val="left"/>
      <w:pPr>
        <w:ind w:left="895" w:hanging="360"/>
      </w:pPr>
    </w:lvl>
    <w:lvl w:ilvl="4" w:tplc="FFFFFFFF" w:tentative="1">
      <w:start w:val="1"/>
      <w:numFmt w:val="lowerLetter"/>
      <w:lvlText w:val="%5."/>
      <w:lvlJc w:val="left"/>
      <w:pPr>
        <w:ind w:left="1615" w:hanging="360"/>
      </w:pPr>
    </w:lvl>
    <w:lvl w:ilvl="5" w:tplc="FFFFFFFF" w:tentative="1">
      <w:start w:val="1"/>
      <w:numFmt w:val="lowerRoman"/>
      <w:lvlText w:val="%6."/>
      <w:lvlJc w:val="right"/>
      <w:pPr>
        <w:ind w:left="2335" w:hanging="180"/>
      </w:pPr>
    </w:lvl>
    <w:lvl w:ilvl="6" w:tplc="FFFFFFFF" w:tentative="1">
      <w:start w:val="1"/>
      <w:numFmt w:val="decimal"/>
      <w:lvlText w:val="%7."/>
      <w:lvlJc w:val="left"/>
      <w:pPr>
        <w:ind w:left="3055" w:hanging="360"/>
      </w:pPr>
    </w:lvl>
    <w:lvl w:ilvl="7" w:tplc="FFFFFFFF" w:tentative="1">
      <w:start w:val="1"/>
      <w:numFmt w:val="lowerLetter"/>
      <w:lvlText w:val="%8."/>
      <w:lvlJc w:val="left"/>
      <w:pPr>
        <w:ind w:left="3775" w:hanging="360"/>
      </w:pPr>
    </w:lvl>
    <w:lvl w:ilvl="8" w:tplc="FFFFFFFF" w:tentative="1">
      <w:start w:val="1"/>
      <w:numFmt w:val="lowerRoman"/>
      <w:lvlText w:val="%9."/>
      <w:lvlJc w:val="right"/>
      <w:pPr>
        <w:ind w:left="4495" w:hanging="180"/>
      </w:pPr>
    </w:lvl>
  </w:abstractNum>
  <w:abstractNum w:abstractNumId="16" w15:restartNumberingAfterBreak="0">
    <w:nsid w:val="09BB6B1B"/>
    <w:multiLevelType w:val="hybridMultilevel"/>
    <w:tmpl w:val="67DE200E"/>
    <w:lvl w:ilvl="0" w:tplc="D1B82030">
      <w:start w:val="1"/>
      <w:numFmt w:val="lowerLetter"/>
      <w:lvlText w:val="%1)"/>
      <w:lvlJc w:val="left"/>
      <w:pPr>
        <w:ind w:left="38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A0B01D8"/>
    <w:multiLevelType w:val="hybridMultilevel"/>
    <w:tmpl w:val="36B8B7B2"/>
    <w:lvl w:ilvl="0" w:tplc="AD8A3BA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0A8831B6"/>
    <w:multiLevelType w:val="hybridMultilevel"/>
    <w:tmpl w:val="B922CDD0"/>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 w15:restartNumberingAfterBreak="0">
    <w:nsid w:val="0BDF1FF8"/>
    <w:multiLevelType w:val="hybridMultilevel"/>
    <w:tmpl w:val="3274FBA4"/>
    <w:lvl w:ilvl="0" w:tplc="760C2F7A">
      <w:start w:val="1"/>
      <w:numFmt w:val="decimal"/>
      <w:lvlText w:val="%1)"/>
      <w:lvlJc w:val="left"/>
      <w:pPr>
        <w:ind w:left="32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CD31D1F"/>
    <w:multiLevelType w:val="hybridMultilevel"/>
    <w:tmpl w:val="B19EA39C"/>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0CFD7C90"/>
    <w:multiLevelType w:val="hybridMultilevel"/>
    <w:tmpl w:val="F9F25AA6"/>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0DDE26CE"/>
    <w:multiLevelType w:val="hybridMultilevel"/>
    <w:tmpl w:val="EB1299EE"/>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0E2B2886"/>
    <w:multiLevelType w:val="hybridMultilevel"/>
    <w:tmpl w:val="66D431C8"/>
    <w:lvl w:ilvl="0" w:tplc="12B89DAC">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4" w15:restartNumberingAfterBreak="0">
    <w:nsid w:val="0E4C2B1A"/>
    <w:multiLevelType w:val="hybridMultilevel"/>
    <w:tmpl w:val="5D68DE90"/>
    <w:lvl w:ilvl="0" w:tplc="38090011">
      <w:start w:val="1"/>
      <w:numFmt w:val="decimal"/>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5" w15:restartNumberingAfterBreak="0">
    <w:nsid w:val="0E644DFF"/>
    <w:multiLevelType w:val="hybridMultilevel"/>
    <w:tmpl w:val="3392EA70"/>
    <w:lvl w:ilvl="0" w:tplc="D5E0AF8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6" w15:restartNumberingAfterBreak="0">
    <w:nsid w:val="0EA87DBE"/>
    <w:multiLevelType w:val="hybridMultilevel"/>
    <w:tmpl w:val="2668A574"/>
    <w:lvl w:ilvl="0" w:tplc="775EE4E8">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7" w15:restartNumberingAfterBreak="0">
    <w:nsid w:val="0F8A5431"/>
    <w:multiLevelType w:val="hybridMultilevel"/>
    <w:tmpl w:val="5608DAB0"/>
    <w:lvl w:ilvl="0" w:tplc="F59AC698">
      <w:start w:val="1"/>
      <w:numFmt w:val="decimal"/>
      <w:lvlText w:val="%1)"/>
      <w:lvlJc w:val="left"/>
      <w:pPr>
        <w:ind w:left="32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0FB126D7"/>
    <w:multiLevelType w:val="hybridMultilevel"/>
    <w:tmpl w:val="46CED64C"/>
    <w:lvl w:ilvl="0" w:tplc="B6D2351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15:restartNumberingAfterBreak="0">
    <w:nsid w:val="102F00CD"/>
    <w:multiLevelType w:val="hybridMultilevel"/>
    <w:tmpl w:val="21B689FC"/>
    <w:lvl w:ilvl="0" w:tplc="D62C041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112C05E0"/>
    <w:multiLevelType w:val="hybridMultilevel"/>
    <w:tmpl w:val="EC3A2200"/>
    <w:lvl w:ilvl="0" w:tplc="1660AE9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15:restartNumberingAfterBreak="0">
    <w:nsid w:val="11744AB4"/>
    <w:multiLevelType w:val="hybridMultilevel"/>
    <w:tmpl w:val="CD667232"/>
    <w:lvl w:ilvl="0" w:tplc="FBFA35D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2" w15:restartNumberingAfterBreak="0">
    <w:nsid w:val="133626CA"/>
    <w:multiLevelType w:val="hybridMultilevel"/>
    <w:tmpl w:val="B73ABF22"/>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3" w15:restartNumberingAfterBreak="0">
    <w:nsid w:val="1348706B"/>
    <w:multiLevelType w:val="hybridMultilevel"/>
    <w:tmpl w:val="BE3473C8"/>
    <w:lvl w:ilvl="0" w:tplc="E47E345A">
      <w:start w:val="1"/>
      <w:numFmt w:val="lowerRoman"/>
      <w:lvlText w:val="(%1)"/>
      <w:lvlJc w:val="left"/>
      <w:pPr>
        <w:ind w:left="4122" w:hanging="720"/>
      </w:pPr>
      <w:rPr>
        <w:rFonts w:hint="default"/>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tentative="1">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tentative="1">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34" w15:restartNumberingAfterBreak="0">
    <w:nsid w:val="142043EA"/>
    <w:multiLevelType w:val="hybridMultilevel"/>
    <w:tmpl w:val="4D5AEE5A"/>
    <w:lvl w:ilvl="0" w:tplc="886AF070">
      <w:start w:val="1"/>
      <w:numFmt w:val="lowerLetter"/>
      <w:lvlText w:val="%1)"/>
      <w:lvlJc w:val="left"/>
      <w:pPr>
        <w:ind w:left="3840"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35" w15:restartNumberingAfterBreak="0">
    <w:nsid w:val="14831110"/>
    <w:multiLevelType w:val="hybridMultilevel"/>
    <w:tmpl w:val="87EE4E12"/>
    <w:lvl w:ilvl="0" w:tplc="F59AC698">
      <w:start w:val="1"/>
      <w:numFmt w:val="decimal"/>
      <w:lvlText w:val="%1)"/>
      <w:lvlJc w:val="left"/>
      <w:pPr>
        <w:ind w:left="3120"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341" w:hanging="360"/>
      </w:pPr>
    </w:lvl>
    <w:lvl w:ilvl="2" w:tplc="3809001B" w:tentative="1">
      <w:start w:val="1"/>
      <w:numFmt w:val="lowerRoman"/>
      <w:lvlText w:val="%3."/>
      <w:lvlJc w:val="right"/>
      <w:pPr>
        <w:ind w:left="2061" w:hanging="180"/>
      </w:pPr>
    </w:lvl>
    <w:lvl w:ilvl="3" w:tplc="3809000F" w:tentative="1">
      <w:start w:val="1"/>
      <w:numFmt w:val="decimal"/>
      <w:lvlText w:val="%4."/>
      <w:lvlJc w:val="left"/>
      <w:pPr>
        <w:ind w:left="2781" w:hanging="360"/>
      </w:pPr>
    </w:lvl>
    <w:lvl w:ilvl="4" w:tplc="38090019" w:tentative="1">
      <w:start w:val="1"/>
      <w:numFmt w:val="lowerLetter"/>
      <w:lvlText w:val="%5."/>
      <w:lvlJc w:val="left"/>
      <w:pPr>
        <w:ind w:left="3501" w:hanging="360"/>
      </w:pPr>
    </w:lvl>
    <w:lvl w:ilvl="5" w:tplc="3809001B" w:tentative="1">
      <w:start w:val="1"/>
      <w:numFmt w:val="lowerRoman"/>
      <w:lvlText w:val="%6."/>
      <w:lvlJc w:val="right"/>
      <w:pPr>
        <w:ind w:left="4221" w:hanging="180"/>
      </w:pPr>
    </w:lvl>
    <w:lvl w:ilvl="6" w:tplc="3809000F" w:tentative="1">
      <w:start w:val="1"/>
      <w:numFmt w:val="decimal"/>
      <w:lvlText w:val="%7."/>
      <w:lvlJc w:val="left"/>
      <w:pPr>
        <w:ind w:left="4941" w:hanging="360"/>
      </w:pPr>
    </w:lvl>
    <w:lvl w:ilvl="7" w:tplc="38090019" w:tentative="1">
      <w:start w:val="1"/>
      <w:numFmt w:val="lowerLetter"/>
      <w:lvlText w:val="%8."/>
      <w:lvlJc w:val="left"/>
      <w:pPr>
        <w:ind w:left="5661" w:hanging="360"/>
      </w:pPr>
    </w:lvl>
    <w:lvl w:ilvl="8" w:tplc="3809001B" w:tentative="1">
      <w:start w:val="1"/>
      <w:numFmt w:val="lowerRoman"/>
      <w:lvlText w:val="%9."/>
      <w:lvlJc w:val="right"/>
      <w:pPr>
        <w:ind w:left="6381" w:hanging="180"/>
      </w:pPr>
    </w:lvl>
  </w:abstractNum>
  <w:abstractNum w:abstractNumId="36" w15:restartNumberingAfterBreak="0">
    <w:nsid w:val="149A11DF"/>
    <w:multiLevelType w:val="hybridMultilevel"/>
    <w:tmpl w:val="40487C80"/>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14AB0735"/>
    <w:multiLevelType w:val="hybridMultilevel"/>
    <w:tmpl w:val="3A309E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15145234"/>
    <w:multiLevelType w:val="hybridMultilevel"/>
    <w:tmpl w:val="D56045CA"/>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39" w15:restartNumberingAfterBreak="0">
    <w:nsid w:val="15E05B8B"/>
    <w:multiLevelType w:val="hybridMultilevel"/>
    <w:tmpl w:val="70E69802"/>
    <w:lvl w:ilvl="0" w:tplc="04210019">
      <w:start w:val="1"/>
      <w:numFmt w:val="lowerLetter"/>
      <w:lvlText w:val="%1."/>
      <w:lvlJc w:val="left"/>
      <w:pPr>
        <w:ind w:left="1470" w:hanging="360"/>
      </w:p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40" w15:restartNumberingAfterBreak="0">
    <w:nsid w:val="161A1C92"/>
    <w:multiLevelType w:val="hybridMultilevel"/>
    <w:tmpl w:val="1F44EEA4"/>
    <w:lvl w:ilvl="0" w:tplc="A754F20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1" w15:restartNumberingAfterBreak="0">
    <w:nsid w:val="18150649"/>
    <w:multiLevelType w:val="hybridMultilevel"/>
    <w:tmpl w:val="B9244E7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188F6845"/>
    <w:multiLevelType w:val="hybridMultilevel"/>
    <w:tmpl w:val="17F693DA"/>
    <w:lvl w:ilvl="0" w:tplc="7ACA312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43" w15:restartNumberingAfterBreak="0">
    <w:nsid w:val="19B01F41"/>
    <w:multiLevelType w:val="hybridMultilevel"/>
    <w:tmpl w:val="61F460E4"/>
    <w:lvl w:ilvl="0" w:tplc="F59AC698">
      <w:start w:val="1"/>
      <w:numFmt w:val="decimal"/>
      <w:lvlText w:val="%1)"/>
      <w:lvlJc w:val="left"/>
      <w:pPr>
        <w:ind w:left="32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1CEF2EBC"/>
    <w:multiLevelType w:val="hybridMultilevel"/>
    <w:tmpl w:val="53122A82"/>
    <w:lvl w:ilvl="0" w:tplc="3809000F">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5" w15:restartNumberingAfterBreak="0">
    <w:nsid w:val="1D002EB2"/>
    <w:multiLevelType w:val="hybridMultilevel"/>
    <w:tmpl w:val="535C8200"/>
    <w:lvl w:ilvl="0" w:tplc="CA42FB14">
      <w:start w:val="1"/>
      <w:numFmt w:val="lowerLetter"/>
      <w:lvlText w:val="%1."/>
      <w:lvlJc w:val="left"/>
      <w:pPr>
        <w:ind w:left="2018" w:hanging="600"/>
      </w:pPr>
      <w:rPr>
        <w:rFonts w:ascii="Bookman Old Style" w:eastAsia="Bookman Old Style" w:hAnsi="Bookman Old Style" w:cs="Bookman Old Style"/>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1E2F1889"/>
    <w:multiLevelType w:val="hybridMultilevel"/>
    <w:tmpl w:val="0284BB10"/>
    <w:lvl w:ilvl="0" w:tplc="522AA18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7" w15:restartNumberingAfterBreak="0">
    <w:nsid w:val="1E985A45"/>
    <w:multiLevelType w:val="hybridMultilevel"/>
    <w:tmpl w:val="F86CE674"/>
    <w:lvl w:ilvl="0" w:tplc="A924558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8" w15:restartNumberingAfterBreak="0">
    <w:nsid w:val="1F732691"/>
    <w:multiLevelType w:val="hybridMultilevel"/>
    <w:tmpl w:val="49A49BBE"/>
    <w:lvl w:ilvl="0" w:tplc="C0DAE28A">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49" w15:restartNumberingAfterBreak="0">
    <w:nsid w:val="20022FFF"/>
    <w:multiLevelType w:val="hybridMultilevel"/>
    <w:tmpl w:val="E94A4250"/>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15:restartNumberingAfterBreak="0">
    <w:nsid w:val="208C6532"/>
    <w:multiLevelType w:val="hybridMultilevel"/>
    <w:tmpl w:val="DFC64482"/>
    <w:lvl w:ilvl="0" w:tplc="C66EF71C">
      <w:start w:val="1"/>
      <w:numFmt w:val="lowerLetter"/>
      <w:lvlText w:val="%1)"/>
      <w:lvlJc w:val="left"/>
      <w:pPr>
        <w:ind w:left="3819" w:hanging="600"/>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12669C6"/>
    <w:multiLevelType w:val="hybridMultilevel"/>
    <w:tmpl w:val="18C0DDDC"/>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21631893"/>
    <w:multiLevelType w:val="hybridMultilevel"/>
    <w:tmpl w:val="CC3CA2C4"/>
    <w:lvl w:ilvl="0" w:tplc="DE4A3D5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3" w15:restartNumberingAfterBreak="0">
    <w:nsid w:val="217C4231"/>
    <w:multiLevelType w:val="hybridMultilevel"/>
    <w:tmpl w:val="01B0047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4" w15:restartNumberingAfterBreak="0">
    <w:nsid w:val="229600F0"/>
    <w:multiLevelType w:val="hybridMultilevel"/>
    <w:tmpl w:val="E51CDEE4"/>
    <w:lvl w:ilvl="0" w:tplc="F5BE079A">
      <w:start w:val="1"/>
      <w:numFmt w:val="lowerRoman"/>
      <w:lvlText w:val="(%1)"/>
      <w:lvlJc w:val="left"/>
      <w:pPr>
        <w:ind w:left="4122" w:hanging="720"/>
      </w:pPr>
      <w:rPr>
        <w:rFonts w:hint="default"/>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tentative="1">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tentative="1">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55" w15:restartNumberingAfterBreak="0">
    <w:nsid w:val="22A706C9"/>
    <w:multiLevelType w:val="hybridMultilevel"/>
    <w:tmpl w:val="1C66CA0A"/>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15:restartNumberingAfterBreak="0">
    <w:nsid w:val="22F255A1"/>
    <w:multiLevelType w:val="hybridMultilevel"/>
    <w:tmpl w:val="6F08DF1C"/>
    <w:lvl w:ilvl="0" w:tplc="BCD6E104">
      <w:start w:val="1"/>
      <w:numFmt w:val="decimal"/>
      <w:lvlText w:val="%1."/>
      <w:lvlJc w:val="left"/>
      <w:pPr>
        <w:ind w:left="2018"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30070CE"/>
    <w:multiLevelType w:val="hybridMultilevel"/>
    <w:tmpl w:val="BACA61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3C31B01"/>
    <w:multiLevelType w:val="hybridMultilevel"/>
    <w:tmpl w:val="6244469E"/>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59" w15:restartNumberingAfterBreak="0">
    <w:nsid w:val="25113A31"/>
    <w:multiLevelType w:val="hybridMultilevel"/>
    <w:tmpl w:val="EED27FE8"/>
    <w:lvl w:ilvl="0" w:tplc="733AFD3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0" w15:restartNumberingAfterBreak="0">
    <w:nsid w:val="256F4832"/>
    <w:multiLevelType w:val="hybridMultilevel"/>
    <w:tmpl w:val="94946702"/>
    <w:lvl w:ilvl="0" w:tplc="38090019">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1" w15:restartNumberingAfterBreak="0">
    <w:nsid w:val="28271161"/>
    <w:multiLevelType w:val="hybridMultilevel"/>
    <w:tmpl w:val="8B5E2C62"/>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62" w15:restartNumberingAfterBreak="0">
    <w:nsid w:val="286E4B88"/>
    <w:multiLevelType w:val="hybridMultilevel"/>
    <w:tmpl w:val="CAEC3B8C"/>
    <w:lvl w:ilvl="0" w:tplc="DED8B66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3" w15:restartNumberingAfterBreak="0">
    <w:nsid w:val="28C3771F"/>
    <w:multiLevelType w:val="hybridMultilevel"/>
    <w:tmpl w:val="412EDFC4"/>
    <w:lvl w:ilvl="0" w:tplc="3DD22BE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4" w15:restartNumberingAfterBreak="0">
    <w:nsid w:val="292416FB"/>
    <w:multiLevelType w:val="hybridMultilevel"/>
    <w:tmpl w:val="957C2736"/>
    <w:lvl w:ilvl="0" w:tplc="14602B0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5" w15:restartNumberingAfterBreak="0">
    <w:nsid w:val="2AA07EB8"/>
    <w:multiLevelType w:val="hybridMultilevel"/>
    <w:tmpl w:val="5C64BA5E"/>
    <w:lvl w:ilvl="0" w:tplc="840C5E6C">
      <w:start w:val="1"/>
      <w:numFmt w:val="lowerLetter"/>
      <w:lvlText w:val="%1."/>
      <w:lvlJc w:val="left"/>
      <w:pPr>
        <w:ind w:left="2619" w:hanging="608"/>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2AC74C3A"/>
    <w:multiLevelType w:val="hybridMultilevel"/>
    <w:tmpl w:val="1D1ACADC"/>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15:restartNumberingAfterBreak="0">
    <w:nsid w:val="2B2C0021"/>
    <w:multiLevelType w:val="hybridMultilevel"/>
    <w:tmpl w:val="5894C270"/>
    <w:lvl w:ilvl="0" w:tplc="840C5E6C">
      <w:start w:val="1"/>
      <w:numFmt w:val="lowerLetter"/>
      <w:lvlText w:val="%1."/>
      <w:lvlJc w:val="left"/>
      <w:pPr>
        <w:ind w:left="2619" w:hanging="608"/>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B325007"/>
    <w:multiLevelType w:val="hybridMultilevel"/>
    <w:tmpl w:val="0194EA56"/>
    <w:lvl w:ilvl="0" w:tplc="4CD6382A">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9" w15:restartNumberingAfterBreak="0">
    <w:nsid w:val="2D474A15"/>
    <w:multiLevelType w:val="hybridMultilevel"/>
    <w:tmpl w:val="07DE1E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DE724BA"/>
    <w:multiLevelType w:val="hybridMultilevel"/>
    <w:tmpl w:val="B8DEB296"/>
    <w:lvl w:ilvl="0" w:tplc="924269D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71" w15:restartNumberingAfterBreak="0">
    <w:nsid w:val="2DFE31B3"/>
    <w:multiLevelType w:val="hybridMultilevel"/>
    <w:tmpl w:val="F3B28068"/>
    <w:lvl w:ilvl="0" w:tplc="CAD84AB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2" w15:restartNumberingAfterBreak="0">
    <w:nsid w:val="2EC037EA"/>
    <w:multiLevelType w:val="hybridMultilevel"/>
    <w:tmpl w:val="25D82FFA"/>
    <w:lvl w:ilvl="0" w:tplc="8D52058A">
      <w:start w:val="1"/>
      <w:numFmt w:val="upperLetter"/>
      <w:lvlText w:val="%1."/>
      <w:lvlJc w:val="left"/>
      <w:pPr>
        <w:ind w:left="1418" w:hanging="600"/>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D26AA326">
      <w:start w:val="1"/>
      <w:numFmt w:val="decimal"/>
      <w:lvlText w:val="%2."/>
      <w:lvlJc w:val="left"/>
      <w:pPr>
        <w:ind w:left="2018" w:hanging="600"/>
      </w:pPr>
      <w:rPr>
        <w:rFonts w:ascii="Bookman Old Style" w:eastAsia="Bookman Old Style" w:hAnsi="Bookman Old Style" w:cs="Bookman Old Style" w:hint="default"/>
        <w:b w:val="0"/>
        <w:bCs w:val="0"/>
        <w:i w:val="0"/>
        <w:iCs w:val="0"/>
        <w:spacing w:val="-1"/>
        <w:w w:val="100"/>
        <w:sz w:val="24"/>
        <w:szCs w:val="24"/>
        <w:lang w:val="id" w:eastAsia="en-US" w:bidi="ar-SA"/>
      </w:rPr>
    </w:lvl>
    <w:lvl w:ilvl="2" w:tplc="A87C2EC0">
      <w:start w:val="1"/>
      <w:numFmt w:val="lowerLetter"/>
      <w:lvlText w:val="%3."/>
      <w:lvlJc w:val="left"/>
      <w:pPr>
        <w:ind w:left="2619" w:hanging="608"/>
      </w:pPr>
      <w:rPr>
        <w:rFonts w:ascii="Bookman Old Style" w:eastAsia="Bookman Old Style" w:hAnsi="Bookman Old Style" w:cs="Bookman Old Style" w:hint="default"/>
        <w:b w:val="0"/>
        <w:bCs w:val="0"/>
        <w:i w:val="0"/>
        <w:iCs w:val="0"/>
        <w:spacing w:val="-1"/>
        <w:w w:val="100"/>
        <w:sz w:val="20"/>
        <w:szCs w:val="20"/>
        <w:lang w:val="id" w:eastAsia="en-US" w:bidi="ar-SA"/>
      </w:rPr>
    </w:lvl>
    <w:lvl w:ilvl="3" w:tplc="F59AC698">
      <w:start w:val="1"/>
      <w:numFmt w:val="decimal"/>
      <w:lvlText w:val="%4)"/>
      <w:lvlJc w:val="left"/>
      <w:pPr>
        <w:ind w:left="32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4" w:tplc="D1B82030">
      <w:start w:val="1"/>
      <w:numFmt w:val="lowerLetter"/>
      <w:lvlText w:val="%5)"/>
      <w:lvlJc w:val="left"/>
      <w:pPr>
        <w:ind w:left="38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5" w:tplc="80F25748">
      <w:numFmt w:val="bullet"/>
      <w:lvlText w:val="•"/>
      <w:lvlJc w:val="left"/>
      <w:pPr>
        <w:ind w:left="2660" w:hanging="600"/>
      </w:pPr>
      <w:rPr>
        <w:rFonts w:hint="default"/>
        <w:lang w:val="id" w:eastAsia="en-US" w:bidi="ar-SA"/>
      </w:rPr>
    </w:lvl>
    <w:lvl w:ilvl="6" w:tplc="F7C4A4AA">
      <w:numFmt w:val="bullet"/>
      <w:lvlText w:val="•"/>
      <w:lvlJc w:val="left"/>
      <w:pPr>
        <w:ind w:left="3220" w:hanging="600"/>
      </w:pPr>
      <w:rPr>
        <w:rFonts w:hint="default"/>
        <w:lang w:val="id" w:eastAsia="en-US" w:bidi="ar-SA"/>
      </w:rPr>
    </w:lvl>
    <w:lvl w:ilvl="7" w:tplc="A9DAA7D2">
      <w:numFmt w:val="bullet"/>
      <w:lvlText w:val="•"/>
      <w:lvlJc w:val="left"/>
      <w:pPr>
        <w:ind w:left="3820" w:hanging="600"/>
      </w:pPr>
      <w:rPr>
        <w:rFonts w:hint="default"/>
        <w:lang w:val="id" w:eastAsia="en-US" w:bidi="ar-SA"/>
      </w:rPr>
    </w:lvl>
    <w:lvl w:ilvl="8" w:tplc="BD20028C">
      <w:numFmt w:val="bullet"/>
      <w:lvlText w:val="•"/>
      <w:lvlJc w:val="left"/>
      <w:pPr>
        <w:ind w:left="5833" w:hanging="600"/>
      </w:pPr>
      <w:rPr>
        <w:rFonts w:hint="default"/>
        <w:lang w:val="id" w:eastAsia="en-US" w:bidi="ar-SA"/>
      </w:rPr>
    </w:lvl>
  </w:abstractNum>
  <w:abstractNum w:abstractNumId="73" w15:restartNumberingAfterBreak="0">
    <w:nsid w:val="2F6D2749"/>
    <w:multiLevelType w:val="hybridMultilevel"/>
    <w:tmpl w:val="0F54554A"/>
    <w:lvl w:ilvl="0" w:tplc="51104558">
      <w:start w:val="1"/>
      <w:numFmt w:val="decimal"/>
      <w:lvlText w:val="%1)"/>
      <w:lvlJc w:val="left"/>
      <w:pPr>
        <w:ind w:left="32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F9D499B"/>
    <w:multiLevelType w:val="hybridMultilevel"/>
    <w:tmpl w:val="ACFE1EAA"/>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75" w15:restartNumberingAfterBreak="0">
    <w:nsid w:val="307A7ADF"/>
    <w:multiLevelType w:val="hybridMultilevel"/>
    <w:tmpl w:val="2092CADE"/>
    <w:lvl w:ilvl="0" w:tplc="A2AE691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6" w15:restartNumberingAfterBreak="0">
    <w:nsid w:val="308C329E"/>
    <w:multiLevelType w:val="hybridMultilevel"/>
    <w:tmpl w:val="7F5C63E8"/>
    <w:lvl w:ilvl="0" w:tplc="F6A83E1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7" w15:restartNumberingAfterBreak="0">
    <w:nsid w:val="31055377"/>
    <w:multiLevelType w:val="hybridMultilevel"/>
    <w:tmpl w:val="164CA81A"/>
    <w:lvl w:ilvl="0" w:tplc="1152D28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78" w15:restartNumberingAfterBreak="0">
    <w:nsid w:val="310C4967"/>
    <w:multiLevelType w:val="hybridMultilevel"/>
    <w:tmpl w:val="837A7A78"/>
    <w:lvl w:ilvl="0" w:tplc="B41AB91E">
      <w:start w:val="1"/>
      <w:numFmt w:val="upperLetter"/>
      <w:lvlText w:val="%1."/>
      <w:lvlJc w:val="left"/>
      <w:pPr>
        <w:ind w:left="548" w:hanging="317"/>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104F536">
      <w:start w:val="1"/>
      <w:numFmt w:val="decimal"/>
      <w:lvlText w:val="%2."/>
      <w:lvlJc w:val="left"/>
      <w:pPr>
        <w:ind w:left="939" w:hanging="361"/>
      </w:pPr>
      <w:rPr>
        <w:rFonts w:ascii="Bookman Old Style" w:eastAsia="Bookman Old Style" w:hAnsi="Bookman Old Style" w:cs="Bookman Old Style" w:hint="default"/>
        <w:b w:val="0"/>
        <w:bCs w:val="0"/>
        <w:i w:val="0"/>
        <w:iCs w:val="0"/>
        <w:spacing w:val="-1"/>
        <w:w w:val="100"/>
        <w:sz w:val="24"/>
        <w:szCs w:val="24"/>
        <w:lang w:val="id" w:eastAsia="en-US" w:bidi="ar-SA"/>
      </w:rPr>
    </w:lvl>
    <w:lvl w:ilvl="2" w:tplc="E4007640">
      <w:start w:val="1"/>
      <w:numFmt w:val="lowerLetter"/>
      <w:lvlText w:val="%3."/>
      <w:lvlJc w:val="left"/>
      <w:pPr>
        <w:ind w:left="1479" w:hanging="540"/>
      </w:pPr>
      <w:rPr>
        <w:rFonts w:ascii="Bookman Old Style" w:eastAsia="Bookman Old Style" w:hAnsi="Bookman Old Style" w:cs="Bookman Old Style" w:hint="default"/>
        <w:b w:val="0"/>
        <w:bCs w:val="0"/>
        <w:i w:val="0"/>
        <w:iCs w:val="0"/>
        <w:spacing w:val="-1"/>
        <w:w w:val="100"/>
        <w:sz w:val="24"/>
        <w:szCs w:val="24"/>
        <w:lang w:val="id" w:eastAsia="en-US" w:bidi="ar-SA"/>
      </w:rPr>
    </w:lvl>
    <w:lvl w:ilvl="3" w:tplc="0A34F1B6">
      <w:numFmt w:val="bullet"/>
      <w:lvlText w:val="•"/>
      <w:lvlJc w:val="left"/>
      <w:pPr>
        <w:ind w:left="3395" w:hanging="540"/>
      </w:pPr>
      <w:rPr>
        <w:rFonts w:hint="default"/>
        <w:lang w:val="id" w:eastAsia="en-US" w:bidi="ar-SA"/>
      </w:rPr>
    </w:lvl>
    <w:lvl w:ilvl="4" w:tplc="7ECE4B3C">
      <w:numFmt w:val="bullet"/>
      <w:lvlText w:val="•"/>
      <w:lvlJc w:val="left"/>
      <w:pPr>
        <w:ind w:left="5310" w:hanging="540"/>
      </w:pPr>
      <w:rPr>
        <w:rFonts w:hint="default"/>
        <w:lang w:val="id" w:eastAsia="en-US" w:bidi="ar-SA"/>
      </w:rPr>
    </w:lvl>
    <w:lvl w:ilvl="5" w:tplc="B6845FF4">
      <w:numFmt w:val="bullet"/>
      <w:lvlText w:val="•"/>
      <w:lvlJc w:val="left"/>
      <w:pPr>
        <w:ind w:left="7225" w:hanging="540"/>
      </w:pPr>
      <w:rPr>
        <w:rFonts w:hint="default"/>
        <w:lang w:val="id" w:eastAsia="en-US" w:bidi="ar-SA"/>
      </w:rPr>
    </w:lvl>
    <w:lvl w:ilvl="6" w:tplc="6DDE6DE0">
      <w:numFmt w:val="bullet"/>
      <w:lvlText w:val="•"/>
      <w:lvlJc w:val="left"/>
      <w:pPr>
        <w:ind w:left="9140" w:hanging="540"/>
      </w:pPr>
      <w:rPr>
        <w:rFonts w:hint="default"/>
        <w:lang w:val="id" w:eastAsia="en-US" w:bidi="ar-SA"/>
      </w:rPr>
    </w:lvl>
    <w:lvl w:ilvl="7" w:tplc="BD26ECAA">
      <w:numFmt w:val="bullet"/>
      <w:lvlText w:val="•"/>
      <w:lvlJc w:val="left"/>
      <w:pPr>
        <w:ind w:left="11055" w:hanging="540"/>
      </w:pPr>
      <w:rPr>
        <w:rFonts w:hint="default"/>
        <w:lang w:val="id" w:eastAsia="en-US" w:bidi="ar-SA"/>
      </w:rPr>
    </w:lvl>
    <w:lvl w:ilvl="8" w:tplc="C56672A0">
      <w:numFmt w:val="bullet"/>
      <w:lvlText w:val="•"/>
      <w:lvlJc w:val="left"/>
      <w:pPr>
        <w:ind w:left="12970" w:hanging="540"/>
      </w:pPr>
      <w:rPr>
        <w:rFonts w:hint="default"/>
        <w:lang w:val="id" w:eastAsia="en-US" w:bidi="ar-SA"/>
      </w:rPr>
    </w:lvl>
  </w:abstractNum>
  <w:abstractNum w:abstractNumId="79" w15:restartNumberingAfterBreak="0">
    <w:nsid w:val="31245CFF"/>
    <w:multiLevelType w:val="hybridMultilevel"/>
    <w:tmpl w:val="EB1C4280"/>
    <w:lvl w:ilvl="0" w:tplc="38090011">
      <w:start w:val="1"/>
      <w:numFmt w:val="decimal"/>
      <w:lvlText w:val="%1)"/>
      <w:lvlJc w:val="left"/>
      <w:pPr>
        <w:ind w:left="1178" w:hanging="360"/>
      </w:pPr>
    </w:lvl>
    <w:lvl w:ilvl="1" w:tplc="38090019" w:tentative="1">
      <w:start w:val="1"/>
      <w:numFmt w:val="lowerLetter"/>
      <w:lvlText w:val="%2."/>
      <w:lvlJc w:val="left"/>
      <w:pPr>
        <w:ind w:left="1898" w:hanging="360"/>
      </w:pPr>
    </w:lvl>
    <w:lvl w:ilvl="2" w:tplc="3809001B" w:tentative="1">
      <w:start w:val="1"/>
      <w:numFmt w:val="lowerRoman"/>
      <w:lvlText w:val="%3."/>
      <w:lvlJc w:val="right"/>
      <w:pPr>
        <w:ind w:left="2618" w:hanging="180"/>
      </w:pPr>
    </w:lvl>
    <w:lvl w:ilvl="3" w:tplc="3809000F" w:tentative="1">
      <w:start w:val="1"/>
      <w:numFmt w:val="decimal"/>
      <w:lvlText w:val="%4."/>
      <w:lvlJc w:val="left"/>
      <w:pPr>
        <w:ind w:left="3338" w:hanging="360"/>
      </w:pPr>
    </w:lvl>
    <w:lvl w:ilvl="4" w:tplc="38090019" w:tentative="1">
      <w:start w:val="1"/>
      <w:numFmt w:val="lowerLetter"/>
      <w:lvlText w:val="%5."/>
      <w:lvlJc w:val="left"/>
      <w:pPr>
        <w:ind w:left="4058" w:hanging="360"/>
      </w:pPr>
    </w:lvl>
    <w:lvl w:ilvl="5" w:tplc="3809001B" w:tentative="1">
      <w:start w:val="1"/>
      <w:numFmt w:val="lowerRoman"/>
      <w:lvlText w:val="%6."/>
      <w:lvlJc w:val="right"/>
      <w:pPr>
        <w:ind w:left="4778" w:hanging="180"/>
      </w:pPr>
    </w:lvl>
    <w:lvl w:ilvl="6" w:tplc="3809000F" w:tentative="1">
      <w:start w:val="1"/>
      <w:numFmt w:val="decimal"/>
      <w:lvlText w:val="%7."/>
      <w:lvlJc w:val="left"/>
      <w:pPr>
        <w:ind w:left="5498" w:hanging="360"/>
      </w:pPr>
    </w:lvl>
    <w:lvl w:ilvl="7" w:tplc="38090019" w:tentative="1">
      <w:start w:val="1"/>
      <w:numFmt w:val="lowerLetter"/>
      <w:lvlText w:val="%8."/>
      <w:lvlJc w:val="left"/>
      <w:pPr>
        <w:ind w:left="6218" w:hanging="360"/>
      </w:pPr>
    </w:lvl>
    <w:lvl w:ilvl="8" w:tplc="3809001B" w:tentative="1">
      <w:start w:val="1"/>
      <w:numFmt w:val="lowerRoman"/>
      <w:lvlText w:val="%9."/>
      <w:lvlJc w:val="right"/>
      <w:pPr>
        <w:ind w:left="6938" w:hanging="180"/>
      </w:pPr>
    </w:lvl>
  </w:abstractNum>
  <w:abstractNum w:abstractNumId="80" w15:restartNumberingAfterBreak="0">
    <w:nsid w:val="31832837"/>
    <w:multiLevelType w:val="hybridMultilevel"/>
    <w:tmpl w:val="F7BEC37C"/>
    <w:lvl w:ilvl="0" w:tplc="FA38DE68">
      <w:start w:val="2"/>
      <w:numFmt w:val="decimal"/>
      <w:lvlText w:val="%1."/>
      <w:lvlJc w:val="left"/>
      <w:pPr>
        <w:ind w:left="360" w:hanging="360"/>
      </w:pPr>
      <w:rPr>
        <w:rFonts w:hint="default"/>
      </w:rPr>
    </w:lvl>
    <w:lvl w:ilvl="1" w:tplc="04210019" w:tentative="1">
      <w:start w:val="1"/>
      <w:numFmt w:val="lowerLetter"/>
      <w:lvlText w:val="%2."/>
      <w:lvlJc w:val="left"/>
      <w:pPr>
        <w:ind w:left="1050" w:hanging="360"/>
      </w:pPr>
    </w:lvl>
    <w:lvl w:ilvl="2" w:tplc="0421001B" w:tentative="1">
      <w:start w:val="1"/>
      <w:numFmt w:val="lowerRoman"/>
      <w:lvlText w:val="%3."/>
      <w:lvlJc w:val="right"/>
      <w:pPr>
        <w:ind w:left="1770" w:hanging="180"/>
      </w:pPr>
    </w:lvl>
    <w:lvl w:ilvl="3" w:tplc="0421000F" w:tentative="1">
      <w:start w:val="1"/>
      <w:numFmt w:val="decimal"/>
      <w:lvlText w:val="%4."/>
      <w:lvlJc w:val="left"/>
      <w:pPr>
        <w:ind w:left="2490" w:hanging="360"/>
      </w:pPr>
    </w:lvl>
    <w:lvl w:ilvl="4" w:tplc="04210019" w:tentative="1">
      <w:start w:val="1"/>
      <w:numFmt w:val="lowerLetter"/>
      <w:lvlText w:val="%5."/>
      <w:lvlJc w:val="left"/>
      <w:pPr>
        <w:ind w:left="3210" w:hanging="360"/>
      </w:pPr>
    </w:lvl>
    <w:lvl w:ilvl="5" w:tplc="0421001B" w:tentative="1">
      <w:start w:val="1"/>
      <w:numFmt w:val="lowerRoman"/>
      <w:lvlText w:val="%6."/>
      <w:lvlJc w:val="right"/>
      <w:pPr>
        <w:ind w:left="3930" w:hanging="180"/>
      </w:pPr>
    </w:lvl>
    <w:lvl w:ilvl="6" w:tplc="0421000F" w:tentative="1">
      <w:start w:val="1"/>
      <w:numFmt w:val="decimal"/>
      <w:lvlText w:val="%7."/>
      <w:lvlJc w:val="left"/>
      <w:pPr>
        <w:ind w:left="4650" w:hanging="360"/>
      </w:pPr>
    </w:lvl>
    <w:lvl w:ilvl="7" w:tplc="04210019" w:tentative="1">
      <w:start w:val="1"/>
      <w:numFmt w:val="lowerLetter"/>
      <w:lvlText w:val="%8."/>
      <w:lvlJc w:val="left"/>
      <w:pPr>
        <w:ind w:left="5370" w:hanging="360"/>
      </w:pPr>
    </w:lvl>
    <w:lvl w:ilvl="8" w:tplc="0421001B" w:tentative="1">
      <w:start w:val="1"/>
      <w:numFmt w:val="lowerRoman"/>
      <w:lvlText w:val="%9."/>
      <w:lvlJc w:val="right"/>
      <w:pPr>
        <w:ind w:left="6090" w:hanging="180"/>
      </w:pPr>
    </w:lvl>
  </w:abstractNum>
  <w:abstractNum w:abstractNumId="81" w15:restartNumberingAfterBreak="0">
    <w:nsid w:val="31D322E8"/>
    <w:multiLevelType w:val="hybridMultilevel"/>
    <w:tmpl w:val="9ED0FC18"/>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15:restartNumberingAfterBreak="0">
    <w:nsid w:val="32F40231"/>
    <w:multiLevelType w:val="hybridMultilevel"/>
    <w:tmpl w:val="A8EE26F2"/>
    <w:lvl w:ilvl="0" w:tplc="516ADF36">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83" w15:restartNumberingAfterBreak="0">
    <w:nsid w:val="330B64B5"/>
    <w:multiLevelType w:val="hybridMultilevel"/>
    <w:tmpl w:val="8B5E2C62"/>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84" w15:restartNumberingAfterBreak="0">
    <w:nsid w:val="33CC64F5"/>
    <w:multiLevelType w:val="hybridMultilevel"/>
    <w:tmpl w:val="0A607ED4"/>
    <w:lvl w:ilvl="0" w:tplc="16C2969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5" w15:restartNumberingAfterBreak="0">
    <w:nsid w:val="33F444C5"/>
    <w:multiLevelType w:val="hybridMultilevel"/>
    <w:tmpl w:val="48706726"/>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86" w15:restartNumberingAfterBreak="0">
    <w:nsid w:val="340F6570"/>
    <w:multiLevelType w:val="hybridMultilevel"/>
    <w:tmpl w:val="6890CB28"/>
    <w:lvl w:ilvl="0" w:tplc="4E544EA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7" w15:restartNumberingAfterBreak="0">
    <w:nsid w:val="34D4673A"/>
    <w:multiLevelType w:val="hybridMultilevel"/>
    <w:tmpl w:val="615A22A4"/>
    <w:lvl w:ilvl="0" w:tplc="ED9067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8" w15:restartNumberingAfterBreak="0">
    <w:nsid w:val="34D62267"/>
    <w:multiLevelType w:val="hybridMultilevel"/>
    <w:tmpl w:val="064E4F6E"/>
    <w:lvl w:ilvl="0" w:tplc="E0FE1FE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9" w15:restartNumberingAfterBreak="0">
    <w:nsid w:val="35815BB8"/>
    <w:multiLevelType w:val="hybridMultilevel"/>
    <w:tmpl w:val="FCB6581C"/>
    <w:lvl w:ilvl="0" w:tplc="264CB63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90" w15:restartNumberingAfterBreak="0">
    <w:nsid w:val="35B8193F"/>
    <w:multiLevelType w:val="hybridMultilevel"/>
    <w:tmpl w:val="9AC4E6F6"/>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1" w15:restartNumberingAfterBreak="0">
    <w:nsid w:val="36261BB2"/>
    <w:multiLevelType w:val="hybridMultilevel"/>
    <w:tmpl w:val="08D2B4E4"/>
    <w:lvl w:ilvl="0" w:tplc="14600FFE">
      <w:start w:val="1"/>
      <w:numFmt w:val="decimal"/>
      <w:lvlText w:val="%1."/>
      <w:lvlJc w:val="left"/>
      <w:pPr>
        <w:ind w:left="1494" w:hanging="360"/>
      </w:pPr>
      <w:rPr>
        <w:rFonts w:hint="default"/>
        <w:b/>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2" w15:restartNumberingAfterBreak="0">
    <w:nsid w:val="36646405"/>
    <w:multiLevelType w:val="hybridMultilevel"/>
    <w:tmpl w:val="90B4C85C"/>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93" w15:restartNumberingAfterBreak="0">
    <w:nsid w:val="36FE5B68"/>
    <w:multiLevelType w:val="hybridMultilevel"/>
    <w:tmpl w:val="FEAA4C0E"/>
    <w:lvl w:ilvl="0" w:tplc="C66EF71C">
      <w:start w:val="1"/>
      <w:numFmt w:val="lowerLetter"/>
      <w:lvlText w:val="%1)"/>
      <w:lvlJc w:val="left"/>
      <w:pPr>
        <w:ind w:left="3819" w:hanging="600"/>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370329FD"/>
    <w:multiLevelType w:val="hybridMultilevel"/>
    <w:tmpl w:val="28E686B6"/>
    <w:lvl w:ilvl="0" w:tplc="38090017">
      <w:start w:val="1"/>
      <w:numFmt w:val="lowerLetter"/>
      <w:lvlText w:val="%1)"/>
      <w:lvlJc w:val="left"/>
      <w:pPr>
        <w:ind w:left="4122" w:hanging="720"/>
      </w:pPr>
      <w:rPr>
        <w:rFonts w:hint="default"/>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tentative="1">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tentative="1">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95" w15:restartNumberingAfterBreak="0">
    <w:nsid w:val="37D47171"/>
    <w:multiLevelType w:val="hybridMultilevel"/>
    <w:tmpl w:val="DFC64482"/>
    <w:lvl w:ilvl="0" w:tplc="C66EF71C">
      <w:start w:val="1"/>
      <w:numFmt w:val="lowerLetter"/>
      <w:lvlText w:val="%1)"/>
      <w:lvlJc w:val="left"/>
      <w:pPr>
        <w:ind w:left="3819" w:hanging="600"/>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385731F1"/>
    <w:multiLevelType w:val="hybridMultilevel"/>
    <w:tmpl w:val="BA5E27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7" w15:restartNumberingAfterBreak="0">
    <w:nsid w:val="38763E9F"/>
    <w:multiLevelType w:val="hybridMultilevel"/>
    <w:tmpl w:val="A0AA09D4"/>
    <w:lvl w:ilvl="0" w:tplc="50AC5F62">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98" w15:restartNumberingAfterBreak="0">
    <w:nsid w:val="392E5578"/>
    <w:multiLevelType w:val="hybridMultilevel"/>
    <w:tmpl w:val="7C568BAA"/>
    <w:lvl w:ilvl="0" w:tplc="167CE67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9" w15:restartNumberingAfterBreak="0">
    <w:nsid w:val="393430A9"/>
    <w:multiLevelType w:val="hybridMultilevel"/>
    <w:tmpl w:val="0FEE5A26"/>
    <w:lvl w:ilvl="0" w:tplc="87681F4A">
      <w:start w:val="1"/>
      <w:numFmt w:val="decimal"/>
      <w:lvlText w:val="%1)"/>
      <w:lvlJc w:val="left"/>
      <w:pPr>
        <w:ind w:left="2619" w:hanging="601"/>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39CE40A1"/>
    <w:multiLevelType w:val="hybridMultilevel"/>
    <w:tmpl w:val="81B69BC8"/>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01" w15:restartNumberingAfterBreak="0">
    <w:nsid w:val="3A340FF7"/>
    <w:multiLevelType w:val="hybridMultilevel"/>
    <w:tmpl w:val="28CA2252"/>
    <w:lvl w:ilvl="0" w:tplc="3FBEB4F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02" w15:restartNumberingAfterBreak="0">
    <w:nsid w:val="3A726370"/>
    <w:multiLevelType w:val="hybridMultilevel"/>
    <w:tmpl w:val="AD9A5762"/>
    <w:lvl w:ilvl="0" w:tplc="F020ACA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03" w15:restartNumberingAfterBreak="0">
    <w:nsid w:val="3C1E10FD"/>
    <w:multiLevelType w:val="hybridMultilevel"/>
    <w:tmpl w:val="7F042F82"/>
    <w:lvl w:ilvl="0" w:tplc="3F5E6BD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04" w15:restartNumberingAfterBreak="0">
    <w:nsid w:val="3CEA2B8E"/>
    <w:multiLevelType w:val="hybridMultilevel"/>
    <w:tmpl w:val="4DBC7F6A"/>
    <w:lvl w:ilvl="0" w:tplc="DED8B66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5" w15:restartNumberingAfterBreak="0">
    <w:nsid w:val="3CF24F26"/>
    <w:multiLevelType w:val="hybridMultilevel"/>
    <w:tmpl w:val="A71C6B5C"/>
    <w:lvl w:ilvl="0" w:tplc="518019D0">
      <w:start w:val="1"/>
      <w:numFmt w:val="upperRoman"/>
      <w:lvlText w:val="%1."/>
      <w:lvlJc w:val="left"/>
      <w:pPr>
        <w:ind w:left="1080" w:hanging="720"/>
      </w:pPr>
      <w:rPr>
        <w:rFonts w:eastAsia="Calibri" w:cs="Calibri"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3D33101B"/>
    <w:multiLevelType w:val="hybridMultilevel"/>
    <w:tmpl w:val="1F0691B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7" w15:restartNumberingAfterBreak="0">
    <w:nsid w:val="3E580928"/>
    <w:multiLevelType w:val="hybridMultilevel"/>
    <w:tmpl w:val="87EE4E12"/>
    <w:lvl w:ilvl="0" w:tplc="F59AC698">
      <w:start w:val="1"/>
      <w:numFmt w:val="decimal"/>
      <w:lvlText w:val="%1)"/>
      <w:lvlJc w:val="left"/>
      <w:pPr>
        <w:ind w:left="3120"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341" w:hanging="360"/>
      </w:pPr>
    </w:lvl>
    <w:lvl w:ilvl="2" w:tplc="3809001B" w:tentative="1">
      <w:start w:val="1"/>
      <w:numFmt w:val="lowerRoman"/>
      <w:lvlText w:val="%3."/>
      <w:lvlJc w:val="right"/>
      <w:pPr>
        <w:ind w:left="2061" w:hanging="180"/>
      </w:pPr>
    </w:lvl>
    <w:lvl w:ilvl="3" w:tplc="3809000F" w:tentative="1">
      <w:start w:val="1"/>
      <w:numFmt w:val="decimal"/>
      <w:lvlText w:val="%4."/>
      <w:lvlJc w:val="left"/>
      <w:pPr>
        <w:ind w:left="2781" w:hanging="360"/>
      </w:pPr>
    </w:lvl>
    <w:lvl w:ilvl="4" w:tplc="38090019" w:tentative="1">
      <w:start w:val="1"/>
      <w:numFmt w:val="lowerLetter"/>
      <w:lvlText w:val="%5."/>
      <w:lvlJc w:val="left"/>
      <w:pPr>
        <w:ind w:left="3501" w:hanging="360"/>
      </w:pPr>
    </w:lvl>
    <w:lvl w:ilvl="5" w:tplc="3809001B" w:tentative="1">
      <w:start w:val="1"/>
      <w:numFmt w:val="lowerRoman"/>
      <w:lvlText w:val="%6."/>
      <w:lvlJc w:val="right"/>
      <w:pPr>
        <w:ind w:left="4221" w:hanging="180"/>
      </w:pPr>
    </w:lvl>
    <w:lvl w:ilvl="6" w:tplc="3809000F" w:tentative="1">
      <w:start w:val="1"/>
      <w:numFmt w:val="decimal"/>
      <w:lvlText w:val="%7."/>
      <w:lvlJc w:val="left"/>
      <w:pPr>
        <w:ind w:left="4941" w:hanging="360"/>
      </w:pPr>
    </w:lvl>
    <w:lvl w:ilvl="7" w:tplc="38090019" w:tentative="1">
      <w:start w:val="1"/>
      <w:numFmt w:val="lowerLetter"/>
      <w:lvlText w:val="%8."/>
      <w:lvlJc w:val="left"/>
      <w:pPr>
        <w:ind w:left="5661" w:hanging="360"/>
      </w:pPr>
    </w:lvl>
    <w:lvl w:ilvl="8" w:tplc="3809001B" w:tentative="1">
      <w:start w:val="1"/>
      <w:numFmt w:val="lowerRoman"/>
      <w:lvlText w:val="%9."/>
      <w:lvlJc w:val="right"/>
      <w:pPr>
        <w:ind w:left="6381" w:hanging="180"/>
      </w:pPr>
    </w:lvl>
  </w:abstractNum>
  <w:abstractNum w:abstractNumId="108" w15:restartNumberingAfterBreak="0">
    <w:nsid w:val="3E5F797F"/>
    <w:multiLevelType w:val="hybridMultilevel"/>
    <w:tmpl w:val="58EA79C6"/>
    <w:lvl w:ilvl="0" w:tplc="38090019">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9" w15:restartNumberingAfterBreak="0">
    <w:nsid w:val="3E8407F0"/>
    <w:multiLevelType w:val="hybridMultilevel"/>
    <w:tmpl w:val="D2825150"/>
    <w:lvl w:ilvl="0" w:tplc="E5881510">
      <w:start w:val="1"/>
      <w:numFmt w:val="decimal"/>
      <w:lvlText w:val="%1."/>
      <w:lvlJc w:val="left"/>
      <w:pPr>
        <w:ind w:left="2018"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3EDE1C86"/>
    <w:multiLevelType w:val="hybridMultilevel"/>
    <w:tmpl w:val="A8CAC6D2"/>
    <w:lvl w:ilvl="0" w:tplc="38090019">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11" w15:restartNumberingAfterBreak="0">
    <w:nsid w:val="3F957572"/>
    <w:multiLevelType w:val="hybridMultilevel"/>
    <w:tmpl w:val="DF2A0D18"/>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12" w15:restartNumberingAfterBreak="0">
    <w:nsid w:val="3FF96C94"/>
    <w:multiLevelType w:val="hybridMultilevel"/>
    <w:tmpl w:val="520E54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404D7D45"/>
    <w:multiLevelType w:val="hybridMultilevel"/>
    <w:tmpl w:val="32044C0C"/>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4" w15:restartNumberingAfterBreak="0">
    <w:nsid w:val="40AD7811"/>
    <w:multiLevelType w:val="hybridMultilevel"/>
    <w:tmpl w:val="E5EC2EE6"/>
    <w:lvl w:ilvl="0" w:tplc="FFFFFFFF">
      <w:start w:val="1"/>
      <w:numFmt w:val="lowerLetter"/>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15" w15:restartNumberingAfterBreak="0">
    <w:nsid w:val="40D73054"/>
    <w:multiLevelType w:val="hybridMultilevel"/>
    <w:tmpl w:val="DEF4B8A2"/>
    <w:lvl w:ilvl="0" w:tplc="2B3C232E">
      <w:start w:val="1"/>
      <w:numFmt w:val="lowerLetter"/>
      <w:lvlText w:val="(%1)"/>
      <w:lvlJc w:val="left"/>
      <w:pPr>
        <w:ind w:left="4329" w:hanging="360"/>
      </w:pPr>
      <w:rPr>
        <w:rFonts w:hint="default"/>
      </w:rPr>
    </w:lvl>
    <w:lvl w:ilvl="1" w:tplc="38090019" w:tentative="1">
      <w:start w:val="1"/>
      <w:numFmt w:val="lowerLetter"/>
      <w:lvlText w:val="%2."/>
      <w:lvlJc w:val="left"/>
      <w:pPr>
        <w:ind w:left="5049" w:hanging="360"/>
      </w:pPr>
    </w:lvl>
    <w:lvl w:ilvl="2" w:tplc="3809001B" w:tentative="1">
      <w:start w:val="1"/>
      <w:numFmt w:val="lowerRoman"/>
      <w:lvlText w:val="%3."/>
      <w:lvlJc w:val="right"/>
      <w:pPr>
        <w:ind w:left="5769" w:hanging="180"/>
      </w:pPr>
    </w:lvl>
    <w:lvl w:ilvl="3" w:tplc="3809000F" w:tentative="1">
      <w:start w:val="1"/>
      <w:numFmt w:val="decimal"/>
      <w:lvlText w:val="%4."/>
      <w:lvlJc w:val="left"/>
      <w:pPr>
        <w:ind w:left="6489" w:hanging="360"/>
      </w:pPr>
    </w:lvl>
    <w:lvl w:ilvl="4" w:tplc="38090019" w:tentative="1">
      <w:start w:val="1"/>
      <w:numFmt w:val="lowerLetter"/>
      <w:lvlText w:val="%5."/>
      <w:lvlJc w:val="left"/>
      <w:pPr>
        <w:ind w:left="7209" w:hanging="360"/>
      </w:pPr>
    </w:lvl>
    <w:lvl w:ilvl="5" w:tplc="3809001B" w:tentative="1">
      <w:start w:val="1"/>
      <w:numFmt w:val="lowerRoman"/>
      <w:lvlText w:val="%6."/>
      <w:lvlJc w:val="right"/>
      <w:pPr>
        <w:ind w:left="7929" w:hanging="180"/>
      </w:pPr>
    </w:lvl>
    <w:lvl w:ilvl="6" w:tplc="3809000F" w:tentative="1">
      <w:start w:val="1"/>
      <w:numFmt w:val="decimal"/>
      <w:lvlText w:val="%7."/>
      <w:lvlJc w:val="left"/>
      <w:pPr>
        <w:ind w:left="8649" w:hanging="360"/>
      </w:pPr>
    </w:lvl>
    <w:lvl w:ilvl="7" w:tplc="38090019" w:tentative="1">
      <w:start w:val="1"/>
      <w:numFmt w:val="lowerLetter"/>
      <w:lvlText w:val="%8."/>
      <w:lvlJc w:val="left"/>
      <w:pPr>
        <w:ind w:left="9369" w:hanging="360"/>
      </w:pPr>
    </w:lvl>
    <w:lvl w:ilvl="8" w:tplc="3809001B" w:tentative="1">
      <w:start w:val="1"/>
      <w:numFmt w:val="lowerRoman"/>
      <w:lvlText w:val="%9."/>
      <w:lvlJc w:val="right"/>
      <w:pPr>
        <w:ind w:left="10089" w:hanging="180"/>
      </w:pPr>
    </w:lvl>
  </w:abstractNum>
  <w:abstractNum w:abstractNumId="116" w15:restartNumberingAfterBreak="0">
    <w:nsid w:val="41157CC9"/>
    <w:multiLevelType w:val="hybridMultilevel"/>
    <w:tmpl w:val="9B127B22"/>
    <w:lvl w:ilvl="0" w:tplc="7054A53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17" w15:restartNumberingAfterBreak="0">
    <w:nsid w:val="41E41503"/>
    <w:multiLevelType w:val="hybridMultilevel"/>
    <w:tmpl w:val="997820BA"/>
    <w:lvl w:ilvl="0" w:tplc="38090011">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18" w15:restartNumberingAfterBreak="0">
    <w:nsid w:val="423D66ED"/>
    <w:multiLevelType w:val="hybridMultilevel"/>
    <w:tmpl w:val="58E82588"/>
    <w:lvl w:ilvl="0" w:tplc="4A32B664">
      <w:start w:val="1"/>
      <w:numFmt w:val="decimal"/>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9" w15:restartNumberingAfterBreak="0">
    <w:nsid w:val="42976A91"/>
    <w:multiLevelType w:val="hybridMultilevel"/>
    <w:tmpl w:val="35661AA0"/>
    <w:lvl w:ilvl="0" w:tplc="AF1C59A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0" w15:restartNumberingAfterBreak="0">
    <w:nsid w:val="430B3750"/>
    <w:multiLevelType w:val="hybridMultilevel"/>
    <w:tmpl w:val="F3800212"/>
    <w:lvl w:ilvl="0" w:tplc="641AC81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1" w15:restartNumberingAfterBreak="0">
    <w:nsid w:val="43C35549"/>
    <w:multiLevelType w:val="hybridMultilevel"/>
    <w:tmpl w:val="4F04A7AE"/>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2" w15:restartNumberingAfterBreak="0">
    <w:nsid w:val="44204925"/>
    <w:multiLevelType w:val="hybridMultilevel"/>
    <w:tmpl w:val="06CADF28"/>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23" w15:restartNumberingAfterBreak="0">
    <w:nsid w:val="444550B8"/>
    <w:multiLevelType w:val="hybridMultilevel"/>
    <w:tmpl w:val="36B63586"/>
    <w:lvl w:ilvl="0" w:tplc="B65C8840">
      <w:start w:val="1"/>
      <w:numFmt w:val="lowerLetter"/>
      <w:lvlText w:val="%1)"/>
      <w:lvlJc w:val="left"/>
      <w:pPr>
        <w:ind w:left="3195" w:hanging="360"/>
      </w:pPr>
      <w:rPr>
        <w:rFonts w:hint="default"/>
        <w:i w:val="0"/>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24" w15:restartNumberingAfterBreak="0">
    <w:nsid w:val="455A51D9"/>
    <w:multiLevelType w:val="hybridMultilevel"/>
    <w:tmpl w:val="B922CDD0"/>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5" w15:restartNumberingAfterBreak="0">
    <w:nsid w:val="45F33EDE"/>
    <w:multiLevelType w:val="hybridMultilevel"/>
    <w:tmpl w:val="1E8EAF76"/>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26" w15:restartNumberingAfterBreak="0">
    <w:nsid w:val="46364662"/>
    <w:multiLevelType w:val="hybridMultilevel"/>
    <w:tmpl w:val="781C254E"/>
    <w:lvl w:ilvl="0" w:tplc="3809000F">
      <w:start w:val="1"/>
      <w:numFmt w:val="decimal"/>
      <w:lvlText w:val="%1."/>
      <w:lvlJc w:val="left"/>
      <w:pPr>
        <w:ind w:left="1494" w:hanging="360"/>
      </w:pPr>
      <w:rPr>
        <w:rFonts w:hint="default"/>
      </w:rPr>
    </w:lvl>
    <w:lvl w:ilvl="1" w:tplc="3809000F">
      <w:start w:val="1"/>
      <w:numFmt w:val="decimal"/>
      <w:lvlText w:val="%2."/>
      <w:lvlJc w:val="left"/>
      <w:pPr>
        <w:ind w:left="2214" w:hanging="360"/>
      </w:pPr>
    </w:lvl>
    <w:lvl w:ilvl="2" w:tplc="38090019">
      <w:start w:val="1"/>
      <w:numFmt w:val="lowerLetter"/>
      <w:lvlText w:val="%3."/>
      <w:lvlJc w:val="left"/>
      <w:pPr>
        <w:ind w:left="3114" w:hanging="360"/>
      </w:pPr>
      <w:rPr>
        <w:rFonts w:hint="default"/>
      </w:rPr>
    </w:lvl>
    <w:lvl w:ilvl="3" w:tplc="38090011">
      <w:start w:val="1"/>
      <w:numFmt w:val="decimal"/>
      <w:lvlText w:val="%4)"/>
      <w:lvlJc w:val="left"/>
      <w:pPr>
        <w:ind w:left="3654" w:hanging="360"/>
      </w:pPr>
      <w:rPr>
        <w:rFonts w:hint="default"/>
      </w:rPr>
    </w:lvl>
    <w:lvl w:ilvl="4" w:tplc="AB709146">
      <w:start w:val="1"/>
      <w:numFmt w:val="lowerLetter"/>
      <w:lvlText w:val="%5)"/>
      <w:lvlJc w:val="left"/>
      <w:pPr>
        <w:ind w:left="4374" w:hanging="360"/>
      </w:pPr>
      <w:rPr>
        <w:rFonts w:hint="default"/>
      </w:r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7" w15:restartNumberingAfterBreak="0">
    <w:nsid w:val="467D704F"/>
    <w:multiLevelType w:val="hybridMultilevel"/>
    <w:tmpl w:val="8E84E0FC"/>
    <w:lvl w:ilvl="0" w:tplc="D1B82030">
      <w:start w:val="1"/>
      <w:numFmt w:val="lowerLetter"/>
      <w:lvlText w:val="%1)"/>
      <w:lvlJc w:val="left"/>
      <w:pPr>
        <w:ind w:left="3840"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128" w15:restartNumberingAfterBreak="0">
    <w:nsid w:val="46AC7E43"/>
    <w:multiLevelType w:val="hybridMultilevel"/>
    <w:tmpl w:val="BC44F292"/>
    <w:lvl w:ilvl="0" w:tplc="FFFFFFFF">
      <w:start w:val="1"/>
      <w:numFmt w:val="decimal"/>
      <w:lvlText w:val="(%1)"/>
      <w:lvlJc w:val="left"/>
      <w:pPr>
        <w:ind w:left="360" w:hanging="360"/>
      </w:pPr>
      <w:rPr>
        <w:rFonts w:hint="default"/>
      </w:rPr>
    </w:lvl>
    <w:lvl w:ilvl="1" w:tplc="0421000F">
      <w:start w:val="1"/>
      <w:numFmt w:val="decimal"/>
      <w:lvlText w:val="%2."/>
      <w:lvlJc w:val="left"/>
      <w:pPr>
        <w:ind w:left="1080" w:hanging="360"/>
      </w:pPr>
    </w:lvl>
    <w:lvl w:ilvl="2" w:tplc="FFFFFFFF">
      <w:start w:val="1"/>
      <w:numFmt w:val="lowerRoman"/>
      <w:lvlText w:val="%3."/>
      <w:lvlJc w:val="right"/>
      <w:pPr>
        <w:ind w:left="1800" w:hanging="180"/>
      </w:pPr>
    </w:lvl>
    <w:lvl w:ilvl="3" w:tplc="8B10722E">
      <w:start w:val="1"/>
      <w:numFmt w:val="upperRoman"/>
      <w:lvlText w:val="%4."/>
      <w:lvlJc w:val="left"/>
      <w:pPr>
        <w:ind w:left="2880" w:hanging="720"/>
      </w:pPr>
      <w:rPr>
        <w:rFonts w:ascii="Times New Roman" w:hAnsi="Times New Roman" w:hint="default"/>
        <w:sz w:val="24"/>
      </w:rPr>
    </w:lvl>
    <w:lvl w:ilvl="4" w:tplc="73FE56AA">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4736354E"/>
    <w:multiLevelType w:val="hybridMultilevel"/>
    <w:tmpl w:val="5C7A0A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47DB556A"/>
    <w:multiLevelType w:val="hybridMultilevel"/>
    <w:tmpl w:val="595C76C0"/>
    <w:lvl w:ilvl="0" w:tplc="A4EA2ED0">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31" w15:restartNumberingAfterBreak="0">
    <w:nsid w:val="47EF5E1D"/>
    <w:multiLevelType w:val="hybridMultilevel"/>
    <w:tmpl w:val="06CADF28"/>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32" w15:restartNumberingAfterBreak="0">
    <w:nsid w:val="48302C8B"/>
    <w:multiLevelType w:val="hybridMultilevel"/>
    <w:tmpl w:val="9990B0A8"/>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33" w15:restartNumberingAfterBreak="0">
    <w:nsid w:val="488B392F"/>
    <w:multiLevelType w:val="hybridMultilevel"/>
    <w:tmpl w:val="0A603ECA"/>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4" w15:restartNumberingAfterBreak="0">
    <w:nsid w:val="48C202BE"/>
    <w:multiLevelType w:val="hybridMultilevel"/>
    <w:tmpl w:val="E6EA2486"/>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5" w15:restartNumberingAfterBreak="0">
    <w:nsid w:val="495511C2"/>
    <w:multiLevelType w:val="hybridMultilevel"/>
    <w:tmpl w:val="9F3428F0"/>
    <w:lvl w:ilvl="0" w:tplc="728A7BD8">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136" w15:restartNumberingAfterBreak="0">
    <w:nsid w:val="49730663"/>
    <w:multiLevelType w:val="hybridMultilevel"/>
    <w:tmpl w:val="BD8C3596"/>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7" w15:restartNumberingAfterBreak="0">
    <w:nsid w:val="4A293BF3"/>
    <w:multiLevelType w:val="hybridMultilevel"/>
    <w:tmpl w:val="49D8779A"/>
    <w:lvl w:ilvl="0" w:tplc="C66EF71C">
      <w:start w:val="1"/>
      <w:numFmt w:val="lowerLetter"/>
      <w:lvlText w:val="%1)"/>
      <w:lvlJc w:val="left"/>
      <w:pPr>
        <w:ind w:left="720" w:hanging="360"/>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4B0E1C0E"/>
    <w:multiLevelType w:val="hybridMultilevel"/>
    <w:tmpl w:val="1436A966"/>
    <w:lvl w:ilvl="0" w:tplc="3166A5F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9" w15:restartNumberingAfterBreak="0">
    <w:nsid w:val="4C2B58D4"/>
    <w:multiLevelType w:val="hybridMultilevel"/>
    <w:tmpl w:val="E11A66C0"/>
    <w:lvl w:ilvl="0" w:tplc="7262AB5E">
      <w:start w:val="1"/>
      <w:numFmt w:val="decimal"/>
      <w:lvlText w:val="%1)"/>
      <w:lvlJc w:val="left"/>
      <w:pPr>
        <w:ind w:left="3219"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4CB50673"/>
    <w:multiLevelType w:val="hybridMultilevel"/>
    <w:tmpl w:val="A56EDF68"/>
    <w:lvl w:ilvl="0" w:tplc="2E3880E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1" w15:restartNumberingAfterBreak="0">
    <w:nsid w:val="4CCE2FBF"/>
    <w:multiLevelType w:val="hybridMultilevel"/>
    <w:tmpl w:val="ED78B74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2" w15:restartNumberingAfterBreak="0">
    <w:nsid w:val="4DEC0AEE"/>
    <w:multiLevelType w:val="hybridMultilevel"/>
    <w:tmpl w:val="4D785180"/>
    <w:lvl w:ilvl="0" w:tplc="B6CC3150">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3" w15:restartNumberingAfterBreak="0">
    <w:nsid w:val="4F3439D3"/>
    <w:multiLevelType w:val="hybridMultilevel"/>
    <w:tmpl w:val="D518A4BA"/>
    <w:lvl w:ilvl="0" w:tplc="FA7E4D88">
      <w:start w:val="1"/>
      <w:numFmt w:val="lowerRoman"/>
      <w:lvlText w:val="(%1)"/>
      <w:lvlJc w:val="left"/>
      <w:pPr>
        <w:ind w:left="4122" w:hanging="720"/>
      </w:pPr>
      <w:rPr>
        <w:rFonts w:hint="default"/>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tentative="1">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tentative="1">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144" w15:restartNumberingAfterBreak="0">
    <w:nsid w:val="506735DB"/>
    <w:multiLevelType w:val="hybridMultilevel"/>
    <w:tmpl w:val="72E05CD6"/>
    <w:lvl w:ilvl="0" w:tplc="0C64CE2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5" w15:restartNumberingAfterBreak="0">
    <w:nsid w:val="50E94AD8"/>
    <w:multiLevelType w:val="hybridMultilevel"/>
    <w:tmpl w:val="9D02E226"/>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6" w15:restartNumberingAfterBreak="0">
    <w:nsid w:val="516E2982"/>
    <w:multiLevelType w:val="hybridMultilevel"/>
    <w:tmpl w:val="25907CE2"/>
    <w:lvl w:ilvl="0" w:tplc="70F27354">
      <w:start w:val="1"/>
      <w:numFmt w:val="upperLetter"/>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7" w15:restartNumberingAfterBreak="0">
    <w:nsid w:val="538560BC"/>
    <w:multiLevelType w:val="hybridMultilevel"/>
    <w:tmpl w:val="A38477B8"/>
    <w:lvl w:ilvl="0" w:tplc="63728934">
      <w:start w:val="1"/>
      <w:numFmt w:val="lowerLetter"/>
      <w:lvlText w:val="%1."/>
      <w:lvlJc w:val="left"/>
      <w:pPr>
        <w:ind w:left="2619" w:hanging="608"/>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53C86AC1"/>
    <w:multiLevelType w:val="hybridMultilevel"/>
    <w:tmpl w:val="9AD44D0A"/>
    <w:lvl w:ilvl="0" w:tplc="C9C66EF8">
      <w:start w:val="1"/>
      <w:numFmt w:val="lowerLetter"/>
      <w:lvlText w:val="%1)"/>
      <w:lvlJc w:val="left"/>
      <w:pPr>
        <w:ind w:left="3395" w:hanging="5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49" w15:restartNumberingAfterBreak="0">
    <w:nsid w:val="54311298"/>
    <w:multiLevelType w:val="hybridMultilevel"/>
    <w:tmpl w:val="2002515E"/>
    <w:lvl w:ilvl="0" w:tplc="0B749E2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0" w15:restartNumberingAfterBreak="0">
    <w:nsid w:val="54C72629"/>
    <w:multiLevelType w:val="hybridMultilevel"/>
    <w:tmpl w:val="693C97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1" w15:restartNumberingAfterBreak="0">
    <w:nsid w:val="568A3FF4"/>
    <w:multiLevelType w:val="hybridMultilevel"/>
    <w:tmpl w:val="89E22862"/>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52" w15:restartNumberingAfterBreak="0">
    <w:nsid w:val="56C63574"/>
    <w:multiLevelType w:val="hybridMultilevel"/>
    <w:tmpl w:val="F356D952"/>
    <w:lvl w:ilvl="0" w:tplc="38090019">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53" w15:restartNumberingAfterBreak="0">
    <w:nsid w:val="56DF03A6"/>
    <w:multiLevelType w:val="hybridMultilevel"/>
    <w:tmpl w:val="5B1A5B7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4" w15:restartNumberingAfterBreak="0">
    <w:nsid w:val="56E00A2E"/>
    <w:multiLevelType w:val="hybridMultilevel"/>
    <w:tmpl w:val="375AD16E"/>
    <w:lvl w:ilvl="0" w:tplc="5134C77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55" w15:restartNumberingAfterBreak="0">
    <w:nsid w:val="575B0E8B"/>
    <w:multiLevelType w:val="hybridMultilevel"/>
    <w:tmpl w:val="55A05CDE"/>
    <w:lvl w:ilvl="0" w:tplc="BB567C26">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56" w15:restartNumberingAfterBreak="0">
    <w:nsid w:val="58475461"/>
    <w:multiLevelType w:val="hybridMultilevel"/>
    <w:tmpl w:val="4C84D33C"/>
    <w:lvl w:ilvl="0" w:tplc="C8B69F5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57" w15:restartNumberingAfterBreak="0">
    <w:nsid w:val="58796870"/>
    <w:multiLevelType w:val="hybridMultilevel"/>
    <w:tmpl w:val="7F323BA8"/>
    <w:lvl w:ilvl="0" w:tplc="51E2D64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58" w15:restartNumberingAfterBreak="0">
    <w:nsid w:val="58796BED"/>
    <w:multiLevelType w:val="hybridMultilevel"/>
    <w:tmpl w:val="D8641856"/>
    <w:lvl w:ilvl="0" w:tplc="815C435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59" w15:restartNumberingAfterBreak="0">
    <w:nsid w:val="588826F5"/>
    <w:multiLevelType w:val="hybridMultilevel"/>
    <w:tmpl w:val="43C68CB8"/>
    <w:lvl w:ilvl="0" w:tplc="FFBC952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0" w15:restartNumberingAfterBreak="0">
    <w:nsid w:val="58BC6BEF"/>
    <w:multiLevelType w:val="hybridMultilevel"/>
    <w:tmpl w:val="E6027866"/>
    <w:lvl w:ilvl="0" w:tplc="647C86FE">
      <w:start w:val="1"/>
      <w:numFmt w:val="decimal"/>
      <w:lvlText w:val="%1."/>
      <w:lvlJc w:val="left"/>
      <w:pPr>
        <w:ind w:left="828" w:hanging="721"/>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7840FE6">
      <w:numFmt w:val="bullet"/>
      <w:lvlText w:val="•"/>
      <w:lvlJc w:val="left"/>
      <w:pPr>
        <w:ind w:left="2264" w:hanging="721"/>
      </w:pPr>
      <w:rPr>
        <w:rFonts w:hint="default"/>
        <w:lang w:val="id" w:eastAsia="en-US" w:bidi="ar-SA"/>
      </w:rPr>
    </w:lvl>
    <w:lvl w:ilvl="2" w:tplc="2BCC87F6">
      <w:numFmt w:val="bullet"/>
      <w:lvlText w:val="•"/>
      <w:lvlJc w:val="left"/>
      <w:pPr>
        <w:ind w:left="3709" w:hanging="721"/>
      </w:pPr>
      <w:rPr>
        <w:rFonts w:hint="default"/>
        <w:lang w:val="id" w:eastAsia="en-US" w:bidi="ar-SA"/>
      </w:rPr>
    </w:lvl>
    <w:lvl w:ilvl="3" w:tplc="4D040756">
      <w:numFmt w:val="bullet"/>
      <w:lvlText w:val="•"/>
      <w:lvlJc w:val="left"/>
      <w:pPr>
        <w:ind w:left="5154" w:hanging="721"/>
      </w:pPr>
      <w:rPr>
        <w:rFonts w:hint="default"/>
        <w:lang w:val="id" w:eastAsia="en-US" w:bidi="ar-SA"/>
      </w:rPr>
    </w:lvl>
    <w:lvl w:ilvl="4" w:tplc="C86EACBC">
      <w:numFmt w:val="bullet"/>
      <w:lvlText w:val="•"/>
      <w:lvlJc w:val="left"/>
      <w:pPr>
        <w:ind w:left="6599" w:hanging="721"/>
      </w:pPr>
      <w:rPr>
        <w:rFonts w:hint="default"/>
        <w:lang w:val="id" w:eastAsia="en-US" w:bidi="ar-SA"/>
      </w:rPr>
    </w:lvl>
    <w:lvl w:ilvl="5" w:tplc="21F648E4">
      <w:numFmt w:val="bullet"/>
      <w:lvlText w:val="•"/>
      <w:lvlJc w:val="left"/>
      <w:pPr>
        <w:ind w:left="8044" w:hanging="721"/>
      </w:pPr>
      <w:rPr>
        <w:rFonts w:hint="default"/>
        <w:lang w:val="id" w:eastAsia="en-US" w:bidi="ar-SA"/>
      </w:rPr>
    </w:lvl>
    <w:lvl w:ilvl="6" w:tplc="E3EA2210">
      <w:numFmt w:val="bullet"/>
      <w:lvlText w:val="•"/>
      <w:lvlJc w:val="left"/>
      <w:pPr>
        <w:ind w:left="9488" w:hanging="721"/>
      </w:pPr>
      <w:rPr>
        <w:rFonts w:hint="default"/>
        <w:lang w:val="id" w:eastAsia="en-US" w:bidi="ar-SA"/>
      </w:rPr>
    </w:lvl>
    <w:lvl w:ilvl="7" w:tplc="165C0712">
      <w:numFmt w:val="bullet"/>
      <w:lvlText w:val="•"/>
      <w:lvlJc w:val="left"/>
      <w:pPr>
        <w:ind w:left="10933" w:hanging="721"/>
      </w:pPr>
      <w:rPr>
        <w:rFonts w:hint="default"/>
        <w:lang w:val="id" w:eastAsia="en-US" w:bidi="ar-SA"/>
      </w:rPr>
    </w:lvl>
    <w:lvl w:ilvl="8" w:tplc="B40A6FE0">
      <w:numFmt w:val="bullet"/>
      <w:lvlText w:val="•"/>
      <w:lvlJc w:val="left"/>
      <w:pPr>
        <w:ind w:left="12378" w:hanging="721"/>
      </w:pPr>
      <w:rPr>
        <w:rFonts w:hint="default"/>
        <w:lang w:val="id" w:eastAsia="en-US" w:bidi="ar-SA"/>
      </w:rPr>
    </w:lvl>
  </w:abstractNum>
  <w:abstractNum w:abstractNumId="161" w15:restartNumberingAfterBreak="0">
    <w:nsid w:val="596E106A"/>
    <w:multiLevelType w:val="hybridMultilevel"/>
    <w:tmpl w:val="7D9E906E"/>
    <w:lvl w:ilvl="0" w:tplc="0B4CE6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2" w15:restartNumberingAfterBreak="0">
    <w:nsid w:val="59A30F75"/>
    <w:multiLevelType w:val="hybridMultilevel"/>
    <w:tmpl w:val="7A5EECC0"/>
    <w:lvl w:ilvl="0" w:tplc="FFFFFFFF">
      <w:start w:val="1"/>
      <w:numFmt w:val="decimal"/>
      <w:lvlText w:val="(%1)"/>
      <w:lvlJc w:val="left"/>
      <w:pPr>
        <w:ind w:left="360" w:hanging="360"/>
      </w:pPr>
      <w:rPr>
        <w:rFonts w:hint="default"/>
      </w:rPr>
    </w:lvl>
    <w:lvl w:ilvl="1" w:tplc="0421000F">
      <w:start w:val="1"/>
      <w:numFmt w:val="decimal"/>
      <w:lvlText w:val="%2."/>
      <w:lvlJc w:val="left"/>
      <w:pPr>
        <w:ind w:left="1080" w:hanging="360"/>
      </w:pPr>
    </w:lvl>
    <w:lvl w:ilvl="2" w:tplc="FFFFFFFF">
      <w:start w:val="1"/>
      <w:numFmt w:val="lowerRoman"/>
      <w:lvlText w:val="%3."/>
      <w:lvlJc w:val="right"/>
      <w:pPr>
        <w:ind w:left="1800" w:hanging="180"/>
      </w:pPr>
    </w:lvl>
    <w:lvl w:ilvl="3" w:tplc="4A5C05C8">
      <w:start w:val="1"/>
      <w:numFmt w:val="upperRoman"/>
      <w:lvlText w:val="%4."/>
      <w:lvlJc w:val="left"/>
      <w:pPr>
        <w:ind w:left="2880" w:hanging="720"/>
      </w:pPr>
      <w:rPr>
        <w:rFonts w:hint="default"/>
      </w:rPr>
    </w:lvl>
    <w:lvl w:ilvl="4" w:tplc="23DE69D6">
      <w:start w:val="1"/>
      <w:numFmt w:val="lowerLetter"/>
      <w:lvlText w:val="%5."/>
      <w:lvlJc w:val="left"/>
      <w:pPr>
        <w:ind w:left="3240" w:hanging="360"/>
      </w:pPr>
      <w:rPr>
        <w:rFonts w:cs="Calibri" w:hint="default"/>
      </w:rPr>
    </w:lvl>
    <w:lvl w:ilvl="5" w:tplc="3C701D96">
      <w:start w:val="1"/>
      <w:numFmt w:val="upperLetter"/>
      <w:lvlText w:val="%6."/>
      <w:lvlJc w:val="left"/>
      <w:pPr>
        <w:ind w:left="4140" w:hanging="360"/>
      </w:pPr>
      <w:rPr>
        <w:rFonts w:cs="Calibri"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59BB1EEB"/>
    <w:multiLevelType w:val="hybridMultilevel"/>
    <w:tmpl w:val="38162BE2"/>
    <w:lvl w:ilvl="0" w:tplc="267854B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64" w15:restartNumberingAfterBreak="0">
    <w:nsid w:val="5A8D0A7D"/>
    <w:multiLevelType w:val="hybridMultilevel"/>
    <w:tmpl w:val="0FC2EFBC"/>
    <w:lvl w:ilvl="0" w:tplc="840C5E6C">
      <w:start w:val="1"/>
      <w:numFmt w:val="lowerLetter"/>
      <w:lvlText w:val="%1."/>
      <w:lvlJc w:val="left"/>
      <w:pPr>
        <w:ind w:left="2588" w:hanging="608"/>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09" w:hanging="360"/>
      </w:pPr>
    </w:lvl>
    <w:lvl w:ilvl="2" w:tplc="3809001B" w:tentative="1">
      <w:start w:val="1"/>
      <w:numFmt w:val="lowerRoman"/>
      <w:lvlText w:val="%3."/>
      <w:lvlJc w:val="right"/>
      <w:pPr>
        <w:ind w:left="2129" w:hanging="180"/>
      </w:pPr>
    </w:lvl>
    <w:lvl w:ilvl="3" w:tplc="3809000F" w:tentative="1">
      <w:start w:val="1"/>
      <w:numFmt w:val="decimal"/>
      <w:lvlText w:val="%4."/>
      <w:lvlJc w:val="left"/>
      <w:pPr>
        <w:ind w:left="2849" w:hanging="360"/>
      </w:pPr>
    </w:lvl>
    <w:lvl w:ilvl="4" w:tplc="38090019" w:tentative="1">
      <w:start w:val="1"/>
      <w:numFmt w:val="lowerLetter"/>
      <w:lvlText w:val="%5."/>
      <w:lvlJc w:val="left"/>
      <w:pPr>
        <w:ind w:left="3569" w:hanging="360"/>
      </w:pPr>
    </w:lvl>
    <w:lvl w:ilvl="5" w:tplc="3809001B" w:tentative="1">
      <w:start w:val="1"/>
      <w:numFmt w:val="lowerRoman"/>
      <w:lvlText w:val="%6."/>
      <w:lvlJc w:val="right"/>
      <w:pPr>
        <w:ind w:left="4289" w:hanging="180"/>
      </w:pPr>
    </w:lvl>
    <w:lvl w:ilvl="6" w:tplc="3809000F" w:tentative="1">
      <w:start w:val="1"/>
      <w:numFmt w:val="decimal"/>
      <w:lvlText w:val="%7."/>
      <w:lvlJc w:val="left"/>
      <w:pPr>
        <w:ind w:left="5009" w:hanging="360"/>
      </w:pPr>
    </w:lvl>
    <w:lvl w:ilvl="7" w:tplc="38090019" w:tentative="1">
      <w:start w:val="1"/>
      <w:numFmt w:val="lowerLetter"/>
      <w:lvlText w:val="%8."/>
      <w:lvlJc w:val="left"/>
      <w:pPr>
        <w:ind w:left="5729" w:hanging="360"/>
      </w:pPr>
    </w:lvl>
    <w:lvl w:ilvl="8" w:tplc="3809001B" w:tentative="1">
      <w:start w:val="1"/>
      <w:numFmt w:val="lowerRoman"/>
      <w:lvlText w:val="%9."/>
      <w:lvlJc w:val="right"/>
      <w:pPr>
        <w:ind w:left="6449" w:hanging="180"/>
      </w:pPr>
    </w:lvl>
  </w:abstractNum>
  <w:abstractNum w:abstractNumId="165" w15:restartNumberingAfterBreak="0">
    <w:nsid w:val="5BC96E1D"/>
    <w:multiLevelType w:val="hybridMultilevel"/>
    <w:tmpl w:val="496ADDFE"/>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6" w15:restartNumberingAfterBreak="0">
    <w:nsid w:val="5C4917C9"/>
    <w:multiLevelType w:val="hybridMultilevel"/>
    <w:tmpl w:val="294EE5A0"/>
    <w:lvl w:ilvl="0" w:tplc="5DF4AF72">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67" w15:restartNumberingAfterBreak="0">
    <w:nsid w:val="5CEC0B1A"/>
    <w:multiLevelType w:val="hybridMultilevel"/>
    <w:tmpl w:val="771249CA"/>
    <w:lvl w:ilvl="0" w:tplc="2DD48406">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68" w15:restartNumberingAfterBreak="0">
    <w:nsid w:val="5D2C3D3B"/>
    <w:multiLevelType w:val="hybridMultilevel"/>
    <w:tmpl w:val="F8BE4C4C"/>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9" w15:restartNumberingAfterBreak="0">
    <w:nsid w:val="5DE614B3"/>
    <w:multiLevelType w:val="hybridMultilevel"/>
    <w:tmpl w:val="8CEE0CF6"/>
    <w:lvl w:ilvl="0" w:tplc="2C563066">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0" w15:restartNumberingAfterBreak="0">
    <w:nsid w:val="5E681620"/>
    <w:multiLevelType w:val="hybridMultilevel"/>
    <w:tmpl w:val="3B8CC85A"/>
    <w:lvl w:ilvl="0" w:tplc="38090019">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1" w15:restartNumberingAfterBreak="0">
    <w:nsid w:val="606C4E45"/>
    <w:multiLevelType w:val="hybridMultilevel"/>
    <w:tmpl w:val="7A266688"/>
    <w:lvl w:ilvl="0" w:tplc="8586D6D0">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2" w15:restartNumberingAfterBreak="0">
    <w:nsid w:val="60DA4926"/>
    <w:multiLevelType w:val="hybridMultilevel"/>
    <w:tmpl w:val="37B6B5BA"/>
    <w:lvl w:ilvl="0" w:tplc="40A2180E">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73" w15:restartNumberingAfterBreak="0">
    <w:nsid w:val="61CB6270"/>
    <w:multiLevelType w:val="hybridMultilevel"/>
    <w:tmpl w:val="88B4F748"/>
    <w:lvl w:ilvl="0" w:tplc="5330C5A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4" w15:restartNumberingAfterBreak="0">
    <w:nsid w:val="629D7417"/>
    <w:multiLevelType w:val="hybridMultilevel"/>
    <w:tmpl w:val="EB9E9330"/>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75" w15:restartNumberingAfterBreak="0">
    <w:nsid w:val="63061B77"/>
    <w:multiLevelType w:val="hybridMultilevel"/>
    <w:tmpl w:val="CAFCC844"/>
    <w:lvl w:ilvl="0" w:tplc="840C5E6C">
      <w:start w:val="1"/>
      <w:numFmt w:val="lowerLetter"/>
      <w:lvlText w:val="%1."/>
      <w:lvlJc w:val="left"/>
      <w:pPr>
        <w:ind w:left="2588" w:hanging="608"/>
      </w:pPr>
      <w:rPr>
        <w:rFonts w:ascii="Bookman Old Style" w:eastAsia="Bookman Old Style" w:hAnsi="Bookman Old Style" w:cs="Bookman Old Style" w:hint="default"/>
        <w:b w:val="0"/>
        <w:bCs w:val="0"/>
        <w:i w:val="0"/>
        <w:iCs w:val="0"/>
        <w:spacing w:val="-1"/>
        <w:w w:val="100"/>
        <w:sz w:val="24"/>
        <w:szCs w:val="24"/>
        <w:lang w:val="id" w:eastAsia="en-US" w:bidi="ar-SA"/>
      </w:rPr>
    </w:lvl>
    <w:lvl w:ilvl="1" w:tplc="38090019" w:tentative="1">
      <w:start w:val="1"/>
      <w:numFmt w:val="lowerLetter"/>
      <w:lvlText w:val="%2."/>
      <w:lvlJc w:val="left"/>
      <w:pPr>
        <w:ind w:left="1409" w:hanging="360"/>
      </w:pPr>
    </w:lvl>
    <w:lvl w:ilvl="2" w:tplc="3809001B" w:tentative="1">
      <w:start w:val="1"/>
      <w:numFmt w:val="lowerRoman"/>
      <w:lvlText w:val="%3."/>
      <w:lvlJc w:val="right"/>
      <w:pPr>
        <w:ind w:left="2129" w:hanging="180"/>
      </w:pPr>
    </w:lvl>
    <w:lvl w:ilvl="3" w:tplc="3809000F" w:tentative="1">
      <w:start w:val="1"/>
      <w:numFmt w:val="decimal"/>
      <w:lvlText w:val="%4."/>
      <w:lvlJc w:val="left"/>
      <w:pPr>
        <w:ind w:left="2849" w:hanging="360"/>
      </w:pPr>
    </w:lvl>
    <w:lvl w:ilvl="4" w:tplc="38090019" w:tentative="1">
      <w:start w:val="1"/>
      <w:numFmt w:val="lowerLetter"/>
      <w:lvlText w:val="%5."/>
      <w:lvlJc w:val="left"/>
      <w:pPr>
        <w:ind w:left="3569" w:hanging="360"/>
      </w:pPr>
    </w:lvl>
    <w:lvl w:ilvl="5" w:tplc="3809001B" w:tentative="1">
      <w:start w:val="1"/>
      <w:numFmt w:val="lowerRoman"/>
      <w:lvlText w:val="%6."/>
      <w:lvlJc w:val="right"/>
      <w:pPr>
        <w:ind w:left="4289" w:hanging="180"/>
      </w:pPr>
    </w:lvl>
    <w:lvl w:ilvl="6" w:tplc="3809000F" w:tentative="1">
      <w:start w:val="1"/>
      <w:numFmt w:val="decimal"/>
      <w:lvlText w:val="%7."/>
      <w:lvlJc w:val="left"/>
      <w:pPr>
        <w:ind w:left="5009" w:hanging="360"/>
      </w:pPr>
    </w:lvl>
    <w:lvl w:ilvl="7" w:tplc="38090019" w:tentative="1">
      <w:start w:val="1"/>
      <w:numFmt w:val="lowerLetter"/>
      <w:lvlText w:val="%8."/>
      <w:lvlJc w:val="left"/>
      <w:pPr>
        <w:ind w:left="5729" w:hanging="360"/>
      </w:pPr>
    </w:lvl>
    <w:lvl w:ilvl="8" w:tplc="3809001B" w:tentative="1">
      <w:start w:val="1"/>
      <w:numFmt w:val="lowerRoman"/>
      <w:lvlText w:val="%9."/>
      <w:lvlJc w:val="right"/>
      <w:pPr>
        <w:ind w:left="6449" w:hanging="180"/>
      </w:pPr>
    </w:lvl>
  </w:abstractNum>
  <w:abstractNum w:abstractNumId="176" w15:restartNumberingAfterBreak="0">
    <w:nsid w:val="636319C1"/>
    <w:multiLevelType w:val="hybridMultilevel"/>
    <w:tmpl w:val="7096A3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7" w15:restartNumberingAfterBreak="0">
    <w:nsid w:val="63F63334"/>
    <w:multiLevelType w:val="hybridMultilevel"/>
    <w:tmpl w:val="34A030FA"/>
    <w:lvl w:ilvl="0" w:tplc="3809000F">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8" w15:restartNumberingAfterBreak="0">
    <w:nsid w:val="6424062B"/>
    <w:multiLevelType w:val="hybridMultilevel"/>
    <w:tmpl w:val="9616302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649023E1"/>
    <w:multiLevelType w:val="hybridMultilevel"/>
    <w:tmpl w:val="2D127000"/>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0" w15:restartNumberingAfterBreak="0">
    <w:nsid w:val="64A843D7"/>
    <w:multiLevelType w:val="hybridMultilevel"/>
    <w:tmpl w:val="8E3E5EE2"/>
    <w:lvl w:ilvl="0" w:tplc="657CB7D2">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81" w15:restartNumberingAfterBreak="0">
    <w:nsid w:val="653C6D5E"/>
    <w:multiLevelType w:val="hybridMultilevel"/>
    <w:tmpl w:val="08D4014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82" w15:restartNumberingAfterBreak="0">
    <w:nsid w:val="6549772E"/>
    <w:multiLevelType w:val="hybridMultilevel"/>
    <w:tmpl w:val="F85696E4"/>
    <w:lvl w:ilvl="0" w:tplc="370AE7EC">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3" w15:restartNumberingAfterBreak="0">
    <w:nsid w:val="656D4F71"/>
    <w:multiLevelType w:val="hybridMultilevel"/>
    <w:tmpl w:val="6FAA63EC"/>
    <w:lvl w:ilvl="0" w:tplc="A430647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4" w15:restartNumberingAfterBreak="0">
    <w:nsid w:val="66384555"/>
    <w:multiLevelType w:val="hybridMultilevel"/>
    <w:tmpl w:val="3CE6B918"/>
    <w:lvl w:ilvl="0" w:tplc="69624D88">
      <w:start w:val="1"/>
      <w:numFmt w:val="decimal"/>
      <w:lvlText w:val="%1."/>
      <w:lvlJc w:val="left"/>
      <w:pPr>
        <w:ind w:left="650" w:hanging="413"/>
        <w:jc w:val="right"/>
      </w:pPr>
      <w:rPr>
        <w:rFonts w:ascii="Calibri" w:eastAsia="Calibri" w:hAnsi="Calibri" w:cs="Calibri" w:hint="default"/>
        <w:b w:val="0"/>
        <w:bCs w:val="0"/>
        <w:i w:val="0"/>
        <w:iCs w:val="0"/>
        <w:w w:val="100"/>
        <w:position w:val="-14"/>
        <w:sz w:val="24"/>
        <w:szCs w:val="24"/>
        <w:lang w:val="id" w:eastAsia="en-US" w:bidi="ar-SA"/>
      </w:rPr>
    </w:lvl>
    <w:lvl w:ilvl="1" w:tplc="D71CE210">
      <w:start w:val="1"/>
      <w:numFmt w:val="decimal"/>
      <w:lvlText w:val="%2."/>
      <w:lvlJc w:val="left"/>
      <w:pPr>
        <w:ind w:left="1208" w:hanging="360"/>
      </w:pPr>
      <w:rPr>
        <w:rFonts w:ascii="Bookman Old Style" w:eastAsia="Bookman Old Style" w:hAnsi="Bookman Old Style" w:cs="Bookman Old Style" w:hint="default"/>
        <w:b w:val="0"/>
        <w:bCs w:val="0"/>
        <w:i w:val="0"/>
        <w:iCs w:val="0"/>
        <w:spacing w:val="-1"/>
        <w:w w:val="100"/>
        <w:sz w:val="24"/>
        <w:szCs w:val="24"/>
        <w:lang w:val="id" w:eastAsia="en-US" w:bidi="ar-SA"/>
      </w:rPr>
    </w:lvl>
    <w:lvl w:ilvl="2" w:tplc="0EF88824">
      <w:start w:val="1"/>
      <w:numFmt w:val="lowerLetter"/>
      <w:lvlText w:val="%3."/>
      <w:lvlJc w:val="left"/>
      <w:pPr>
        <w:ind w:left="1659" w:hanging="452"/>
      </w:pPr>
      <w:rPr>
        <w:rFonts w:ascii="Bookman Old Style" w:eastAsia="Bookman Old Style" w:hAnsi="Bookman Old Style" w:cs="Bookman Old Style" w:hint="default"/>
        <w:b w:val="0"/>
        <w:bCs w:val="0"/>
        <w:i w:val="0"/>
        <w:iCs w:val="0"/>
        <w:spacing w:val="-1"/>
        <w:w w:val="100"/>
        <w:sz w:val="24"/>
        <w:szCs w:val="24"/>
        <w:lang w:val="id" w:eastAsia="en-US" w:bidi="ar-SA"/>
      </w:rPr>
    </w:lvl>
    <w:lvl w:ilvl="3" w:tplc="305A4808">
      <w:numFmt w:val="bullet"/>
      <w:lvlText w:val="•"/>
      <w:lvlJc w:val="left"/>
      <w:pPr>
        <w:ind w:left="2566" w:hanging="452"/>
      </w:pPr>
      <w:rPr>
        <w:rFonts w:hint="default"/>
        <w:lang w:val="id" w:eastAsia="en-US" w:bidi="ar-SA"/>
      </w:rPr>
    </w:lvl>
    <w:lvl w:ilvl="4" w:tplc="ECB221B0">
      <w:numFmt w:val="bullet"/>
      <w:lvlText w:val="•"/>
      <w:lvlJc w:val="left"/>
      <w:pPr>
        <w:ind w:left="3472" w:hanging="452"/>
      </w:pPr>
      <w:rPr>
        <w:rFonts w:hint="default"/>
        <w:lang w:val="id" w:eastAsia="en-US" w:bidi="ar-SA"/>
      </w:rPr>
    </w:lvl>
    <w:lvl w:ilvl="5" w:tplc="A71C5AC8">
      <w:numFmt w:val="bullet"/>
      <w:lvlText w:val="•"/>
      <w:lvlJc w:val="left"/>
      <w:pPr>
        <w:ind w:left="4378" w:hanging="452"/>
      </w:pPr>
      <w:rPr>
        <w:rFonts w:hint="default"/>
        <w:lang w:val="id" w:eastAsia="en-US" w:bidi="ar-SA"/>
      </w:rPr>
    </w:lvl>
    <w:lvl w:ilvl="6" w:tplc="01268FA0">
      <w:numFmt w:val="bullet"/>
      <w:lvlText w:val="•"/>
      <w:lvlJc w:val="left"/>
      <w:pPr>
        <w:ind w:left="5284" w:hanging="452"/>
      </w:pPr>
      <w:rPr>
        <w:rFonts w:hint="default"/>
        <w:lang w:val="id" w:eastAsia="en-US" w:bidi="ar-SA"/>
      </w:rPr>
    </w:lvl>
    <w:lvl w:ilvl="7" w:tplc="7FB25198">
      <w:numFmt w:val="bullet"/>
      <w:lvlText w:val="•"/>
      <w:lvlJc w:val="left"/>
      <w:pPr>
        <w:ind w:left="6190" w:hanging="452"/>
      </w:pPr>
      <w:rPr>
        <w:rFonts w:hint="default"/>
        <w:lang w:val="id" w:eastAsia="en-US" w:bidi="ar-SA"/>
      </w:rPr>
    </w:lvl>
    <w:lvl w:ilvl="8" w:tplc="BC80EA68">
      <w:numFmt w:val="bullet"/>
      <w:lvlText w:val="•"/>
      <w:lvlJc w:val="left"/>
      <w:pPr>
        <w:ind w:left="7096" w:hanging="452"/>
      </w:pPr>
      <w:rPr>
        <w:rFonts w:hint="default"/>
        <w:lang w:val="id" w:eastAsia="en-US" w:bidi="ar-SA"/>
      </w:rPr>
    </w:lvl>
  </w:abstractNum>
  <w:abstractNum w:abstractNumId="185" w15:restartNumberingAfterBreak="0">
    <w:nsid w:val="67697181"/>
    <w:multiLevelType w:val="hybridMultilevel"/>
    <w:tmpl w:val="CFDA9D76"/>
    <w:lvl w:ilvl="0" w:tplc="51EE6F44">
      <w:start w:val="1"/>
      <w:numFmt w:val="lowerLetter"/>
      <w:lvlText w:val="%1."/>
      <w:lvlJc w:val="left"/>
      <w:pPr>
        <w:ind w:left="2061" w:hanging="360"/>
      </w:pPr>
      <w:rPr>
        <w:rFonts w:hint="default"/>
        <w:b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86" w15:restartNumberingAfterBreak="0">
    <w:nsid w:val="695F208A"/>
    <w:multiLevelType w:val="hybridMultilevel"/>
    <w:tmpl w:val="3998C75A"/>
    <w:lvl w:ilvl="0" w:tplc="E5F21D3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87" w15:restartNumberingAfterBreak="0">
    <w:nsid w:val="69FE7B4A"/>
    <w:multiLevelType w:val="hybridMultilevel"/>
    <w:tmpl w:val="BF849DD6"/>
    <w:lvl w:ilvl="0" w:tplc="2AA8CF0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88" w15:restartNumberingAfterBreak="0">
    <w:nsid w:val="6B7E1246"/>
    <w:multiLevelType w:val="hybridMultilevel"/>
    <w:tmpl w:val="640C7FE2"/>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9" w15:restartNumberingAfterBreak="0">
    <w:nsid w:val="6B9330B4"/>
    <w:multiLevelType w:val="hybridMultilevel"/>
    <w:tmpl w:val="4D5AEE5A"/>
    <w:lvl w:ilvl="0" w:tplc="886AF070">
      <w:start w:val="1"/>
      <w:numFmt w:val="lowerLetter"/>
      <w:lvlText w:val="%1)"/>
      <w:lvlJc w:val="left"/>
      <w:pPr>
        <w:ind w:left="3840" w:hanging="600"/>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190" w15:restartNumberingAfterBreak="0">
    <w:nsid w:val="6C9316CD"/>
    <w:multiLevelType w:val="hybridMultilevel"/>
    <w:tmpl w:val="3CF8808C"/>
    <w:lvl w:ilvl="0" w:tplc="CB52BCA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91" w15:restartNumberingAfterBreak="0">
    <w:nsid w:val="6CB64AD0"/>
    <w:multiLevelType w:val="hybridMultilevel"/>
    <w:tmpl w:val="7C983AA8"/>
    <w:lvl w:ilvl="0" w:tplc="A0766D46">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92" w15:restartNumberingAfterBreak="0">
    <w:nsid w:val="6CDC0967"/>
    <w:multiLevelType w:val="hybridMultilevel"/>
    <w:tmpl w:val="C9EC1BE2"/>
    <w:lvl w:ilvl="0" w:tplc="2C5630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3" w15:restartNumberingAfterBreak="0">
    <w:nsid w:val="6D4A70C7"/>
    <w:multiLevelType w:val="hybridMultilevel"/>
    <w:tmpl w:val="1DD60516"/>
    <w:lvl w:ilvl="0" w:tplc="65AAADE0">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94" w15:restartNumberingAfterBreak="0">
    <w:nsid w:val="6D7F69DB"/>
    <w:multiLevelType w:val="hybridMultilevel"/>
    <w:tmpl w:val="71067FAE"/>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5" w15:restartNumberingAfterBreak="0">
    <w:nsid w:val="6D854E34"/>
    <w:multiLevelType w:val="hybridMultilevel"/>
    <w:tmpl w:val="EDB25936"/>
    <w:lvl w:ilvl="0" w:tplc="A87C2EC0">
      <w:start w:val="1"/>
      <w:numFmt w:val="lowerLetter"/>
      <w:lvlText w:val="%1."/>
      <w:lvlJc w:val="left"/>
      <w:pPr>
        <w:ind w:left="2619" w:hanging="608"/>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6" w15:restartNumberingAfterBreak="0">
    <w:nsid w:val="6E050F91"/>
    <w:multiLevelType w:val="hybridMultilevel"/>
    <w:tmpl w:val="36B8B7B2"/>
    <w:lvl w:ilvl="0" w:tplc="AD8A3BA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7" w15:restartNumberingAfterBreak="0">
    <w:nsid w:val="6E087A80"/>
    <w:multiLevelType w:val="hybridMultilevel"/>
    <w:tmpl w:val="9F82D40E"/>
    <w:lvl w:ilvl="0" w:tplc="E4A88E1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8" w15:restartNumberingAfterBreak="0">
    <w:nsid w:val="6F6F4D07"/>
    <w:multiLevelType w:val="hybridMultilevel"/>
    <w:tmpl w:val="AD2854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9" w15:restartNumberingAfterBreak="0">
    <w:nsid w:val="6F88720F"/>
    <w:multiLevelType w:val="hybridMultilevel"/>
    <w:tmpl w:val="15DC21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0" w15:restartNumberingAfterBreak="0">
    <w:nsid w:val="70A65907"/>
    <w:multiLevelType w:val="hybridMultilevel"/>
    <w:tmpl w:val="3496EFDA"/>
    <w:lvl w:ilvl="0" w:tplc="38090017">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01" w15:restartNumberingAfterBreak="0">
    <w:nsid w:val="71035FB2"/>
    <w:multiLevelType w:val="hybridMultilevel"/>
    <w:tmpl w:val="3484199A"/>
    <w:lvl w:ilvl="0" w:tplc="2C56306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2" w15:restartNumberingAfterBreak="0">
    <w:nsid w:val="71D01533"/>
    <w:multiLevelType w:val="hybridMultilevel"/>
    <w:tmpl w:val="00AAEEA0"/>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03" w15:restartNumberingAfterBreak="0">
    <w:nsid w:val="72155B73"/>
    <w:multiLevelType w:val="hybridMultilevel"/>
    <w:tmpl w:val="ECFE4F62"/>
    <w:lvl w:ilvl="0" w:tplc="9FDC29C6">
      <w:start w:val="1"/>
      <w:numFmt w:val="decimal"/>
      <w:lvlText w:val="%1)"/>
      <w:lvlJc w:val="left"/>
      <w:pPr>
        <w:ind w:left="2628" w:hanging="360"/>
      </w:pPr>
      <w:rPr>
        <w:rFonts w:hint="default"/>
        <w:b w:val="0"/>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04" w15:restartNumberingAfterBreak="0">
    <w:nsid w:val="7338744C"/>
    <w:multiLevelType w:val="hybridMultilevel"/>
    <w:tmpl w:val="99A619A0"/>
    <w:lvl w:ilvl="0" w:tplc="F2CC00DE">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05" w15:restartNumberingAfterBreak="0">
    <w:nsid w:val="734323B2"/>
    <w:multiLevelType w:val="hybridMultilevel"/>
    <w:tmpl w:val="49800326"/>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06" w15:restartNumberingAfterBreak="0">
    <w:nsid w:val="74536AFC"/>
    <w:multiLevelType w:val="hybridMultilevel"/>
    <w:tmpl w:val="BC326862"/>
    <w:lvl w:ilvl="0" w:tplc="E7C4CA7E">
      <w:start w:val="1"/>
      <w:numFmt w:val="decimal"/>
      <w:lvlText w:val="%1)"/>
      <w:lvlJc w:val="left"/>
      <w:pPr>
        <w:ind w:left="2619" w:hanging="601"/>
      </w:pPr>
      <w:rPr>
        <w:rFonts w:ascii="Bookman Old Style" w:eastAsia="Bookman Old Style" w:hAnsi="Bookman Old Style" w:cs="Bookman Old Style" w:hint="default"/>
        <w:b w:val="0"/>
        <w:bCs w:val="0"/>
        <w:i w:val="0"/>
        <w:iCs w:val="0"/>
        <w:spacing w:val="-1"/>
        <w:w w:val="100"/>
        <w:sz w:val="20"/>
        <w:szCs w:val="2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7" w15:restartNumberingAfterBreak="0">
    <w:nsid w:val="757B3AD4"/>
    <w:multiLevelType w:val="hybridMultilevel"/>
    <w:tmpl w:val="5BA2C8C4"/>
    <w:lvl w:ilvl="0" w:tplc="0A501F68">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08" w15:restartNumberingAfterBreak="0">
    <w:nsid w:val="76DA536E"/>
    <w:multiLevelType w:val="hybridMultilevel"/>
    <w:tmpl w:val="9E1E5896"/>
    <w:lvl w:ilvl="0" w:tplc="2EEEB88E">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09" w15:restartNumberingAfterBreak="0">
    <w:nsid w:val="78203C32"/>
    <w:multiLevelType w:val="hybridMultilevel"/>
    <w:tmpl w:val="2286E1DA"/>
    <w:lvl w:ilvl="0" w:tplc="CCA8CA5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0" w15:restartNumberingAfterBreak="0">
    <w:nsid w:val="7876214C"/>
    <w:multiLevelType w:val="hybridMultilevel"/>
    <w:tmpl w:val="26F8690E"/>
    <w:lvl w:ilvl="0" w:tplc="38090019">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11" w15:restartNumberingAfterBreak="0">
    <w:nsid w:val="78966E29"/>
    <w:multiLevelType w:val="hybridMultilevel"/>
    <w:tmpl w:val="26A61C3C"/>
    <w:lvl w:ilvl="0" w:tplc="CB04DF78">
      <w:start w:val="1"/>
      <w:numFmt w:val="upperRoman"/>
      <w:lvlText w:val="%1."/>
      <w:lvlJc w:val="left"/>
      <w:pPr>
        <w:ind w:left="785" w:hanging="567"/>
      </w:pPr>
      <w:rPr>
        <w:rFonts w:ascii="Bookman Old Style" w:eastAsia="Bookman Old Style" w:hAnsi="Bookman Old Style" w:cs="Bookman Old Style" w:hint="default"/>
        <w:b w:val="0"/>
        <w:bCs w:val="0"/>
        <w:i w:val="0"/>
        <w:iCs w:val="0"/>
        <w:spacing w:val="0"/>
        <w:w w:val="100"/>
        <w:sz w:val="24"/>
        <w:szCs w:val="24"/>
        <w:lang w:val="id" w:eastAsia="en-US" w:bidi="ar-SA"/>
      </w:rPr>
    </w:lvl>
    <w:lvl w:ilvl="1" w:tplc="3809000F">
      <w:start w:val="1"/>
      <w:numFmt w:val="decimal"/>
      <w:lvlText w:val="%2."/>
      <w:lvlJc w:val="left"/>
      <w:pPr>
        <w:ind w:left="1418" w:hanging="600"/>
      </w:pPr>
      <w:rPr>
        <w:rFonts w:hint="default"/>
        <w:b w:val="0"/>
        <w:bCs w:val="0"/>
        <w:i w:val="0"/>
        <w:iCs w:val="0"/>
        <w:spacing w:val="-1"/>
        <w:w w:val="100"/>
        <w:sz w:val="24"/>
        <w:szCs w:val="24"/>
        <w:lang w:val="id" w:eastAsia="en-US" w:bidi="ar-SA"/>
      </w:rPr>
    </w:lvl>
    <w:lvl w:ilvl="2" w:tplc="7EE6AA3C">
      <w:start w:val="1"/>
      <w:numFmt w:val="lowerLetter"/>
      <w:lvlText w:val="%3."/>
      <w:lvlJc w:val="left"/>
      <w:pPr>
        <w:ind w:left="2018" w:hanging="600"/>
      </w:pPr>
      <w:rPr>
        <w:rFonts w:ascii="Bookman Old Style" w:eastAsia="Bookman Old Style" w:hAnsi="Bookman Old Style" w:cs="Bookman Old Style"/>
        <w:b w:val="0"/>
        <w:bCs w:val="0"/>
        <w:i w:val="0"/>
        <w:iCs w:val="0"/>
        <w:spacing w:val="-1"/>
        <w:w w:val="100"/>
        <w:sz w:val="24"/>
        <w:szCs w:val="24"/>
        <w:lang w:val="id" w:eastAsia="en-US" w:bidi="ar-SA"/>
      </w:rPr>
    </w:lvl>
    <w:lvl w:ilvl="3" w:tplc="6EC026E0">
      <w:start w:val="1"/>
      <w:numFmt w:val="decimal"/>
      <w:lvlText w:val="%4)"/>
      <w:lvlJc w:val="left"/>
      <w:pPr>
        <w:ind w:left="2619" w:hanging="601"/>
      </w:pPr>
      <w:rPr>
        <w:rFonts w:ascii="Bookman Old Style" w:eastAsia="Bookman Old Style" w:hAnsi="Bookman Old Style" w:cs="Bookman Old Style" w:hint="default"/>
        <w:b w:val="0"/>
        <w:bCs w:val="0"/>
        <w:i w:val="0"/>
        <w:iCs w:val="0"/>
        <w:spacing w:val="-1"/>
        <w:w w:val="100"/>
        <w:sz w:val="20"/>
        <w:szCs w:val="20"/>
        <w:lang w:val="id" w:eastAsia="en-US" w:bidi="ar-SA"/>
      </w:rPr>
    </w:lvl>
    <w:lvl w:ilvl="4" w:tplc="CE66A668">
      <w:numFmt w:val="bullet"/>
      <w:lvlText w:val="•"/>
      <w:lvlJc w:val="left"/>
      <w:pPr>
        <w:ind w:left="3654" w:hanging="601"/>
      </w:pPr>
      <w:rPr>
        <w:rFonts w:hint="default"/>
        <w:lang w:val="id" w:eastAsia="en-US" w:bidi="ar-SA"/>
      </w:rPr>
    </w:lvl>
    <w:lvl w:ilvl="5" w:tplc="7E4236A8">
      <w:numFmt w:val="bullet"/>
      <w:lvlText w:val="•"/>
      <w:lvlJc w:val="left"/>
      <w:pPr>
        <w:ind w:left="4688" w:hanging="601"/>
      </w:pPr>
      <w:rPr>
        <w:rFonts w:hint="default"/>
        <w:lang w:val="id" w:eastAsia="en-US" w:bidi="ar-SA"/>
      </w:rPr>
    </w:lvl>
    <w:lvl w:ilvl="6" w:tplc="1A406150">
      <w:numFmt w:val="bullet"/>
      <w:lvlText w:val="•"/>
      <w:lvlJc w:val="left"/>
      <w:pPr>
        <w:ind w:left="5722" w:hanging="601"/>
      </w:pPr>
      <w:rPr>
        <w:rFonts w:hint="default"/>
        <w:lang w:val="id" w:eastAsia="en-US" w:bidi="ar-SA"/>
      </w:rPr>
    </w:lvl>
    <w:lvl w:ilvl="7" w:tplc="AB880346">
      <w:numFmt w:val="bullet"/>
      <w:lvlText w:val="•"/>
      <w:lvlJc w:val="left"/>
      <w:pPr>
        <w:ind w:left="6757" w:hanging="601"/>
      </w:pPr>
      <w:rPr>
        <w:rFonts w:hint="default"/>
        <w:lang w:val="id" w:eastAsia="en-US" w:bidi="ar-SA"/>
      </w:rPr>
    </w:lvl>
    <w:lvl w:ilvl="8" w:tplc="07B65284">
      <w:numFmt w:val="bullet"/>
      <w:lvlText w:val="•"/>
      <w:lvlJc w:val="left"/>
      <w:pPr>
        <w:ind w:left="7791" w:hanging="601"/>
      </w:pPr>
      <w:rPr>
        <w:rFonts w:hint="default"/>
        <w:lang w:val="id" w:eastAsia="en-US" w:bidi="ar-SA"/>
      </w:rPr>
    </w:lvl>
  </w:abstractNum>
  <w:abstractNum w:abstractNumId="212" w15:restartNumberingAfterBreak="0">
    <w:nsid w:val="7B7050A6"/>
    <w:multiLevelType w:val="hybridMultilevel"/>
    <w:tmpl w:val="58CABC86"/>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13" w15:restartNumberingAfterBreak="0">
    <w:nsid w:val="7C285F93"/>
    <w:multiLevelType w:val="hybridMultilevel"/>
    <w:tmpl w:val="DDAEDD5C"/>
    <w:lvl w:ilvl="0" w:tplc="EA6239A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14" w15:restartNumberingAfterBreak="0">
    <w:nsid w:val="7C2A2CC2"/>
    <w:multiLevelType w:val="hybridMultilevel"/>
    <w:tmpl w:val="F094E89E"/>
    <w:lvl w:ilvl="0" w:tplc="C532C7BC">
      <w:start w:val="1"/>
      <w:numFmt w:val="lowerRoman"/>
      <w:lvlText w:val="(%1)"/>
      <w:lvlJc w:val="left"/>
      <w:pPr>
        <w:ind w:left="4122" w:hanging="720"/>
      </w:pPr>
      <w:rPr>
        <w:rFonts w:hint="default"/>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tentative="1">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tentative="1">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215" w15:restartNumberingAfterBreak="0">
    <w:nsid w:val="7CBC7DF0"/>
    <w:multiLevelType w:val="hybridMultilevel"/>
    <w:tmpl w:val="9A08AA6C"/>
    <w:lvl w:ilvl="0" w:tplc="FC26F152">
      <w:start w:val="1"/>
      <w:numFmt w:val="lowerLetter"/>
      <w:lvlText w:val="%1)"/>
      <w:lvlJc w:val="left"/>
      <w:pPr>
        <w:ind w:left="3195" w:hanging="360"/>
      </w:pPr>
      <w:rPr>
        <w:rFonts w:hint="default"/>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216" w15:restartNumberingAfterBreak="0">
    <w:nsid w:val="7DF57D4E"/>
    <w:multiLevelType w:val="hybridMultilevel"/>
    <w:tmpl w:val="EAAC8F86"/>
    <w:lvl w:ilvl="0" w:tplc="F68C05E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17" w15:restartNumberingAfterBreak="0">
    <w:nsid w:val="7E474356"/>
    <w:multiLevelType w:val="hybridMultilevel"/>
    <w:tmpl w:val="FB92C178"/>
    <w:lvl w:ilvl="0" w:tplc="AD4E1ACA">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num w:numId="1">
    <w:abstractNumId w:val="198"/>
  </w:num>
  <w:num w:numId="2">
    <w:abstractNumId w:val="106"/>
  </w:num>
  <w:num w:numId="3">
    <w:abstractNumId w:val="150"/>
  </w:num>
  <w:num w:numId="4">
    <w:abstractNumId w:val="15"/>
  </w:num>
  <w:num w:numId="5">
    <w:abstractNumId w:val="188"/>
  </w:num>
  <w:num w:numId="6">
    <w:abstractNumId w:val="145"/>
  </w:num>
  <w:num w:numId="7">
    <w:abstractNumId w:val="37"/>
  </w:num>
  <w:num w:numId="8">
    <w:abstractNumId w:val="69"/>
  </w:num>
  <w:num w:numId="9">
    <w:abstractNumId w:val="112"/>
  </w:num>
  <w:num w:numId="10">
    <w:abstractNumId w:val="141"/>
  </w:num>
  <w:num w:numId="11">
    <w:abstractNumId w:val="136"/>
  </w:num>
  <w:num w:numId="12">
    <w:abstractNumId w:val="22"/>
  </w:num>
  <w:num w:numId="13">
    <w:abstractNumId w:val="83"/>
  </w:num>
  <w:num w:numId="14">
    <w:abstractNumId w:val="36"/>
  </w:num>
  <w:num w:numId="15">
    <w:abstractNumId w:val="202"/>
  </w:num>
  <w:num w:numId="16">
    <w:abstractNumId w:val="96"/>
  </w:num>
  <w:num w:numId="17">
    <w:abstractNumId w:val="11"/>
  </w:num>
  <w:num w:numId="18">
    <w:abstractNumId w:val="134"/>
  </w:num>
  <w:num w:numId="19">
    <w:abstractNumId w:val="179"/>
  </w:num>
  <w:num w:numId="20">
    <w:abstractNumId w:val="168"/>
  </w:num>
  <w:num w:numId="21">
    <w:abstractNumId w:val="38"/>
  </w:num>
  <w:num w:numId="22">
    <w:abstractNumId w:val="125"/>
  </w:num>
  <w:num w:numId="23">
    <w:abstractNumId w:val="20"/>
  </w:num>
  <w:num w:numId="24">
    <w:abstractNumId w:val="55"/>
  </w:num>
  <w:num w:numId="25">
    <w:abstractNumId w:val="21"/>
  </w:num>
  <w:num w:numId="26">
    <w:abstractNumId w:val="90"/>
  </w:num>
  <w:num w:numId="27">
    <w:abstractNumId w:val="51"/>
  </w:num>
  <w:num w:numId="28">
    <w:abstractNumId w:val="162"/>
  </w:num>
  <w:num w:numId="29">
    <w:abstractNumId w:val="128"/>
  </w:num>
  <w:num w:numId="30">
    <w:abstractNumId w:val="201"/>
  </w:num>
  <w:num w:numId="31">
    <w:abstractNumId w:val="1"/>
  </w:num>
  <w:num w:numId="32">
    <w:abstractNumId w:val="81"/>
  </w:num>
  <w:num w:numId="33">
    <w:abstractNumId w:val="192"/>
  </w:num>
  <w:num w:numId="34">
    <w:abstractNumId w:val="121"/>
  </w:num>
  <w:num w:numId="35">
    <w:abstractNumId w:val="113"/>
  </w:num>
  <w:num w:numId="36">
    <w:abstractNumId w:val="133"/>
  </w:num>
  <w:num w:numId="37">
    <w:abstractNumId w:val="66"/>
  </w:num>
  <w:num w:numId="38">
    <w:abstractNumId w:val="169"/>
  </w:num>
  <w:num w:numId="39">
    <w:abstractNumId w:val="39"/>
  </w:num>
  <w:num w:numId="40">
    <w:abstractNumId w:val="58"/>
  </w:num>
  <w:num w:numId="41">
    <w:abstractNumId w:val="49"/>
  </w:num>
  <w:num w:numId="42">
    <w:abstractNumId w:val="165"/>
  </w:num>
  <w:num w:numId="43">
    <w:abstractNumId w:val="12"/>
  </w:num>
  <w:num w:numId="44">
    <w:abstractNumId w:val="114"/>
  </w:num>
  <w:num w:numId="45">
    <w:abstractNumId w:val="129"/>
  </w:num>
  <w:num w:numId="46">
    <w:abstractNumId w:val="176"/>
  </w:num>
  <w:num w:numId="47">
    <w:abstractNumId w:val="80"/>
  </w:num>
  <w:num w:numId="48">
    <w:abstractNumId w:val="41"/>
  </w:num>
  <w:num w:numId="49">
    <w:abstractNumId w:val="10"/>
  </w:num>
  <w:num w:numId="50">
    <w:abstractNumId w:val="105"/>
  </w:num>
  <w:num w:numId="51">
    <w:abstractNumId w:val="61"/>
  </w:num>
  <w:num w:numId="52">
    <w:abstractNumId w:val="111"/>
  </w:num>
  <w:num w:numId="53">
    <w:abstractNumId w:val="211"/>
  </w:num>
  <w:num w:numId="54">
    <w:abstractNumId w:val="72"/>
  </w:num>
  <w:num w:numId="55">
    <w:abstractNumId w:val="79"/>
  </w:num>
  <w:num w:numId="56">
    <w:abstractNumId w:val="147"/>
  </w:num>
  <w:num w:numId="57">
    <w:abstractNumId w:val="19"/>
  </w:num>
  <w:num w:numId="58">
    <w:abstractNumId w:val="139"/>
  </w:num>
  <w:num w:numId="59">
    <w:abstractNumId w:val="93"/>
  </w:num>
  <w:num w:numId="60">
    <w:abstractNumId w:val="73"/>
  </w:num>
  <w:num w:numId="61">
    <w:abstractNumId w:val="109"/>
  </w:num>
  <w:num w:numId="62">
    <w:abstractNumId w:val="65"/>
  </w:num>
  <w:num w:numId="63">
    <w:abstractNumId w:val="27"/>
  </w:num>
  <w:num w:numId="64">
    <w:abstractNumId w:val="67"/>
  </w:num>
  <w:num w:numId="65">
    <w:abstractNumId w:val="175"/>
  </w:num>
  <w:num w:numId="66">
    <w:abstractNumId w:val="35"/>
  </w:num>
  <w:num w:numId="67">
    <w:abstractNumId w:val="34"/>
  </w:num>
  <w:num w:numId="68">
    <w:abstractNumId w:val="107"/>
  </w:num>
  <w:num w:numId="69">
    <w:abstractNumId w:val="189"/>
  </w:num>
  <w:num w:numId="70">
    <w:abstractNumId w:val="164"/>
  </w:num>
  <w:num w:numId="71">
    <w:abstractNumId w:val="56"/>
  </w:num>
  <w:num w:numId="72">
    <w:abstractNumId w:val="195"/>
  </w:num>
  <w:num w:numId="73">
    <w:abstractNumId w:val="53"/>
  </w:num>
  <w:num w:numId="74">
    <w:abstractNumId w:val="18"/>
  </w:num>
  <w:num w:numId="75">
    <w:abstractNumId w:val="194"/>
  </w:num>
  <w:num w:numId="76">
    <w:abstractNumId w:val="181"/>
  </w:num>
  <w:num w:numId="77">
    <w:abstractNumId w:val="50"/>
  </w:num>
  <w:num w:numId="78">
    <w:abstractNumId w:val="94"/>
  </w:num>
  <w:num w:numId="79">
    <w:abstractNumId w:val="43"/>
  </w:num>
  <w:num w:numId="80">
    <w:abstractNumId w:val="16"/>
  </w:num>
  <w:num w:numId="81">
    <w:abstractNumId w:val="124"/>
  </w:num>
  <w:num w:numId="82">
    <w:abstractNumId w:val="151"/>
  </w:num>
  <w:num w:numId="83">
    <w:abstractNumId w:val="212"/>
  </w:num>
  <w:num w:numId="84">
    <w:abstractNumId w:val="131"/>
  </w:num>
  <w:num w:numId="85">
    <w:abstractNumId w:val="95"/>
  </w:num>
  <w:num w:numId="86">
    <w:abstractNumId w:val="137"/>
  </w:num>
  <w:num w:numId="87">
    <w:abstractNumId w:val="127"/>
  </w:num>
  <w:num w:numId="88">
    <w:abstractNumId w:val="48"/>
  </w:num>
  <w:num w:numId="89">
    <w:abstractNumId w:val="54"/>
  </w:num>
  <w:num w:numId="90">
    <w:abstractNumId w:val="115"/>
  </w:num>
  <w:num w:numId="91">
    <w:abstractNumId w:val="13"/>
  </w:num>
  <w:num w:numId="92">
    <w:abstractNumId w:val="123"/>
  </w:num>
  <w:num w:numId="93">
    <w:abstractNumId w:val="92"/>
  </w:num>
  <w:num w:numId="94">
    <w:abstractNumId w:val="132"/>
  </w:num>
  <w:num w:numId="95">
    <w:abstractNumId w:val="85"/>
  </w:num>
  <w:num w:numId="96">
    <w:abstractNumId w:val="143"/>
  </w:num>
  <w:num w:numId="97">
    <w:abstractNumId w:val="45"/>
  </w:num>
  <w:num w:numId="98">
    <w:abstractNumId w:val="99"/>
  </w:num>
  <w:num w:numId="99">
    <w:abstractNumId w:val="206"/>
  </w:num>
  <w:num w:numId="100">
    <w:abstractNumId w:val="210"/>
  </w:num>
  <w:num w:numId="101">
    <w:abstractNumId w:val="24"/>
  </w:num>
  <w:num w:numId="102">
    <w:abstractNumId w:val="204"/>
  </w:num>
  <w:num w:numId="103">
    <w:abstractNumId w:val="101"/>
  </w:num>
  <w:num w:numId="104">
    <w:abstractNumId w:val="208"/>
  </w:num>
  <w:num w:numId="105">
    <w:abstractNumId w:val="59"/>
  </w:num>
  <w:num w:numId="106">
    <w:abstractNumId w:val="103"/>
  </w:num>
  <w:num w:numId="107">
    <w:abstractNumId w:val="2"/>
  </w:num>
  <w:num w:numId="108">
    <w:abstractNumId w:val="33"/>
  </w:num>
  <w:num w:numId="109">
    <w:abstractNumId w:val="74"/>
  </w:num>
  <w:num w:numId="110">
    <w:abstractNumId w:val="214"/>
  </w:num>
  <w:num w:numId="111">
    <w:abstractNumId w:val="158"/>
  </w:num>
  <w:num w:numId="112">
    <w:abstractNumId w:val="205"/>
  </w:num>
  <w:num w:numId="113">
    <w:abstractNumId w:val="100"/>
  </w:num>
  <w:num w:numId="114">
    <w:abstractNumId w:val="174"/>
  </w:num>
  <w:num w:numId="115">
    <w:abstractNumId w:val="122"/>
  </w:num>
  <w:num w:numId="116">
    <w:abstractNumId w:val="148"/>
  </w:num>
  <w:num w:numId="117">
    <w:abstractNumId w:val="14"/>
  </w:num>
  <w:num w:numId="118">
    <w:abstractNumId w:val="70"/>
  </w:num>
  <w:num w:numId="119">
    <w:abstractNumId w:val="9"/>
  </w:num>
  <w:num w:numId="120">
    <w:abstractNumId w:val="177"/>
  </w:num>
  <w:num w:numId="121">
    <w:abstractNumId w:val="44"/>
  </w:num>
  <w:num w:numId="122">
    <w:abstractNumId w:val="91"/>
  </w:num>
  <w:num w:numId="123">
    <w:abstractNumId w:val="31"/>
  </w:num>
  <w:num w:numId="124">
    <w:abstractNumId w:val="154"/>
  </w:num>
  <w:num w:numId="125">
    <w:abstractNumId w:val="180"/>
  </w:num>
  <w:num w:numId="126">
    <w:abstractNumId w:val="207"/>
  </w:num>
  <w:num w:numId="127">
    <w:abstractNumId w:val="200"/>
  </w:num>
  <w:num w:numId="128">
    <w:abstractNumId w:val="108"/>
  </w:num>
  <w:num w:numId="129">
    <w:abstractNumId w:val="185"/>
  </w:num>
  <w:num w:numId="130">
    <w:abstractNumId w:val="32"/>
  </w:num>
  <w:num w:numId="131">
    <w:abstractNumId w:val="203"/>
  </w:num>
  <w:num w:numId="132">
    <w:abstractNumId w:val="146"/>
  </w:num>
  <w:num w:numId="133">
    <w:abstractNumId w:val="118"/>
  </w:num>
  <w:num w:numId="134">
    <w:abstractNumId w:val="76"/>
  </w:num>
  <w:num w:numId="135">
    <w:abstractNumId w:val="17"/>
  </w:num>
  <w:num w:numId="136">
    <w:abstractNumId w:val="110"/>
  </w:num>
  <w:num w:numId="137">
    <w:abstractNumId w:val="117"/>
  </w:num>
  <w:num w:numId="138">
    <w:abstractNumId w:val="60"/>
  </w:num>
  <w:num w:numId="139">
    <w:abstractNumId w:val="196"/>
  </w:num>
  <w:num w:numId="140">
    <w:abstractNumId w:val="126"/>
  </w:num>
  <w:num w:numId="141">
    <w:abstractNumId w:val="170"/>
  </w:num>
  <w:num w:numId="142">
    <w:abstractNumId w:val="152"/>
  </w:num>
  <w:num w:numId="143">
    <w:abstractNumId w:val="178"/>
  </w:num>
  <w:num w:numId="144">
    <w:abstractNumId w:val="149"/>
  </w:num>
  <w:num w:numId="145">
    <w:abstractNumId w:val="142"/>
  </w:num>
  <w:num w:numId="146">
    <w:abstractNumId w:val="119"/>
  </w:num>
  <w:num w:numId="147">
    <w:abstractNumId w:val="191"/>
  </w:num>
  <w:num w:numId="148">
    <w:abstractNumId w:val="102"/>
  </w:num>
  <w:num w:numId="149">
    <w:abstractNumId w:val="7"/>
  </w:num>
  <w:num w:numId="150">
    <w:abstractNumId w:val="25"/>
  </w:num>
  <w:num w:numId="151">
    <w:abstractNumId w:val="173"/>
  </w:num>
  <w:num w:numId="152">
    <w:abstractNumId w:val="217"/>
  </w:num>
  <w:num w:numId="153">
    <w:abstractNumId w:val="120"/>
  </w:num>
  <w:num w:numId="154">
    <w:abstractNumId w:val="88"/>
  </w:num>
  <w:num w:numId="155">
    <w:abstractNumId w:val="86"/>
  </w:num>
  <w:num w:numId="156">
    <w:abstractNumId w:val="216"/>
  </w:num>
  <w:num w:numId="157">
    <w:abstractNumId w:val="75"/>
  </w:num>
  <w:num w:numId="158">
    <w:abstractNumId w:val="140"/>
  </w:num>
  <w:num w:numId="159">
    <w:abstractNumId w:val="190"/>
  </w:num>
  <w:num w:numId="160">
    <w:abstractNumId w:val="163"/>
  </w:num>
  <w:num w:numId="161">
    <w:abstractNumId w:val="215"/>
  </w:num>
  <w:num w:numId="162">
    <w:abstractNumId w:val="63"/>
  </w:num>
  <w:num w:numId="163">
    <w:abstractNumId w:val="42"/>
  </w:num>
  <w:num w:numId="164">
    <w:abstractNumId w:val="98"/>
  </w:num>
  <w:num w:numId="165">
    <w:abstractNumId w:val="68"/>
  </w:num>
  <w:num w:numId="166">
    <w:abstractNumId w:val="172"/>
  </w:num>
  <w:num w:numId="167">
    <w:abstractNumId w:val="23"/>
  </w:num>
  <w:num w:numId="168">
    <w:abstractNumId w:val="6"/>
  </w:num>
  <w:num w:numId="169">
    <w:abstractNumId w:val="161"/>
  </w:num>
  <w:num w:numId="170">
    <w:abstractNumId w:val="5"/>
  </w:num>
  <w:num w:numId="171">
    <w:abstractNumId w:val="77"/>
  </w:num>
  <w:num w:numId="172">
    <w:abstractNumId w:val="116"/>
  </w:num>
  <w:num w:numId="173">
    <w:abstractNumId w:val="46"/>
  </w:num>
  <w:num w:numId="174">
    <w:abstractNumId w:val="84"/>
  </w:num>
  <w:num w:numId="175">
    <w:abstractNumId w:val="193"/>
  </w:num>
  <w:num w:numId="176">
    <w:abstractNumId w:val="183"/>
  </w:num>
  <w:num w:numId="177">
    <w:abstractNumId w:val="213"/>
  </w:num>
  <w:num w:numId="178">
    <w:abstractNumId w:val="182"/>
  </w:num>
  <w:num w:numId="179">
    <w:abstractNumId w:val="156"/>
  </w:num>
  <w:num w:numId="180">
    <w:abstractNumId w:val="4"/>
  </w:num>
  <w:num w:numId="181">
    <w:abstractNumId w:val="130"/>
  </w:num>
  <w:num w:numId="182">
    <w:abstractNumId w:val="89"/>
  </w:num>
  <w:num w:numId="183">
    <w:abstractNumId w:val="186"/>
  </w:num>
  <w:num w:numId="184">
    <w:abstractNumId w:val="167"/>
  </w:num>
  <w:num w:numId="185">
    <w:abstractNumId w:val="157"/>
  </w:num>
  <w:num w:numId="186">
    <w:abstractNumId w:val="166"/>
  </w:num>
  <w:num w:numId="187">
    <w:abstractNumId w:val="40"/>
  </w:num>
  <w:num w:numId="188">
    <w:abstractNumId w:val="71"/>
  </w:num>
  <w:num w:numId="189">
    <w:abstractNumId w:val="171"/>
  </w:num>
  <w:num w:numId="190">
    <w:abstractNumId w:val="3"/>
  </w:num>
  <w:num w:numId="191">
    <w:abstractNumId w:val="144"/>
  </w:num>
  <w:num w:numId="192">
    <w:abstractNumId w:val="52"/>
  </w:num>
  <w:num w:numId="193">
    <w:abstractNumId w:val="47"/>
  </w:num>
  <w:num w:numId="194">
    <w:abstractNumId w:val="26"/>
  </w:num>
  <w:num w:numId="195">
    <w:abstractNumId w:val="97"/>
  </w:num>
  <w:num w:numId="196">
    <w:abstractNumId w:val="187"/>
  </w:num>
  <w:num w:numId="197">
    <w:abstractNumId w:val="155"/>
  </w:num>
  <w:num w:numId="198">
    <w:abstractNumId w:val="197"/>
  </w:num>
  <w:num w:numId="199">
    <w:abstractNumId w:val="138"/>
  </w:num>
  <w:num w:numId="200">
    <w:abstractNumId w:val="159"/>
  </w:num>
  <w:num w:numId="201">
    <w:abstractNumId w:val="209"/>
  </w:num>
  <w:num w:numId="202">
    <w:abstractNumId w:val="104"/>
  </w:num>
  <w:num w:numId="203">
    <w:abstractNumId w:val="62"/>
  </w:num>
  <w:num w:numId="204">
    <w:abstractNumId w:val="28"/>
  </w:num>
  <w:num w:numId="205">
    <w:abstractNumId w:val="87"/>
  </w:num>
  <w:num w:numId="206">
    <w:abstractNumId w:val="30"/>
  </w:num>
  <w:num w:numId="207">
    <w:abstractNumId w:val="0"/>
  </w:num>
  <w:num w:numId="208">
    <w:abstractNumId w:val="64"/>
  </w:num>
  <w:num w:numId="209">
    <w:abstractNumId w:val="29"/>
  </w:num>
  <w:num w:numId="210">
    <w:abstractNumId w:val="135"/>
  </w:num>
  <w:num w:numId="211">
    <w:abstractNumId w:val="82"/>
  </w:num>
  <w:num w:numId="212">
    <w:abstractNumId w:val="199"/>
  </w:num>
  <w:num w:numId="213">
    <w:abstractNumId w:val="57"/>
  </w:num>
  <w:num w:numId="214">
    <w:abstractNumId w:val="153"/>
  </w:num>
  <w:num w:numId="215">
    <w:abstractNumId w:val="184"/>
  </w:num>
  <w:num w:numId="216">
    <w:abstractNumId w:val="78"/>
  </w:num>
  <w:num w:numId="217">
    <w:abstractNumId w:val="8"/>
  </w:num>
  <w:num w:numId="218">
    <w:abstractNumId w:val="160"/>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80"/>
    <w:rsid w:val="0000243A"/>
    <w:rsid w:val="000025DE"/>
    <w:rsid w:val="00004D7A"/>
    <w:rsid w:val="00006FEF"/>
    <w:rsid w:val="00007A1B"/>
    <w:rsid w:val="00011095"/>
    <w:rsid w:val="0001167B"/>
    <w:rsid w:val="00012881"/>
    <w:rsid w:val="00016E5B"/>
    <w:rsid w:val="00020209"/>
    <w:rsid w:val="00023E36"/>
    <w:rsid w:val="00023ED9"/>
    <w:rsid w:val="000266FB"/>
    <w:rsid w:val="000306A8"/>
    <w:rsid w:val="000306BE"/>
    <w:rsid w:val="00032BC0"/>
    <w:rsid w:val="00033721"/>
    <w:rsid w:val="000360F8"/>
    <w:rsid w:val="0003685A"/>
    <w:rsid w:val="00042A22"/>
    <w:rsid w:val="000457C3"/>
    <w:rsid w:val="00050FF5"/>
    <w:rsid w:val="00052445"/>
    <w:rsid w:val="00053371"/>
    <w:rsid w:val="00053D0E"/>
    <w:rsid w:val="0005433D"/>
    <w:rsid w:val="00057D40"/>
    <w:rsid w:val="00062CD0"/>
    <w:rsid w:val="00065945"/>
    <w:rsid w:val="00066250"/>
    <w:rsid w:val="000702EE"/>
    <w:rsid w:val="00074383"/>
    <w:rsid w:val="00074C60"/>
    <w:rsid w:val="000752F3"/>
    <w:rsid w:val="00075928"/>
    <w:rsid w:val="0007622D"/>
    <w:rsid w:val="000763E3"/>
    <w:rsid w:val="000765A3"/>
    <w:rsid w:val="00077D30"/>
    <w:rsid w:val="00083B74"/>
    <w:rsid w:val="00087A54"/>
    <w:rsid w:val="00090281"/>
    <w:rsid w:val="00097227"/>
    <w:rsid w:val="000A10A5"/>
    <w:rsid w:val="000A1180"/>
    <w:rsid w:val="000A13A3"/>
    <w:rsid w:val="000A2225"/>
    <w:rsid w:val="000A408A"/>
    <w:rsid w:val="000A5761"/>
    <w:rsid w:val="000B1397"/>
    <w:rsid w:val="000B16A7"/>
    <w:rsid w:val="000B18B3"/>
    <w:rsid w:val="000B4F68"/>
    <w:rsid w:val="000B600D"/>
    <w:rsid w:val="000B616B"/>
    <w:rsid w:val="000B7E9E"/>
    <w:rsid w:val="000C0D7D"/>
    <w:rsid w:val="000C56C2"/>
    <w:rsid w:val="000D086B"/>
    <w:rsid w:val="000D12D8"/>
    <w:rsid w:val="000E1465"/>
    <w:rsid w:val="000E3786"/>
    <w:rsid w:val="000E40FE"/>
    <w:rsid w:val="000E48C8"/>
    <w:rsid w:val="000F18F5"/>
    <w:rsid w:val="001003FD"/>
    <w:rsid w:val="00101C22"/>
    <w:rsid w:val="001046AC"/>
    <w:rsid w:val="00106024"/>
    <w:rsid w:val="00107D43"/>
    <w:rsid w:val="0011027C"/>
    <w:rsid w:val="00110FBA"/>
    <w:rsid w:val="00111A67"/>
    <w:rsid w:val="0011249B"/>
    <w:rsid w:val="00116584"/>
    <w:rsid w:val="00117792"/>
    <w:rsid w:val="00121E5B"/>
    <w:rsid w:val="0012288C"/>
    <w:rsid w:val="001233B2"/>
    <w:rsid w:val="0012426E"/>
    <w:rsid w:val="00124D47"/>
    <w:rsid w:val="0012662B"/>
    <w:rsid w:val="00127A74"/>
    <w:rsid w:val="00133C03"/>
    <w:rsid w:val="00141E98"/>
    <w:rsid w:val="001421C2"/>
    <w:rsid w:val="00143342"/>
    <w:rsid w:val="001454B0"/>
    <w:rsid w:val="00150252"/>
    <w:rsid w:val="001517DD"/>
    <w:rsid w:val="00152C02"/>
    <w:rsid w:val="00156CE0"/>
    <w:rsid w:val="001579D2"/>
    <w:rsid w:val="00160108"/>
    <w:rsid w:val="00162579"/>
    <w:rsid w:val="00162B3E"/>
    <w:rsid w:val="00165688"/>
    <w:rsid w:val="001658A5"/>
    <w:rsid w:val="001763B6"/>
    <w:rsid w:val="001766A2"/>
    <w:rsid w:val="0017781E"/>
    <w:rsid w:val="00177890"/>
    <w:rsid w:val="00187172"/>
    <w:rsid w:val="0018791C"/>
    <w:rsid w:val="001948D8"/>
    <w:rsid w:val="00194D34"/>
    <w:rsid w:val="00196076"/>
    <w:rsid w:val="00196D39"/>
    <w:rsid w:val="001A0384"/>
    <w:rsid w:val="001A14C3"/>
    <w:rsid w:val="001A25F1"/>
    <w:rsid w:val="001A4A10"/>
    <w:rsid w:val="001A525C"/>
    <w:rsid w:val="001A70B9"/>
    <w:rsid w:val="001A7B42"/>
    <w:rsid w:val="001B1C34"/>
    <w:rsid w:val="001B59D9"/>
    <w:rsid w:val="001B7B01"/>
    <w:rsid w:val="001C1578"/>
    <w:rsid w:val="001C4872"/>
    <w:rsid w:val="001C4E73"/>
    <w:rsid w:val="001C7BD9"/>
    <w:rsid w:val="001D0357"/>
    <w:rsid w:val="001D0838"/>
    <w:rsid w:val="001D6A19"/>
    <w:rsid w:val="001E467E"/>
    <w:rsid w:val="001E6E69"/>
    <w:rsid w:val="001F109E"/>
    <w:rsid w:val="001F46D0"/>
    <w:rsid w:val="001F66E6"/>
    <w:rsid w:val="001F7486"/>
    <w:rsid w:val="00200E99"/>
    <w:rsid w:val="00201694"/>
    <w:rsid w:val="002039CC"/>
    <w:rsid w:val="00205106"/>
    <w:rsid w:val="00205D27"/>
    <w:rsid w:val="00211700"/>
    <w:rsid w:val="00213826"/>
    <w:rsid w:val="00215537"/>
    <w:rsid w:val="0021573A"/>
    <w:rsid w:val="0022542A"/>
    <w:rsid w:val="00227281"/>
    <w:rsid w:val="00227A92"/>
    <w:rsid w:val="0023025A"/>
    <w:rsid w:val="0023107E"/>
    <w:rsid w:val="00231CF0"/>
    <w:rsid w:val="00231CF9"/>
    <w:rsid w:val="00232D0B"/>
    <w:rsid w:val="00233257"/>
    <w:rsid w:val="00233DDA"/>
    <w:rsid w:val="002345B2"/>
    <w:rsid w:val="002350C0"/>
    <w:rsid w:val="00236E20"/>
    <w:rsid w:val="002373F6"/>
    <w:rsid w:val="00240DF8"/>
    <w:rsid w:val="00244997"/>
    <w:rsid w:val="00246826"/>
    <w:rsid w:val="0024683D"/>
    <w:rsid w:val="002500D7"/>
    <w:rsid w:val="002509A9"/>
    <w:rsid w:val="00250FE8"/>
    <w:rsid w:val="002511EC"/>
    <w:rsid w:val="002512C8"/>
    <w:rsid w:val="00251A62"/>
    <w:rsid w:val="00252562"/>
    <w:rsid w:val="0025342C"/>
    <w:rsid w:val="00253D46"/>
    <w:rsid w:val="0025457D"/>
    <w:rsid w:val="00256372"/>
    <w:rsid w:val="00263868"/>
    <w:rsid w:val="00266B15"/>
    <w:rsid w:val="00267F37"/>
    <w:rsid w:val="00272CEB"/>
    <w:rsid w:val="00277389"/>
    <w:rsid w:val="00277E77"/>
    <w:rsid w:val="002815A5"/>
    <w:rsid w:val="00282E39"/>
    <w:rsid w:val="00283189"/>
    <w:rsid w:val="0028335D"/>
    <w:rsid w:val="00284618"/>
    <w:rsid w:val="002943F8"/>
    <w:rsid w:val="00295B8C"/>
    <w:rsid w:val="002974D4"/>
    <w:rsid w:val="00297E15"/>
    <w:rsid w:val="002A11FB"/>
    <w:rsid w:val="002A1FEF"/>
    <w:rsid w:val="002A431D"/>
    <w:rsid w:val="002A43B9"/>
    <w:rsid w:val="002A617E"/>
    <w:rsid w:val="002A63AC"/>
    <w:rsid w:val="002A762D"/>
    <w:rsid w:val="002A7BE7"/>
    <w:rsid w:val="002A7BFE"/>
    <w:rsid w:val="002B481E"/>
    <w:rsid w:val="002C0B66"/>
    <w:rsid w:val="002C3B55"/>
    <w:rsid w:val="002C3F3D"/>
    <w:rsid w:val="002C4D4D"/>
    <w:rsid w:val="002C794F"/>
    <w:rsid w:val="002D18A1"/>
    <w:rsid w:val="002D28A2"/>
    <w:rsid w:val="002E2B50"/>
    <w:rsid w:val="002E5A77"/>
    <w:rsid w:val="002F16DA"/>
    <w:rsid w:val="002F3310"/>
    <w:rsid w:val="002F6360"/>
    <w:rsid w:val="002F6E1A"/>
    <w:rsid w:val="002F7CE8"/>
    <w:rsid w:val="0030024F"/>
    <w:rsid w:val="0030081E"/>
    <w:rsid w:val="0030385D"/>
    <w:rsid w:val="00306942"/>
    <w:rsid w:val="00307E0F"/>
    <w:rsid w:val="003134E6"/>
    <w:rsid w:val="00313746"/>
    <w:rsid w:val="003160B1"/>
    <w:rsid w:val="00320DCC"/>
    <w:rsid w:val="00321612"/>
    <w:rsid w:val="003229CD"/>
    <w:rsid w:val="00322C4F"/>
    <w:rsid w:val="00325C54"/>
    <w:rsid w:val="00327580"/>
    <w:rsid w:val="00333123"/>
    <w:rsid w:val="00334460"/>
    <w:rsid w:val="003355E5"/>
    <w:rsid w:val="00343C89"/>
    <w:rsid w:val="00344080"/>
    <w:rsid w:val="00347781"/>
    <w:rsid w:val="00353607"/>
    <w:rsid w:val="00355B65"/>
    <w:rsid w:val="00355C42"/>
    <w:rsid w:val="00356211"/>
    <w:rsid w:val="00363B73"/>
    <w:rsid w:val="00367BA3"/>
    <w:rsid w:val="00370200"/>
    <w:rsid w:val="0037159E"/>
    <w:rsid w:val="00372919"/>
    <w:rsid w:val="00373C51"/>
    <w:rsid w:val="00373FFF"/>
    <w:rsid w:val="003749EB"/>
    <w:rsid w:val="00374C4A"/>
    <w:rsid w:val="00376AE3"/>
    <w:rsid w:val="00380D8A"/>
    <w:rsid w:val="00382682"/>
    <w:rsid w:val="00383379"/>
    <w:rsid w:val="00384A0B"/>
    <w:rsid w:val="003A11BA"/>
    <w:rsid w:val="003A3166"/>
    <w:rsid w:val="003A3574"/>
    <w:rsid w:val="003B1EB9"/>
    <w:rsid w:val="003B24A6"/>
    <w:rsid w:val="003B57EC"/>
    <w:rsid w:val="003B58A7"/>
    <w:rsid w:val="003B5FCE"/>
    <w:rsid w:val="003C3DBA"/>
    <w:rsid w:val="003C4976"/>
    <w:rsid w:val="003C6743"/>
    <w:rsid w:val="003C7B2A"/>
    <w:rsid w:val="003D1E93"/>
    <w:rsid w:val="003D602C"/>
    <w:rsid w:val="003D7729"/>
    <w:rsid w:val="003E0096"/>
    <w:rsid w:val="003E15CB"/>
    <w:rsid w:val="003E3EC9"/>
    <w:rsid w:val="003E43DE"/>
    <w:rsid w:val="003E7F6B"/>
    <w:rsid w:val="003F08D7"/>
    <w:rsid w:val="003F0A36"/>
    <w:rsid w:val="003F281C"/>
    <w:rsid w:val="003F723C"/>
    <w:rsid w:val="00405DAD"/>
    <w:rsid w:val="00407088"/>
    <w:rsid w:val="00410D44"/>
    <w:rsid w:val="00412E6A"/>
    <w:rsid w:val="004159B0"/>
    <w:rsid w:val="0042082A"/>
    <w:rsid w:val="0042119B"/>
    <w:rsid w:val="004270D2"/>
    <w:rsid w:val="0043579D"/>
    <w:rsid w:val="004376AF"/>
    <w:rsid w:val="004376D7"/>
    <w:rsid w:val="00441322"/>
    <w:rsid w:val="00441D21"/>
    <w:rsid w:val="00444B68"/>
    <w:rsid w:val="00452E68"/>
    <w:rsid w:val="00454FD0"/>
    <w:rsid w:val="00456A82"/>
    <w:rsid w:val="00457646"/>
    <w:rsid w:val="004642DA"/>
    <w:rsid w:val="004658FD"/>
    <w:rsid w:val="004752C8"/>
    <w:rsid w:val="00476551"/>
    <w:rsid w:val="00476990"/>
    <w:rsid w:val="00481312"/>
    <w:rsid w:val="0048141D"/>
    <w:rsid w:val="0048180F"/>
    <w:rsid w:val="004904EF"/>
    <w:rsid w:val="004907BE"/>
    <w:rsid w:val="0049106E"/>
    <w:rsid w:val="00492D39"/>
    <w:rsid w:val="004A119A"/>
    <w:rsid w:val="004A31C7"/>
    <w:rsid w:val="004A3995"/>
    <w:rsid w:val="004B07A4"/>
    <w:rsid w:val="004B11B8"/>
    <w:rsid w:val="004B5216"/>
    <w:rsid w:val="004B576C"/>
    <w:rsid w:val="004C0299"/>
    <w:rsid w:val="004C04CD"/>
    <w:rsid w:val="004C21FC"/>
    <w:rsid w:val="004C24AD"/>
    <w:rsid w:val="004C2812"/>
    <w:rsid w:val="004C68ED"/>
    <w:rsid w:val="004D1368"/>
    <w:rsid w:val="004D233C"/>
    <w:rsid w:val="004D3779"/>
    <w:rsid w:val="004D483B"/>
    <w:rsid w:val="004D64B6"/>
    <w:rsid w:val="004E4F08"/>
    <w:rsid w:val="004E68AD"/>
    <w:rsid w:val="004F1B67"/>
    <w:rsid w:val="004F27BA"/>
    <w:rsid w:val="004F65CE"/>
    <w:rsid w:val="004F6B8A"/>
    <w:rsid w:val="004F6BBF"/>
    <w:rsid w:val="0050002F"/>
    <w:rsid w:val="00501089"/>
    <w:rsid w:val="00504346"/>
    <w:rsid w:val="00507503"/>
    <w:rsid w:val="005100DA"/>
    <w:rsid w:val="00514E38"/>
    <w:rsid w:val="00517F67"/>
    <w:rsid w:val="00520AED"/>
    <w:rsid w:val="0052178C"/>
    <w:rsid w:val="005230F3"/>
    <w:rsid w:val="005247E9"/>
    <w:rsid w:val="005249A2"/>
    <w:rsid w:val="005257D5"/>
    <w:rsid w:val="005319B8"/>
    <w:rsid w:val="00534336"/>
    <w:rsid w:val="00534474"/>
    <w:rsid w:val="00542A26"/>
    <w:rsid w:val="00545C88"/>
    <w:rsid w:val="00546695"/>
    <w:rsid w:val="005475FD"/>
    <w:rsid w:val="00550724"/>
    <w:rsid w:val="0055611F"/>
    <w:rsid w:val="005579BB"/>
    <w:rsid w:val="0056008F"/>
    <w:rsid w:val="00562C64"/>
    <w:rsid w:val="00564655"/>
    <w:rsid w:val="00564C6C"/>
    <w:rsid w:val="00565120"/>
    <w:rsid w:val="00567593"/>
    <w:rsid w:val="005753A0"/>
    <w:rsid w:val="00585F23"/>
    <w:rsid w:val="0058703C"/>
    <w:rsid w:val="005874AD"/>
    <w:rsid w:val="00590665"/>
    <w:rsid w:val="005912D4"/>
    <w:rsid w:val="00591781"/>
    <w:rsid w:val="00591F58"/>
    <w:rsid w:val="005949D7"/>
    <w:rsid w:val="00596C94"/>
    <w:rsid w:val="005974BE"/>
    <w:rsid w:val="0059790D"/>
    <w:rsid w:val="00597E93"/>
    <w:rsid w:val="005A02E9"/>
    <w:rsid w:val="005A3784"/>
    <w:rsid w:val="005A41F7"/>
    <w:rsid w:val="005A507B"/>
    <w:rsid w:val="005A516D"/>
    <w:rsid w:val="005A5F57"/>
    <w:rsid w:val="005A658F"/>
    <w:rsid w:val="005A6B5F"/>
    <w:rsid w:val="005A7030"/>
    <w:rsid w:val="005A78FC"/>
    <w:rsid w:val="005B1432"/>
    <w:rsid w:val="005B2285"/>
    <w:rsid w:val="005B47CE"/>
    <w:rsid w:val="005B6F26"/>
    <w:rsid w:val="005B7864"/>
    <w:rsid w:val="005C57A8"/>
    <w:rsid w:val="005D0229"/>
    <w:rsid w:val="005D0B84"/>
    <w:rsid w:val="005D350B"/>
    <w:rsid w:val="005D3B45"/>
    <w:rsid w:val="005D4FE9"/>
    <w:rsid w:val="005D794F"/>
    <w:rsid w:val="005E3CF7"/>
    <w:rsid w:val="005F40C5"/>
    <w:rsid w:val="005F7E1E"/>
    <w:rsid w:val="00600229"/>
    <w:rsid w:val="00601781"/>
    <w:rsid w:val="00604FA7"/>
    <w:rsid w:val="00605F4C"/>
    <w:rsid w:val="0061092A"/>
    <w:rsid w:val="00614830"/>
    <w:rsid w:val="006168A8"/>
    <w:rsid w:val="00616A42"/>
    <w:rsid w:val="00616F65"/>
    <w:rsid w:val="00620C17"/>
    <w:rsid w:val="00623B56"/>
    <w:rsid w:val="0062443A"/>
    <w:rsid w:val="00624903"/>
    <w:rsid w:val="0062547D"/>
    <w:rsid w:val="00625ACE"/>
    <w:rsid w:val="00633EC5"/>
    <w:rsid w:val="0063467A"/>
    <w:rsid w:val="00641DFA"/>
    <w:rsid w:val="006432D1"/>
    <w:rsid w:val="0064332F"/>
    <w:rsid w:val="006513E3"/>
    <w:rsid w:val="00651802"/>
    <w:rsid w:val="0065335B"/>
    <w:rsid w:val="0065350A"/>
    <w:rsid w:val="0065453E"/>
    <w:rsid w:val="00654929"/>
    <w:rsid w:val="006550A0"/>
    <w:rsid w:val="00655F29"/>
    <w:rsid w:val="00656CE7"/>
    <w:rsid w:val="00661426"/>
    <w:rsid w:val="00663A6F"/>
    <w:rsid w:val="006644D8"/>
    <w:rsid w:val="00664710"/>
    <w:rsid w:val="00670EFC"/>
    <w:rsid w:val="00671CAC"/>
    <w:rsid w:val="00673AFF"/>
    <w:rsid w:val="00674308"/>
    <w:rsid w:val="0068135A"/>
    <w:rsid w:val="00681B67"/>
    <w:rsid w:val="00684B36"/>
    <w:rsid w:val="00685D0D"/>
    <w:rsid w:val="00685F29"/>
    <w:rsid w:val="00685FC1"/>
    <w:rsid w:val="00686501"/>
    <w:rsid w:val="0069139C"/>
    <w:rsid w:val="00692725"/>
    <w:rsid w:val="006A0673"/>
    <w:rsid w:val="006A1768"/>
    <w:rsid w:val="006A283D"/>
    <w:rsid w:val="006A2EEF"/>
    <w:rsid w:val="006A3041"/>
    <w:rsid w:val="006A3537"/>
    <w:rsid w:val="006A416C"/>
    <w:rsid w:val="006A5766"/>
    <w:rsid w:val="006A7438"/>
    <w:rsid w:val="006A7AA0"/>
    <w:rsid w:val="006B003E"/>
    <w:rsid w:val="006B1D8F"/>
    <w:rsid w:val="006B5E8E"/>
    <w:rsid w:val="006C1700"/>
    <w:rsid w:val="006C2520"/>
    <w:rsid w:val="006C2A53"/>
    <w:rsid w:val="006C6734"/>
    <w:rsid w:val="006D029F"/>
    <w:rsid w:val="006D264F"/>
    <w:rsid w:val="006D2BA0"/>
    <w:rsid w:val="006D681E"/>
    <w:rsid w:val="006E00A3"/>
    <w:rsid w:val="006E092C"/>
    <w:rsid w:val="006E279B"/>
    <w:rsid w:val="00700156"/>
    <w:rsid w:val="007007D1"/>
    <w:rsid w:val="00701BE2"/>
    <w:rsid w:val="00701F5C"/>
    <w:rsid w:val="0070431A"/>
    <w:rsid w:val="00706215"/>
    <w:rsid w:val="0070657B"/>
    <w:rsid w:val="00706FD4"/>
    <w:rsid w:val="00710262"/>
    <w:rsid w:val="007126C6"/>
    <w:rsid w:val="007140F5"/>
    <w:rsid w:val="00714143"/>
    <w:rsid w:val="00715E53"/>
    <w:rsid w:val="007201F6"/>
    <w:rsid w:val="00723795"/>
    <w:rsid w:val="0072402B"/>
    <w:rsid w:val="0072429F"/>
    <w:rsid w:val="00724607"/>
    <w:rsid w:val="0072542B"/>
    <w:rsid w:val="00726EF5"/>
    <w:rsid w:val="00734560"/>
    <w:rsid w:val="00734AA7"/>
    <w:rsid w:val="00736380"/>
    <w:rsid w:val="007436FA"/>
    <w:rsid w:val="00743D99"/>
    <w:rsid w:val="007446EF"/>
    <w:rsid w:val="0075023A"/>
    <w:rsid w:val="007552CD"/>
    <w:rsid w:val="0076075F"/>
    <w:rsid w:val="00762F9D"/>
    <w:rsid w:val="00763487"/>
    <w:rsid w:val="00764712"/>
    <w:rsid w:val="007705B9"/>
    <w:rsid w:val="00770EEF"/>
    <w:rsid w:val="00777611"/>
    <w:rsid w:val="007824DB"/>
    <w:rsid w:val="007847B1"/>
    <w:rsid w:val="007856C2"/>
    <w:rsid w:val="007903B6"/>
    <w:rsid w:val="00791C25"/>
    <w:rsid w:val="00792F07"/>
    <w:rsid w:val="00793691"/>
    <w:rsid w:val="00796040"/>
    <w:rsid w:val="00796A06"/>
    <w:rsid w:val="007977CA"/>
    <w:rsid w:val="00797B99"/>
    <w:rsid w:val="007A0649"/>
    <w:rsid w:val="007A181A"/>
    <w:rsid w:val="007A24C6"/>
    <w:rsid w:val="007A2AAB"/>
    <w:rsid w:val="007A648D"/>
    <w:rsid w:val="007B05C4"/>
    <w:rsid w:val="007B19EB"/>
    <w:rsid w:val="007B34CF"/>
    <w:rsid w:val="007B5B78"/>
    <w:rsid w:val="007B654B"/>
    <w:rsid w:val="007C1D61"/>
    <w:rsid w:val="007C3C28"/>
    <w:rsid w:val="007C4B17"/>
    <w:rsid w:val="007C56C0"/>
    <w:rsid w:val="007C5DC3"/>
    <w:rsid w:val="007C7A01"/>
    <w:rsid w:val="007D3005"/>
    <w:rsid w:val="007D633E"/>
    <w:rsid w:val="007D6F68"/>
    <w:rsid w:val="007D7B73"/>
    <w:rsid w:val="007E1DB3"/>
    <w:rsid w:val="007E4280"/>
    <w:rsid w:val="007E4E39"/>
    <w:rsid w:val="007F0D9A"/>
    <w:rsid w:val="00804C69"/>
    <w:rsid w:val="00807F62"/>
    <w:rsid w:val="00810EC0"/>
    <w:rsid w:val="00814139"/>
    <w:rsid w:val="00814639"/>
    <w:rsid w:val="008223C8"/>
    <w:rsid w:val="00823953"/>
    <w:rsid w:val="00824BB6"/>
    <w:rsid w:val="00825171"/>
    <w:rsid w:val="008262B9"/>
    <w:rsid w:val="0082641E"/>
    <w:rsid w:val="008352EB"/>
    <w:rsid w:val="008363FC"/>
    <w:rsid w:val="00842AE3"/>
    <w:rsid w:val="008437C3"/>
    <w:rsid w:val="008442D1"/>
    <w:rsid w:val="00844F08"/>
    <w:rsid w:val="00844FCB"/>
    <w:rsid w:val="00845D5D"/>
    <w:rsid w:val="00847222"/>
    <w:rsid w:val="00847A06"/>
    <w:rsid w:val="008531DE"/>
    <w:rsid w:val="00854402"/>
    <w:rsid w:val="0085566B"/>
    <w:rsid w:val="00857084"/>
    <w:rsid w:val="008615EE"/>
    <w:rsid w:val="0086289E"/>
    <w:rsid w:val="00864298"/>
    <w:rsid w:val="008646A4"/>
    <w:rsid w:val="008675FD"/>
    <w:rsid w:val="00870D9F"/>
    <w:rsid w:val="00873C98"/>
    <w:rsid w:val="008756E1"/>
    <w:rsid w:val="00877336"/>
    <w:rsid w:val="00877663"/>
    <w:rsid w:val="0087770E"/>
    <w:rsid w:val="0088243A"/>
    <w:rsid w:val="00882820"/>
    <w:rsid w:val="008828AC"/>
    <w:rsid w:val="0088763C"/>
    <w:rsid w:val="0089006B"/>
    <w:rsid w:val="00890E85"/>
    <w:rsid w:val="0089186F"/>
    <w:rsid w:val="008936CF"/>
    <w:rsid w:val="008944F4"/>
    <w:rsid w:val="00897001"/>
    <w:rsid w:val="0089704B"/>
    <w:rsid w:val="00897ABF"/>
    <w:rsid w:val="008A14FA"/>
    <w:rsid w:val="008A236A"/>
    <w:rsid w:val="008A3513"/>
    <w:rsid w:val="008A772F"/>
    <w:rsid w:val="008B288D"/>
    <w:rsid w:val="008B35E0"/>
    <w:rsid w:val="008B5F51"/>
    <w:rsid w:val="008B66B7"/>
    <w:rsid w:val="008B6763"/>
    <w:rsid w:val="008B797F"/>
    <w:rsid w:val="008C00CF"/>
    <w:rsid w:val="008C4A82"/>
    <w:rsid w:val="008C4C4E"/>
    <w:rsid w:val="008C52F0"/>
    <w:rsid w:val="008D578E"/>
    <w:rsid w:val="008E09D0"/>
    <w:rsid w:val="008E3F50"/>
    <w:rsid w:val="008E785C"/>
    <w:rsid w:val="008F31C4"/>
    <w:rsid w:val="008F5C6D"/>
    <w:rsid w:val="008F7AC8"/>
    <w:rsid w:val="00901461"/>
    <w:rsid w:val="0090192C"/>
    <w:rsid w:val="009020BA"/>
    <w:rsid w:val="00905BFF"/>
    <w:rsid w:val="009073A1"/>
    <w:rsid w:val="0091013B"/>
    <w:rsid w:val="00910A48"/>
    <w:rsid w:val="00910D5E"/>
    <w:rsid w:val="00910E85"/>
    <w:rsid w:val="0091668B"/>
    <w:rsid w:val="00916805"/>
    <w:rsid w:val="00917AB1"/>
    <w:rsid w:val="00921313"/>
    <w:rsid w:val="00925207"/>
    <w:rsid w:val="00925C6C"/>
    <w:rsid w:val="00925F5A"/>
    <w:rsid w:val="00926DD6"/>
    <w:rsid w:val="009270BF"/>
    <w:rsid w:val="00930D59"/>
    <w:rsid w:val="00930F30"/>
    <w:rsid w:val="009333B4"/>
    <w:rsid w:val="00934094"/>
    <w:rsid w:val="00935A6A"/>
    <w:rsid w:val="009363FF"/>
    <w:rsid w:val="00937431"/>
    <w:rsid w:val="00940293"/>
    <w:rsid w:val="0094345F"/>
    <w:rsid w:val="00945B24"/>
    <w:rsid w:val="00951E5F"/>
    <w:rsid w:val="00952B43"/>
    <w:rsid w:val="00952B6C"/>
    <w:rsid w:val="009539A9"/>
    <w:rsid w:val="00957868"/>
    <w:rsid w:val="00960E46"/>
    <w:rsid w:val="009628DC"/>
    <w:rsid w:val="00963AF6"/>
    <w:rsid w:val="00965BC9"/>
    <w:rsid w:val="00966F0F"/>
    <w:rsid w:val="00967D99"/>
    <w:rsid w:val="0097151D"/>
    <w:rsid w:val="00972032"/>
    <w:rsid w:val="00975ED0"/>
    <w:rsid w:val="009768D9"/>
    <w:rsid w:val="00977329"/>
    <w:rsid w:val="00977BFD"/>
    <w:rsid w:val="0098476F"/>
    <w:rsid w:val="00984E0F"/>
    <w:rsid w:val="00991554"/>
    <w:rsid w:val="00994DC4"/>
    <w:rsid w:val="009962D8"/>
    <w:rsid w:val="009962E3"/>
    <w:rsid w:val="009A0870"/>
    <w:rsid w:val="009A0D0B"/>
    <w:rsid w:val="009A43EC"/>
    <w:rsid w:val="009A479E"/>
    <w:rsid w:val="009A4BC4"/>
    <w:rsid w:val="009A4CAD"/>
    <w:rsid w:val="009A542C"/>
    <w:rsid w:val="009A6622"/>
    <w:rsid w:val="009B5216"/>
    <w:rsid w:val="009B70A1"/>
    <w:rsid w:val="009C2096"/>
    <w:rsid w:val="009C2999"/>
    <w:rsid w:val="009C36CD"/>
    <w:rsid w:val="009C4D6C"/>
    <w:rsid w:val="009C7B2D"/>
    <w:rsid w:val="009D1E50"/>
    <w:rsid w:val="009D1F57"/>
    <w:rsid w:val="009D5F74"/>
    <w:rsid w:val="009D72DB"/>
    <w:rsid w:val="009E085D"/>
    <w:rsid w:val="009E4021"/>
    <w:rsid w:val="009E5A8D"/>
    <w:rsid w:val="009E64DF"/>
    <w:rsid w:val="009F032F"/>
    <w:rsid w:val="009F10AA"/>
    <w:rsid w:val="009F2D31"/>
    <w:rsid w:val="009F320C"/>
    <w:rsid w:val="009F4956"/>
    <w:rsid w:val="009F5A72"/>
    <w:rsid w:val="009F5FF2"/>
    <w:rsid w:val="009F710C"/>
    <w:rsid w:val="009F7445"/>
    <w:rsid w:val="00A0004B"/>
    <w:rsid w:val="00A01FDB"/>
    <w:rsid w:val="00A02416"/>
    <w:rsid w:val="00A028F2"/>
    <w:rsid w:val="00A03BC3"/>
    <w:rsid w:val="00A070E0"/>
    <w:rsid w:val="00A13626"/>
    <w:rsid w:val="00A15752"/>
    <w:rsid w:val="00A22891"/>
    <w:rsid w:val="00A23EB0"/>
    <w:rsid w:val="00A24814"/>
    <w:rsid w:val="00A25495"/>
    <w:rsid w:val="00A270FE"/>
    <w:rsid w:val="00A27E2C"/>
    <w:rsid w:val="00A30F79"/>
    <w:rsid w:val="00A32F86"/>
    <w:rsid w:val="00A335D9"/>
    <w:rsid w:val="00A354EB"/>
    <w:rsid w:val="00A35D34"/>
    <w:rsid w:val="00A4012F"/>
    <w:rsid w:val="00A40D56"/>
    <w:rsid w:val="00A416FA"/>
    <w:rsid w:val="00A43C1D"/>
    <w:rsid w:val="00A47679"/>
    <w:rsid w:val="00A47949"/>
    <w:rsid w:val="00A5011E"/>
    <w:rsid w:val="00A5579C"/>
    <w:rsid w:val="00A56B46"/>
    <w:rsid w:val="00A56EDF"/>
    <w:rsid w:val="00A62504"/>
    <w:rsid w:val="00A64BB2"/>
    <w:rsid w:val="00A707CE"/>
    <w:rsid w:val="00A80617"/>
    <w:rsid w:val="00A82466"/>
    <w:rsid w:val="00A82D67"/>
    <w:rsid w:val="00A82F69"/>
    <w:rsid w:val="00A83580"/>
    <w:rsid w:val="00A839D5"/>
    <w:rsid w:val="00A90BFF"/>
    <w:rsid w:val="00A926B2"/>
    <w:rsid w:val="00A93275"/>
    <w:rsid w:val="00A93672"/>
    <w:rsid w:val="00A941FA"/>
    <w:rsid w:val="00A94341"/>
    <w:rsid w:val="00A967B7"/>
    <w:rsid w:val="00A97A5E"/>
    <w:rsid w:val="00AA07FB"/>
    <w:rsid w:val="00AA0990"/>
    <w:rsid w:val="00AA29B3"/>
    <w:rsid w:val="00AA7156"/>
    <w:rsid w:val="00AB1B5A"/>
    <w:rsid w:val="00AB1FBD"/>
    <w:rsid w:val="00AB2139"/>
    <w:rsid w:val="00AB2DAF"/>
    <w:rsid w:val="00AB3430"/>
    <w:rsid w:val="00AB4ECE"/>
    <w:rsid w:val="00AB6B96"/>
    <w:rsid w:val="00AC26B4"/>
    <w:rsid w:val="00AC2E76"/>
    <w:rsid w:val="00AC4791"/>
    <w:rsid w:val="00AC49A5"/>
    <w:rsid w:val="00AC7658"/>
    <w:rsid w:val="00AC7940"/>
    <w:rsid w:val="00AD0312"/>
    <w:rsid w:val="00AD0474"/>
    <w:rsid w:val="00AD1C47"/>
    <w:rsid w:val="00AD37D3"/>
    <w:rsid w:val="00AD61C6"/>
    <w:rsid w:val="00AD6761"/>
    <w:rsid w:val="00AE0DD4"/>
    <w:rsid w:val="00AE0DE2"/>
    <w:rsid w:val="00AE187B"/>
    <w:rsid w:val="00AE2FF7"/>
    <w:rsid w:val="00AE3811"/>
    <w:rsid w:val="00AE3895"/>
    <w:rsid w:val="00AE501A"/>
    <w:rsid w:val="00AE6314"/>
    <w:rsid w:val="00AE7032"/>
    <w:rsid w:val="00AE736E"/>
    <w:rsid w:val="00AF04B3"/>
    <w:rsid w:val="00AF2CC3"/>
    <w:rsid w:val="00AF2E26"/>
    <w:rsid w:val="00AF735B"/>
    <w:rsid w:val="00B00174"/>
    <w:rsid w:val="00B03AEA"/>
    <w:rsid w:val="00B0471E"/>
    <w:rsid w:val="00B047AD"/>
    <w:rsid w:val="00B062F4"/>
    <w:rsid w:val="00B06523"/>
    <w:rsid w:val="00B06FF4"/>
    <w:rsid w:val="00B10A06"/>
    <w:rsid w:val="00B12B54"/>
    <w:rsid w:val="00B137B7"/>
    <w:rsid w:val="00B14450"/>
    <w:rsid w:val="00B2515E"/>
    <w:rsid w:val="00B254AD"/>
    <w:rsid w:val="00B267BF"/>
    <w:rsid w:val="00B30AB1"/>
    <w:rsid w:val="00B31DBC"/>
    <w:rsid w:val="00B32668"/>
    <w:rsid w:val="00B34BE4"/>
    <w:rsid w:val="00B40D36"/>
    <w:rsid w:val="00B443C8"/>
    <w:rsid w:val="00B4576E"/>
    <w:rsid w:val="00B45D6D"/>
    <w:rsid w:val="00B477E1"/>
    <w:rsid w:val="00B47A96"/>
    <w:rsid w:val="00B53AFE"/>
    <w:rsid w:val="00B563A9"/>
    <w:rsid w:val="00B57998"/>
    <w:rsid w:val="00B57CB3"/>
    <w:rsid w:val="00B60AB6"/>
    <w:rsid w:val="00B615B6"/>
    <w:rsid w:val="00B63EE9"/>
    <w:rsid w:val="00B65B18"/>
    <w:rsid w:val="00B7132A"/>
    <w:rsid w:val="00B72DB8"/>
    <w:rsid w:val="00B74A51"/>
    <w:rsid w:val="00B77AAE"/>
    <w:rsid w:val="00B829E6"/>
    <w:rsid w:val="00B82F08"/>
    <w:rsid w:val="00B8517F"/>
    <w:rsid w:val="00B85FA9"/>
    <w:rsid w:val="00B912BD"/>
    <w:rsid w:val="00B91E7F"/>
    <w:rsid w:val="00B941D5"/>
    <w:rsid w:val="00BA287C"/>
    <w:rsid w:val="00BA5B40"/>
    <w:rsid w:val="00BC2231"/>
    <w:rsid w:val="00BC2A7F"/>
    <w:rsid w:val="00BC6D5D"/>
    <w:rsid w:val="00BD3489"/>
    <w:rsid w:val="00BD5575"/>
    <w:rsid w:val="00BD6817"/>
    <w:rsid w:val="00BD6FDA"/>
    <w:rsid w:val="00BE2180"/>
    <w:rsid w:val="00BE2262"/>
    <w:rsid w:val="00BF4F3D"/>
    <w:rsid w:val="00C01E2B"/>
    <w:rsid w:val="00C01FB2"/>
    <w:rsid w:val="00C0216E"/>
    <w:rsid w:val="00C03B67"/>
    <w:rsid w:val="00C04061"/>
    <w:rsid w:val="00C06794"/>
    <w:rsid w:val="00C11150"/>
    <w:rsid w:val="00C17C02"/>
    <w:rsid w:val="00C251DA"/>
    <w:rsid w:val="00C30CF5"/>
    <w:rsid w:val="00C32116"/>
    <w:rsid w:val="00C375C5"/>
    <w:rsid w:val="00C3797D"/>
    <w:rsid w:val="00C404D8"/>
    <w:rsid w:val="00C41945"/>
    <w:rsid w:val="00C4531E"/>
    <w:rsid w:val="00C4583B"/>
    <w:rsid w:val="00C46AE8"/>
    <w:rsid w:val="00C50A68"/>
    <w:rsid w:val="00C604B7"/>
    <w:rsid w:val="00C66E60"/>
    <w:rsid w:val="00C70232"/>
    <w:rsid w:val="00C70D2F"/>
    <w:rsid w:val="00C71570"/>
    <w:rsid w:val="00C74050"/>
    <w:rsid w:val="00C7448E"/>
    <w:rsid w:val="00C744AF"/>
    <w:rsid w:val="00C77895"/>
    <w:rsid w:val="00C77A52"/>
    <w:rsid w:val="00C81788"/>
    <w:rsid w:val="00C84F36"/>
    <w:rsid w:val="00C905B6"/>
    <w:rsid w:val="00C9484C"/>
    <w:rsid w:val="00C95F47"/>
    <w:rsid w:val="00C973C5"/>
    <w:rsid w:val="00C979FA"/>
    <w:rsid w:val="00CA1309"/>
    <w:rsid w:val="00CA322F"/>
    <w:rsid w:val="00CA3CC5"/>
    <w:rsid w:val="00CA55C9"/>
    <w:rsid w:val="00CB57AC"/>
    <w:rsid w:val="00CC0006"/>
    <w:rsid w:val="00CC0A89"/>
    <w:rsid w:val="00CC0D4E"/>
    <w:rsid w:val="00CC1FA8"/>
    <w:rsid w:val="00CC468D"/>
    <w:rsid w:val="00CC6C35"/>
    <w:rsid w:val="00CD0200"/>
    <w:rsid w:val="00CD54A7"/>
    <w:rsid w:val="00CE4B75"/>
    <w:rsid w:val="00CE544A"/>
    <w:rsid w:val="00CE6D24"/>
    <w:rsid w:val="00CE78FD"/>
    <w:rsid w:val="00CF1433"/>
    <w:rsid w:val="00CF37CF"/>
    <w:rsid w:val="00CF6C28"/>
    <w:rsid w:val="00CF7A10"/>
    <w:rsid w:val="00D10D57"/>
    <w:rsid w:val="00D11539"/>
    <w:rsid w:val="00D22552"/>
    <w:rsid w:val="00D22673"/>
    <w:rsid w:val="00D22790"/>
    <w:rsid w:val="00D22E91"/>
    <w:rsid w:val="00D234FB"/>
    <w:rsid w:val="00D2661E"/>
    <w:rsid w:val="00D2675C"/>
    <w:rsid w:val="00D27A0F"/>
    <w:rsid w:val="00D3038F"/>
    <w:rsid w:val="00D3094F"/>
    <w:rsid w:val="00D32077"/>
    <w:rsid w:val="00D32647"/>
    <w:rsid w:val="00D34A38"/>
    <w:rsid w:val="00D3645E"/>
    <w:rsid w:val="00D40E81"/>
    <w:rsid w:val="00D43247"/>
    <w:rsid w:val="00D437EA"/>
    <w:rsid w:val="00D45606"/>
    <w:rsid w:val="00D45AD6"/>
    <w:rsid w:val="00D51E6D"/>
    <w:rsid w:val="00D57A9E"/>
    <w:rsid w:val="00D57DE0"/>
    <w:rsid w:val="00D62B7C"/>
    <w:rsid w:val="00D649BC"/>
    <w:rsid w:val="00D66C9A"/>
    <w:rsid w:val="00D713DA"/>
    <w:rsid w:val="00D725AD"/>
    <w:rsid w:val="00D72B9E"/>
    <w:rsid w:val="00D74763"/>
    <w:rsid w:val="00D763FA"/>
    <w:rsid w:val="00D83B30"/>
    <w:rsid w:val="00D84AF5"/>
    <w:rsid w:val="00D85A0D"/>
    <w:rsid w:val="00D86C59"/>
    <w:rsid w:val="00D87107"/>
    <w:rsid w:val="00D87E6A"/>
    <w:rsid w:val="00D90CA1"/>
    <w:rsid w:val="00D91F1F"/>
    <w:rsid w:val="00D923ED"/>
    <w:rsid w:val="00D926EA"/>
    <w:rsid w:val="00D93710"/>
    <w:rsid w:val="00D93AB0"/>
    <w:rsid w:val="00D96D90"/>
    <w:rsid w:val="00DA0D9C"/>
    <w:rsid w:val="00DA27C5"/>
    <w:rsid w:val="00DA456C"/>
    <w:rsid w:val="00DB697A"/>
    <w:rsid w:val="00DC4BF9"/>
    <w:rsid w:val="00DC51D5"/>
    <w:rsid w:val="00DC5361"/>
    <w:rsid w:val="00DC5387"/>
    <w:rsid w:val="00DC64A7"/>
    <w:rsid w:val="00DC6712"/>
    <w:rsid w:val="00DC6A56"/>
    <w:rsid w:val="00DD0474"/>
    <w:rsid w:val="00DD4405"/>
    <w:rsid w:val="00DD45DF"/>
    <w:rsid w:val="00DE1B56"/>
    <w:rsid w:val="00DE1DAC"/>
    <w:rsid w:val="00DE2F6E"/>
    <w:rsid w:val="00DE3F78"/>
    <w:rsid w:val="00DE47C5"/>
    <w:rsid w:val="00DF0CCE"/>
    <w:rsid w:val="00DF1216"/>
    <w:rsid w:val="00DF2CA9"/>
    <w:rsid w:val="00DF3478"/>
    <w:rsid w:val="00DF389D"/>
    <w:rsid w:val="00DF67E4"/>
    <w:rsid w:val="00DF69EB"/>
    <w:rsid w:val="00E0073E"/>
    <w:rsid w:val="00E0199D"/>
    <w:rsid w:val="00E01A50"/>
    <w:rsid w:val="00E07069"/>
    <w:rsid w:val="00E070E0"/>
    <w:rsid w:val="00E07C19"/>
    <w:rsid w:val="00E13F5D"/>
    <w:rsid w:val="00E146F8"/>
    <w:rsid w:val="00E23C25"/>
    <w:rsid w:val="00E25B8B"/>
    <w:rsid w:val="00E26157"/>
    <w:rsid w:val="00E27FA2"/>
    <w:rsid w:val="00E31BB2"/>
    <w:rsid w:val="00E33D40"/>
    <w:rsid w:val="00E4190C"/>
    <w:rsid w:val="00E4377F"/>
    <w:rsid w:val="00E43C31"/>
    <w:rsid w:val="00E43ED1"/>
    <w:rsid w:val="00E46448"/>
    <w:rsid w:val="00E51FC1"/>
    <w:rsid w:val="00E5683E"/>
    <w:rsid w:val="00E6627F"/>
    <w:rsid w:val="00E67D61"/>
    <w:rsid w:val="00E71A39"/>
    <w:rsid w:val="00E732C3"/>
    <w:rsid w:val="00E80903"/>
    <w:rsid w:val="00E80FE6"/>
    <w:rsid w:val="00E855DD"/>
    <w:rsid w:val="00E86136"/>
    <w:rsid w:val="00E86CCB"/>
    <w:rsid w:val="00E93165"/>
    <w:rsid w:val="00E94D05"/>
    <w:rsid w:val="00EA016A"/>
    <w:rsid w:val="00EA4316"/>
    <w:rsid w:val="00EA5C8B"/>
    <w:rsid w:val="00EA7A3E"/>
    <w:rsid w:val="00EB4F4F"/>
    <w:rsid w:val="00EB4FBC"/>
    <w:rsid w:val="00EB5FA9"/>
    <w:rsid w:val="00EB77B5"/>
    <w:rsid w:val="00EC1D30"/>
    <w:rsid w:val="00EC6B3F"/>
    <w:rsid w:val="00EC7165"/>
    <w:rsid w:val="00EC722F"/>
    <w:rsid w:val="00EC7EAF"/>
    <w:rsid w:val="00ED0B01"/>
    <w:rsid w:val="00ED114D"/>
    <w:rsid w:val="00ED3219"/>
    <w:rsid w:val="00ED3F70"/>
    <w:rsid w:val="00ED4543"/>
    <w:rsid w:val="00ED63BF"/>
    <w:rsid w:val="00ED6DB3"/>
    <w:rsid w:val="00EE1654"/>
    <w:rsid w:val="00EE2A05"/>
    <w:rsid w:val="00EE4444"/>
    <w:rsid w:val="00EE6320"/>
    <w:rsid w:val="00EE6BA3"/>
    <w:rsid w:val="00EE7676"/>
    <w:rsid w:val="00EE7BCD"/>
    <w:rsid w:val="00EF117E"/>
    <w:rsid w:val="00EF2068"/>
    <w:rsid w:val="00EF39FC"/>
    <w:rsid w:val="00F044DC"/>
    <w:rsid w:val="00F05C12"/>
    <w:rsid w:val="00F06344"/>
    <w:rsid w:val="00F07C88"/>
    <w:rsid w:val="00F1123F"/>
    <w:rsid w:val="00F136A3"/>
    <w:rsid w:val="00F17F6C"/>
    <w:rsid w:val="00F20E83"/>
    <w:rsid w:val="00F237CB"/>
    <w:rsid w:val="00F23E0C"/>
    <w:rsid w:val="00F258CE"/>
    <w:rsid w:val="00F273C4"/>
    <w:rsid w:val="00F2782E"/>
    <w:rsid w:val="00F312FC"/>
    <w:rsid w:val="00F33525"/>
    <w:rsid w:val="00F33E34"/>
    <w:rsid w:val="00F3514F"/>
    <w:rsid w:val="00F36852"/>
    <w:rsid w:val="00F37D36"/>
    <w:rsid w:val="00F37D59"/>
    <w:rsid w:val="00F40197"/>
    <w:rsid w:val="00F40AF7"/>
    <w:rsid w:val="00F445AF"/>
    <w:rsid w:val="00F51296"/>
    <w:rsid w:val="00F5190C"/>
    <w:rsid w:val="00F5329D"/>
    <w:rsid w:val="00F53C01"/>
    <w:rsid w:val="00F54D21"/>
    <w:rsid w:val="00F56024"/>
    <w:rsid w:val="00F56978"/>
    <w:rsid w:val="00F64016"/>
    <w:rsid w:val="00F652DE"/>
    <w:rsid w:val="00F66676"/>
    <w:rsid w:val="00F70727"/>
    <w:rsid w:val="00F70DA4"/>
    <w:rsid w:val="00F74A4D"/>
    <w:rsid w:val="00F76C88"/>
    <w:rsid w:val="00F85860"/>
    <w:rsid w:val="00F86193"/>
    <w:rsid w:val="00F86525"/>
    <w:rsid w:val="00F867E8"/>
    <w:rsid w:val="00F86A40"/>
    <w:rsid w:val="00F86F6C"/>
    <w:rsid w:val="00F87CC9"/>
    <w:rsid w:val="00F90534"/>
    <w:rsid w:val="00F90BE7"/>
    <w:rsid w:val="00F917DB"/>
    <w:rsid w:val="00F922CB"/>
    <w:rsid w:val="00F927C7"/>
    <w:rsid w:val="00F946E7"/>
    <w:rsid w:val="00F94D9C"/>
    <w:rsid w:val="00F950C9"/>
    <w:rsid w:val="00F955B4"/>
    <w:rsid w:val="00F9646D"/>
    <w:rsid w:val="00FA10DA"/>
    <w:rsid w:val="00FA1B2E"/>
    <w:rsid w:val="00FA2D77"/>
    <w:rsid w:val="00FA6584"/>
    <w:rsid w:val="00FA7181"/>
    <w:rsid w:val="00FA7E6D"/>
    <w:rsid w:val="00FB03E5"/>
    <w:rsid w:val="00FB05D4"/>
    <w:rsid w:val="00FB086E"/>
    <w:rsid w:val="00FB341C"/>
    <w:rsid w:val="00FB3429"/>
    <w:rsid w:val="00FB4E6D"/>
    <w:rsid w:val="00FC0411"/>
    <w:rsid w:val="00FC197E"/>
    <w:rsid w:val="00FC1ED9"/>
    <w:rsid w:val="00FC6CDC"/>
    <w:rsid w:val="00FD0B53"/>
    <w:rsid w:val="00FD39C8"/>
    <w:rsid w:val="00FD3C9B"/>
    <w:rsid w:val="00FD693E"/>
    <w:rsid w:val="00FD7A68"/>
    <w:rsid w:val="00FE1852"/>
    <w:rsid w:val="00FE290A"/>
    <w:rsid w:val="00FE4E83"/>
    <w:rsid w:val="00FE5769"/>
    <w:rsid w:val="00FF3C8D"/>
    <w:rsid w:val="00FF429B"/>
    <w:rsid w:val="00FF5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2E6B"/>
  <w15:docId w15:val="{1FDBB7A7-0DB5-45CD-B2B3-1087CC7C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7CF"/>
  </w:style>
  <w:style w:type="paragraph" w:styleId="Heading1">
    <w:name w:val="heading 1"/>
    <w:basedOn w:val="Normal"/>
    <w:next w:val="Normal"/>
    <w:link w:val="Heading1Char"/>
    <w:uiPriority w:val="9"/>
    <w:qFormat/>
    <w:rsid w:val="002978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
    <w:basedOn w:val="Normal"/>
    <w:link w:val="ListParagraphChar"/>
    <w:uiPriority w:val="1"/>
    <w:qFormat/>
    <w:rsid w:val="00257C84"/>
    <w:pPr>
      <w:ind w:left="720"/>
      <w:contextualSpacing/>
    </w:pPr>
  </w:style>
  <w:style w:type="paragraph" w:styleId="BalloonText">
    <w:name w:val="Balloon Text"/>
    <w:basedOn w:val="Normal"/>
    <w:link w:val="BalloonTextChar"/>
    <w:uiPriority w:val="99"/>
    <w:semiHidden/>
    <w:unhideWhenUsed/>
    <w:rsid w:val="008B1A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B1A17"/>
    <w:rPr>
      <w:rFonts w:ascii="Tahoma" w:hAnsi="Tahoma" w:cs="Tahoma"/>
      <w:sz w:val="16"/>
      <w:szCs w:val="16"/>
    </w:rPr>
  </w:style>
  <w:style w:type="paragraph" w:styleId="Header">
    <w:name w:val="header"/>
    <w:basedOn w:val="Normal"/>
    <w:link w:val="HeaderChar"/>
    <w:uiPriority w:val="99"/>
    <w:unhideWhenUsed/>
    <w:rsid w:val="008B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17"/>
  </w:style>
  <w:style w:type="paragraph" w:styleId="Footer">
    <w:name w:val="footer"/>
    <w:basedOn w:val="Normal"/>
    <w:link w:val="FooterChar"/>
    <w:uiPriority w:val="99"/>
    <w:unhideWhenUsed/>
    <w:rsid w:val="008B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17"/>
  </w:style>
  <w:style w:type="character" w:styleId="CommentReference">
    <w:name w:val="annotation reference"/>
    <w:uiPriority w:val="99"/>
    <w:semiHidden/>
    <w:unhideWhenUsed/>
    <w:rsid w:val="00AF5483"/>
    <w:rPr>
      <w:sz w:val="16"/>
      <w:szCs w:val="16"/>
    </w:rPr>
  </w:style>
  <w:style w:type="paragraph" w:styleId="CommentText">
    <w:name w:val="annotation text"/>
    <w:basedOn w:val="Normal"/>
    <w:link w:val="CommentTextChar"/>
    <w:uiPriority w:val="99"/>
    <w:unhideWhenUsed/>
    <w:rsid w:val="00AF5483"/>
    <w:pPr>
      <w:spacing w:line="240" w:lineRule="auto"/>
    </w:pPr>
    <w:rPr>
      <w:sz w:val="20"/>
      <w:szCs w:val="20"/>
      <w:lang w:val="x-none" w:eastAsia="x-none"/>
    </w:rPr>
  </w:style>
  <w:style w:type="character" w:customStyle="1" w:styleId="CommentTextChar">
    <w:name w:val="Comment Text Char"/>
    <w:link w:val="CommentText"/>
    <w:uiPriority w:val="99"/>
    <w:rsid w:val="00AF5483"/>
    <w:rPr>
      <w:sz w:val="20"/>
      <w:szCs w:val="20"/>
    </w:rPr>
  </w:style>
  <w:style w:type="paragraph" w:styleId="CommentSubject">
    <w:name w:val="annotation subject"/>
    <w:basedOn w:val="CommentText"/>
    <w:next w:val="CommentText"/>
    <w:link w:val="CommentSubjectChar"/>
    <w:uiPriority w:val="99"/>
    <w:semiHidden/>
    <w:unhideWhenUsed/>
    <w:rsid w:val="00AF5483"/>
    <w:rPr>
      <w:b/>
      <w:bCs/>
    </w:rPr>
  </w:style>
  <w:style w:type="character" w:customStyle="1" w:styleId="CommentSubjectChar">
    <w:name w:val="Comment Subject Char"/>
    <w:link w:val="CommentSubject"/>
    <w:uiPriority w:val="99"/>
    <w:semiHidden/>
    <w:rsid w:val="00AF5483"/>
    <w:rPr>
      <w:b/>
      <w:bCs/>
      <w:sz w:val="20"/>
      <w:szCs w:val="20"/>
    </w:rPr>
  </w:style>
  <w:style w:type="paragraph" w:styleId="BodyText">
    <w:name w:val="Body Text"/>
    <w:aliases w:val=" Char Char Char,Char Char Char"/>
    <w:basedOn w:val="Normal"/>
    <w:link w:val="BodyTextChar"/>
    <w:rsid w:val="00DE7222"/>
    <w:pPr>
      <w:spacing w:after="0" w:line="240" w:lineRule="auto"/>
      <w:jc w:val="both"/>
    </w:pPr>
    <w:rPr>
      <w:rFonts w:ascii="Times New Roman" w:eastAsia="Times New Roman" w:hAnsi="Times New Roman"/>
      <w:sz w:val="24"/>
      <w:szCs w:val="24"/>
      <w:lang w:val="en-US" w:eastAsia="x-none"/>
    </w:rPr>
  </w:style>
  <w:style w:type="character" w:customStyle="1" w:styleId="BodyTextChar">
    <w:name w:val="Body Text Char"/>
    <w:aliases w:val=" Char Char Char Char,Char Char Char Char"/>
    <w:link w:val="BodyText"/>
    <w:rsid w:val="00DE7222"/>
    <w:rPr>
      <w:rFonts w:ascii="Times New Roman" w:eastAsia="Times New Roman" w:hAnsi="Times New Roman" w:cs="Times New Roman"/>
      <w:sz w:val="24"/>
      <w:szCs w:val="24"/>
      <w:lang w:val="en-US"/>
    </w:rPr>
  </w:style>
  <w:style w:type="character" w:customStyle="1" w:styleId="fontstyle01">
    <w:name w:val="fontstyle01"/>
    <w:rsid w:val="00435611"/>
    <w:rPr>
      <w:rFonts w:ascii="Bookman Old Style" w:hAnsi="Bookman Old Style" w:hint="default"/>
      <w:b w:val="0"/>
      <w:bCs w:val="0"/>
      <w:i w:val="0"/>
      <w:iCs w:val="0"/>
      <w:color w:val="000000"/>
      <w:sz w:val="24"/>
      <w:szCs w:val="24"/>
    </w:rPr>
  </w:style>
  <w:style w:type="table" w:styleId="TableGrid">
    <w:name w:val="Table Grid"/>
    <w:basedOn w:val="TableNormal"/>
    <w:uiPriority w:val="39"/>
    <w:rsid w:val="00EF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1374"/>
    <w:pPr>
      <w:autoSpaceDE w:val="0"/>
      <w:autoSpaceDN w:val="0"/>
      <w:adjustRightInd w:val="0"/>
    </w:pPr>
    <w:rPr>
      <w:rFonts w:ascii="Bookman Old Style" w:hAnsi="Bookman Old Style" w:cs="Bookman Old Style"/>
      <w:color w:val="000000"/>
      <w:sz w:val="24"/>
      <w:szCs w:val="24"/>
    </w:rPr>
  </w:style>
  <w:style w:type="character" w:styleId="PageNumber">
    <w:name w:val="page number"/>
    <w:basedOn w:val="DefaultParagraphFont"/>
    <w:semiHidden/>
    <w:rsid w:val="00E82A21"/>
  </w:style>
  <w:style w:type="paragraph" w:styleId="Caption">
    <w:name w:val="caption"/>
    <w:basedOn w:val="Normal"/>
    <w:next w:val="Normal"/>
    <w:uiPriority w:val="35"/>
    <w:unhideWhenUsed/>
    <w:qFormat/>
    <w:rsid w:val="00060630"/>
    <w:rPr>
      <w:b/>
      <w:bCs/>
      <w:sz w:val="20"/>
      <w:szCs w:val="20"/>
    </w:rPr>
  </w:style>
  <w:style w:type="character" w:customStyle="1" w:styleId="ListParagraphChar">
    <w:name w:val="List Paragraph Char"/>
    <w:aliases w:val="Bab Char,Colorful List - Accent 11 Char,Source Char,Level 3 Char,Atan Char,awal Char,List Paragraph2 Char,List Paragraph 1 Char,SLIKE Char,List Paragraph1 Char,Cell bullets Char,Noise heading Char,RUS List Char,Text Char,kepala Char"/>
    <w:link w:val="ListParagraph"/>
    <w:uiPriority w:val="34"/>
    <w:qFormat/>
    <w:rsid w:val="00AE370B"/>
    <w:rPr>
      <w:sz w:val="22"/>
      <w:szCs w:val="22"/>
      <w:lang w:val="id-ID" w:eastAsia="en-US"/>
    </w:rPr>
  </w:style>
  <w:style w:type="paragraph" w:styleId="NormalWeb">
    <w:name w:val="Normal (Web)"/>
    <w:basedOn w:val="Normal"/>
    <w:uiPriority w:val="99"/>
    <w:unhideWhenUsed/>
    <w:rsid w:val="00DA4CFB"/>
    <w:pPr>
      <w:spacing w:before="100" w:beforeAutospacing="1" w:after="100" w:afterAutospacing="1" w:line="240" w:lineRule="auto"/>
    </w:pPr>
    <w:rPr>
      <w:rFonts w:ascii="Times New Roman" w:eastAsia="Times New Roman" w:hAnsi="Times New Roman"/>
      <w:sz w:val="24"/>
      <w:szCs w:val="24"/>
      <w:lang w:val="en-ID"/>
    </w:rPr>
  </w:style>
  <w:style w:type="character" w:customStyle="1" w:styleId="Heading1Char">
    <w:name w:val="Heading 1 Char"/>
    <w:link w:val="Heading1"/>
    <w:uiPriority w:val="9"/>
    <w:rsid w:val="002978E6"/>
    <w:rPr>
      <w:rFonts w:ascii="Calibri Light" w:eastAsia="Times New Roman" w:hAnsi="Calibri Light"/>
      <w:b/>
      <w:bCs/>
      <w:kern w:val="32"/>
      <w:sz w:val="32"/>
      <w:szCs w:val="32"/>
      <w:lang w:val="id-ID"/>
    </w:rPr>
  </w:style>
  <w:style w:type="paragraph" w:styleId="PlainText">
    <w:name w:val="Plain Text"/>
    <w:basedOn w:val="Normal"/>
    <w:link w:val="PlainTextChar"/>
    <w:uiPriority w:val="99"/>
    <w:rsid w:val="00E6148C"/>
    <w:pPr>
      <w:spacing w:after="0" w:line="240" w:lineRule="auto"/>
    </w:pPr>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E6148C"/>
    <w:rPr>
      <w:rFonts w:ascii="Courier New" w:eastAsia="Times New Roman" w:hAnsi="Courier New" w:cs="Courier New"/>
      <w:lang w:val="sv-S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s6">
    <w:name w:val="s6"/>
    <w:basedOn w:val="DefaultParagraphFont"/>
    <w:rsid w:val="00A93672"/>
  </w:style>
  <w:style w:type="character" w:customStyle="1" w:styleId="apple-converted-space">
    <w:name w:val="apple-converted-space"/>
    <w:basedOn w:val="DefaultParagraphFont"/>
    <w:rsid w:val="00A93672"/>
  </w:style>
  <w:style w:type="character" w:customStyle="1" w:styleId="apple-tab-span">
    <w:name w:val="apple-tab-span"/>
    <w:basedOn w:val="DefaultParagraphFont"/>
    <w:rsid w:val="002350C0"/>
  </w:style>
  <w:style w:type="character" w:customStyle="1" w:styleId="fontstyle21">
    <w:name w:val="fontstyle21"/>
    <w:basedOn w:val="DefaultParagraphFont"/>
    <w:rsid w:val="00B03AEA"/>
    <w:rPr>
      <w:rFonts w:ascii="Bookman Old Style" w:hAnsi="Bookman Old Style" w:hint="default"/>
      <w:b/>
      <w:bCs/>
      <w:i w:val="0"/>
      <w:iCs w:val="0"/>
      <w:color w:val="000000"/>
      <w:sz w:val="24"/>
      <w:szCs w:val="24"/>
    </w:rPr>
  </w:style>
  <w:style w:type="character" w:customStyle="1" w:styleId="Heading2Char">
    <w:name w:val="Heading 2 Char"/>
    <w:basedOn w:val="DefaultParagraphFont"/>
    <w:link w:val="Heading2"/>
    <w:uiPriority w:val="9"/>
    <w:rsid w:val="00D3094F"/>
    <w:rPr>
      <w:b/>
      <w:sz w:val="36"/>
      <w:szCs w:val="36"/>
    </w:rPr>
  </w:style>
  <w:style w:type="paragraph" w:customStyle="1" w:styleId="TableParagraph">
    <w:name w:val="Table Paragraph"/>
    <w:basedOn w:val="Normal"/>
    <w:uiPriority w:val="1"/>
    <w:qFormat/>
    <w:rsid w:val="00A22891"/>
    <w:pPr>
      <w:widowControl w:val="0"/>
      <w:autoSpaceDE w:val="0"/>
      <w:autoSpaceDN w:val="0"/>
      <w:spacing w:after="0" w:line="240" w:lineRule="auto"/>
    </w:pPr>
    <w:rPr>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580">
      <w:bodyDiv w:val="1"/>
      <w:marLeft w:val="0"/>
      <w:marRight w:val="0"/>
      <w:marTop w:val="0"/>
      <w:marBottom w:val="0"/>
      <w:divBdr>
        <w:top w:val="none" w:sz="0" w:space="0" w:color="auto"/>
        <w:left w:val="none" w:sz="0" w:space="0" w:color="auto"/>
        <w:bottom w:val="none" w:sz="0" w:space="0" w:color="auto"/>
        <w:right w:val="none" w:sz="0" w:space="0" w:color="auto"/>
      </w:divBdr>
      <w:divsChild>
        <w:div w:id="1614706122">
          <w:marLeft w:val="0"/>
          <w:marRight w:val="0"/>
          <w:marTop w:val="0"/>
          <w:marBottom w:val="0"/>
          <w:divBdr>
            <w:top w:val="none" w:sz="0" w:space="0" w:color="auto"/>
            <w:left w:val="none" w:sz="0" w:space="0" w:color="auto"/>
            <w:bottom w:val="none" w:sz="0" w:space="0" w:color="auto"/>
            <w:right w:val="none" w:sz="0" w:space="0" w:color="auto"/>
          </w:divBdr>
          <w:divsChild>
            <w:div w:id="300383250">
              <w:marLeft w:val="0"/>
              <w:marRight w:val="0"/>
              <w:marTop w:val="0"/>
              <w:marBottom w:val="0"/>
              <w:divBdr>
                <w:top w:val="none" w:sz="0" w:space="0" w:color="auto"/>
                <w:left w:val="none" w:sz="0" w:space="0" w:color="auto"/>
                <w:bottom w:val="none" w:sz="0" w:space="0" w:color="auto"/>
                <w:right w:val="none" w:sz="0" w:space="0" w:color="auto"/>
              </w:divBdr>
              <w:divsChild>
                <w:div w:id="20066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7066">
      <w:bodyDiv w:val="1"/>
      <w:marLeft w:val="0"/>
      <w:marRight w:val="0"/>
      <w:marTop w:val="0"/>
      <w:marBottom w:val="0"/>
      <w:divBdr>
        <w:top w:val="none" w:sz="0" w:space="0" w:color="auto"/>
        <w:left w:val="none" w:sz="0" w:space="0" w:color="auto"/>
        <w:bottom w:val="none" w:sz="0" w:space="0" w:color="auto"/>
        <w:right w:val="none" w:sz="0" w:space="0" w:color="auto"/>
      </w:divBdr>
      <w:divsChild>
        <w:div w:id="1877767666">
          <w:marLeft w:val="0"/>
          <w:marRight w:val="0"/>
          <w:marTop w:val="0"/>
          <w:marBottom w:val="0"/>
          <w:divBdr>
            <w:top w:val="none" w:sz="0" w:space="0" w:color="auto"/>
            <w:left w:val="none" w:sz="0" w:space="0" w:color="auto"/>
            <w:bottom w:val="none" w:sz="0" w:space="0" w:color="auto"/>
            <w:right w:val="none" w:sz="0" w:space="0" w:color="auto"/>
          </w:divBdr>
          <w:divsChild>
            <w:div w:id="1543977434">
              <w:marLeft w:val="0"/>
              <w:marRight w:val="0"/>
              <w:marTop w:val="0"/>
              <w:marBottom w:val="0"/>
              <w:divBdr>
                <w:top w:val="none" w:sz="0" w:space="0" w:color="auto"/>
                <w:left w:val="none" w:sz="0" w:space="0" w:color="auto"/>
                <w:bottom w:val="none" w:sz="0" w:space="0" w:color="auto"/>
                <w:right w:val="none" w:sz="0" w:space="0" w:color="auto"/>
              </w:divBdr>
              <w:divsChild>
                <w:div w:id="11873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1787">
      <w:bodyDiv w:val="1"/>
      <w:marLeft w:val="0"/>
      <w:marRight w:val="0"/>
      <w:marTop w:val="0"/>
      <w:marBottom w:val="0"/>
      <w:divBdr>
        <w:top w:val="none" w:sz="0" w:space="0" w:color="auto"/>
        <w:left w:val="none" w:sz="0" w:space="0" w:color="auto"/>
        <w:bottom w:val="none" w:sz="0" w:space="0" w:color="auto"/>
        <w:right w:val="none" w:sz="0" w:space="0" w:color="auto"/>
      </w:divBdr>
    </w:div>
    <w:div w:id="62334788">
      <w:bodyDiv w:val="1"/>
      <w:marLeft w:val="0"/>
      <w:marRight w:val="0"/>
      <w:marTop w:val="0"/>
      <w:marBottom w:val="0"/>
      <w:divBdr>
        <w:top w:val="none" w:sz="0" w:space="0" w:color="auto"/>
        <w:left w:val="none" w:sz="0" w:space="0" w:color="auto"/>
        <w:bottom w:val="none" w:sz="0" w:space="0" w:color="auto"/>
        <w:right w:val="none" w:sz="0" w:space="0" w:color="auto"/>
      </w:divBdr>
    </w:div>
    <w:div w:id="65301527">
      <w:bodyDiv w:val="1"/>
      <w:marLeft w:val="0"/>
      <w:marRight w:val="0"/>
      <w:marTop w:val="0"/>
      <w:marBottom w:val="0"/>
      <w:divBdr>
        <w:top w:val="none" w:sz="0" w:space="0" w:color="auto"/>
        <w:left w:val="none" w:sz="0" w:space="0" w:color="auto"/>
        <w:bottom w:val="none" w:sz="0" w:space="0" w:color="auto"/>
        <w:right w:val="none" w:sz="0" w:space="0" w:color="auto"/>
      </w:divBdr>
      <w:divsChild>
        <w:div w:id="298649364">
          <w:marLeft w:val="0"/>
          <w:marRight w:val="0"/>
          <w:marTop w:val="0"/>
          <w:marBottom w:val="0"/>
          <w:divBdr>
            <w:top w:val="none" w:sz="0" w:space="0" w:color="auto"/>
            <w:left w:val="none" w:sz="0" w:space="0" w:color="auto"/>
            <w:bottom w:val="none" w:sz="0" w:space="0" w:color="auto"/>
            <w:right w:val="none" w:sz="0" w:space="0" w:color="auto"/>
          </w:divBdr>
          <w:divsChild>
            <w:div w:id="1738019298">
              <w:marLeft w:val="0"/>
              <w:marRight w:val="0"/>
              <w:marTop w:val="0"/>
              <w:marBottom w:val="0"/>
              <w:divBdr>
                <w:top w:val="none" w:sz="0" w:space="0" w:color="auto"/>
                <w:left w:val="none" w:sz="0" w:space="0" w:color="auto"/>
                <w:bottom w:val="none" w:sz="0" w:space="0" w:color="auto"/>
                <w:right w:val="none" w:sz="0" w:space="0" w:color="auto"/>
              </w:divBdr>
              <w:divsChild>
                <w:div w:id="10932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6536">
      <w:bodyDiv w:val="1"/>
      <w:marLeft w:val="0"/>
      <w:marRight w:val="0"/>
      <w:marTop w:val="0"/>
      <w:marBottom w:val="0"/>
      <w:divBdr>
        <w:top w:val="none" w:sz="0" w:space="0" w:color="auto"/>
        <w:left w:val="none" w:sz="0" w:space="0" w:color="auto"/>
        <w:bottom w:val="none" w:sz="0" w:space="0" w:color="auto"/>
        <w:right w:val="none" w:sz="0" w:space="0" w:color="auto"/>
      </w:divBdr>
      <w:divsChild>
        <w:div w:id="1629585253">
          <w:marLeft w:val="0"/>
          <w:marRight w:val="0"/>
          <w:marTop w:val="0"/>
          <w:marBottom w:val="0"/>
          <w:divBdr>
            <w:top w:val="none" w:sz="0" w:space="0" w:color="auto"/>
            <w:left w:val="none" w:sz="0" w:space="0" w:color="auto"/>
            <w:bottom w:val="none" w:sz="0" w:space="0" w:color="auto"/>
            <w:right w:val="none" w:sz="0" w:space="0" w:color="auto"/>
          </w:divBdr>
          <w:divsChild>
            <w:div w:id="211112801">
              <w:marLeft w:val="0"/>
              <w:marRight w:val="0"/>
              <w:marTop w:val="0"/>
              <w:marBottom w:val="0"/>
              <w:divBdr>
                <w:top w:val="none" w:sz="0" w:space="0" w:color="auto"/>
                <w:left w:val="none" w:sz="0" w:space="0" w:color="auto"/>
                <w:bottom w:val="none" w:sz="0" w:space="0" w:color="auto"/>
                <w:right w:val="none" w:sz="0" w:space="0" w:color="auto"/>
              </w:divBdr>
              <w:divsChild>
                <w:div w:id="7884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5059">
      <w:bodyDiv w:val="1"/>
      <w:marLeft w:val="0"/>
      <w:marRight w:val="0"/>
      <w:marTop w:val="0"/>
      <w:marBottom w:val="0"/>
      <w:divBdr>
        <w:top w:val="none" w:sz="0" w:space="0" w:color="auto"/>
        <w:left w:val="none" w:sz="0" w:space="0" w:color="auto"/>
        <w:bottom w:val="none" w:sz="0" w:space="0" w:color="auto"/>
        <w:right w:val="none" w:sz="0" w:space="0" w:color="auto"/>
      </w:divBdr>
    </w:div>
    <w:div w:id="95295068">
      <w:bodyDiv w:val="1"/>
      <w:marLeft w:val="0"/>
      <w:marRight w:val="0"/>
      <w:marTop w:val="0"/>
      <w:marBottom w:val="0"/>
      <w:divBdr>
        <w:top w:val="none" w:sz="0" w:space="0" w:color="auto"/>
        <w:left w:val="none" w:sz="0" w:space="0" w:color="auto"/>
        <w:bottom w:val="none" w:sz="0" w:space="0" w:color="auto"/>
        <w:right w:val="none" w:sz="0" w:space="0" w:color="auto"/>
      </w:divBdr>
    </w:div>
    <w:div w:id="100809689">
      <w:bodyDiv w:val="1"/>
      <w:marLeft w:val="0"/>
      <w:marRight w:val="0"/>
      <w:marTop w:val="0"/>
      <w:marBottom w:val="0"/>
      <w:divBdr>
        <w:top w:val="none" w:sz="0" w:space="0" w:color="auto"/>
        <w:left w:val="none" w:sz="0" w:space="0" w:color="auto"/>
        <w:bottom w:val="none" w:sz="0" w:space="0" w:color="auto"/>
        <w:right w:val="none" w:sz="0" w:space="0" w:color="auto"/>
      </w:divBdr>
      <w:divsChild>
        <w:div w:id="961033003">
          <w:marLeft w:val="0"/>
          <w:marRight w:val="0"/>
          <w:marTop w:val="0"/>
          <w:marBottom w:val="0"/>
          <w:divBdr>
            <w:top w:val="none" w:sz="0" w:space="0" w:color="auto"/>
            <w:left w:val="none" w:sz="0" w:space="0" w:color="auto"/>
            <w:bottom w:val="none" w:sz="0" w:space="0" w:color="auto"/>
            <w:right w:val="none" w:sz="0" w:space="0" w:color="auto"/>
          </w:divBdr>
          <w:divsChild>
            <w:div w:id="415447416">
              <w:marLeft w:val="0"/>
              <w:marRight w:val="0"/>
              <w:marTop w:val="0"/>
              <w:marBottom w:val="0"/>
              <w:divBdr>
                <w:top w:val="none" w:sz="0" w:space="0" w:color="auto"/>
                <w:left w:val="none" w:sz="0" w:space="0" w:color="auto"/>
                <w:bottom w:val="none" w:sz="0" w:space="0" w:color="auto"/>
                <w:right w:val="none" w:sz="0" w:space="0" w:color="auto"/>
              </w:divBdr>
              <w:divsChild>
                <w:div w:id="333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5549">
      <w:bodyDiv w:val="1"/>
      <w:marLeft w:val="0"/>
      <w:marRight w:val="0"/>
      <w:marTop w:val="0"/>
      <w:marBottom w:val="0"/>
      <w:divBdr>
        <w:top w:val="none" w:sz="0" w:space="0" w:color="auto"/>
        <w:left w:val="none" w:sz="0" w:space="0" w:color="auto"/>
        <w:bottom w:val="none" w:sz="0" w:space="0" w:color="auto"/>
        <w:right w:val="none" w:sz="0" w:space="0" w:color="auto"/>
      </w:divBdr>
      <w:divsChild>
        <w:div w:id="1959872040">
          <w:marLeft w:val="0"/>
          <w:marRight w:val="0"/>
          <w:marTop w:val="0"/>
          <w:marBottom w:val="0"/>
          <w:divBdr>
            <w:top w:val="none" w:sz="0" w:space="0" w:color="auto"/>
            <w:left w:val="none" w:sz="0" w:space="0" w:color="auto"/>
            <w:bottom w:val="none" w:sz="0" w:space="0" w:color="auto"/>
            <w:right w:val="none" w:sz="0" w:space="0" w:color="auto"/>
          </w:divBdr>
          <w:divsChild>
            <w:div w:id="2127580482">
              <w:marLeft w:val="0"/>
              <w:marRight w:val="0"/>
              <w:marTop w:val="0"/>
              <w:marBottom w:val="0"/>
              <w:divBdr>
                <w:top w:val="none" w:sz="0" w:space="0" w:color="auto"/>
                <w:left w:val="none" w:sz="0" w:space="0" w:color="auto"/>
                <w:bottom w:val="none" w:sz="0" w:space="0" w:color="auto"/>
                <w:right w:val="none" w:sz="0" w:space="0" w:color="auto"/>
              </w:divBdr>
              <w:divsChild>
                <w:div w:id="18455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9738">
      <w:bodyDiv w:val="1"/>
      <w:marLeft w:val="0"/>
      <w:marRight w:val="0"/>
      <w:marTop w:val="0"/>
      <w:marBottom w:val="0"/>
      <w:divBdr>
        <w:top w:val="none" w:sz="0" w:space="0" w:color="auto"/>
        <w:left w:val="none" w:sz="0" w:space="0" w:color="auto"/>
        <w:bottom w:val="none" w:sz="0" w:space="0" w:color="auto"/>
        <w:right w:val="none" w:sz="0" w:space="0" w:color="auto"/>
      </w:divBdr>
      <w:divsChild>
        <w:div w:id="220871024">
          <w:marLeft w:val="0"/>
          <w:marRight w:val="0"/>
          <w:marTop w:val="0"/>
          <w:marBottom w:val="0"/>
          <w:divBdr>
            <w:top w:val="none" w:sz="0" w:space="0" w:color="auto"/>
            <w:left w:val="none" w:sz="0" w:space="0" w:color="auto"/>
            <w:bottom w:val="none" w:sz="0" w:space="0" w:color="auto"/>
            <w:right w:val="none" w:sz="0" w:space="0" w:color="auto"/>
          </w:divBdr>
          <w:divsChild>
            <w:div w:id="1593053439">
              <w:marLeft w:val="0"/>
              <w:marRight w:val="0"/>
              <w:marTop w:val="0"/>
              <w:marBottom w:val="0"/>
              <w:divBdr>
                <w:top w:val="none" w:sz="0" w:space="0" w:color="auto"/>
                <w:left w:val="none" w:sz="0" w:space="0" w:color="auto"/>
                <w:bottom w:val="none" w:sz="0" w:space="0" w:color="auto"/>
                <w:right w:val="none" w:sz="0" w:space="0" w:color="auto"/>
              </w:divBdr>
              <w:divsChild>
                <w:div w:id="851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7269">
      <w:bodyDiv w:val="1"/>
      <w:marLeft w:val="0"/>
      <w:marRight w:val="0"/>
      <w:marTop w:val="0"/>
      <w:marBottom w:val="0"/>
      <w:divBdr>
        <w:top w:val="none" w:sz="0" w:space="0" w:color="auto"/>
        <w:left w:val="none" w:sz="0" w:space="0" w:color="auto"/>
        <w:bottom w:val="none" w:sz="0" w:space="0" w:color="auto"/>
        <w:right w:val="none" w:sz="0" w:space="0" w:color="auto"/>
      </w:divBdr>
      <w:divsChild>
        <w:div w:id="1087069874">
          <w:marLeft w:val="0"/>
          <w:marRight w:val="0"/>
          <w:marTop w:val="0"/>
          <w:marBottom w:val="0"/>
          <w:divBdr>
            <w:top w:val="none" w:sz="0" w:space="0" w:color="auto"/>
            <w:left w:val="none" w:sz="0" w:space="0" w:color="auto"/>
            <w:bottom w:val="none" w:sz="0" w:space="0" w:color="auto"/>
            <w:right w:val="none" w:sz="0" w:space="0" w:color="auto"/>
          </w:divBdr>
          <w:divsChild>
            <w:div w:id="1946694801">
              <w:marLeft w:val="0"/>
              <w:marRight w:val="0"/>
              <w:marTop w:val="0"/>
              <w:marBottom w:val="0"/>
              <w:divBdr>
                <w:top w:val="none" w:sz="0" w:space="0" w:color="auto"/>
                <w:left w:val="none" w:sz="0" w:space="0" w:color="auto"/>
                <w:bottom w:val="none" w:sz="0" w:space="0" w:color="auto"/>
                <w:right w:val="none" w:sz="0" w:space="0" w:color="auto"/>
              </w:divBdr>
              <w:divsChild>
                <w:div w:id="1457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678">
      <w:bodyDiv w:val="1"/>
      <w:marLeft w:val="0"/>
      <w:marRight w:val="0"/>
      <w:marTop w:val="0"/>
      <w:marBottom w:val="0"/>
      <w:divBdr>
        <w:top w:val="none" w:sz="0" w:space="0" w:color="auto"/>
        <w:left w:val="none" w:sz="0" w:space="0" w:color="auto"/>
        <w:bottom w:val="none" w:sz="0" w:space="0" w:color="auto"/>
        <w:right w:val="none" w:sz="0" w:space="0" w:color="auto"/>
      </w:divBdr>
    </w:div>
    <w:div w:id="185606909">
      <w:bodyDiv w:val="1"/>
      <w:marLeft w:val="0"/>
      <w:marRight w:val="0"/>
      <w:marTop w:val="0"/>
      <w:marBottom w:val="0"/>
      <w:divBdr>
        <w:top w:val="none" w:sz="0" w:space="0" w:color="auto"/>
        <w:left w:val="none" w:sz="0" w:space="0" w:color="auto"/>
        <w:bottom w:val="none" w:sz="0" w:space="0" w:color="auto"/>
        <w:right w:val="none" w:sz="0" w:space="0" w:color="auto"/>
      </w:divBdr>
      <w:divsChild>
        <w:div w:id="1966236242">
          <w:marLeft w:val="0"/>
          <w:marRight w:val="0"/>
          <w:marTop w:val="0"/>
          <w:marBottom w:val="0"/>
          <w:divBdr>
            <w:top w:val="none" w:sz="0" w:space="0" w:color="auto"/>
            <w:left w:val="none" w:sz="0" w:space="0" w:color="auto"/>
            <w:bottom w:val="none" w:sz="0" w:space="0" w:color="auto"/>
            <w:right w:val="none" w:sz="0" w:space="0" w:color="auto"/>
          </w:divBdr>
          <w:divsChild>
            <w:div w:id="1379085892">
              <w:marLeft w:val="0"/>
              <w:marRight w:val="0"/>
              <w:marTop w:val="0"/>
              <w:marBottom w:val="0"/>
              <w:divBdr>
                <w:top w:val="none" w:sz="0" w:space="0" w:color="auto"/>
                <w:left w:val="none" w:sz="0" w:space="0" w:color="auto"/>
                <w:bottom w:val="none" w:sz="0" w:space="0" w:color="auto"/>
                <w:right w:val="none" w:sz="0" w:space="0" w:color="auto"/>
              </w:divBdr>
              <w:divsChild>
                <w:div w:id="10458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854">
      <w:bodyDiv w:val="1"/>
      <w:marLeft w:val="0"/>
      <w:marRight w:val="0"/>
      <w:marTop w:val="0"/>
      <w:marBottom w:val="0"/>
      <w:divBdr>
        <w:top w:val="none" w:sz="0" w:space="0" w:color="auto"/>
        <w:left w:val="none" w:sz="0" w:space="0" w:color="auto"/>
        <w:bottom w:val="none" w:sz="0" w:space="0" w:color="auto"/>
        <w:right w:val="none" w:sz="0" w:space="0" w:color="auto"/>
      </w:divBdr>
    </w:div>
    <w:div w:id="196936693">
      <w:bodyDiv w:val="1"/>
      <w:marLeft w:val="0"/>
      <w:marRight w:val="0"/>
      <w:marTop w:val="0"/>
      <w:marBottom w:val="0"/>
      <w:divBdr>
        <w:top w:val="none" w:sz="0" w:space="0" w:color="auto"/>
        <w:left w:val="none" w:sz="0" w:space="0" w:color="auto"/>
        <w:bottom w:val="none" w:sz="0" w:space="0" w:color="auto"/>
        <w:right w:val="none" w:sz="0" w:space="0" w:color="auto"/>
      </w:divBdr>
    </w:div>
    <w:div w:id="214968243">
      <w:bodyDiv w:val="1"/>
      <w:marLeft w:val="0"/>
      <w:marRight w:val="0"/>
      <w:marTop w:val="0"/>
      <w:marBottom w:val="0"/>
      <w:divBdr>
        <w:top w:val="none" w:sz="0" w:space="0" w:color="auto"/>
        <w:left w:val="none" w:sz="0" w:space="0" w:color="auto"/>
        <w:bottom w:val="none" w:sz="0" w:space="0" w:color="auto"/>
        <w:right w:val="none" w:sz="0" w:space="0" w:color="auto"/>
      </w:divBdr>
    </w:div>
    <w:div w:id="220478849">
      <w:bodyDiv w:val="1"/>
      <w:marLeft w:val="0"/>
      <w:marRight w:val="0"/>
      <w:marTop w:val="0"/>
      <w:marBottom w:val="0"/>
      <w:divBdr>
        <w:top w:val="none" w:sz="0" w:space="0" w:color="auto"/>
        <w:left w:val="none" w:sz="0" w:space="0" w:color="auto"/>
        <w:bottom w:val="none" w:sz="0" w:space="0" w:color="auto"/>
        <w:right w:val="none" w:sz="0" w:space="0" w:color="auto"/>
      </w:divBdr>
    </w:div>
    <w:div w:id="237371986">
      <w:bodyDiv w:val="1"/>
      <w:marLeft w:val="0"/>
      <w:marRight w:val="0"/>
      <w:marTop w:val="0"/>
      <w:marBottom w:val="0"/>
      <w:divBdr>
        <w:top w:val="none" w:sz="0" w:space="0" w:color="auto"/>
        <w:left w:val="none" w:sz="0" w:space="0" w:color="auto"/>
        <w:bottom w:val="none" w:sz="0" w:space="0" w:color="auto"/>
        <w:right w:val="none" w:sz="0" w:space="0" w:color="auto"/>
      </w:divBdr>
      <w:divsChild>
        <w:div w:id="1958557647">
          <w:marLeft w:val="0"/>
          <w:marRight w:val="0"/>
          <w:marTop w:val="0"/>
          <w:marBottom w:val="0"/>
          <w:divBdr>
            <w:top w:val="none" w:sz="0" w:space="0" w:color="auto"/>
            <w:left w:val="none" w:sz="0" w:space="0" w:color="auto"/>
            <w:bottom w:val="none" w:sz="0" w:space="0" w:color="auto"/>
            <w:right w:val="none" w:sz="0" w:space="0" w:color="auto"/>
          </w:divBdr>
          <w:divsChild>
            <w:div w:id="1292396971">
              <w:marLeft w:val="0"/>
              <w:marRight w:val="0"/>
              <w:marTop w:val="0"/>
              <w:marBottom w:val="0"/>
              <w:divBdr>
                <w:top w:val="none" w:sz="0" w:space="0" w:color="auto"/>
                <w:left w:val="none" w:sz="0" w:space="0" w:color="auto"/>
                <w:bottom w:val="none" w:sz="0" w:space="0" w:color="auto"/>
                <w:right w:val="none" w:sz="0" w:space="0" w:color="auto"/>
              </w:divBdr>
              <w:divsChild>
                <w:div w:id="2026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26826">
      <w:bodyDiv w:val="1"/>
      <w:marLeft w:val="0"/>
      <w:marRight w:val="0"/>
      <w:marTop w:val="0"/>
      <w:marBottom w:val="0"/>
      <w:divBdr>
        <w:top w:val="none" w:sz="0" w:space="0" w:color="auto"/>
        <w:left w:val="none" w:sz="0" w:space="0" w:color="auto"/>
        <w:bottom w:val="none" w:sz="0" w:space="0" w:color="auto"/>
        <w:right w:val="none" w:sz="0" w:space="0" w:color="auto"/>
      </w:divBdr>
    </w:div>
    <w:div w:id="306513880">
      <w:bodyDiv w:val="1"/>
      <w:marLeft w:val="0"/>
      <w:marRight w:val="0"/>
      <w:marTop w:val="0"/>
      <w:marBottom w:val="0"/>
      <w:divBdr>
        <w:top w:val="none" w:sz="0" w:space="0" w:color="auto"/>
        <w:left w:val="none" w:sz="0" w:space="0" w:color="auto"/>
        <w:bottom w:val="none" w:sz="0" w:space="0" w:color="auto"/>
        <w:right w:val="none" w:sz="0" w:space="0" w:color="auto"/>
      </w:divBdr>
      <w:divsChild>
        <w:div w:id="1141121090">
          <w:marLeft w:val="0"/>
          <w:marRight w:val="0"/>
          <w:marTop w:val="0"/>
          <w:marBottom w:val="0"/>
          <w:divBdr>
            <w:top w:val="none" w:sz="0" w:space="0" w:color="auto"/>
            <w:left w:val="none" w:sz="0" w:space="0" w:color="auto"/>
            <w:bottom w:val="none" w:sz="0" w:space="0" w:color="auto"/>
            <w:right w:val="none" w:sz="0" w:space="0" w:color="auto"/>
          </w:divBdr>
          <w:divsChild>
            <w:div w:id="1248467201">
              <w:marLeft w:val="0"/>
              <w:marRight w:val="0"/>
              <w:marTop w:val="0"/>
              <w:marBottom w:val="0"/>
              <w:divBdr>
                <w:top w:val="none" w:sz="0" w:space="0" w:color="auto"/>
                <w:left w:val="none" w:sz="0" w:space="0" w:color="auto"/>
                <w:bottom w:val="none" w:sz="0" w:space="0" w:color="auto"/>
                <w:right w:val="none" w:sz="0" w:space="0" w:color="auto"/>
              </w:divBdr>
              <w:divsChild>
                <w:div w:id="17750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4721">
      <w:bodyDiv w:val="1"/>
      <w:marLeft w:val="0"/>
      <w:marRight w:val="0"/>
      <w:marTop w:val="0"/>
      <w:marBottom w:val="0"/>
      <w:divBdr>
        <w:top w:val="none" w:sz="0" w:space="0" w:color="auto"/>
        <w:left w:val="none" w:sz="0" w:space="0" w:color="auto"/>
        <w:bottom w:val="none" w:sz="0" w:space="0" w:color="auto"/>
        <w:right w:val="none" w:sz="0" w:space="0" w:color="auto"/>
      </w:divBdr>
      <w:divsChild>
        <w:div w:id="349338406">
          <w:marLeft w:val="0"/>
          <w:marRight w:val="0"/>
          <w:marTop w:val="0"/>
          <w:marBottom w:val="0"/>
          <w:divBdr>
            <w:top w:val="none" w:sz="0" w:space="0" w:color="auto"/>
            <w:left w:val="none" w:sz="0" w:space="0" w:color="auto"/>
            <w:bottom w:val="none" w:sz="0" w:space="0" w:color="auto"/>
            <w:right w:val="none" w:sz="0" w:space="0" w:color="auto"/>
          </w:divBdr>
          <w:divsChild>
            <w:div w:id="388383365">
              <w:marLeft w:val="0"/>
              <w:marRight w:val="0"/>
              <w:marTop w:val="0"/>
              <w:marBottom w:val="0"/>
              <w:divBdr>
                <w:top w:val="none" w:sz="0" w:space="0" w:color="auto"/>
                <w:left w:val="none" w:sz="0" w:space="0" w:color="auto"/>
                <w:bottom w:val="none" w:sz="0" w:space="0" w:color="auto"/>
                <w:right w:val="none" w:sz="0" w:space="0" w:color="auto"/>
              </w:divBdr>
              <w:divsChild>
                <w:div w:id="17828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4679">
      <w:bodyDiv w:val="1"/>
      <w:marLeft w:val="0"/>
      <w:marRight w:val="0"/>
      <w:marTop w:val="0"/>
      <w:marBottom w:val="0"/>
      <w:divBdr>
        <w:top w:val="none" w:sz="0" w:space="0" w:color="auto"/>
        <w:left w:val="none" w:sz="0" w:space="0" w:color="auto"/>
        <w:bottom w:val="none" w:sz="0" w:space="0" w:color="auto"/>
        <w:right w:val="none" w:sz="0" w:space="0" w:color="auto"/>
      </w:divBdr>
      <w:divsChild>
        <w:div w:id="76680450">
          <w:marLeft w:val="0"/>
          <w:marRight w:val="0"/>
          <w:marTop w:val="0"/>
          <w:marBottom w:val="0"/>
          <w:divBdr>
            <w:top w:val="none" w:sz="0" w:space="0" w:color="auto"/>
            <w:left w:val="none" w:sz="0" w:space="0" w:color="auto"/>
            <w:bottom w:val="none" w:sz="0" w:space="0" w:color="auto"/>
            <w:right w:val="none" w:sz="0" w:space="0" w:color="auto"/>
          </w:divBdr>
          <w:divsChild>
            <w:div w:id="1641837523">
              <w:marLeft w:val="0"/>
              <w:marRight w:val="0"/>
              <w:marTop w:val="0"/>
              <w:marBottom w:val="0"/>
              <w:divBdr>
                <w:top w:val="none" w:sz="0" w:space="0" w:color="auto"/>
                <w:left w:val="none" w:sz="0" w:space="0" w:color="auto"/>
                <w:bottom w:val="none" w:sz="0" w:space="0" w:color="auto"/>
                <w:right w:val="none" w:sz="0" w:space="0" w:color="auto"/>
              </w:divBdr>
              <w:divsChild>
                <w:div w:id="1620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8439">
      <w:bodyDiv w:val="1"/>
      <w:marLeft w:val="0"/>
      <w:marRight w:val="0"/>
      <w:marTop w:val="0"/>
      <w:marBottom w:val="0"/>
      <w:divBdr>
        <w:top w:val="none" w:sz="0" w:space="0" w:color="auto"/>
        <w:left w:val="none" w:sz="0" w:space="0" w:color="auto"/>
        <w:bottom w:val="none" w:sz="0" w:space="0" w:color="auto"/>
        <w:right w:val="none" w:sz="0" w:space="0" w:color="auto"/>
      </w:divBdr>
      <w:divsChild>
        <w:div w:id="384138653">
          <w:marLeft w:val="0"/>
          <w:marRight w:val="0"/>
          <w:marTop w:val="0"/>
          <w:marBottom w:val="0"/>
          <w:divBdr>
            <w:top w:val="none" w:sz="0" w:space="0" w:color="auto"/>
            <w:left w:val="none" w:sz="0" w:space="0" w:color="auto"/>
            <w:bottom w:val="none" w:sz="0" w:space="0" w:color="auto"/>
            <w:right w:val="none" w:sz="0" w:space="0" w:color="auto"/>
          </w:divBdr>
          <w:divsChild>
            <w:div w:id="11272242">
              <w:marLeft w:val="0"/>
              <w:marRight w:val="0"/>
              <w:marTop w:val="0"/>
              <w:marBottom w:val="0"/>
              <w:divBdr>
                <w:top w:val="none" w:sz="0" w:space="0" w:color="auto"/>
                <w:left w:val="none" w:sz="0" w:space="0" w:color="auto"/>
                <w:bottom w:val="none" w:sz="0" w:space="0" w:color="auto"/>
                <w:right w:val="none" w:sz="0" w:space="0" w:color="auto"/>
              </w:divBdr>
              <w:divsChild>
                <w:div w:id="13936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9987">
      <w:bodyDiv w:val="1"/>
      <w:marLeft w:val="0"/>
      <w:marRight w:val="0"/>
      <w:marTop w:val="0"/>
      <w:marBottom w:val="0"/>
      <w:divBdr>
        <w:top w:val="none" w:sz="0" w:space="0" w:color="auto"/>
        <w:left w:val="none" w:sz="0" w:space="0" w:color="auto"/>
        <w:bottom w:val="none" w:sz="0" w:space="0" w:color="auto"/>
        <w:right w:val="none" w:sz="0" w:space="0" w:color="auto"/>
      </w:divBdr>
    </w:div>
    <w:div w:id="380591119">
      <w:bodyDiv w:val="1"/>
      <w:marLeft w:val="0"/>
      <w:marRight w:val="0"/>
      <w:marTop w:val="0"/>
      <w:marBottom w:val="0"/>
      <w:divBdr>
        <w:top w:val="none" w:sz="0" w:space="0" w:color="auto"/>
        <w:left w:val="none" w:sz="0" w:space="0" w:color="auto"/>
        <w:bottom w:val="none" w:sz="0" w:space="0" w:color="auto"/>
        <w:right w:val="none" w:sz="0" w:space="0" w:color="auto"/>
      </w:divBdr>
    </w:div>
    <w:div w:id="400059612">
      <w:bodyDiv w:val="1"/>
      <w:marLeft w:val="0"/>
      <w:marRight w:val="0"/>
      <w:marTop w:val="0"/>
      <w:marBottom w:val="0"/>
      <w:divBdr>
        <w:top w:val="none" w:sz="0" w:space="0" w:color="auto"/>
        <w:left w:val="none" w:sz="0" w:space="0" w:color="auto"/>
        <w:bottom w:val="none" w:sz="0" w:space="0" w:color="auto"/>
        <w:right w:val="none" w:sz="0" w:space="0" w:color="auto"/>
      </w:divBdr>
      <w:divsChild>
        <w:div w:id="1717242644">
          <w:marLeft w:val="0"/>
          <w:marRight w:val="0"/>
          <w:marTop w:val="0"/>
          <w:marBottom w:val="0"/>
          <w:divBdr>
            <w:top w:val="none" w:sz="0" w:space="0" w:color="auto"/>
            <w:left w:val="none" w:sz="0" w:space="0" w:color="auto"/>
            <w:bottom w:val="none" w:sz="0" w:space="0" w:color="auto"/>
            <w:right w:val="none" w:sz="0" w:space="0" w:color="auto"/>
          </w:divBdr>
          <w:divsChild>
            <w:div w:id="458258219">
              <w:marLeft w:val="0"/>
              <w:marRight w:val="0"/>
              <w:marTop w:val="0"/>
              <w:marBottom w:val="0"/>
              <w:divBdr>
                <w:top w:val="none" w:sz="0" w:space="0" w:color="auto"/>
                <w:left w:val="none" w:sz="0" w:space="0" w:color="auto"/>
                <w:bottom w:val="none" w:sz="0" w:space="0" w:color="auto"/>
                <w:right w:val="none" w:sz="0" w:space="0" w:color="auto"/>
              </w:divBdr>
              <w:divsChild>
                <w:div w:id="3903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4913">
      <w:bodyDiv w:val="1"/>
      <w:marLeft w:val="0"/>
      <w:marRight w:val="0"/>
      <w:marTop w:val="0"/>
      <w:marBottom w:val="0"/>
      <w:divBdr>
        <w:top w:val="none" w:sz="0" w:space="0" w:color="auto"/>
        <w:left w:val="none" w:sz="0" w:space="0" w:color="auto"/>
        <w:bottom w:val="none" w:sz="0" w:space="0" w:color="auto"/>
        <w:right w:val="none" w:sz="0" w:space="0" w:color="auto"/>
      </w:divBdr>
      <w:divsChild>
        <w:div w:id="26686171">
          <w:marLeft w:val="0"/>
          <w:marRight w:val="0"/>
          <w:marTop w:val="0"/>
          <w:marBottom w:val="0"/>
          <w:divBdr>
            <w:top w:val="none" w:sz="0" w:space="0" w:color="auto"/>
            <w:left w:val="none" w:sz="0" w:space="0" w:color="auto"/>
            <w:bottom w:val="none" w:sz="0" w:space="0" w:color="auto"/>
            <w:right w:val="none" w:sz="0" w:space="0" w:color="auto"/>
          </w:divBdr>
          <w:divsChild>
            <w:div w:id="1421414531">
              <w:marLeft w:val="0"/>
              <w:marRight w:val="0"/>
              <w:marTop w:val="0"/>
              <w:marBottom w:val="0"/>
              <w:divBdr>
                <w:top w:val="none" w:sz="0" w:space="0" w:color="auto"/>
                <w:left w:val="none" w:sz="0" w:space="0" w:color="auto"/>
                <w:bottom w:val="none" w:sz="0" w:space="0" w:color="auto"/>
                <w:right w:val="none" w:sz="0" w:space="0" w:color="auto"/>
              </w:divBdr>
              <w:divsChild>
                <w:div w:id="18399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0192">
      <w:bodyDiv w:val="1"/>
      <w:marLeft w:val="0"/>
      <w:marRight w:val="0"/>
      <w:marTop w:val="0"/>
      <w:marBottom w:val="0"/>
      <w:divBdr>
        <w:top w:val="none" w:sz="0" w:space="0" w:color="auto"/>
        <w:left w:val="none" w:sz="0" w:space="0" w:color="auto"/>
        <w:bottom w:val="none" w:sz="0" w:space="0" w:color="auto"/>
        <w:right w:val="none" w:sz="0" w:space="0" w:color="auto"/>
      </w:divBdr>
    </w:div>
    <w:div w:id="412776413">
      <w:bodyDiv w:val="1"/>
      <w:marLeft w:val="0"/>
      <w:marRight w:val="0"/>
      <w:marTop w:val="0"/>
      <w:marBottom w:val="0"/>
      <w:divBdr>
        <w:top w:val="none" w:sz="0" w:space="0" w:color="auto"/>
        <w:left w:val="none" w:sz="0" w:space="0" w:color="auto"/>
        <w:bottom w:val="none" w:sz="0" w:space="0" w:color="auto"/>
        <w:right w:val="none" w:sz="0" w:space="0" w:color="auto"/>
      </w:divBdr>
    </w:div>
    <w:div w:id="414327943">
      <w:bodyDiv w:val="1"/>
      <w:marLeft w:val="0"/>
      <w:marRight w:val="0"/>
      <w:marTop w:val="0"/>
      <w:marBottom w:val="0"/>
      <w:divBdr>
        <w:top w:val="none" w:sz="0" w:space="0" w:color="auto"/>
        <w:left w:val="none" w:sz="0" w:space="0" w:color="auto"/>
        <w:bottom w:val="none" w:sz="0" w:space="0" w:color="auto"/>
        <w:right w:val="none" w:sz="0" w:space="0" w:color="auto"/>
      </w:divBdr>
      <w:divsChild>
        <w:div w:id="625935568">
          <w:marLeft w:val="0"/>
          <w:marRight w:val="0"/>
          <w:marTop w:val="0"/>
          <w:marBottom w:val="0"/>
          <w:divBdr>
            <w:top w:val="none" w:sz="0" w:space="0" w:color="auto"/>
            <w:left w:val="none" w:sz="0" w:space="0" w:color="auto"/>
            <w:bottom w:val="none" w:sz="0" w:space="0" w:color="auto"/>
            <w:right w:val="none" w:sz="0" w:space="0" w:color="auto"/>
          </w:divBdr>
          <w:divsChild>
            <w:div w:id="365562721">
              <w:marLeft w:val="0"/>
              <w:marRight w:val="0"/>
              <w:marTop w:val="0"/>
              <w:marBottom w:val="0"/>
              <w:divBdr>
                <w:top w:val="none" w:sz="0" w:space="0" w:color="auto"/>
                <w:left w:val="none" w:sz="0" w:space="0" w:color="auto"/>
                <w:bottom w:val="none" w:sz="0" w:space="0" w:color="auto"/>
                <w:right w:val="none" w:sz="0" w:space="0" w:color="auto"/>
              </w:divBdr>
              <w:divsChild>
                <w:div w:id="1987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3322">
      <w:bodyDiv w:val="1"/>
      <w:marLeft w:val="0"/>
      <w:marRight w:val="0"/>
      <w:marTop w:val="0"/>
      <w:marBottom w:val="0"/>
      <w:divBdr>
        <w:top w:val="none" w:sz="0" w:space="0" w:color="auto"/>
        <w:left w:val="none" w:sz="0" w:space="0" w:color="auto"/>
        <w:bottom w:val="none" w:sz="0" w:space="0" w:color="auto"/>
        <w:right w:val="none" w:sz="0" w:space="0" w:color="auto"/>
      </w:divBdr>
    </w:div>
    <w:div w:id="427849533">
      <w:bodyDiv w:val="1"/>
      <w:marLeft w:val="0"/>
      <w:marRight w:val="0"/>
      <w:marTop w:val="0"/>
      <w:marBottom w:val="0"/>
      <w:divBdr>
        <w:top w:val="none" w:sz="0" w:space="0" w:color="auto"/>
        <w:left w:val="none" w:sz="0" w:space="0" w:color="auto"/>
        <w:bottom w:val="none" w:sz="0" w:space="0" w:color="auto"/>
        <w:right w:val="none" w:sz="0" w:space="0" w:color="auto"/>
      </w:divBdr>
      <w:divsChild>
        <w:div w:id="473110684">
          <w:marLeft w:val="0"/>
          <w:marRight w:val="0"/>
          <w:marTop w:val="0"/>
          <w:marBottom w:val="0"/>
          <w:divBdr>
            <w:top w:val="none" w:sz="0" w:space="0" w:color="auto"/>
            <w:left w:val="none" w:sz="0" w:space="0" w:color="auto"/>
            <w:bottom w:val="none" w:sz="0" w:space="0" w:color="auto"/>
            <w:right w:val="none" w:sz="0" w:space="0" w:color="auto"/>
          </w:divBdr>
          <w:divsChild>
            <w:div w:id="1246381141">
              <w:marLeft w:val="0"/>
              <w:marRight w:val="0"/>
              <w:marTop w:val="0"/>
              <w:marBottom w:val="0"/>
              <w:divBdr>
                <w:top w:val="none" w:sz="0" w:space="0" w:color="auto"/>
                <w:left w:val="none" w:sz="0" w:space="0" w:color="auto"/>
                <w:bottom w:val="none" w:sz="0" w:space="0" w:color="auto"/>
                <w:right w:val="none" w:sz="0" w:space="0" w:color="auto"/>
              </w:divBdr>
              <w:divsChild>
                <w:div w:id="4875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9549">
      <w:bodyDiv w:val="1"/>
      <w:marLeft w:val="0"/>
      <w:marRight w:val="0"/>
      <w:marTop w:val="0"/>
      <w:marBottom w:val="0"/>
      <w:divBdr>
        <w:top w:val="none" w:sz="0" w:space="0" w:color="auto"/>
        <w:left w:val="none" w:sz="0" w:space="0" w:color="auto"/>
        <w:bottom w:val="none" w:sz="0" w:space="0" w:color="auto"/>
        <w:right w:val="none" w:sz="0" w:space="0" w:color="auto"/>
      </w:divBdr>
    </w:div>
    <w:div w:id="470752604">
      <w:bodyDiv w:val="1"/>
      <w:marLeft w:val="0"/>
      <w:marRight w:val="0"/>
      <w:marTop w:val="0"/>
      <w:marBottom w:val="0"/>
      <w:divBdr>
        <w:top w:val="none" w:sz="0" w:space="0" w:color="auto"/>
        <w:left w:val="none" w:sz="0" w:space="0" w:color="auto"/>
        <w:bottom w:val="none" w:sz="0" w:space="0" w:color="auto"/>
        <w:right w:val="none" w:sz="0" w:space="0" w:color="auto"/>
      </w:divBdr>
    </w:div>
    <w:div w:id="472210423">
      <w:bodyDiv w:val="1"/>
      <w:marLeft w:val="0"/>
      <w:marRight w:val="0"/>
      <w:marTop w:val="0"/>
      <w:marBottom w:val="0"/>
      <w:divBdr>
        <w:top w:val="none" w:sz="0" w:space="0" w:color="auto"/>
        <w:left w:val="none" w:sz="0" w:space="0" w:color="auto"/>
        <w:bottom w:val="none" w:sz="0" w:space="0" w:color="auto"/>
        <w:right w:val="none" w:sz="0" w:space="0" w:color="auto"/>
      </w:divBdr>
    </w:div>
    <w:div w:id="474756560">
      <w:bodyDiv w:val="1"/>
      <w:marLeft w:val="0"/>
      <w:marRight w:val="0"/>
      <w:marTop w:val="0"/>
      <w:marBottom w:val="0"/>
      <w:divBdr>
        <w:top w:val="none" w:sz="0" w:space="0" w:color="auto"/>
        <w:left w:val="none" w:sz="0" w:space="0" w:color="auto"/>
        <w:bottom w:val="none" w:sz="0" w:space="0" w:color="auto"/>
        <w:right w:val="none" w:sz="0" w:space="0" w:color="auto"/>
      </w:divBdr>
    </w:div>
    <w:div w:id="481629340">
      <w:bodyDiv w:val="1"/>
      <w:marLeft w:val="0"/>
      <w:marRight w:val="0"/>
      <w:marTop w:val="0"/>
      <w:marBottom w:val="0"/>
      <w:divBdr>
        <w:top w:val="none" w:sz="0" w:space="0" w:color="auto"/>
        <w:left w:val="none" w:sz="0" w:space="0" w:color="auto"/>
        <w:bottom w:val="none" w:sz="0" w:space="0" w:color="auto"/>
        <w:right w:val="none" w:sz="0" w:space="0" w:color="auto"/>
      </w:divBdr>
      <w:divsChild>
        <w:div w:id="1313021765">
          <w:marLeft w:val="0"/>
          <w:marRight w:val="0"/>
          <w:marTop w:val="0"/>
          <w:marBottom w:val="0"/>
          <w:divBdr>
            <w:top w:val="none" w:sz="0" w:space="0" w:color="auto"/>
            <w:left w:val="none" w:sz="0" w:space="0" w:color="auto"/>
            <w:bottom w:val="none" w:sz="0" w:space="0" w:color="auto"/>
            <w:right w:val="none" w:sz="0" w:space="0" w:color="auto"/>
          </w:divBdr>
          <w:divsChild>
            <w:div w:id="987201143">
              <w:marLeft w:val="0"/>
              <w:marRight w:val="0"/>
              <w:marTop w:val="0"/>
              <w:marBottom w:val="0"/>
              <w:divBdr>
                <w:top w:val="none" w:sz="0" w:space="0" w:color="auto"/>
                <w:left w:val="none" w:sz="0" w:space="0" w:color="auto"/>
                <w:bottom w:val="none" w:sz="0" w:space="0" w:color="auto"/>
                <w:right w:val="none" w:sz="0" w:space="0" w:color="auto"/>
              </w:divBdr>
              <w:divsChild>
                <w:div w:id="19389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3323">
      <w:bodyDiv w:val="1"/>
      <w:marLeft w:val="0"/>
      <w:marRight w:val="0"/>
      <w:marTop w:val="0"/>
      <w:marBottom w:val="0"/>
      <w:divBdr>
        <w:top w:val="none" w:sz="0" w:space="0" w:color="auto"/>
        <w:left w:val="none" w:sz="0" w:space="0" w:color="auto"/>
        <w:bottom w:val="none" w:sz="0" w:space="0" w:color="auto"/>
        <w:right w:val="none" w:sz="0" w:space="0" w:color="auto"/>
      </w:divBdr>
      <w:divsChild>
        <w:div w:id="1429303201">
          <w:marLeft w:val="547"/>
          <w:marRight w:val="0"/>
          <w:marTop w:val="0"/>
          <w:marBottom w:val="120"/>
          <w:divBdr>
            <w:top w:val="none" w:sz="0" w:space="0" w:color="auto"/>
            <w:left w:val="none" w:sz="0" w:space="0" w:color="auto"/>
            <w:bottom w:val="none" w:sz="0" w:space="0" w:color="auto"/>
            <w:right w:val="none" w:sz="0" w:space="0" w:color="auto"/>
          </w:divBdr>
        </w:div>
      </w:divsChild>
    </w:div>
    <w:div w:id="510681711">
      <w:bodyDiv w:val="1"/>
      <w:marLeft w:val="0"/>
      <w:marRight w:val="0"/>
      <w:marTop w:val="0"/>
      <w:marBottom w:val="0"/>
      <w:divBdr>
        <w:top w:val="none" w:sz="0" w:space="0" w:color="auto"/>
        <w:left w:val="none" w:sz="0" w:space="0" w:color="auto"/>
        <w:bottom w:val="none" w:sz="0" w:space="0" w:color="auto"/>
        <w:right w:val="none" w:sz="0" w:space="0" w:color="auto"/>
      </w:divBdr>
      <w:divsChild>
        <w:div w:id="1801724197">
          <w:marLeft w:val="0"/>
          <w:marRight w:val="0"/>
          <w:marTop w:val="0"/>
          <w:marBottom w:val="0"/>
          <w:divBdr>
            <w:top w:val="none" w:sz="0" w:space="0" w:color="auto"/>
            <w:left w:val="none" w:sz="0" w:space="0" w:color="auto"/>
            <w:bottom w:val="none" w:sz="0" w:space="0" w:color="auto"/>
            <w:right w:val="none" w:sz="0" w:space="0" w:color="auto"/>
          </w:divBdr>
          <w:divsChild>
            <w:div w:id="660431815">
              <w:marLeft w:val="0"/>
              <w:marRight w:val="0"/>
              <w:marTop w:val="0"/>
              <w:marBottom w:val="0"/>
              <w:divBdr>
                <w:top w:val="none" w:sz="0" w:space="0" w:color="auto"/>
                <w:left w:val="none" w:sz="0" w:space="0" w:color="auto"/>
                <w:bottom w:val="none" w:sz="0" w:space="0" w:color="auto"/>
                <w:right w:val="none" w:sz="0" w:space="0" w:color="auto"/>
              </w:divBdr>
              <w:divsChild>
                <w:div w:id="908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494">
      <w:bodyDiv w:val="1"/>
      <w:marLeft w:val="0"/>
      <w:marRight w:val="0"/>
      <w:marTop w:val="0"/>
      <w:marBottom w:val="0"/>
      <w:divBdr>
        <w:top w:val="none" w:sz="0" w:space="0" w:color="auto"/>
        <w:left w:val="none" w:sz="0" w:space="0" w:color="auto"/>
        <w:bottom w:val="none" w:sz="0" w:space="0" w:color="auto"/>
        <w:right w:val="none" w:sz="0" w:space="0" w:color="auto"/>
      </w:divBdr>
    </w:div>
    <w:div w:id="515535831">
      <w:bodyDiv w:val="1"/>
      <w:marLeft w:val="0"/>
      <w:marRight w:val="0"/>
      <w:marTop w:val="0"/>
      <w:marBottom w:val="0"/>
      <w:divBdr>
        <w:top w:val="none" w:sz="0" w:space="0" w:color="auto"/>
        <w:left w:val="none" w:sz="0" w:space="0" w:color="auto"/>
        <w:bottom w:val="none" w:sz="0" w:space="0" w:color="auto"/>
        <w:right w:val="none" w:sz="0" w:space="0" w:color="auto"/>
      </w:divBdr>
      <w:divsChild>
        <w:div w:id="1810004671">
          <w:marLeft w:val="0"/>
          <w:marRight w:val="0"/>
          <w:marTop w:val="0"/>
          <w:marBottom w:val="0"/>
          <w:divBdr>
            <w:top w:val="none" w:sz="0" w:space="0" w:color="auto"/>
            <w:left w:val="none" w:sz="0" w:space="0" w:color="auto"/>
            <w:bottom w:val="none" w:sz="0" w:space="0" w:color="auto"/>
            <w:right w:val="none" w:sz="0" w:space="0" w:color="auto"/>
          </w:divBdr>
          <w:divsChild>
            <w:div w:id="1679386073">
              <w:marLeft w:val="0"/>
              <w:marRight w:val="0"/>
              <w:marTop w:val="0"/>
              <w:marBottom w:val="0"/>
              <w:divBdr>
                <w:top w:val="none" w:sz="0" w:space="0" w:color="auto"/>
                <w:left w:val="none" w:sz="0" w:space="0" w:color="auto"/>
                <w:bottom w:val="none" w:sz="0" w:space="0" w:color="auto"/>
                <w:right w:val="none" w:sz="0" w:space="0" w:color="auto"/>
              </w:divBdr>
              <w:divsChild>
                <w:div w:id="8552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1631">
      <w:bodyDiv w:val="1"/>
      <w:marLeft w:val="0"/>
      <w:marRight w:val="0"/>
      <w:marTop w:val="0"/>
      <w:marBottom w:val="0"/>
      <w:divBdr>
        <w:top w:val="none" w:sz="0" w:space="0" w:color="auto"/>
        <w:left w:val="none" w:sz="0" w:space="0" w:color="auto"/>
        <w:bottom w:val="none" w:sz="0" w:space="0" w:color="auto"/>
        <w:right w:val="none" w:sz="0" w:space="0" w:color="auto"/>
      </w:divBdr>
    </w:div>
    <w:div w:id="555968853">
      <w:bodyDiv w:val="1"/>
      <w:marLeft w:val="0"/>
      <w:marRight w:val="0"/>
      <w:marTop w:val="0"/>
      <w:marBottom w:val="0"/>
      <w:divBdr>
        <w:top w:val="none" w:sz="0" w:space="0" w:color="auto"/>
        <w:left w:val="none" w:sz="0" w:space="0" w:color="auto"/>
        <w:bottom w:val="none" w:sz="0" w:space="0" w:color="auto"/>
        <w:right w:val="none" w:sz="0" w:space="0" w:color="auto"/>
      </w:divBdr>
    </w:div>
    <w:div w:id="571090170">
      <w:bodyDiv w:val="1"/>
      <w:marLeft w:val="0"/>
      <w:marRight w:val="0"/>
      <w:marTop w:val="0"/>
      <w:marBottom w:val="0"/>
      <w:divBdr>
        <w:top w:val="none" w:sz="0" w:space="0" w:color="auto"/>
        <w:left w:val="none" w:sz="0" w:space="0" w:color="auto"/>
        <w:bottom w:val="none" w:sz="0" w:space="0" w:color="auto"/>
        <w:right w:val="none" w:sz="0" w:space="0" w:color="auto"/>
      </w:divBdr>
      <w:divsChild>
        <w:div w:id="1786002247">
          <w:marLeft w:val="1080"/>
          <w:marRight w:val="0"/>
          <w:marTop w:val="0"/>
          <w:marBottom w:val="120"/>
          <w:divBdr>
            <w:top w:val="none" w:sz="0" w:space="0" w:color="auto"/>
            <w:left w:val="none" w:sz="0" w:space="0" w:color="auto"/>
            <w:bottom w:val="none" w:sz="0" w:space="0" w:color="auto"/>
            <w:right w:val="none" w:sz="0" w:space="0" w:color="auto"/>
          </w:divBdr>
        </w:div>
      </w:divsChild>
    </w:div>
    <w:div w:id="573469868">
      <w:bodyDiv w:val="1"/>
      <w:marLeft w:val="0"/>
      <w:marRight w:val="0"/>
      <w:marTop w:val="0"/>
      <w:marBottom w:val="0"/>
      <w:divBdr>
        <w:top w:val="none" w:sz="0" w:space="0" w:color="auto"/>
        <w:left w:val="none" w:sz="0" w:space="0" w:color="auto"/>
        <w:bottom w:val="none" w:sz="0" w:space="0" w:color="auto"/>
        <w:right w:val="none" w:sz="0" w:space="0" w:color="auto"/>
      </w:divBdr>
    </w:div>
    <w:div w:id="593132554">
      <w:bodyDiv w:val="1"/>
      <w:marLeft w:val="0"/>
      <w:marRight w:val="0"/>
      <w:marTop w:val="0"/>
      <w:marBottom w:val="0"/>
      <w:divBdr>
        <w:top w:val="none" w:sz="0" w:space="0" w:color="auto"/>
        <w:left w:val="none" w:sz="0" w:space="0" w:color="auto"/>
        <w:bottom w:val="none" w:sz="0" w:space="0" w:color="auto"/>
        <w:right w:val="none" w:sz="0" w:space="0" w:color="auto"/>
      </w:divBdr>
      <w:divsChild>
        <w:div w:id="1740639217">
          <w:marLeft w:val="0"/>
          <w:marRight w:val="0"/>
          <w:marTop w:val="0"/>
          <w:marBottom w:val="0"/>
          <w:divBdr>
            <w:top w:val="none" w:sz="0" w:space="0" w:color="auto"/>
            <w:left w:val="none" w:sz="0" w:space="0" w:color="auto"/>
            <w:bottom w:val="none" w:sz="0" w:space="0" w:color="auto"/>
            <w:right w:val="none" w:sz="0" w:space="0" w:color="auto"/>
          </w:divBdr>
          <w:divsChild>
            <w:div w:id="1149402807">
              <w:marLeft w:val="0"/>
              <w:marRight w:val="0"/>
              <w:marTop w:val="0"/>
              <w:marBottom w:val="0"/>
              <w:divBdr>
                <w:top w:val="none" w:sz="0" w:space="0" w:color="auto"/>
                <w:left w:val="none" w:sz="0" w:space="0" w:color="auto"/>
                <w:bottom w:val="none" w:sz="0" w:space="0" w:color="auto"/>
                <w:right w:val="none" w:sz="0" w:space="0" w:color="auto"/>
              </w:divBdr>
              <w:divsChild>
                <w:div w:id="3714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2382">
      <w:bodyDiv w:val="1"/>
      <w:marLeft w:val="0"/>
      <w:marRight w:val="0"/>
      <w:marTop w:val="0"/>
      <w:marBottom w:val="0"/>
      <w:divBdr>
        <w:top w:val="none" w:sz="0" w:space="0" w:color="auto"/>
        <w:left w:val="none" w:sz="0" w:space="0" w:color="auto"/>
        <w:bottom w:val="none" w:sz="0" w:space="0" w:color="auto"/>
        <w:right w:val="none" w:sz="0" w:space="0" w:color="auto"/>
      </w:divBdr>
      <w:divsChild>
        <w:div w:id="539558693">
          <w:marLeft w:val="0"/>
          <w:marRight w:val="0"/>
          <w:marTop w:val="0"/>
          <w:marBottom w:val="0"/>
          <w:divBdr>
            <w:top w:val="none" w:sz="0" w:space="0" w:color="auto"/>
            <w:left w:val="none" w:sz="0" w:space="0" w:color="auto"/>
            <w:bottom w:val="none" w:sz="0" w:space="0" w:color="auto"/>
            <w:right w:val="none" w:sz="0" w:space="0" w:color="auto"/>
          </w:divBdr>
          <w:divsChild>
            <w:div w:id="580792895">
              <w:marLeft w:val="0"/>
              <w:marRight w:val="0"/>
              <w:marTop w:val="0"/>
              <w:marBottom w:val="0"/>
              <w:divBdr>
                <w:top w:val="none" w:sz="0" w:space="0" w:color="auto"/>
                <w:left w:val="none" w:sz="0" w:space="0" w:color="auto"/>
                <w:bottom w:val="none" w:sz="0" w:space="0" w:color="auto"/>
                <w:right w:val="none" w:sz="0" w:space="0" w:color="auto"/>
              </w:divBdr>
              <w:divsChild>
                <w:div w:id="2688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0031">
      <w:bodyDiv w:val="1"/>
      <w:marLeft w:val="0"/>
      <w:marRight w:val="0"/>
      <w:marTop w:val="0"/>
      <w:marBottom w:val="0"/>
      <w:divBdr>
        <w:top w:val="none" w:sz="0" w:space="0" w:color="auto"/>
        <w:left w:val="none" w:sz="0" w:space="0" w:color="auto"/>
        <w:bottom w:val="none" w:sz="0" w:space="0" w:color="auto"/>
        <w:right w:val="none" w:sz="0" w:space="0" w:color="auto"/>
      </w:divBdr>
      <w:divsChild>
        <w:div w:id="1585919801">
          <w:marLeft w:val="0"/>
          <w:marRight w:val="0"/>
          <w:marTop w:val="0"/>
          <w:marBottom w:val="0"/>
          <w:divBdr>
            <w:top w:val="none" w:sz="0" w:space="0" w:color="auto"/>
            <w:left w:val="none" w:sz="0" w:space="0" w:color="auto"/>
            <w:bottom w:val="none" w:sz="0" w:space="0" w:color="auto"/>
            <w:right w:val="none" w:sz="0" w:space="0" w:color="auto"/>
          </w:divBdr>
          <w:divsChild>
            <w:div w:id="979844179">
              <w:marLeft w:val="0"/>
              <w:marRight w:val="0"/>
              <w:marTop w:val="0"/>
              <w:marBottom w:val="0"/>
              <w:divBdr>
                <w:top w:val="none" w:sz="0" w:space="0" w:color="auto"/>
                <w:left w:val="none" w:sz="0" w:space="0" w:color="auto"/>
                <w:bottom w:val="none" w:sz="0" w:space="0" w:color="auto"/>
                <w:right w:val="none" w:sz="0" w:space="0" w:color="auto"/>
              </w:divBdr>
              <w:divsChild>
                <w:div w:id="562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2515">
      <w:bodyDiv w:val="1"/>
      <w:marLeft w:val="0"/>
      <w:marRight w:val="0"/>
      <w:marTop w:val="0"/>
      <w:marBottom w:val="0"/>
      <w:divBdr>
        <w:top w:val="none" w:sz="0" w:space="0" w:color="auto"/>
        <w:left w:val="none" w:sz="0" w:space="0" w:color="auto"/>
        <w:bottom w:val="none" w:sz="0" w:space="0" w:color="auto"/>
        <w:right w:val="none" w:sz="0" w:space="0" w:color="auto"/>
      </w:divBdr>
      <w:divsChild>
        <w:div w:id="554583816">
          <w:marLeft w:val="0"/>
          <w:marRight w:val="0"/>
          <w:marTop w:val="0"/>
          <w:marBottom w:val="0"/>
          <w:divBdr>
            <w:top w:val="none" w:sz="0" w:space="0" w:color="auto"/>
            <w:left w:val="none" w:sz="0" w:space="0" w:color="auto"/>
            <w:bottom w:val="none" w:sz="0" w:space="0" w:color="auto"/>
            <w:right w:val="none" w:sz="0" w:space="0" w:color="auto"/>
          </w:divBdr>
          <w:divsChild>
            <w:div w:id="1364476179">
              <w:marLeft w:val="0"/>
              <w:marRight w:val="0"/>
              <w:marTop w:val="0"/>
              <w:marBottom w:val="0"/>
              <w:divBdr>
                <w:top w:val="none" w:sz="0" w:space="0" w:color="auto"/>
                <w:left w:val="none" w:sz="0" w:space="0" w:color="auto"/>
                <w:bottom w:val="none" w:sz="0" w:space="0" w:color="auto"/>
                <w:right w:val="none" w:sz="0" w:space="0" w:color="auto"/>
              </w:divBdr>
              <w:divsChild>
                <w:div w:id="19660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6214">
      <w:bodyDiv w:val="1"/>
      <w:marLeft w:val="0"/>
      <w:marRight w:val="0"/>
      <w:marTop w:val="0"/>
      <w:marBottom w:val="0"/>
      <w:divBdr>
        <w:top w:val="none" w:sz="0" w:space="0" w:color="auto"/>
        <w:left w:val="none" w:sz="0" w:space="0" w:color="auto"/>
        <w:bottom w:val="none" w:sz="0" w:space="0" w:color="auto"/>
        <w:right w:val="none" w:sz="0" w:space="0" w:color="auto"/>
      </w:divBdr>
      <w:divsChild>
        <w:div w:id="1425153454">
          <w:marLeft w:val="0"/>
          <w:marRight w:val="0"/>
          <w:marTop w:val="0"/>
          <w:marBottom w:val="0"/>
          <w:divBdr>
            <w:top w:val="none" w:sz="0" w:space="0" w:color="auto"/>
            <w:left w:val="none" w:sz="0" w:space="0" w:color="auto"/>
            <w:bottom w:val="none" w:sz="0" w:space="0" w:color="auto"/>
            <w:right w:val="none" w:sz="0" w:space="0" w:color="auto"/>
          </w:divBdr>
          <w:divsChild>
            <w:div w:id="1326864142">
              <w:marLeft w:val="0"/>
              <w:marRight w:val="0"/>
              <w:marTop w:val="0"/>
              <w:marBottom w:val="0"/>
              <w:divBdr>
                <w:top w:val="none" w:sz="0" w:space="0" w:color="auto"/>
                <w:left w:val="none" w:sz="0" w:space="0" w:color="auto"/>
                <w:bottom w:val="none" w:sz="0" w:space="0" w:color="auto"/>
                <w:right w:val="none" w:sz="0" w:space="0" w:color="auto"/>
              </w:divBdr>
              <w:divsChild>
                <w:div w:id="7418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33391">
      <w:bodyDiv w:val="1"/>
      <w:marLeft w:val="0"/>
      <w:marRight w:val="0"/>
      <w:marTop w:val="0"/>
      <w:marBottom w:val="0"/>
      <w:divBdr>
        <w:top w:val="none" w:sz="0" w:space="0" w:color="auto"/>
        <w:left w:val="none" w:sz="0" w:space="0" w:color="auto"/>
        <w:bottom w:val="none" w:sz="0" w:space="0" w:color="auto"/>
        <w:right w:val="none" w:sz="0" w:space="0" w:color="auto"/>
      </w:divBdr>
    </w:div>
    <w:div w:id="660082548">
      <w:bodyDiv w:val="1"/>
      <w:marLeft w:val="0"/>
      <w:marRight w:val="0"/>
      <w:marTop w:val="0"/>
      <w:marBottom w:val="0"/>
      <w:divBdr>
        <w:top w:val="none" w:sz="0" w:space="0" w:color="auto"/>
        <w:left w:val="none" w:sz="0" w:space="0" w:color="auto"/>
        <w:bottom w:val="none" w:sz="0" w:space="0" w:color="auto"/>
        <w:right w:val="none" w:sz="0" w:space="0" w:color="auto"/>
      </w:divBdr>
    </w:div>
    <w:div w:id="662125068">
      <w:bodyDiv w:val="1"/>
      <w:marLeft w:val="0"/>
      <w:marRight w:val="0"/>
      <w:marTop w:val="0"/>
      <w:marBottom w:val="0"/>
      <w:divBdr>
        <w:top w:val="none" w:sz="0" w:space="0" w:color="auto"/>
        <w:left w:val="none" w:sz="0" w:space="0" w:color="auto"/>
        <w:bottom w:val="none" w:sz="0" w:space="0" w:color="auto"/>
        <w:right w:val="none" w:sz="0" w:space="0" w:color="auto"/>
      </w:divBdr>
    </w:div>
    <w:div w:id="682319842">
      <w:bodyDiv w:val="1"/>
      <w:marLeft w:val="0"/>
      <w:marRight w:val="0"/>
      <w:marTop w:val="0"/>
      <w:marBottom w:val="0"/>
      <w:divBdr>
        <w:top w:val="none" w:sz="0" w:space="0" w:color="auto"/>
        <w:left w:val="none" w:sz="0" w:space="0" w:color="auto"/>
        <w:bottom w:val="none" w:sz="0" w:space="0" w:color="auto"/>
        <w:right w:val="none" w:sz="0" w:space="0" w:color="auto"/>
      </w:divBdr>
      <w:divsChild>
        <w:div w:id="696007058">
          <w:marLeft w:val="0"/>
          <w:marRight w:val="0"/>
          <w:marTop w:val="0"/>
          <w:marBottom w:val="0"/>
          <w:divBdr>
            <w:top w:val="none" w:sz="0" w:space="0" w:color="auto"/>
            <w:left w:val="none" w:sz="0" w:space="0" w:color="auto"/>
            <w:bottom w:val="none" w:sz="0" w:space="0" w:color="auto"/>
            <w:right w:val="none" w:sz="0" w:space="0" w:color="auto"/>
          </w:divBdr>
          <w:divsChild>
            <w:div w:id="1823426693">
              <w:marLeft w:val="0"/>
              <w:marRight w:val="0"/>
              <w:marTop w:val="0"/>
              <w:marBottom w:val="0"/>
              <w:divBdr>
                <w:top w:val="none" w:sz="0" w:space="0" w:color="auto"/>
                <w:left w:val="none" w:sz="0" w:space="0" w:color="auto"/>
                <w:bottom w:val="none" w:sz="0" w:space="0" w:color="auto"/>
                <w:right w:val="none" w:sz="0" w:space="0" w:color="auto"/>
              </w:divBdr>
              <w:divsChild>
                <w:div w:id="13213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2379">
      <w:bodyDiv w:val="1"/>
      <w:marLeft w:val="0"/>
      <w:marRight w:val="0"/>
      <w:marTop w:val="0"/>
      <w:marBottom w:val="0"/>
      <w:divBdr>
        <w:top w:val="none" w:sz="0" w:space="0" w:color="auto"/>
        <w:left w:val="none" w:sz="0" w:space="0" w:color="auto"/>
        <w:bottom w:val="none" w:sz="0" w:space="0" w:color="auto"/>
        <w:right w:val="none" w:sz="0" w:space="0" w:color="auto"/>
      </w:divBdr>
      <w:divsChild>
        <w:div w:id="1772312019">
          <w:marLeft w:val="0"/>
          <w:marRight w:val="0"/>
          <w:marTop w:val="0"/>
          <w:marBottom w:val="0"/>
          <w:divBdr>
            <w:top w:val="none" w:sz="0" w:space="0" w:color="auto"/>
            <w:left w:val="none" w:sz="0" w:space="0" w:color="auto"/>
            <w:bottom w:val="none" w:sz="0" w:space="0" w:color="auto"/>
            <w:right w:val="none" w:sz="0" w:space="0" w:color="auto"/>
          </w:divBdr>
          <w:divsChild>
            <w:div w:id="741947629">
              <w:marLeft w:val="0"/>
              <w:marRight w:val="0"/>
              <w:marTop w:val="0"/>
              <w:marBottom w:val="0"/>
              <w:divBdr>
                <w:top w:val="none" w:sz="0" w:space="0" w:color="auto"/>
                <w:left w:val="none" w:sz="0" w:space="0" w:color="auto"/>
                <w:bottom w:val="none" w:sz="0" w:space="0" w:color="auto"/>
                <w:right w:val="none" w:sz="0" w:space="0" w:color="auto"/>
              </w:divBdr>
              <w:divsChild>
                <w:div w:id="4191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5357">
      <w:bodyDiv w:val="1"/>
      <w:marLeft w:val="0"/>
      <w:marRight w:val="0"/>
      <w:marTop w:val="0"/>
      <w:marBottom w:val="0"/>
      <w:divBdr>
        <w:top w:val="none" w:sz="0" w:space="0" w:color="auto"/>
        <w:left w:val="none" w:sz="0" w:space="0" w:color="auto"/>
        <w:bottom w:val="none" w:sz="0" w:space="0" w:color="auto"/>
        <w:right w:val="none" w:sz="0" w:space="0" w:color="auto"/>
      </w:divBdr>
    </w:div>
    <w:div w:id="708188942">
      <w:bodyDiv w:val="1"/>
      <w:marLeft w:val="0"/>
      <w:marRight w:val="0"/>
      <w:marTop w:val="0"/>
      <w:marBottom w:val="0"/>
      <w:divBdr>
        <w:top w:val="none" w:sz="0" w:space="0" w:color="auto"/>
        <w:left w:val="none" w:sz="0" w:space="0" w:color="auto"/>
        <w:bottom w:val="none" w:sz="0" w:space="0" w:color="auto"/>
        <w:right w:val="none" w:sz="0" w:space="0" w:color="auto"/>
      </w:divBdr>
    </w:div>
    <w:div w:id="718436975">
      <w:bodyDiv w:val="1"/>
      <w:marLeft w:val="0"/>
      <w:marRight w:val="0"/>
      <w:marTop w:val="0"/>
      <w:marBottom w:val="0"/>
      <w:divBdr>
        <w:top w:val="none" w:sz="0" w:space="0" w:color="auto"/>
        <w:left w:val="none" w:sz="0" w:space="0" w:color="auto"/>
        <w:bottom w:val="none" w:sz="0" w:space="0" w:color="auto"/>
        <w:right w:val="none" w:sz="0" w:space="0" w:color="auto"/>
      </w:divBdr>
    </w:div>
    <w:div w:id="719404462">
      <w:bodyDiv w:val="1"/>
      <w:marLeft w:val="0"/>
      <w:marRight w:val="0"/>
      <w:marTop w:val="0"/>
      <w:marBottom w:val="0"/>
      <w:divBdr>
        <w:top w:val="none" w:sz="0" w:space="0" w:color="auto"/>
        <w:left w:val="none" w:sz="0" w:space="0" w:color="auto"/>
        <w:bottom w:val="none" w:sz="0" w:space="0" w:color="auto"/>
        <w:right w:val="none" w:sz="0" w:space="0" w:color="auto"/>
      </w:divBdr>
      <w:divsChild>
        <w:div w:id="793331845">
          <w:marLeft w:val="0"/>
          <w:marRight w:val="0"/>
          <w:marTop w:val="0"/>
          <w:marBottom w:val="0"/>
          <w:divBdr>
            <w:top w:val="none" w:sz="0" w:space="0" w:color="auto"/>
            <w:left w:val="none" w:sz="0" w:space="0" w:color="auto"/>
            <w:bottom w:val="none" w:sz="0" w:space="0" w:color="auto"/>
            <w:right w:val="none" w:sz="0" w:space="0" w:color="auto"/>
          </w:divBdr>
          <w:divsChild>
            <w:div w:id="2073845551">
              <w:marLeft w:val="0"/>
              <w:marRight w:val="0"/>
              <w:marTop w:val="0"/>
              <w:marBottom w:val="0"/>
              <w:divBdr>
                <w:top w:val="none" w:sz="0" w:space="0" w:color="auto"/>
                <w:left w:val="none" w:sz="0" w:space="0" w:color="auto"/>
                <w:bottom w:val="none" w:sz="0" w:space="0" w:color="auto"/>
                <w:right w:val="none" w:sz="0" w:space="0" w:color="auto"/>
              </w:divBdr>
              <w:divsChild>
                <w:div w:id="15852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7866">
      <w:bodyDiv w:val="1"/>
      <w:marLeft w:val="0"/>
      <w:marRight w:val="0"/>
      <w:marTop w:val="0"/>
      <w:marBottom w:val="0"/>
      <w:divBdr>
        <w:top w:val="none" w:sz="0" w:space="0" w:color="auto"/>
        <w:left w:val="none" w:sz="0" w:space="0" w:color="auto"/>
        <w:bottom w:val="none" w:sz="0" w:space="0" w:color="auto"/>
        <w:right w:val="none" w:sz="0" w:space="0" w:color="auto"/>
      </w:divBdr>
      <w:divsChild>
        <w:div w:id="1843470052">
          <w:marLeft w:val="0"/>
          <w:marRight w:val="0"/>
          <w:marTop w:val="0"/>
          <w:marBottom w:val="0"/>
          <w:divBdr>
            <w:top w:val="none" w:sz="0" w:space="0" w:color="auto"/>
            <w:left w:val="none" w:sz="0" w:space="0" w:color="auto"/>
            <w:bottom w:val="none" w:sz="0" w:space="0" w:color="auto"/>
            <w:right w:val="none" w:sz="0" w:space="0" w:color="auto"/>
          </w:divBdr>
          <w:divsChild>
            <w:div w:id="598682513">
              <w:marLeft w:val="0"/>
              <w:marRight w:val="0"/>
              <w:marTop w:val="0"/>
              <w:marBottom w:val="0"/>
              <w:divBdr>
                <w:top w:val="none" w:sz="0" w:space="0" w:color="auto"/>
                <w:left w:val="none" w:sz="0" w:space="0" w:color="auto"/>
                <w:bottom w:val="none" w:sz="0" w:space="0" w:color="auto"/>
                <w:right w:val="none" w:sz="0" w:space="0" w:color="auto"/>
              </w:divBdr>
              <w:divsChild>
                <w:div w:id="1369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9562">
      <w:bodyDiv w:val="1"/>
      <w:marLeft w:val="0"/>
      <w:marRight w:val="0"/>
      <w:marTop w:val="0"/>
      <w:marBottom w:val="0"/>
      <w:divBdr>
        <w:top w:val="none" w:sz="0" w:space="0" w:color="auto"/>
        <w:left w:val="none" w:sz="0" w:space="0" w:color="auto"/>
        <w:bottom w:val="none" w:sz="0" w:space="0" w:color="auto"/>
        <w:right w:val="none" w:sz="0" w:space="0" w:color="auto"/>
      </w:divBdr>
      <w:divsChild>
        <w:div w:id="68963741">
          <w:marLeft w:val="0"/>
          <w:marRight w:val="0"/>
          <w:marTop w:val="0"/>
          <w:marBottom w:val="0"/>
          <w:divBdr>
            <w:top w:val="none" w:sz="0" w:space="0" w:color="auto"/>
            <w:left w:val="none" w:sz="0" w:space="0" w:color="auto"/>
            <w:bottom w:val="none" w:sz="0" w:space="0" w:color="auto"/>
            <w:right w:val="none" w:sz="0" w:space="0" w:color="auto"/>
          </w:divBdr>
          <w:divsChild>
            <w:div w:id="460418766">
              <w:marLeft w:val="0"/>
              <w:marRight w:val="0"/>
              <w:marTop w:val="0"/>
              <w:marBottom w:val="0"/>
              <w:divBdr>
                <w:top w:val="none" w:sz="0" w:space="0" w:color="auto"/>
                <w:left w:val="none" w:sz="0" w:space="0" w:color="auto"/>
                <w:bottom w:val="none" w:sz="0" w:space="0" w:color="auto"/>
                <w:right w:val="none" w:sz="0" w:space="0" w:color="auto"/>
              </w:divBdr>
              <w:divsChild>
                <w:div w:id="4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675">
      <w:bodyDiv w:val="1"/>
      <w:marLeft w:val="0"/>
      <w:marRight w:val="0"/>
      <w:marTop w:val="0"/>
      <w:marBottom w:val="0"/>
      <w:divBdr>
        <w:top w:val="none" w:sz="0" w:space="0" w:color="auto"/>
        <w:left w:val="none" w:sz="0" w:space="0" w:color="auto"/>
        <w:bottom w:val="none" w:sz="0" w:space="0" w:color="auto"/>
        <w:right w:val="none" w:sz="0" w:space="0" w:color="auto"/>
      </w:divBdr>
    </w:div>
    <w:div w:id="764957819">
      <w:bodyDiv w:val="1"/>
      <w:marLeft w:val="0"/>
      <w:marRight w:val="0"/>
      <w:marTop w:val="0"/>
      <w:marBottom w:val="0"/>
      <w:divBdr>
        <w:top w:val="none" w:sz="0" w:space="0" w:color="auto"/>
        <w:left w:val="none" w:sz="0" w:space="0" w:color="auto"/>
        <w:bottom w:val="none" w:sz="0" w:space="0" w:color="auto"/>
        <w:right w:val="none" w:sz="0" w:space="0" w:color="auto"/>
      </w:divBdr>
    </w:div>
    <w:div w:id="769787380">
      <w:bodyDiv w:val="1"/>
      <w:marLeft w:val="0"/>
      <w:marRight w:val="0"/>
      <w:marTop w:val="0"/>
      <w:marBottom w:val="0"/>
      <w:divBdr>
        <w:top w:val="none" w:sz="0" w:space="0" w:color="auto"/>
        <w:left w:val="none" w:sz="0" w:space="0" w:color="auto"/>
        <w:bottom w:val="none" w:sz="0" w:space="0" w:color="auto"/>
        <w:right w:val="none" w:sz="0" w:space="0" w:color="auto"/>
      </w:divBdr>
      <w:divsChild>
        <w:div w:id="1901550206">
          <w:marLeft w:val="0"/>
          <w:marRight w:val="0"/>
          <w:marTop w:val="0"/>
          <w:marBottom w:val="0"/>
          <w:divBdr>
            <w:top w:val="none" w:sz="0" w:space="0" w:color="auto"/>
            <w:left w:val="none" w:sz="0" w:space="0" w:color="auto"/>
            <w:bottom w:val="none" w:sz="0" w:space="0" w:color="auto"/>
            <w:right w:val="none" w:sz="0" w:space="0" w:color="auto"/>
          </w:divBdr>
          <w:divsChild>
            <w:div w:id="1047991714">
              <w:marLeft w:val="0"/>
              <w:marRight w:val="0"/>
              <w:marTop w:val="0"/>
              <w:marBottom w:val="0"/>
              <w:divBdr>
                <w:top w:val="none" w:sz="0" w:space="0" w:color="auto"/>
                <w:left w:val="none" w:sz="0" w:space="0" w:color="auto"/>
                <w:bottom w:val="none" w:sz="0" w:space="0" w:color="auto"/>
                <w:right w:val="none" w:sz="0" w:space="0" w:color="auto"/>
              </w:divBdr>
              <w:divsChild>
                <w:div w:id="2040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79678">
      <w:bodyDiv w:val="1"/>
      <w:marLeft w:val="0"/>
      <w:marRight w:val="0"/>
      <w:marTop w:val="0"/>
      <w:marBottom w:val="0"/>
      <w:divBdr>
        <w:top w:val="none" w:sz="0" w:space="0" w:color="auto"/>
        <w:left w:val="none" w:sz="0" w:space="0" w:color="auto"/>
        <w:bottom w:val="none" w:sz="0" w:space="0" w:color="auto"/>
        <w:right w:val="none" w:sz="0" w:space="0" w:color="auto"/>
      </w:divBdr>
    </w:div>
    <w:div w:id="806046044">
      <w:bodyDiv w:val="1"/>
      <w:marLeft w:val="0"/>
      <w:marRight w:val="0"/>
      <w:marTop w:val="0"/>
      <w:marBottom w:val="0"/>
      <w:divBdr>
        <w:top w:val="none" w:sz="0" w:space="0" w:color="auto"/>
        <w:left w:val="none" w:sz="0" w:space="0" w:color="auto"/>
        <w:bottom w:val="none" w:sz="0" w:space="0" w:color="auto"/>
        <w:right w:val="none" w:sz="0" w:space="0" w:color="auto"/>
      </w:divBdr>
    </w:div>
    <w:div w:id="806095300">
      <w:bodyDiv w:val="1"/>
      <w:marLeft w:val="0"/>
      <w:marRight w:val="0"/>
      <w:marTop w:val="0"/>
      <w:marBottom w:val="0"/>
      <w:divBdr>
        <w:top w:val="none" w:sz="0" w:space="0" w:color="auto"/>
        <w:left w:val="none" w:sz="0" w:space="0" w:color="auto"/>
        <w:bottom w:val="none" w:sz="0" w:space="0" w:color="auto"/>
        <w:right w:val="none" w:sz="0" w:space="0" w:color="auto"/>
      </w:divBdr>
    </w:div>
    <w:div w:id="820850706">
      <w:bodyDiv w:val="1"/>
      <w:marLeft w:val="0"/>
      <w:marRight w:val="0"/>
      <w:marTop w:val="0"/>
      <w:marBottom w:val="0"/>
      <w:divBdr>
        <w:top w:val="none" w:sz="0" w:space="0" w:color="auto"/>
        <w:left w:val="none" w:sz="0" w:space="0" w:color="auto"/>
        <w:bottom w:val="none" w:sz="0" w:space="0" w:color="auto"/>
        <w:right w:val="none" w:sz="0" w:space="0" w:color="auto"/>
      </w:divBdr>
    </w:div>
    <w:div w:id="825978865">
      <w:bodyDiv w:val="1"/>
      <w:marLeft w:val="0"/>
      <w:marRight w:val="0"/>
      <w:marTop w:val="0"/>
      <w:marBottom w:val="0"/>
      <w:divBdr>
        <w:top w:val="none" w:sz="0" w:space="0" w:color="auto"/>
        <w:left w:val="none" w:sz="0" w:space="0" w:color="auto"/>
        <w:bottom w:val="none" w:sz="0" w:space="0" w:color="auto"/>
        <w:right w:val="none" w:sz="0" w:space="0" w:color="auto"/>
      </w:divBdr>
    </w:div>
    <w:div w:id="840895785">
      <w:bodyDiv w:val="1"/>
      <w:marLeft w:val="0"/>
      <w:marRight w:val="0"/>
      <w:marTop w:val="0"/>
      <w:marBottom w:val="0"/>
      <w:divBdr>
        <w:top w:val="none" w:sz="0" w:space="0" w:color="auto"/>
        <w:left w:val="none" w:sz="0" w:space="0" w:color="auto"/>
        <w:bottom w:val="none" w:sz="0" w:space="0" w:color="auto"/>
        <w:right w:val="none" w:sz="0" w:space="0" w:color="auto"/>
      </w:divBdr>
      <w:divsChild>
        <w:div w:id="1417938465">
          <w:marLeft w:val="0"/>
          <w:marRight w:val="0"/>
          <w:marTop w:val="0"/>
          <w:marBottom w:val="0"/>
          <w:divBdr>
            <w:top w:val="none" w:sz="0" w:space="0" w:color="auto"/>
            <w:left w:val="none" w:sz="0" w:space="0" w:color="auto"/>
            <w:bottom w:val="none" w:sz="0" w:space="0" w:color="auto"/>
            <w:right w:val="none" w:sz="0" w:space="0" w:color="auto"/>
          </w:divBdr>
          <w:divsChild>
            <w:div w:id="732778360">
              <w:marLeft w:val="0"/>
              <w:marRight w:val="0"/>
              <w:marTop w:val="0"/>
              <w:marBottom w:val="0"/>
              <w:divBdr>
                <w:top w:val="none" w:sz="0" w:space="0" w:color="auto"/>
                <w:left w:val="none" w:sz="0" w:space="0" w:color="auto"/>
                <w:bottom w:val="none" w:sz="0" w:space="0" w:color="auto"/>
                <w:right w:val="none" w:sz="0" w:space="0" w:color="auto"/>
              </w:divBdr>
              <w:divsChild>
                <w:div w:id="18048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7762">
      <w:bodyDiv w:val="1"/>
      <w:marLeft w:val="0"/>
      <w:marRight w:val="0"/>
      <w:marTop w:val="0"/>
      <w:marBottom w:val="0"/>
      <w:divBdr>
        <w:top w:val="none" w:sz="0" w:space="0" w:color="auto"/>
        <w:left w:val="none" w:sz="0" w:space="0" w:color="auto"/>
        <w:bottom w:val="none" w:sz="0" w:space="0" w:color="auto"/>
        <w:right w:val="none" w:sz="0" w:space="0" w:color="auto"/>
      </w:divBdr>
      <w:divsChild>
        <w:div w:id="1357269198">
          <w:marLeft w:val="0"/>
          <w:marRight w:val="0"/>
          <w:marTop w:val="0"/>
          <w:marBottom w:val="0"/>
          <w:divBdr>
            <w:top w:val="none" w:sz="0" w:space="0" w:color="auto"/>
            <w:left w:val="none" w:sz="0" w:space="0" w:color="auto"/>
            <w:bottom w:val="none" w:sz="0" w:space="0" w:color="auto"/>
            <w:right w:val="none" w:sz="0" w:space="0" w:color="auto"/>
          </w:divBdr>
          <w:divsChild>
            <w:div w:id="985470636">
              <w:marLeft w:val="0"/>
              <w:marRight w:val="0"/>
              <w:marTop w:val="0"/>
              <w:marBottom w:val="0"/>
              <w:divBdr>
                <w:top w:val="none" w:sz="0" w:space="0" w:color="auto"/>
                <w:left w:val="none" w:sz="0" w:space="0" w:color="auto"/>
                <w:bottom w:val="none" w:sz="0" w:space="0" w:color="auto"/>
                <w:right w:val="none" w:sz="0" w:space="0" w:color="auto"/>
              </w:divBdr>
              <w:divsChild>
                <w:div w:id="1284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0369">
      <w:bodyDiv w:val="1"/>
      <w:marLeft w:val="0"/>
      <w:marRight w:val="0"/>
      <w:marTop w:val="0"/>
      <w:marBottom w:val="0"/>
      <w:divBdr>
        <w:top w:val="none" w:sz="0" w:space="0" w:color="auto"/>
        <w:left w:val="none" w:sz="0" w:space="0" w:color="auto"/>
        <w:bottom w:val="none" w:sz="0" w:space="0" w:color="auto"/>
        <w:right w:val="none" w:sz="0" w:space="0" w:color="auto"/>
      </w:divBdr>
    </w:div>
    <w:div w:id="914514278">
      <w:bodyDiv w:val="1"/>
      <w:marLeft w:val="0"/>
      <w:marRight w:val="0"/>
      <w:marTop w:val="0"/>
      <w:marBottom w:val="0"/>
      <w:divBdr>
        <w:top w:val="none" w:sz="0" w:space="0" w:color="auto"/>
        <w:left w:val="none" w:sz="0" w:space="0" w:color="auto"/>
        <w:bottom w:val="none" w:sz="0" w:space="0" w:color="auto"/>
        <w:right w:val="none" w:sz="0" w:space="0" w:color="auto"/>
      </w:divBdr>
    </w:div>
    <w:div w:id="915090418">
      <w:bodyDiv w:val="1"/>
      <w:marLeft w:val="0"/>
      <w:marRight w:val="0"/>
      <w:marTop w:val="0"/>
      <w:marBottom w:val="0"/>
      <w:divBdr>
        <w:top w:val="none" w:sz="0" w:space="0" w:color="auto"/>
        <w:left w:val="none" w:sz="0" w:space="0" w:color="auto"/>
        <w:bottom w:val="none" w:sz="0" w:space="0" w:color="auto"/>
        <w:right w:val="none" w:sz="0" w:space="0" w:color="auto"/>
      </w:divBdr>
      <w:divsChild>
        <w:div w:id="628442342">
          <w:marLeft w:val="0"/>
          <w:marRight w:val="0"/>
          <w:marTop w:val="0"/>
          <w:marBottom w:val="0"/>
          <w:divBdr>
            <w:top w:val="none" w:sz="0" w:space="0" w:color="auto"/>
            <w:left w:val="none" w:sz="0" w:space="0" w:color="auto"/>
            <w:bottom w:val="none" w:sz="0" w:space="0" w:color="auto"/>
            <w:right w:val="none" w:sz="0" w:space="0" w:color="auto"/>
          </w:divBdr>
          <w:divsChild>
            <w:div w:id="262417715">
              <w:marLeft w:val="0"/>
              <w:marRight w:val="0"/>
              <w:marTop w:val="0"/>
              <w:marBottom w:val="0"/>
              <w:divBdr>
                <w:top w:val="none" w:sz="0" w:space="0" w:color="auto"/>
                <w:left w:val="none" w:sz="0" w:space="0" w:color="auto"/>
                <w:bottom w:val="none" w:sz="0" w:space="0" w:color="auto"/>
                <w:right w:val="none" w:sz="0" w:space="0" w:color="auto"/>
              </w:divBdr>
              <w:divsChild>
                <w:div w:id="1866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11537">
      <w:bodyDiv w:val="1"/>
      <w:marLeft w:val="0"/>
      <w:marRight w:val="0"/>
      <w:marTop w:val="0"/>
      <w:marBottom w:val="0"/>
      <w:divBdr>
        <w:top w:val="none" w:sz="0" w:space="0" w:color="auto"/>
        <w:left w:val="none" w:sz="0" w:space="0" w:color="auto"/>
        <w:bottom w:val="none" w:sz="0" w:space="0" w:color="auto"/>
        <w:right w:val="none" w:sz="0" w:space="0" w:color="auto"/>
      </w:divBdr>
    </w:div>
    <w:div w:id="924190231">
      <w:bodyDiv w:val="1"/>
      <w:marLeft w:val="0"/>
      <w:marRight w:val="0"/>
      <w:marTop w:val="0"/>
      <w:marBottom w:val="0"/>
      <w:divBdr>
        <w:top w:val="none" w:sz="0" w:space="0" w:color="auto"/>
        <w:left w:val="none" w:sz="0" w:space="0" w:color="auto"/>
        <w:bottom w:val="none" w:sz="0" w:space="0" w:color="auto"/>
        <w:right w:val="none" w:sz="0" w:space="0" w:color="auto"/>
      </w:divBdr>
      <w:divsChild>
        <w:div w:id="1296059719">
          <w:marLeft w:val="0"/>
          <w:marRight w:val="0"/>
          <w:marTop w:val="0"/>
          <w:marBottom w:val="0"/>
          <w:divBdr>
            <w:top w:val="none" w:sz="0" w:space="0" w:color="auto"/>
            <w:left w:val="none" w:sz="0" w:space="0" w:color="auto"/>
            <w:bottom w:val="none" w:sz="0" w:space="0" w:color="auto"/>
            <w:right w:val="none" w:sz="0" w:space="0" w:color="auto"/>
          </w:divBdr>
          <w:divsChild>
            <w:div w:id="286744408">
              <w:marLeft w:val="0"/>
              <w:marRight w:val="0"/>
              <w:marTop w:val="0"/>
              <w:marBottom w:val="0"/>
              <w:divBdr>
                <w:top w:val="none" w:sz="0" w:space="0" w:color="auto"/>
                <w:left w:val="none" w:sz="0" w:space="0" w:color="auto"/>
                <w:bottom w:val="none" w:sz="0" w:space="0" w:color="auto"/>
                <w:right w:val="none" w:sz="0" w:space="0" w:color="auto"/>
              </w:divBdr>
              <w:divsChild>
                <w:div w:id="17633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6547">
      <w:bodyDiv w:val="1"/>
      <w:marLeft w:val="0"/>
      <w:marRight w:val="0"/>
      <w:marTop w:val="0"/>
      <w:marBottom w:val="0"/>
      <w:divBdr>
        <w:top w:val="none" w:sz="0" w:space="0" w:color="auto"/>
        <w:left w:val="none" w:sz="0" w:space="0" w:color="auto"/>
        <w:bottom w:val="none" w:sz="0" w:space="0" w:color="auto"/>
        <w:right w:val="none" w:sz="0" w:space="0" w:color="auto"/>
      </w:divBdr>
      <w:divsChild>
        <w:div w:id="1115372306">
          <w:marLeft w:val="0"/>
          <w:marRight w:val="0"/>
          <w:marTop w:val="0"/>
          <w:marBottom w:val="0"/>
          <w:divBdr>
            <w:top w:val="none" w:sz="0" w:space="0" w:color="auto"/>
            <w:left w:val="none" w:sz="0" w:space="0" w:color="auto"/>
            <w:bottom w:val="none" w:sz="0" w:space="0" w:color="auto"/>
            <w:right w:val="none" w:sz="0" w:space="0" w:color="auto"/>
          </w:divBdr>
          <w:divsChild>
            <w:div w:id="1322731940">
              <w:marLeft w:val="0"/>
              <w:marRight w:val="0"/>
              <w:marTop w:val="0"/>
              <w:marBottom w:val="0"/>
              <w:divBdr>
                <w:top w:val="none" w:sz="0" w:space="0" w:color="auto"/>
                <w:left w:val="none" w:sz="0" w:space="0" w:color="auto"/>
                <w:bottom w:val="none" w:sz="0" w:space="0" w:color="auto"/>
                <w:right w:val="none" w:sz="0" w:space="0" w:color="auto"/>
              </w:divBdr>
              <w:divsChild>
                <w:div w:id="17164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679">
      <w:bodyDiv w:val="1"/>
      <w:marLeft w:val="0"/>
      <w:marRight w:val="0"/>
      <w:marTop w:val="0"/>
      <w:marBottom w:val="0"/>
      <w:divBdr>
        <w:top w:val="none" w:sz="0" w:space="0" w:color="auto"/>
        <w:left w:val="none" w:sz="0" w:space="0" w:color="auto"/>
        <w:bottom w:val="none" w:sz="0" w:space="0" w:color="auto"/>
        <w:right w:val="none" w:sz="0" w:space="0" w:color="auto"/>
      </w:divBdr>
      <w:divsChild>
        <w:div w:id="1957717981">
          <w:marLeft w:val="0"/>
          <w:marRight w:val="0"/>
          <w:marTop w:val="0"/>
          <w:marBottom w:val="0"/>
          <w:divBdr>
            <w:top w:val="none" w:sz="0" w:space="0" w:color="auto"/>
            <w:left w:val="none" w:sz="0" w:space="0" w:color="auto"/>
            <w:bottom w:val="none" w:sz="0" w:space="0" w:color="auto"/>
            <w:right w:val="none" w:sz="0" w:space="0" w:color="auto"/>
          </w:divBdr>
          <w:divsChild>
            <w:div w:id="1129516900">
              <w:marLeft w:val="0"/>
              <w:marRight w:val="0"/>
              <w:marTop w:val="0"/>
              <w:marBottom w:val="0"/>
              <w:divBdr>
                <w:top w:val="none" w:sz="0" w:space="0" w:color="auto"/>
                <w:left w:val="none" w:sz="0" w:space="0" w:color="auto"/>
                <w:bottom w:val="none" w:sz="0" w:space="0" w:color="auto"/>
                <w:right w:val="none" w:sz="0" w:space="0" w:color="auto"/>
              </w:divBdr>
              <w:divsChild>
                <w:div w:id="2078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325">
      <w:bodyDiv w:val="1"/>
      <w:marLeft w:val="0"/>
      <w:marRight w:val="0"/>
      <w:marTop w:val="0"/>
      <w:marBottom w:val="0"/>
      <w:divBdr>
        <w:top w:val="none" w:sz="0" w:space="0" w:color="auto"/>
        <w:left w:val="none" w:sz="0" w:space="0" w:color="auto"/>
        <w:bottom w:val="none" w:sz="0" w:space="0" w:color="auto"/>
        <w:right w:val="none" w:sz="0" w:space="0" w:color="auto"/>
      </w:divBdr>
      <w:divsChild>
        <w:div w:id="1897088160">
          <w:marLeft w:val="0"/>
          <w:marRight w:val="0"/>
          <w:marTop w:val="0"/>
          <w:marBottom w:val="0"/>
          <w:divBdr>
            <w:top w:val="none" w:sz="0" w:space="0" w:color="auto"/>
            <w:left w:val="none" w:sz="0" w:space="0" w:color="auto"/>
            <w:bottom w:val="none" w:sz="0" w:space="0" w:color="auto"/>
            <w:right w:val="none" w:sz="0" w:space="0" w:color="auto"/>
          </w:divBdr>
          <w:divsChild>
            <w:div w:id="280988">
              <w:marLeft w:val="0"/>
              <w:marRight w:val="0"/>
              <w:marTop w:val="0"/>
              <w:marBottom w:val="0"/>
              <w:divBdr>
                <w:top w:val="none" w:sz="0" w:space="0" w:color="auto"/>
                <w:left w:val="none" w:sz="0" w:space="0" w:color="auto"/>
                <w:bottom w:val="none" w:sz="0" w:space="0" w:color="auto"/>
                <w:right w:val="none" w:sz="0" w:space="0" w:color="auto"/>
              </w:divBdr>
              <w:divsChild>
                <w:div w:id="8896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468">
      <w:bodyDiv w:val="1"/>
      <w:marLeft w:val="0"/>
      <w:marRight w:val="0"/>
      <w:marTop w:val="0"/>
      <w:marBottom w:val="0"/>
      <w:divBdr>
        <w:top w:val="none" w:sz="0" w:space="0" w:color="auto"/>
        <w:left w:val="none" w:sz="0" w:space="0" w:color="auto"/>
        <w:bottom w:val="none" w:sz="0" w:space="0" w:color="auto"/>
        <w:right w:val="none" w:sz="0" w:space="0" w:color="auto"/>
      </w:divBdr>
    </w:div>
    <w:div w:id="977422008">
      <w:bodyDiv w:val="1"/>
      <w:marLeft w:val="0"/>
      <w:marRight w:val="0"/>
      <w:marTop w:val="0"/>
      <w:marBottom w:val="0"/>
      <w:divBdr>
        <w:top w:val="none" w:sz="0" w:space="0" w:color="auto"/>
        <w:left w:val="none" w:sz="0" w:space="0" w:color="auto"/>
        <w:bottom w:val="none" w:sz="0" w:space="0" w:color="auto"/>
        <w:right w:val="none" w:sz="0" w:space="0" w:color="auto"/>
      </w:divBdr>
    </w:div>
    <w:div w:id="988245632">
      <w:bodyDiv w:val="1"/>
      <w:marLeft w:val="0"/>
      <w:marRight w:val="0"/>
      <w:marTop w:val="0"/>
      <w:marBottom w:val="0"/>
      <w:divBdr>
        <w:top w:val="none" w:sz="0" w:space="0" w:color="auto"/>
        <w:left w:val="none" w:sz="0" w:space="0" w:color="auto"/>
        <w:bottom w:val="none" w:sz="0" w:space="0" w:color="auto"/>
        <w:right w:val="none" w:sz="0" w:space="0" w:color="auto"/>
      </w:divBdr>
    </w:div>
    <w:div w:id="998734637">
      <w:bodyDiv w:val="1"/>
      <w:marLeft w:val="0"/>
      <w:marRight w:val="0"/>
      <w:marTop w:val="0"/>
      <w:marBottom w:val="0"/>
      <w:divBdr>
        <w:top w:val="none" w:sz="0" w:space="0" w:color="auto"/>
        <w:left w:val="none" w:sz="0" w:space="0" w:color="auto"/>
        <w:bottom w:val="none" w:sz="0" w:space="0" w:color="auto"/>
        <w:right w:val="none" w:sz="0" w:space="0" w:color="auto"/>
      </w:divBdr>
      <w:divsChild>
        <w:div w:id="2080443905">
          <w:marLeft w:val="0"/>
          <w:marRight w:val="0"/>
          <w:marTop w:val="0"/>
          <w:marBottom w:val="0"/>
          <w:divBdr>
            <w:top w:val="none" w:sz="0" w:space="0" w:color="auto"/>
            <w:left w:val="none" w:sz="0" w:space="0" w:color="auto"/>
            <w:bottom w:val="none" w:sz="0" w:space="0" w:color="auto"/>
            <w:right w:val="none" w:sz="0" w:space="0" w:color="auto"/>
          </w:divBdr>
          <w:divsChild>
            <w:div w:id="1022777126">
              <w:marLeft w:val="0"/>
              <w:marRight w:val="0"/>
              <w:marTop w:val="0"/>
              <w:marBottom w:val="0"/>
              <w:divBdr>
                <w:top w:val="none" w:sz="0" w:space="0" w:color="auto"/>
                <w:left w:val="none" w:sz="0" w:space="0" w:color="auto"/>
                <w:bottom w:val="none" w:sz="0" w:space="0" w:color="auto"/>
                <w:right w:val="none" w:sz="0" w:space="0" w:color="auto"/>
              </w:divBdr>
              <w:divsChild>
                <w:div w:id="387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5463">
      <w:bodyDiv w:val="1"/>
      <w:marLeft w:val="0"/>
      <w:marRight w:val="0"/>
      <w:marTop w:val="0"/>
      <w:marBottom w:val="0"/>
      <w:divBdr>
        <w:top w:val="none" w:sz="0" w:space="0" w:color="auto"/>
        <w:left w:val="none" w:sz="0" w:space="0" w:color="auto"/>
        <w:bottom w:val="none" w:sz="0" w:space="0" w:color="auto"/>
        <w:right w:val="none" w:sz="0" w:space="0" w:color="auto"/>
      </w:divBdr>
      <w:divsChild>
        <w:div w:id="1642342187">
          <w:marLeft w:val="0"/>
          <w:marRight w:val="0"/>
          <w:marTop w:val="0"/>
          <w:marBottom w:val="0"/>
          <w:divBdr>
            <w:top w:val="none" w:sz="0" w:space="0" w:color="auto"/>
            <w:left w:val="none" w:sz="0" w:space="0" w:color="auto"/>
            <w:bottom w:val="none" w:sz="0" w:space="0" w:color="auto"/>
            <w:right w:val="none" w:sz="0" w:space="0" w:color="auto"/>
          </w:divBdr>
          <w:divsChild>
            <w:div w:id="293096859">
              <w:marLeft w:val="0"/>
              <w:marRight w:val="0"/>
              <w:marTop w:val="0"/>
              <w:marBottom w:val="0"/>
              <w:divBdr>
                <w:top w:val="none" w:sz="0" w:space="0" w:color="auto"/>
                <w:left w:val="none" w:sz="0" w:space="0" w:color="auto"/>
                <w:bottom w:val="none" w:sz="0" w:space="0" w:color="auto"/>
                <w:right w:val="none" w:sz="0" w:space="0" w:color="auto"/>
              </w:divBdr>
              <w:divsChild>
                <w:div w:id="1230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5468">
      <w:bodyDiv w:val="1"/>
      <w:marLeft w:val="0"/>
      <w:marRight w:val="0"/>
      <w:marTop w:val="0"/>
      <w:marBottom w:val="0"/>
      <w:divBdr>
        <w:top w:val="none" w:sz="0" w:space="0" w:color="auto"/>
        <w:left w:val="none" w:sz="0" w:space="0" w:color="auto"/>
        <w:bottom w:val="none" w:sz="0" w:space="0" w:color="auto"/>
        <w:right w:val="none" w:sz="0" w:space="0" w:color="auto"/>
      </w:divBdr>
    </w:div>
    <w:div w:id="1060599005">
      <w:bodyDiv w:val="1"/>
      <w:marLeft w:val="0"/>
      <w:marRight w:val="0"/>
      <w:marTop w:val="0"/>
      <w:marBottom w:val="0"/>
      <w:divBdr>
        <w:top w:val="none" w:sz="0" w:space="0" w:color="auto"/>
        <w:left w:val="none" w:sz="0" w:space="0" w:color="auto"/>
        <w:bottom w:val="none" w:sz="0" w:space="0" w:color="auto"/>
        <w:right w:val="none" w:sz="0" w:space="0" w:color="auto"/>
      </w:divBdr>
    </w:div>
    <w:div w:id="1095368874">
      <w:bodyDiv w:val="1"/>
      <w:marLeft w:val="0"/>
      <w:marRight w:val="0"/>
      <w:marTop w:val="0"/>
      <w:marBottom w:val="0"/>
      <w:divBdr>
        <w:top w:val="none" w:sz="0" w:space="0" w:color="auto"/>
        <w:left w:val="none" w:sz="0" w:space="0" w:color="auto"/>
        <w:bottom w:val="none" w:sz="0" w:space="0" w:color="auto"/>
        <w:right w:val="none" w:sz="0" w:space="0" w:color="auto"/>
      </w:divBdr>
      <w:divsChild>
        <w:div w:id="1685745900">
          <w:marLeft w:val="1985"/>
          <w:marRight w:val="0"/>
          <w:marTop w:val="0"/>
          <w:marBottom w:val="0"/>
          <w:divBdr>
            <w:top w:val="none" w:sz="0" w:space="0" w:color="auto"/>
            <w:left w:val="none" w:sz="0" w:space="0" w:color="auto"/>
            <w:bottom w:val="none" w:sz="0" w:space="0" w:color="auto"/>
            <w:right w:val="none" w:sz="0" w:space="0" w:color="auto"/>
          </w:divBdr>
        </w:div>
      </w:divsChild>
    </w:div>
    <w:div w:id="1118329799">
      <w:bodyDiv w:val="1"/>
      <w:marLeft w:val="0"/>
      <w:marRight w:val="0"/>
      <w:marTop w:val="0"/>
      <w:marBottom w:val="0"/>
      <w:divBdr>
        <w:top w:val="none" w:sz="0" w:space="0" w:color="auto"/>
        <w:left w:val="none" w:sz="0" w:space="0" w:color="auto"/>
        <w:bottom w:val="none" w:sz="0" w:space="0" w:color="auto"/>
        <w:right w:val="none" w:sz="0" w:space="0" w:color="auto"/>
      </w:divBdr>
      <w:divsChild>
        <w:div w:id="1941331996">
          <w:marLeft w:val="0"/>
          <w:marRight w:val="0"/>
          <w:marTop w:val="0"/>
          <w:marBottom w:val="0"/>
          <w:divBdr>
            <w:top w:val="none" w:sz="0" w:space="0" w:color="auto"/>
            <w:left w:val="none" w:sz="0" w:space="0" w:color="auto"/>
            <w:bottom w:val="none" w:sz="0" w:space="0" w:color="auto"/>
            <w:right w:val="none" w:sz="0" w:space="0" w:color="auto"/>
          </w:divBdr>
          <w:divsChild>
            <w:div w:id="1549997384">
              <w:marLeft w:val="0"/>
              <w:marRight w:val="0"/>
              <w:marTop w:val="0"/>
              <w:marBottom w:val="0"/>
              <w:divBdr>
                <w:top w:val="none" w:sz="0" w:space="0" w:color="auto"/>
                <w:left w:val="none" w:sz="0" w:space="0" w:color="auto"/>
                <w:bottom w:val="none" w:sz="0" w:space="0" w:color="auto"/>
                <w:right w:val="none" w:sz="0" w:space="0" w:color="auto"/>
              </w:divBdr>
              <w:divsChild>
                <w:div w:id="1079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0848">
      <w:bodyDiv w:val="1"/>
      <w:marLeft w:val="0"/>
      <w:marRight w:val="0"/>
      <w:marTop w:val="0"/>
      <w:marBottom w:val="0"/>
      <w:divBdr>
        <w:top w:val="none" w:sz="0" w:space="0" w:color="auto"/>
        <w:left w:val="none" w:sz="0" w:space="0" w:color="auto"/>
        <w:bottom w:val="none" w:sz="0" w:space="0" w:color="auto"/>
        <w:right w:val="none" w:sz="0" w:space="0" w:color="auto"/>
      </w:divBdr>
      <w:divsChild>
        <w:div w:id="1623993272">
          <w:marLeft w:val="0"/>
          <w:marRight w:val="0"/>
          <w:marTop w:val="0"/>
          <w:marBottom w:val="0"/>
          <w:divBdr>
            <w:top w:val="none" w:sz="0" w:space="0" w:color="auto"/>
            <w:left w:val="none" w:sz="0" w:space="0" w:color="auto"/>
            <w:bottom w:val="none" w:sz="0" w:space="0" w:color="auto"/>
            <w:right w:val="none" w:sz="0" w:space="0" w:color="auto"/>
          </w:divBdr>
          <w:divsChild>
            <w:div w:id="159588517">
              <w:marLeft w:val="0"/>
              <w:marRight w:val="0"/>
              <w:marTop w:val="0"/>
              <w:marBottom w:val="0"/>
              <w:divBdr>
                <w:top w:val="none" w:sz="0" w:space="0" w:color="auto"/>
                <w:left w:val="none" w:sz="0" w:space="0" w:color="auto"/>
                <w:bottom w:val="none" w:sz="0" w:space="0" w:color="auto"/>
                <w:right w:val="none" w:sz="0" w:space="0" w:color="auto"/>
              </w:divBdr>
              <w:divsChild>
                <w:div w:id="9702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8918">
      <w:bodyDiv w:val="1"/>
      <w:marLeft w:val="0"/>
      <w:marRight w:val="0"/>
      <w:marTop w:val="0"/>
      <w:marBottom w:val="0"/>
      <w:divBdr>
        <w:top w:val="none" w:sz="0" w:space="0" w:color="auto"/>
        <w:left w:val="none" w:sz="0" w:space="0" w:color="auto"/>
        <w:bottom w:val="none" w:sz="0" w:space="0" w:color="auto"/>
        <w:right w:val="none" w:sz="0" w:space="0" w:color="auto"/>
      </w:divBdr>
      <w:divsChild>
        <w:div w:id="610749494">
          <w:marLeft w:val="0"/>
          <w:marRight w:val="0"/>
          <w:marTop w:val="0"/>
          <w:marBottom w:val="0"/>
          <w:divBdr>
            <w:top w:val="none" w:sz="0" w:space="0" w:color="auto"/>
            <w:left w:val="none" w:sz="0" w:space="0" w:color="auto"/>
            <w:bottom w:val="none" w:sz="0" w:space="0" w:color="auto"/>
            <w:right w:val="none" w:sz="0" w:space="0" w:color="auto"/>
          </w:divBdr>
          <w:divsChild>
            <w:div w:id="579293341">
              <w:marLeft w:val="0"/>
              <w:marRight w:val="0"/>
              <w:marTop w:val="0"/>
              <w:marBottom w:val="0"/>
              <w:divBdr>
                <w:top w:val="none" w:sz="0" w:space="0" w:color="auto"/>
                <w:left w:val="none" w:sz="0" w:space="0" w:color="auto"/>
                <w:bottom w:val="none" w:sz="0" w:space="0" w:color="auto"/>
                <w:right w:val="none" w:sz="0" w:space="0" w:color="auto"/>
              </w:divBdr>
              <w:divsChild>
                <w:div w:id="2340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978">
      <w:bodyDiv w:val="1"/>
      <w:marLeft w:val="0"/>
      <w:marRight w:val="0"/>
      <w:marTop w:val="0"/>
      <w:marBottom w:val="0"/>
      <w:divBdr>
        <w:top w:val="none" w:sz="0" w:space="0" w:color="auto"/>
        <w:left w:val="none" w:sz="0" w:space="0" w:color="auto"/>
        <w:bottom w:val="none" w:sz="0" w:space="0" w:color="auto"/>
        <w:right w:val="none" w:sz="0" w:space="0" w:color="auto"/>
      </w:divBdr>
    </w:div>
    <w:div w:id="1164972068">
      <w:bodyDiv w:val="1"/>
      <w:marLeft w:val="0"/>
      <w:marRight w:val="0"/>
      <w:marTop w:val="0"/>
      <w:marBottom w:val="0"/>
      <w:divBdr>
        <w:top w:val="none" w:sz="0" w:space="0" w:color="auto"/>
        <w:left w:val="none" w:sz="0" w:space="0" w:color="auto"/>
        <w:bottom w:val="none" w:sz="0" w:space="0" w:color="auto"/>
        <w:right w:val="none" w:sz="0" w:space="0" w:color="auto"/>
      </w:divBdr>
      <w:divsChild>
        <w:div w:id="1111052589">
          <w:marLeft w:val="0"/>
          <w:marRight w:val="0"/>
          <w:marTop w:val="0"/>
          <w:marBottom w:val="0"/>
          <w:divBdr>
            <w:top w:val="none" w:sz="0" w:space="0" w:color="auto"/>
            <w:left w:val="none" w:sz="0" w:space="0" w:color="auto"/>
            <w:bottom w:val="none" w:sz="0" w:space="0" w:color="auto"/>
            <w:right w:val="none" w:sz="0" w:space="0" w:color="auto"/>
          </w:divBdr>
          <w:divsChild>
            <w:div w:id="1926109828">
              <w:marLeft w:val="0"/>
              <w:marRight w:val="0"/>
              <w:marTop w:val="0"/>
              <w:marBottom w:val="0"/>
              <w:divBdr>
                <w:top w:val="none" w:sz="0" w:space="0" w:color="auto"/>
                <w:left w:val="none" w:sz="0" w:space="0" w:color="auto"/>
                <w:bottom w:val="none" w:sz="0" w:space="0" w:color="auto"/>
                <w:right w:val="none" w:sz="0" w:space="0" w:color="auto"/>
              </w:divBdr>
              <w:divsChild>
                <w:div w:id="2087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8434">
      <w:bodyDiv w:val="1"/>
      <w:marLeft w:val="0"/>
      <w:marRight w:val="0"/>
      <w:marTop w:val="0"/>
      <w:marBottom w:val="0"/>
      <w:divBdr>
        <w:top w:val="none" w:sz="0" w:space="0" w:color="auto"/>
        <w:left w:val="none" w:sz="0" w:space="0" w:color="auto"/>
        <w:bottom w:val="none" w:sz="0" w:space="0" w:color="auto"/>
        <w:right w:val="none" w:sz="0" w:space="0" w:color="auto"/>
      </w:divBdr>
    </w:div>
    <w:div w:id="1179277728">
      <w:bodyDiv w:val="1"/>
      <w:marLeft w:val="0"/>
      <w:marRight w:val="0"/>
      <w:marTop w:val="0"/>
      <w:marBottom w:val="0"/>
      <w:divBdr>
        <w:top w:val="none" w:sz="0" w:space="0" w:color="auto"/>
        <w:left w:val="none" w:sz="0" w:space="0" w:color="auto"/>
        <w:bottom w:val="none" w:sz="0" w:space="0" w:color="auto"/>
        <w:right w:val="none" w:sz="0" w:space="0" w:color="auto"/>
      </w:divBdr>
    </w:div>
    <w:div w:id="1181243517">
      <w:bodyDiv w:val="1"/>
      <w:marLeft w:val="0"/>
      <w:marRight w:val="0"/>
      <w:marTop w:val="0"/>
      <w:marBottom w:val="0"/>
      <w:divBdr>
        <w:top w:val="none" w:sz="0" w:space="0" w:color="auto"/>
        <w:left w:val="none" w:sz="0" w:space="0" w:color="auto"/>
        <w:bottom w:val="none" w:sz="0" w:space="0" w:color="auto"/>
        <w:right w:val="none" w:sz="0" w:space="0" w:color="auto"/>
      </w:divBdr>
      <w:divsChild>
        <w:div w:id="2010787228">
          <w:marLeft w:val="0"/>
          <w:marRight w:val="0"/>
          <w:marTop w:val="0"/>
          <w:marBottom w:val="0"/>
          <w:divBdr>
            <w:top w:val="none" w:sz="0" w:space="0" w:color="auto"/>
            <w:left w:val="none" w:sz="0" w:space="0" w:color="auto"/>
            <w:bottom w:val="none" w:sz="0" w:space="0" w:color="auto"/>
            <w:right w:val="none" w:sz="0" w:space="0" w:color="auto"/>
          </w:divBdr>
          <w:divsChild>
            <w:div w:id="1066143895">
              <w:marLeft w:val="0"/>
              <w:marRight w:val="0"/>
              <w:marTop w:val="0"/>
              <w:marBottom w:val="0"/>
              <w:divBdr>
                <w:top w:val="none" w:sz="0" w:space="0" w:color="auto"/>
                <w:left w:val="none" w:sz="0" w:space="0" w:color="auto"/>
                <w:bottom w:val="none" w:sz="0" w:space="0" w:color="auto"/>
                <w:right w:val="none" w:sz="0" w:space="0" w:color="auto"/>
              </w:divBdr>
              <w:divsChild>
                <w:div w:id="20454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8445">
      <w:bodyDiv w:val="1"/>
      <w:marLeft w:val="0"/>
      <w:marRight w:val="0"/>
      <w:marTop w:val="0"/>
      <w:marBottom w:val="0"/>
      <w:divBdr>
        <w:top w:val="none" w:sz="0" w:space="0" w:color="auto"/>
        <w:left w:val="none" w:sz="0" w:space="0" w:color="auto"/>
        <w:bottom w:val="none" w:sz="0" w:space="0" w:color="auto"/>
        <w:right w:val="none" w:sz="0" w:space="0" w:color="auto"/>
      </w:divBdr>
      <w:divsChild>
        <w:div w:id="59788549">
          <w:marLeft w:val="0"/>
          <w:marRight w:val="0"/>
          <w:marTop w:val="0"/>
          <w:marBottom w:val="0"/>
          <w:divBdr>
            <w:top w:val="none" w:sz="0" w:space="0" w:color="auto"/>
            <w:left w:val="none" w:sz="0" w:space="0" w:color="auto"/>
            <w:bottom w:val="none" w:sz="0" w:space="0" w:color="auto"/>
            <w:right w:val="none" w:sz="0" w:space="0" w:color="auto"/>
          </w:divBdr>
          <w:divsChild>
            <w:div w:id="1794131166">
              <w:marLeft w:val="0"/>
              <w:marRight w:val="0"/>
              <w:marTop w:val="0"/>
              <w:marBottom w:val="0"/>
              <w:divBdr>
                <w:top w:val="none" w:sz="0" w:space="0" w:color="auto"/>
                <w:left w:val="none" w:sz="0" w:space="0" w:color="auto"/>
                <w:bottom w:val="none" w:sz="0" w:space="0" w:color="auto"/>
                <w:right w:val="none" w:sz="0" w:space="0" w:color="auto"/>
              </w:divBdr>
              <w:divsChild>
                <w:div w:id="15890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5588">
      <w:bodyDiv w:val="1"/>
      <w:marLeft w:val="0"/>
      <w:marRight w:val="0"/>
      <w:marTop w:val="0"/>
      <w:marBottom w:val="0"/>
      <w:divBdr>
        <w:top w:val="none" w:sz="0" w:space="0" w:color="auto"/>
        <w:left w:val="none" w:sz="0" w:space="0" w:color="auto"/>
        <w:bottom w:val="none" w:sz="0" w:space="0" w:color="auto"/>
        <w:right w:val="none" w:sz="0" w:space="0" w:color="auto"/>
      </w:divBdr>
    </w:div>
    <w:div w:id="1190409548">
      <w:bodyDiv w:val="1"/>
      <w:marLeft w:val="0"/>
      <w:marRight w:val="0"/>
      <w:marTop w:val="0"/>
      <w:marBottom w:val="0"/>
      <w:divBdr>
        <w:top w:val="none" w:sz="0" w:space="0" w:color="auto"/>
        <w:left w:val="none" w:sz="0" w:space="0" w:color="auto"/>
        <w:bottom w:val="none" w:sz="0" w:space="0" w:color="auto"/>
        <w:right w:val="none" w:sz="0" w:space="0" w:color="auto"/>
      </w:divBdr>
    </w:div>
    <w:div w:id="1202867398">
      <w:bodyDiv w:val="1"/>
      <w:marLeft w:val="0"/>
      <w:marRight w:val="0"/>
      <w:marTop w:val="0"/>
      <w:marBottom w:val="0"/>
      <w:divBdr>
        <w:top w:val="none" w:sz="0" w:space="0" w:color="auto"/>
        <w:left w:val="none" w:sz="0" w:space="0" w:color="auto"/>
        <w:bottom w:val="none" w:sz="0" w:space="0" w:color="auto"/>
        <w:right w:val="none" w:sz="0" w:space="0" w:color="auto"/>
      </w:divBdr>
      <w:divsChild>
        <w:div w:id="1272778651">
          <w:marLeft w:val="0"/>
          <w:marRight w:val="0"/>
          <w:marTop w:val="0"/>
          <w:marBottom w:val="0"/>
          <w:divBdr>
            <w:top w:val="none" w:sz="0" w:space="0" w:color="auto"/>
            <w:left w:val="none" w:sz="0" w:space="0" w:color="auto"/>
            <w:bottom w:val="none" w:sz="0" w:space="0" w:color="auto"/>
            <w:right w:val="none" w:sz="0" w:space="0" w:color="auto"/>
          </w:divBdr>
          <w:divsChild>
            <w:div w:id="723409611">
              <w:marLeft w:val="0"/>
              <w:marRight w:val="0"/>
              <w:marTop w:val="0"/>
              <w:marBottom w:val="0"/>
              <w:divBdr>
                <w:top w:val="none" w:sz="0" w:space="0" w:color="auto"/>
                <w:left w:val="none" w:sz="0" w:space="0" w:color="auto"/>
                <w:bottom w:val="none" w:sz="0" w:space="0" w:color="auto"/>
                <w:right w:val="none" w:sz="0" w:space="0" w:color="auto"/>
              </w:divBdr>
              <w:divsChild>
                <w:div w:id="17422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5828">
      <w:bodyDiv w:val="1"/>
      <w:marLeft w:val="0"/>
      <w:marRight w:val="0"/>
      <w:marTop w:val="0"/>
      <w:marBottom w:val="0"/>
      <w:divBdr>
        <w:top w:val="none" w:sz="0" w:space="0" w:color="auto"/>
        <w:left w:val="none" w:sz="0" w:space="0" w:color="auto"/>
        <w:bottom w:val="none" w:sz="0" w:space="0" w:color="auto"/>
        <w:right w:val="none" w:sz="0" w:space="0" w:color="auto"/>
      </w:divBdr>
      <w:divsChild>
        <w:div w:id="1797095148">
          <w:marLeft w:val="1080"/>
          <w:marRight w:val="0"/>
          <w:marTop w:val="0"/>
          <w:marBottom w:val="120"/>
          <w:divBdr>
            <w:top w:val="none" w:sz="0" w:space="0" w:color="auto"/>
            <w:left w:val="none" w:sz="0" w:space="0" w:color="auto"/>
            <w:bottom w:val="none" w:sz="0" w:space="0" w:color="auto"/>
            <w:right w:val="none" w:sz="0" w:space="0" w:color="auto"/>
          </w:divBdr>
        </w:div>
      </w:divsChild>
    </w:div>
    <w:div w:id="1236933410">
      <w:bodyDiv w:val="1"/>
      <w:marLeft w:val="0"/>
      <w:marRight w:val="0"/>
      <w:marTop w:val="0"/>
      <w:marBottom w:val="0"/>
      <w:divBdr>
        <w:top w:val="none" w:sz="0" w:space="0" w:color="auto"/>
        <w:left w:val="none" w:sz="0" w:space="0" w:color="auto"/>
        <w:bottom w:val="none" w:sz="0" w:space="0" w:color="auto"/>
        <w:right w:val="none" w:sz="0" w:space="0" w:color="auto"/>
      </w:divBdr>
      <w:divsChild>
        <w:div w:id="1573810246">
          <w:marLeft w:val="0"/>
          <w:marRight w:val="0"/>
          <w:marTop w:val="0"/>
          <w:marBottom w:val="0"/>
          <w:divBdr>
            <w:top w:val="none" w:sz="0" w:space="0" w:color="auto"/>
            <w:left w:val="none" w:sz="0" w:space="0" w:color="auto"/>
            <w:bottom w:val="none" w:sz="0" w:space="0" w:color="auto"/>
            <w:right w:val="none" w:sz="0" w:space="0" w:color="auto"/>
          </w:divBdr>
          <w:divsChild>
            <w:div w:id="1777872324">
              <w:marLeft w:val="0"/>
              <w:marRight w:val="0"/>
              <w:marTop w:val="0"/>
              <w:marBottom w:val="0"/>
              <w:divBdr>
                <w:top w:val="none" w:sz="0" w:space="0" w:color="auto"/>
                <w:left w:val="none" w:sz="0" w:space="0" w:color="auto"/>
                <w:bottom w:val="none" w:sz="0" w:space="0" w:color="auto"/>
                <w:right w:val="none" w:sz="0" w:space="0" w:color="auto"/>
              </w:divBdr>
              <w:divsChild>
                <w:div w:id="6238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0989">
      <w:bodyDiv w:val="1"/>
      <w:marLeft w:val="0"/>
      <w:marRight w:val="0"/>
      <w:marTop w:val="0"/>
      <w:marBottom w:val="0"/>
      <w:divBdr>
        <w:top w:val="none" w:sz="0" w:space="0" w:color="auto"/>
        <w:left w:val="none" w:sz="0" w:space="0" w:color="auto"/>
        <w:bottom w:val="none" w:sz="0" w:space="0" w:color="auto"/>
        <w:right w:val="none" w:sz="0" w:space="0" w:color="auto"/>
      </w:divBdr>
    </w:div>
    <w:div w:id="1269587060">
      <w:bodyDiv w:val="1"/>
      <w:marLeft w:val="0"/>
      <w:marRight w:val="0"/>
      <w:marTop w:val="0"/>
      <w:marBottom w:val="0"/>
      <w:divBdr>
        <w:top w:val="none" w:sz="0" w:space="0" w:color="auto"/>
        <w:left w:val="none" w:sz="0" w:space="0" w:color="auto"/>
        <w:bottom w:val="none" w:sz="0" w:space="0" w:color="auto"/>
        <w:right w:val="none" w:sz="0" w:space="0" w:color="auto"/>
      </w:divBdr>
    </w:div>
    <w:div w:id="1271008754">
      <w:bodyDiv w:val="1"/>
      <w:marLeft w:val="0"/>
      <w:marRight w:val="0"/>
      <w:marTop w:val="0"/>
      <w:marBottom w:val="0"/>
      <w:divBdr>
        <w:top w:val="none" w:sz="0" w:space="0" w:color="auto"/>
        <w:left w:val="none" w:sz="0" w:space="0" w:color="auto"/>
        <w:bottom w:val="none" w:sz="0" w:space="0" w:color="auto"/>
        <w:right w:val="none" w:sz="0" w:space="0" w:color="auto"/>
      </w:divBdr>
    </w:div>
    <w:div w:id="1287925392">
      <w:bodyDiv w:val="1"/>
      <w:marLeft w:val="0"/>
      <w:marRight w:val="0"/>
      <w:marTop w:val="0"/>
      <w:marBottom w:val="0"/>
      <w:divBdr>
        <w:top w:val="none" w:sz="0" w:space="0" w:color="auto"/>
        <w:left w:val="none" w:sz="0" w:space="0" w:color="auto"/>
        <w:bottom w:val="none" w:sz="0" w:space="0" w:color="auto"/>
        <w:right w:val="none" w:sz="0" w:space="0" w:color="auto"/>
      </w:divBdr>
    </w:div>
    <w:div w:id="1319965775">
      <w:bodyDiv w:val="1"/>
      <w:marLeft w:val="0"/>
      <w:marRight w:val="0"/>
      <w:marTop w:val="0"/>
      <w:marBottom w:val="0"/>
      <w:divBdr>
        <w:top w:val="none" w:sz="0" w:space="0" w:color="auto"/>
        <w:left w:val="none" w:sz="0" w:space="0" w:color="auto"/>
        <w:bottom w:val="none" w:sz="0" w:space="0" w:color="auto"/>
        <w:right w:val="none" w:sz="0" w:space="0" w:color="auto"/>
      </w:divBdr>
    </w:div>
    <w:div w:id="1328050069">
      <w:bodyDiv w:val="1"/>
      <w:marLeft w:val="0"/>
      <w:marRight w:val="0"/>
      <w:marTop w:val="0"/>
      <w:marBottom w:val="0"/>
      <w:divBdr>
        <w:top w:val="none" w:sz="0" w:space="0" w:color="auto"/>
        <w:left w:val="none" w:sz="0" w:space="0" w:color="auto"/>
        <w:bottom w:val="none" w:sz="0" w:space="0" w:color="auto"/>
        <w:right w:val="none" w:sz="0" w:space="0" w:color="auto"/>
      </w:divBdr>
    </w:div>
    <w:div w:id="1330064253">
      <w:bodyDiv w:val="1"/>
      <w:marLeft w:val="0"/>
      <w:marRight w:val="0"/>
      <w:marTop w:val="0"/>
      <w:marBottom w:val="0"/>
      <w:divBdr>
        <w:top w:val="none" w:sz="0" w:space="0" w:color="auto"/>
        <w:left w:val="none" w:sz="0" w:space="0" w:color="auto"/>
        <w:bottom w:val="none" w:sz="0" w:space="0" w:color="auto"/>
        <w:right w:val="none" w:sz="0" w:space="0" w:color="auto"/>
      </w:divBdr>
      <w:divsChild>
        <w:div w:id="1540051002">
          <w:marLeft w:val="0"/>
          <w:marRight w:val="0"/>
          <w:marTop w:val="0"/>
          <w:marBottom w:val="0"/>
          <w:divBdr>
            <w:top w:val="none" w:sz="0" w:space="0" w:color="auto"/>
            <w:left w:val="none" w:sz="0" w:space="0" w:color="auto"/>
            <w:bottom w:val="none" w:sz="0" w:space="0" w:color="auto"/>
            <w:right w:val="none" w:sz="0" w:space="0" w:color="auto"/>
          </w:divBdr>
          <w:divsChild>
            <w:div w:id="311758177">
              <w:marLeft w:val="0"/>
              <w:marRight w:val="0"/>
              <w:marTop w:val="0"/>
              <w:marBottom w:val="0"/>
              <w:divBdr>
                <w:top w:val="none" w:sz="0" w:space="0" w:color="auto"/>
                <w:left w:val="none" w:sz="0" w:space="0" w:color="auto"/>
                <w:bottom w:val="none" w:sz="0" w:space="0" w:color="auto"/>
                <w:right w:val="none" w:sz="0" w:space="0" w:color="auto"/>
              </w:divBdr>
              <w:divsChild>
                <w:div w:id="19194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4382">
      <w:bodyDiv w:val="1"/>
      <w:marLeft w:val="0"/>
      <w:marRight w:val="0"/>
      <w:marTop w:val="0"/>
      <w:marBottom w:val="0"/>
      <w:divBdr>
        <w:top w:val="none" w:sz="0" w:space="0" w:color="auto"/>
        <w:left w:val="none" w:sz="0" w:space="0" w:color="auto"/>
        <w:bottom w:val="none" w:sz="0" w:space="0" w:color="auto"/>
        <w:right w:val="none" w:sz="0" w:space="0" w:color="auto"/>
      </w:divBdr>
      <w:divsChild>
        <w:div w:id="68701428">
          <w:marLeft w:val="0"/>
          <w:marRight w:val="0"/>
          <w:marTop w:val="0"/>
          <w:marBottom w:val="0"/>
          <w:divBdr>
            <w:top w:val="none" w:sz="0" w:space="0" w:color="auto"/>
            <w:left w:val="none" w:sz="0" w:space="0" w:color="auto"/>
            <w:bottom w:val="none" w:sz="0" w:space="0" w:color="auto"/>
            <w:right w:val="none" w:sz="0" w:space="0" w:color="auto"/>
          </w:divBdr>
          <w:divsChild>
            <w:div w:id="293950163">
              <w:marLeft w:val="0"/>
              <w:marRight w:val="0"/>
              <w:marTop w:val="0"/>
              <w:marBottom w:val="0"/>
              <w:divBdr>
                <w:top w:val="none" w:sz="0" w:space="0" w:color="auto"/>
                <w:left w:val="none" w:sz="0" w:space="0" w:color="auto"/>
                <w:bottom w:val="none" w:sz="0" w:space="0" w:color="auto"/>
                <w:right w:val="none" w:sz="0" w:space="0" w:color="auto"/>
              </w:divBdr>
              <w:divsChild>
                <w:div w:id="15302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4128">
      <w:bodyDiv w:val="1"/>
      <w:marLeft w:val="0"/>
      <w:marRight w:val="0"/>
      <w:marTop w:val="0"/>
      <w:marBottom w:val="0"/>
      <w:divBdr>
        <w:top w:val="none" w:sz="0" w:space="0" w:color="auto"/>
        <w:left w:val="none" w:sz="0" w:space="0" w:color="auto"/>
        <w:bottom w:val="none" w:sz="0" w:space="0" w:color="auto"/>
        <w:right w:val="none" w:sz="0" w:space="0" w:color="auto"/>
      </w:divBdr>
      <w:divsChild>
        <w:div w:id="145053621">
          <w:marLeft w:val="0"/>
          <w:marRight w:val="0"/>
          <w:marTop w:val="0"/>
          <w:marBottom w:val="0"/>
          <w:divBdr>
            <w:top w:val="none" w:sz="0" w:space="0" w:color="auto"/>
            <w:left w:val="none" w:sz="0" w:space="0" w:color="auto"/>
            <w:bottom w:val="none" w:sz="0" w:space="0" w:color="auto"/>
            <w:right w:val="none" w:sz="0" w:space="0" w:color="auto"/>
          </w:divBdr>
          <w:divsChild>
            <w:div w:id="495347129">
              <w:marLeft w:val="0"/>
              <w:marRight w:val="0"/>
              <w:marTop w:val="0"/>
              <w:marBottom w:val="0"/>
              <w:divBdr>
                <w:top w:val="none" w:sz="0" w:space="0" w:color="auto"/>
                <w:left w:val="none" w:sz="0" w:space="0" w:color="auto"/>
                <w:bottom w:val="none" w:sz="0" w:space="0" w:color="auto"/>
                <w:right w:val="none" w:sz="0" w:space="0" w:color="auto"/>
              </w:divBdr>
              <w:divsChild>
                <w:div w:id="8323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513">
      <w:bodyDiv w:val="1"/>
      <w:marLeft w:val="0"/>
      <w:marRight w:val="0"/>
      <w:marTop w:val="0"/>
      <w:marBottom w:val="0"/>
      <w:divBdr>
        <w:top w:val="none" w:sz="0" w:space="0" w:color="auto"/>
        <w:left w:val="none" w:sz="0" w:space="0" w:color="auto"/>
        <w:bottom w:val="none" w:sz="0" w:space="0" w:color="auto"/>
        <w:right w:val="none" w:sz="0" w:space="0" w:color="auto"/>
      </w:divBdr>
    </w:div>
    <w:div w:id="1364398336">
      <w:bodyDiv w:val="1"/>
      <w:marLeft w:val="0"/>
      <w:marRight w:val="0"/>
      <w:marTop w:val="0"/>
      <w:marBottom w:val="0"/>
      <w:divBdr>
        <w:top w:val="none" w:sz="0" w:space="0" w:color="auto"/>
        <w:left w:val="none" w:sz="0" w:space="0" w:color="auto"/>
        <w:bottom w:val="none" w:sz="0" w:space="0" w:color="auto"/>
        <w:right w:val="none" w:sz="0" w:space="0" w:color="auto"/>
      </w:divBdr>
      <w:divsChild>
        <w:div w:id="790977134">
          <w:marLeft w:val="0"/>
          <w:marRight w:val="0"/>
          <w:marTop w:val="0"/>
          <w:marBottom w:val="0"/>
          <w:divBdr>
            <w:top w:val="none" w:sz="0" w:space="0" w:color="auto"/>
            <w:left w:val="none" w:sz="0" w:space="0" w:color="auto"/>
            <w:bottom w:val="none" w:sz="0" w:space="0" w:color="auto"/>
            <w:right w:val="none" w:sz="0" w:space="0" w:color="auto"/>
          </w:divBdr>
          <w:divsChild>
            <w:div w:id="1654943536">
              <w:marLeft w:val="0"/>
              <w:marRight w:val="0"/>
              <w:marTop w:val="0"/>
              <w:marBottom w:val="0"/>
              <w:divBdr>
                <w:top w:val="none" w:sz="0" w:space="0" w:color="auto"/>
                <w:left w:val="none" w:sz="0" w:space="0" w:color="auto"/>
                <w:bottom w:val="none" w:sz="0" w:space="0" w:color="auto"/>
                <w:right w:val="none" w:sz="0" w:space="0" w:color="auto"/>
              </w:divBdr>
              <w:divsChild>
                <w:div w:id="11158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523">
      <w:bodyDiv w:val="1"/>
      <w:marLeft w:val="0"/>
      <w:marRight w:val="0"/>
      <w:marTop w:val="0"/>
      <w:marBottom w:val="0"/>
      <w:divBdr>
        <w:top w:val="none" w:sz="0" w:space="0" w:color="auto"/>
        <w:left w:val="none" w:sz="0" w:space="0" w:color="auto"/>
        <w:bottom w:val="none" w:sz="0" w:space="0" w:color="auto"/>
        <w:right w:val="none" w:sz="0" w:space="0" w:color="auto"/>
      </w:divBdr>
      <w:divsChild>
        <w:div w:id="1768034170">
          <w:marLeft w:val="0"/>
          <w:marRight w:val="0"/>
          <w:marTop w:val="0"/>
          <w:marBottom w:val="0"/>
          <w:divBdr>
            <w:top w:val="none" w:sz="0" w:space="0" w:color="auto"/>
            <w:left w:val="none" w:sz="0" w:space="0" w:color="auto"/>
            <w:bottom w:val="none" w:sz="0" w:space="0" w:color="auto"/>
            <w:right w:val="none" w:sz="0" w:space="0" w:color="auto"/>
          </w:divBdr>
          <w:divsChild>
            <w:div w:id="1814761306">
              <w:marLeft w:val="0"/>
              <w:marRight w:val="0"/>
              <w:marTop w:val="0"/>
              <w:marBottom w:val="0"/>
              <w:divBdr>
                <w:top w:val="none" w:sz="0" w:space="0" w:color="auto"/>
                <w:left w:val="none" w:sz="0" w:space="0" w:color="auto"/>
                <w:bottom w:val="none" w:sz="0" w:space="0" w:color="auto"/>
                <w:right w:val="none" w:sz="0" w:space="0" w:color="auto"/>
              </w:divBdr>
              <w:divsChild>
                <w:div w:id="7739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29533">
      <w:bodyDiv w:val="1"/>
      <w:marLeft w:val="0"/>
      <w:marRight w:val="0"/>
      <w:marTop w:val="0"/>
      <w:marBottom w:val="0"/>
      <w:divBdr>
        <w:top w:val="none" w:sz="0" w:space="0" w:color="auto"/>
        <w:left w:val="none" w:sz="0" w:space="0" w:color="auto"/>
        <w:bottom w:val="none" w:sz="0" w:space="0" w:color="auto"/>
        <w:right w:val="none" w:sz="0" w:space="0" w:color="auto"/>
      </w:divBdr>
      <w:divsChild>
        <w:div w:id="1744595807">
          <w:marLeft w:val="547"/>
          <w:marRight w:val="0"/>
          <w:marTop w:val="0"/>
          <w:marBottom w:val="120"/>
          <w:divBdr>
            <w:top w:val="none" w:sz="0" w:space="0" w:color="auto"/>
            <w:left w:val="none" w:sz="0" w:space="0" w:color="auto"/>
            <w:bottom w:val="none" w:sz="0" w:space="0" w:color="auto"/>
            <w:right w:val="none" w:sz="0" w:space="0" w:color="auto"/>
          </w:divBdr>
        </w:div>
      </w:divsChild>
    </w:div>
    <w:div w:id="1421219270">
      <w:bodyDiv w:val="1"/>
      <w:marLeft w:val="0"/>
      <w:marRight w:val="0"/>
      <w:marTop w:val="0"/>
      <w:marBottom w:val="0"/>
      <w:divBdr>
        <w:top w:val="none" w:sz="0" w:space="0" w:color="auto"/>
        <w:left w:val="none" w:sz="0" w:space="0" w:color="auto"/>
        <w:bottom w:val="none" w:sz="0" w:space="0" w:color="auto"/>
        <w:right w:val="none" w:sz="0" w:space="0" w:color="auto"/>
      </w:divBdr>
      <w:divsChild>
        <w:div w:id="2023360234">
          <w:marLeft w:val="0"/>
          <w:marRight w:val="0"/>
          <w:marTop w:val="0"/>
          <w:marBottom w:val="0"/>
          <w:divBdr>
            <w:top w:val="none" w:sz="0" w:space="0" w:color="auto"/>
            <w:left w:val="none" w:sz="0" w:space="0" w:color="auto"/>
            <w:bottom w:val="none" w:sz="0" w:space="0" w:color="auto"/>
            <w:right w:val="none" w:sz="0" w:space="0" w:color="auto"/>
          </w:divBdr>
          <w:divsChild>
            <w:div w:id="202526295">
              <w:marLeft w:val="0"/>
              <w:marRight w:val="0"/>
              <w:marTop w:val="0"/>
              <w:marBottom w:val="0"/>
              <w:divBdr>
                <w:top w:val="none" w:sz="0" w:space="0" w:color="auto"/>
                <w:left w:val="none" w:sz="0" w:space="0" w:color="auto"/>
                <w:bottom w:val="none" w:sz="0" w:space="0" w:color="auto"/>
                <w:right w:val="none" w:sz="0" w:space="0" w:color="auto"/>
              </w:divBdr>
              <w:divsChild>
                <w:div w:id="9848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4182">
      <w:bodyDiv w:val="1"/>
      <w:marLeft w:val="0"/>
      <w:marRight w:val="0"/>
      <w:marTop w:val="0"/>
      <w:marBottom w:val="0"/>
      <w:divBdr>
        <w:top w:val="none" w:sz="0" w:space="0" w:color="auto"/>
        <w:left w:val="none" w:sz="0" w:space="0" w:color="auto"/>
        <w:bottom w:val="none" w:sz="0" w:space="0" w:color="auto"/>
        <w:right w:val="none" w:sz="0" w:space="0" w:color="auto"/>
      </w:divBdr>
      <w:divsChild>
        <w:div w:id="51776815">
          <w:marLeft w:val="0"/>
          <w:marRight w:val="0"/>
          <w:marTop w:val="0"/>
          <w:marBottom w:val="0"/>
          <w:divBdr>
            <w:top w:val="none" w:sz="0" w:space="0" w:color="auto"/>
            <w:left w:val="none" w:sz="0" w:space="0" w:color="auto"/>
            <w:bottom w:val="none" w:sz="0" w:space="0" w:color="auto"/>
            <w:right w:val="none" w:sz="0" w:space="0" w:color="auto"/>
          </w:divBdr>
          <w:divsChild>
            <w:div w:id="828641545">
              <w:marLeft w:val="0"/>
              <w:marRight w:val="0"/>
              <w:marTop w:val="0"/>
              <w:marBottom w:val="0"/>
              <w:divBdr>
                <w:top w:val="none" w:sz="0" w:space="0" w:color="auto"/>
                <w:left w:val="none" w:sz="0" w:space="0" w:color="auto"/>
                <w:bottom w:val="none" w:sz="0" w:space="0" w:color="auto"/>
                <w:right w:val="none" w:sz="0" w:space="0" w:color="auto"/>
              </w:divBdr>
              <w:divsChild>
                <w:div w:id="1244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9581">
      <w:bodyDiv w:val="1"/>
      <w:marLeft w:val="0"/>
      <w:marRight w:val="0"/>
      <w:marTop w:val="0"/>
      <w:marBottom w:val="0"/>
      <w:divBdr>
        <w:top w:val="none" w:sz="0" w:space="0" w:color="auto"/>
        <w:left w:val="none" w:sz="0" w:space="0" w:color="auto"/>
        <w:bottom w:val="none" w:sz="0" w:space="0" w:color="auto"/>
        <w:right w:val="none" w:sz="0" w:space="0" w:color="auto"/>
      </w:divBdr>
    </w:div>
    <w:div w:id="1458598889">
      <w:bodyDiv w:val="1"/>
      <w:marLeft w:val="0"/>
      <w:marRight w:val="0"/>
      <w:marTop w:val="0"/>
      <w:marBottom w:val="0"/>
      <w:divBdr>
        <w:top w:val="none" w:sz="0" w:space="0" w:color="auto"/>
        <w:left w:val="none" w:sz="0" w:space="0" w:color="auto"/>
        <w:bottom w:val="none" w:sz="0" w:space="0" w:color="auto"/>
        <w:right w:val="none" w:sz="0" w:space="0" w:color="auto"/>
      </w:divBdr>
      <w:divsChild>
        <w:div w:id="488251523">
          <w:marLeft w:val="547"/>
          <w:marRight w:val="0"/>
          <w:marTop w:val="0"/>
          <w:marBottom w:val="120"/>
          <w:divBdr>
            <w:top w:val="none" w:sz="0" w:space="0" w:color="auto"/>
            <w:left w:val="none" w:sz="0" w:space="0" w:color="auto"/>
            <w:bottom w:val="none" w:sz="0" w:space="0" w:color="auto"/>
            <w:right w:val="none" w:sz="0" w:space="0" w:color="auto"/>
          </w:divBdr>
        </w:div>
      </w:divsChild>
    </w:div>
    <w:div w:id="1467311352">
      <w:bodyDiv w:val="1"/>
      <w:marLeft w:val="0"/>
      <w:marRight w:val="0"/>
      <w:marTop w:val="0"/>
      <w:marBottom w:val="0"/>
      <w:divBdr>
        <w:top w:val="none" w:sz="0" w:space="0" w:color="auto"/>
        <w:left w:val="none" w:sz="0" w:space="0" w:color="auto"/>
        <w:bottom w:val="none" w:sz="0" w:space="0" w:color="auto"/>
        <w:right w:val="none" w:sz="0" w:space="0" w:color="auto"/>
      </w:divBdr>
      <w:divsChild>
        <w:div w:id="487328561">
          <w:marLeft w:val="547"/>
          <w:marRight w:val="0"/>
          <w:marTop w:val="0"/>
          <w:marBottom w:val="120"/>
          <w:divBdr>
            <w:top w:val="none" w:sz="0" w:space="0" w:color="auto"/>
            <w:left w:val="none" w:sz="0" w:space="0" w:color="auto"/>
            <w:bottom w:val="none" w:sz="0" w:space="0" w:color="auto"/>
            <w:right w:val="none" w:sz="0" w:space="0" w:color="auto"/>
          </w:divBdr>
        </w:div>
      </w:divsChild>
    </w:div>
    <w:div w:id="1493329253">
      <w:bodyDiv w:val="1"/>
      <w:marLeft w:val="0"/>
      <w:marRight w:val="0"/>
      <w:marTop w:val="0"/>
      <w:marBottom w:val="0"/>
      <w:divBdr>
        <w:top w:val="none" w:sz="0" w:space="0" w:color="auto"/>
        <w:left w:val="none" w:sz="0" w:space="0" w:color="auto"/>
        <w:bottom w:val="none" w:sz="0" w:space="0" w:color="auto"/>
        <w:right w:val="none" w:sz="0" w:space="0" w:color="auto"/>
      </w:divBdr>
      <w:divsChild>
        <w:div w:id="1483040994">
          <w:marLeft w:val="0"/>
          <w:marRight w:val="0"/>
          <w:marTop w:val="0"/>
          <w:marBottom w:val="0"/>
          <w:divBdr>
            <w:top w:val="none" w:sz="0" w:space="0" w:color="auto"/>
            <w:left w:val="none" w:sz="0" w:space="0" w:color="auto"/>
            <w:bottom w:val="none" w:sz="0" w:space="0" w:color="auto"/>
            <w:right w:val="none" w:sz="0" w:space="0" w:color="auto"/>
          </w:divBdr>
          <w:divsChild>
            <w:div w:id="1788355512">
              <w:marLeft w:val="0"/>
              <w:marRight w:val="0"/>
              <w:marTop w:val="0"/>
              <w:marBottom w:val="0"/>
              <w:divBdr>
                <w:top w:val="none" w:sz="0" w:space="0" w:color="auto"/>
                <w:left w:val="none" w:sz="0" w:space="0" w:color="auto"/>
                <w:bottom w:val="none" w:sz="0" w:space="0" w:color="auto"/>
                <w:right w:val="none" w:sz="0" w:space="0" w:color="auto"/>
              </w:divBdr>
              <w:divsChild>
                <w:div w:id="14903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40717">
      <w:bodyDiv w:val="1"/>
      <w:marLeft w:val="0"/>
      <w:marRight w:val="0"/>
      <w:marTop w:val="0"/>
      <w:marBottom w:val="0"/>
      <w:divBdr>
        <w:top w:val="none" w:sz="0" w:space="0" w:color="auto"/>
        <w:left w:val="none" w:sz="0" w:space="0" w:color="auto"/>
        <w:bottom w:val="none" w:sz="0" w:space="0" w:color="auto"/>
        <w:right w:val="none" w:sz="0" w:space="0" w:color="auto"/>
      </w:divBdr>
    </w:div>
    <w:div w:id="1508059550">
      <w:bodyDiv w:val="1"/>
      <w:marLeft w:val="0"/>
      <w:marRight w:val="0"/>
      <w:marTop w:val="0"/>
      <w:marBottom w:val="0"/>
      <w:divBdr>
        <w:top w:val="none" w:sz="0" w:space="0" w:color="auto"/>
        <w:left w:val="none" w:sz="0" w:space="0" w:color="auto"/>
        <w:bottom w:val="none" w:sz="0" w:space="0" w:color="auto"/>
        <w:right w:val="none" w:sz="0" w:space="0" w:color="auto"/>
      </w:divBdr>
    </w:div>
    <w:div w:id="1513102350">
      <w:bodyDiv w:val="1"/>
      <w:marLeft w:val="0"/>
      <w:marRight w:val="0"/>
      <w:marTop w:val="0"/>
      <w:marBottom w:val="0"/>
      <w:divBdr>
        <w:top w:val="none" w:sz="0" w:space="0" w:color="auto"/>
        <w:left w:val="none" w:sz="0" w:space="0" w:color="auto"/>
        <w:bottom w:val="none" w:sz="0" w:space="0" w:color="auto"/>
        <w:right w:val="none" w:sz="0" w:space="0" w:color="auto"/>
      </w:divBdr>
    </w:div>
    <w:div w:id="1513766714">
      <w:bodyDiv w:val="1"/>
      <w:marLeft w:val="0"/>
      <w:marRight w:val="0"/>
      <w:marTop w:val="0"/>
      <w:marBottom w:val="0"/>
      <w:divBdr>
        <w:top w:val="none" w:sz="0" w:space="0" w:color="auto"/>
        <w:left w:val="none" w:sz="0" w:space="0" w:color="auto"/>
        <w:bottom w:val="none" w:sz="0" w:space="0" w:color="auto"/>
        <w:right w:val="none" w:sz="0" w:space="0" w:color="auto"/>
      </w:divBdr>
    </w:div>
    <w:div w:id="1535458910">
      <w:bodyDiv w:val="1"/>
      <w:marLeft w:val="0"/>
      <w:marRight w:val="0"/>
      <w:marTop w:val="0"/>
      <w:marBottom w:val="0"/>
      <w:divBdr>
        <w:top w:val="none" w:sz="0" w:space="0" w:color="auto"/>
        <w:left w:val="none" w:sz="0" w:space="0" w:color="auto"/>
        <w:bottom w:val="none" w:sz="0" w:space="0" w:color="auto"/>
        <w:right w:val="none" w:sz="0" w:space="0" w:color="auto"/>
      </w:divBdr>
    </w:div>
    <w:div w:id="1547911030">
      <w:bodyDiv w:val="1"/>
      <w:marLeft w:val="0"/>
      <w:marRight w:val="0"/>
      <w:marTop w:val="0"/>
      <w:marBottom w:val="0"/>
      <w:divBdr>
        <w:top w:val="none" w:sz="0" w:space="0" w:color="auto"/>
        <w:left w:val="none" w:sz="0" w:space="0" w:color="auto"/>
        <w:bottom w:val="none" w:sz="0" w:space="0" w:color="auto"/>
        <w:right w:val="none" w:sz="0" w:space="0" w:color="auto"/>
      </w:divBdr>
      <w:divsChild>
        <w:div w:id="940528508">
          <w:marLeft w:val="0"/>
          <w:marRight w:val="0"/>
          <w:marTop w:val="0"/>
          <w:marBottom w:val="0"/>
          <w:divBdr>
            <w:top w:val="none" w:sz="0" w:space="0" w:color="auto"/>
            <w:left w:val="none" w:sz="0" w:space="0" w:color="auto"/>
            <w:bottom w:val="none" w:sz="0" w:space="0" w:color="auto"/>
            <w:right w:val="none" w:sz="0" w:space="0" w:color="auto"/>
          </w:divBdr>
          <w:divsChild>
            <w:div w:id="334501180">
              <w:marLeft w:val="0"/>
              <w:marRight w:val="0"/>
              <w:marTop w:val="0"/>
              <w:marBottom w:val="0"/>
              <w:divBdr>
                <w:top w:val="none" w:sz="0" w:space="0" w:color="auto"/>
                <w:left w:val="none" w:sz="0" w:space="0" w:color="auto"/>
                <w:bottom w:val="none" w:sz="0" w:space="0" w:color="auto"/>
                <w:right w:val="none" w:sz="0" w:space="0" w:color="auto"/>
              </w:divBdr>
              <w:divsChild>
                <w:div w:id="7609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7169">
      <w:bodyDiv w:val="1"/>
      <w:marLeft w:val="0"/>
      <w:marRight w:val="0"/>
      <w:marTop w:val="0"/>
      <w:marBottom w:val="0"/>
      <w:divBdr>
        <w:top w:val="none" w:sz="0" w:space="0" w:color="auto"/>
        <w:left w:val="none" w:sz="0" w:space="0" w:color="auto"/>
        <w:bottom w:val="none" w:sz="0" w:space="0" w:color="auto"/>
        <w:right w:val="none" w:sz="0" w:space="0" w:color="auto"/>
      </w:divBdr>
      <w:divsChild>
        <w:div w:id="1325819430">
          <w:marLeft w:val="0"/>
          <w:marRight w:val="0"/>
          <w:marTop w:val="0"/>
          <w:marBottom w:val="0"/>
          <w:divBdr>
            <w:top w:val="none" w:sz="0" w:space="0" w:color="auto"/>
            <w:left w:val="none" w:sz="0" w:space="0" w:color="auto"/>
            <w:bottom w:val="none" w:sz="0" w:space="0" w:color="auto"/>
            <w:right w:val="none" w:sz="0" w:space="0" w:color="auto"/>
          </w:divBdr>
          <w:divsChild>
            <w:div w:id="1053431274">
              <w:marLeft w:val="0"/>
              <w:marRight w:val="0"/>
              <w:marTop w:val="0"/>
              <w:marBottom w:val="0"/>
              <w:divBdr>
                <w:top w:val="none" w:sz="0" w:space="0" w:color="auto"/>
                <w:left w:val="none" w:sz="0" w:space="0" w:color="auto"/>
                <w:bottom w:val="none" w:sz="0" w:space="0" w:color="auto"/>
                <w:right w:val="none" w:sz="0" w:space="0" w:color="auto"/>
              </w:divBdr>
              <w:divsChild>
                <w:div w:id="19564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685">
      <w:bodyDiv w:val="1"/>
      <w:marLeft w:val="0"/>
      <w:marRight w:val="0"/>
      <w:marTop w:val="0"/>
      <w:marBottom w:val="0"/>
      <w:divBdr>
        <w:top w:val="none" w:sz="0" w:space="0" w:color="auto"/>
        <w:left w:val="none" w:sz="0" w:space="0" w:color="auto"/>
        <w:bottom w:val="none" w:sz="0" w:space="0" w:color="auto"/>
        <w:right w:val="none" w:sz="0" w:space="0" w:color="auto"/>
      </w:divBdr>
    </w:div>
    <w:div w:id="1587835445">
      <w:bodyDiv w:val="1"/>
      <w:marLeft w:val="0"/>
      <w:marRight w:val="0"/>
      <w:marTop w:val="0"/>
      <w:marBottom w:val="0"/>
      <w:divBdr>
        <w:top w:val="none" w:sz="0" w:space="0" w:color="auto"/>
        <w:left w:val="none" w:sz="0" w:space="0" w:color="auto"/>
        <w:bottom w:val="none" w:sz="0" w:space="0" w:color="auto"/>
        <w:right w:val="none" w:sz="0" w:space="0" w:color="auto"/>
      </w:divBdr>
      <w:divsChild>
        <w:div w:id="408117751">
          <w:marLeft w:val="0"/>
          <w:marRight w:val="0"/>
          <w:marTop w:val="0"/>
          <w:marBottom w:val="0"/>
          <w:divBdr>
            <w:top w:val="none" w:sz="0" w:space="0" w:color="auto"/>
            <w:left w:val="none" w:sz="0" w:space="0" w:color="auto"/>
            <w:bottom w:val="none" w:sz="0" w:space="0" w:color="auto"/>
            <w:right w:val="none" w:sz="0" w:space="0" w:color="auto"/>
          </w:divBdr>
          <w:divsChild>
            <w:div w:id="950235762">
              <w:marLeft w:val="0"/>
              <w:marRight w:val="0"/>
              <w:marTop w:val="0"/>
              <w:marBottom w:val="0"/>
              <w:divBdr>
                <w:top w:val="none" w:sz="0" w:space="0" w:color="auto"/>
                <w:left w:val="none" w:sz="0" w:space="0" w:color="auto"/>
                <w:bottom w:val="none" w:sz="0" w:space="0" w:color="auto"/>
                <w:right w:val="none" w:sz="0" w:space="0" w:color="auto"/>
              </w:divBdr>
              <w:divsChild>
                <w:div w:id="1774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0621">
      <w:bodyDiv w:val="1"/>
      <w:marLeft w:val="0"/>
      <w:marRight w:val="0"/>
      <w:marTop w:val="0"/>
      <w:marBottom w:val="0"/>
      <w:divBdr>
        <w:top w:val="none" w:sz="0" w:space="0" w:color="auto"/>
        <w:left w:val="none" w:sz="0" w:space="0" w:color="auto"/>
        <w:bottom w:val="none" w:sz="0" w:space="0" w:color="auto"/>
        <w:right w:val="none" w:sz="0" w:space="0" w:color="auto"/>
      </w:divBdr>
    </w:div>
    <w:div w:id="1588490811">
      <w:bodyDiv w:val="1"/>
      <w:marLeft w:val="0"/>
      <w:marRight w:val="0"/>
      <w:marTop w:val="0"/>
      <w:marBottom w:val="0"/>
      <w:divBdr>
        <w:top w:val="none" w:sz="0" w:space="0" w:color="auto"/>
        <w:left w:val="none" w:sz="0" w:space="0" w:color="auto"/>
        <w:bottom w:val="none" w:sz="0" w:space="0" w:color="auto"/>
        <w:right w:val="none" w:sz="0" w:space="0" w:color="auto"/>
      </w:divBdr>
    </w:div>
    <w:div w:id="1684552537">
      <w:bodyDiv w:val="1"/>
      <w:marLeft w:val="0"/>
      <w:marRight w:val="0"/>
      <w:marTop w:val="0"/>
      <w:marBottom w:val="0"/>
      <w:divBdr>
        <w:top w:val="none" w:sz="0" w:space="0" w:color="auto"/>
        <w:left w:val="none" w:sz="0" w:space="0" w:color="auto"/>
        <w:bottom w:val="none" w:sz="0" w:space="0" w:color="auto"/>
        <w:right w:val="none" w:sz="0" w:space="0" w:color="auto"/>
      </w:divBdr>
      <w:divsChild>
        <w:div w:id="579021106">
          <w:marLeft w:val="0"/>
          <w:marRight w:val="0"/>
          <w:marTop w:val="0"/>
          <w:marBottom w:val="0"/>
          <w:divBdr>
            <w:top w:val="none" w:sz="0" w:space="0" w:color="auto"/>
            <w:left w:val="none" w:sz="0" w:space="0" w:color="auto"/>
            <w:bottom w:val="none" w:sz="0" w:space="0" w:color="auto"/>
            <w:right w:val="none" w:sz="0" w:space="0" w:color="auto"/>
          </w:divBdr>
          <w:divsChild>
            <w:div w:id="1314263012">
              <w:marLeft w:val="0"/>
              <w:marRight w:val="0"/>
              <w:marTop w:val="0"/>
              <w:marBottom w:val="0"/>
              <w:divBdr>
                <w:top w:val="none" w:sz="0" w:space="0" w:color="auto"/>
                <w:left w:val="none" w:sz="0" w:space="0" w:color="auto"/>
                <w:bottom w:val="none" w:sz="0" w:space="0" w:color="auto"/>
                <w:right w:val="none" w:sz="0" w:space="0" w:color="auto"/>
              </w:divBdr>
              <w:divsChild>
                <w:div w:id="3096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1696">
      <w:bodyDiv w:val="1"/>
      <w:marLeft w:val="0"/>
      <w:marRight w:val="0"/>
      <w:marTop w:val="0"/>
      <w:marBottom w:val="0"/>
      <w:divBdr>
        <w:top w:val="none" w:sz="0" w:space="0" w:color="auto"/>
        <w:left w:val="none" w:sz="0" w:space="0" w:color="auto"/>
        <w:bottom w:val="none" w:sz="0" w:space="0" w:color="auto"/>
        <w:right w:val="none" w:sz="0" w:space="0" w:color="auto"/>
      </w:divBdr>
    </w:div>
    <w:div w:id="1703747675">
      <w:bodyDiv w:val="1"/>
      <w:marLeft w:val="0"/>
      <w:marRight w:val="0"/>
      <w:marTop w:val="0"/>
      <w:marBottom w:val="0"/>
      <w:divBdr>
        <w:top w:val="none" w:sz="0" w:space="0" w:color="auto"/>
        <w:left w:val="none" w:sz="0" w:space="0" w:color="auto"/>
        <w:bottom w:val="none" w:sz="0" w:space="0" w:color="auto"/>
        <w:right w:val="none" w:sz="0" w:space="0" w:color="auto"/>
      </w:divBdr>
      <w:divsChild>
        <w:div w:id="12584249">
          <w:marLeft w:val="0"/>
          <w:marRight w:val="0"/>
          <w:marTop w:val="0"/>
          <w:marBottom w:val="0"/>
          <w:divBdr>
            <w:top w:val="none" w:sz="0" w:space="0" w:color="auto"/>
            <w:left w:val="none" w:sz="0" w:space="0" w:color="auto"/>
            <w:bottom w:val="none" w:sz="0" w:space="0" w:color="auto"/>
            <w:right w:val="none" w:sz="0" w:space="0" w:color="auto"/>
          </w:divBdr>
          <w:divsChild>
            <w:div w:id="109324721">
              <w:marLeft w:val="0"/>
              <w:marRight w:val="0"/>
              <w:marTop w:val="0"/>
              <w:marBottom w:val="0"/>
              <w:divBdr>
                <w:top w:val="none" w:sz="0" w:space="0" w:color="auto"/>
                <w:left w:val="none" w:sz="0" w:space="0" w:color="auto"/>
                <w:bottom w:val="none" w:sz="0" w:space="0" w:color="auto"/>
                <w:right w:val="none" w:sz="0" w:space="0" w:color="auto"/>
              </w:divBdr>
              <w:divsChild>
                <w:div w:id="346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4647">
      <w:bodyDiv w:val="1"/>
      <w:marLeft w:val="0"/>
      <w:marRight w:val="0"/>
      <w:marTop w:val="0"/>
      <w:marBottom w:val="0"/>
      <w:divBdr>
        <w:top w:val="none" w:sz="0" w:space="0" w:color="auto"/>
        <w:left w:val="none" w:sz="0" w:space="0" w:color="auto"/>
        <w:bottom w:val="none" w:sz="0" w:space="0" w:color="auto"/>
        <w:right w:val="none" w:sz="0" w:space="0" w:color="auto"/>
      </w:divBdr>
    </w:div>
    <w:div w:id="1742755603">
      <w:bodyDiv w:val="1"/>
      <w:marLeft w:val="0"/>
      <w:marRight w:val="0"/>
      <w:marTop w:val="0"/>
      <w:marBottom w:val="0"/>
      <w:divBdr>
        <w:top w:val="none" w:sz="0" w:space="0" w:color="auto"/>
        <w:left w:val="none" w:sz="0" w:space="0" w:color="auto"/>
        <w:bottom w:val="none" w:sz="0" w:space="0" w:color="auto"/>
        <w:right w:val="none" w:sz="0" w:space="0" w:color="auto"/>
      </w:divBdr>
      <w:divsChild>
        <w:div w:id="794983342">
          <w:marLeft w:val="0"/>
          <w:marRight w:val="0"/>
          <w:marTop w:val="0"/>
          <w:marBottom w:val="0"/>
          <w:divBdr>
            <w:top w:val="none" w:sz="0" w:space="0" w:color="auto"/>
            <w:left w:val="none" w:sz="0" w:space="0" w:color="auto"/>
            <w:bottom w:val="none" w:sz="0" w:space="0" w:color="auto"/>
            <w:right w:val="none" w:sz="0" w:space="0" w:color="auto"/>
          </w:divBdr>
          <w:divsChild>
            <w:div w:id="264773645">
              <w:marLeft w:val="0"/>
              <w:marRight w:val="0"/>
              <w:marTop w:val="0"/>
              <w:marBottom w:val="0"/>
              <w:divBdr>
                <w:top w:val="none" w:sz="0" w:space="0" w:color="auto"/>
                <w:left w:val="none" w:sz="0" w:space="0" w:color="auto"/>
                <w:bottom w:val="none" w:sz="0" w:space="0" w:color="auto"/>
                <w:right w:val="none" w:sz="0" w:space="0" w:color="auto"/>
              </w:divBdr>
              <w:divsChild>
                <w:div w:id="851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1575">
      <w:bodyDiv w:val="1"/>
      <w:marLeft w:val="0"/>
      <w:marRight w:val="0"/>
      <w:marTop w:val="0"/>
      <w:marBottom w:val="0"/>
      <w:divBdr>
        <w:top w:val="none" w:sz="0" w:space="0" w:color="auto"/>
        <w:left w:val="none" w:sz="0" w:space="0" w:color="auto"/>
        <w:bottom w:val="none" w:sz="0" w:space="0" w:color="auto"/>
        <w:right w:val="none" w:sz="0" w:space="0" w:color="auto"/>
      </w:divBdr>
      <w:divsChild>
        <w:div w:id="447547011">
          <w:marLeft w:val="0"/>
          <w:marRight w:val="0"/>
          <w:marTop w:val="0"/>
          <w:marBottom w:val="0"/>
          <w:divBdr>
            <w:top w:val="none" w:sz="0" w:space="0" w:color="auto"/>
            <w:left w:val="none" w:sz="0" w:space="0" w:color="auto"/>
            <w:bottom w:val="none" w:sz="0" w:space="0" w:color="auto"/>
            <w:right w:val="none" w:sz="0" w:space="0" w:color="auto"/>
          </w:divBdr>
          <w:divsChild>
            <w:div w:id="162472329">
              <w:marLeft w:val="0"/>
              <w:marRight w:val="0"/>
              <w:marTop w:val="0"/>
              <w:marBottom w:val="0"/>
              <w:divBdr>
                <w:top w:val="none" w:sz="0" w:space="0" w:color="auto"/>
                <w:left w:val="none" w:sz="0" w:space="0" w:color="auto"/>
                <w:bottom w:val="none" w:sz="0" w:space="0" w:color="auto"/>
                <w:right w:val="none" w:sz="0" w:space="0" w:color="auto"/>
              </w:divBdr>
              <w:divsChild>
                <w:div w:id="1865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6566">
      <w:bodyDiv w:val="1"/>
      <w:marLeft w:val="0"/>
      <w:marRight w:val="0"/>
      <w:marTop w:val="0"/>
      <w:marBottom w:val="0"/>
      <w:divBdr>
        <w:top w:val="none" w:sz="0" w:space="0" w:color="auto"/>
        <w:left w:val="none" w:sz="0" w:space="0" w:color="auto"/>
        <w:bottom w:val="none" w:sz="0" w:space="0" w:color="auto"/>
        <w:right w:val="none" w:sz="0" w:space="0" w:color="auto"/>
      </w:divBdr>
      <w:divsChild>
        <w:div w:id="1148863263">
          <w:marLeft w:val="547"/>
          <w:marRight w:val="0"/>
          <w:marTop w:val="0"/>
          <w:marBottom w:val="120"/>
          <w:divBdr>
            <w:top w:val="none" w:sz="0" w:space="0" w:color="auto"/>
            <w:left w:val="none" w:sz="0" w:space="0" w:color="auto"/>
            <w:bottom w:val="none" w:sz="0" w:space="0" w:color="auto"/>
            <w:right w:val="none" w:sz="0" w:space="0" w:color="auto"/>
          </w:divBdr>
        </w:div>
        <w:div w:id="1239250733">
          <w:marLeft w:val="547"/>
          <w:marRight w:val="0"/>
          <w:marTop w:val="0"/>
          <w:marBottom w:val="120"/>
          <w:divBdr>
            <w:top w:val="none" w:sz="0" w:space="0" w:color="auto"/>
            <w:left w:val="none" w:sz="0" w:space="0" w:color="auto"/>
            <w:bottom w:val="none" w:sz="0" w:space="0" w:color="auto"/>
            <w:right w:val="none" w:sz="0" w:space="0" w:color="auto"/>
          </w:divBdr>
        </w:div>
        <w:div w:id="1610971641">
          <w:marLeft w:val="547"/>
          <w:marRight w:val="0"/>
          <w:marTop w:val="0"/>
          <w:marBottom w:val="120"/>
          <w:divBdr>
            <w:top w:val="none" w:sz="0" w:space="0" w:color="auto"/>
            <w:left w:val="none" w:sz="0" w:space="0" w:color="auto"/>
            <w:bottom w:val="none" w:sz="0" w:space="0" w:color="auto"/>
            <w:right w:val="none" w:sz="0" w:space="0" w:color="auto"/>
          </w:divBdr>
        </w:div>
        <w:div w:id="1682708234">
          <w:marLeft w:val="547"/>
          <w:marRight w:val="0"/>
          <w:marTop w:val="0"/>
          <w:marBottom w:val="120"/>
          <w:divBdr>
            <w:top w:val="none" w:sz="0" w:space="0" w:color="auto"/>
            <w:left w:val="none" w:sz="0" w:space="0" w:color="auto"/>
            <w:bottom w:val="none" w:sz="0" w:space="0" w:color="auto"/>
            <w:right w:val="none" w:sz="0" w:space="0" w:color="auto"/>
          </w:divBdr>
        </w:div>
      </w:divsChild>
    </w:div>
    <w:div w:id="1753818102">
      <w:bodyDiv w:val="1"/>
      <w:marLeft w:val="0"/>
      <w:marRight w:val="0"/>
      <w:marTop w:val="0"/>
      <w:marBottom w:val="0"/>
      <w:divBdr>
        <w:top w:val="none" w:sz="0" w:space="0" w:color="auto"/>
        <w:left w:val="none" w:sz="0" w:space="0" w:color="auto"/>
        <w:bottom w:val="none" w:sz="0" w:space="0" w:color="auto"/>
        <w:right w:val="none" w:sz="0" w:space="0" w:color="auto"/>
      </w:divBdr>
      <w:divsChild>
        <w:div w:id="1258252892">
          <w:marLeft w:val="0"/>
          <w:marRight w:val="0"/>
          <w:marTop w:val="0"/>
          <w:marBottom w:val="0"/>
          <w:divBdr>
            <w:top w:val="none" w:sz="0" w:space="0" w:color="auto"/>
            <w:left w:val="none" w:sz="0" w:space="0" w:color="auto"/>
            <w:bottom w:val="none" w:sz="0" w:space="0" w:color="auto"/>
            <w:right w:val="none" w:sz="0" w:space="0" w:color="auto"/>
          </w:divBdr>
          <w:divsChild>
            <w:div w:id="1269776801">
              <w:marLeft w:val="0"/>
              <w:marRight w:val="0"/>
              <w:marTop w:val="0"/>
              <w:marBottom w:val="0"/>
              <w:divBdr>
                <w:top w:val="none" w:sz="0" w:space="0" w:color="auto"/>
                <w:left w:val="none" w:sz="0" w:space="0" w:color="auto"/>
                <w:bottom w:val="none" w:sz="0" w:space="0" w:color="auto"/>
                <w:right w:val="none" w:sz="0" w:space="0" w:color="auto"/>
              </w:divBdr>
              <w:divsChild>
                <w:div w:id="565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4551">
      <w:bodyDiv w:val="1"/>
      <w:marLeft w:val="0"/>
      <w:marRight w:val="0"/>
      <w:marTop w:val="0"/>
      <w:marBottom w:val="0"/>
      <w:divBdr>
        <w:top w:val="none" w:sz="0" w:space="0" w:color="auto"/>
        <w:left w:val="none" w:sz="0" w:space="0" w:color="auto"/>
        <w:bottom w:val="none" w:sz="0" w:space="0" w:color="auto"/>
        <w:right w:val="none" w:sz="0" w:space="0" w:color="auto"/>
      </w:divBdr>
    </w:div>
    <w:div w:id="1770395669">
      <w:bodyDiv w:val="1"/>
      <w:marLeft w:val="0"/>
      <w:marRight w:val="0"/>
      <w:marTop w:val="0"/>
      <w:marBottom w:val="0"/>
      <w:divBdr>
        <w:top w:val="none" w:sz="0" w:space="0" w:color="auto"/>
        <w:left w:val="none" w:sz="0" w:space="0" w:color="auto"/>
        <w:bottom w:val="none" w:sz="0" w:space="0" w:color="auto"/>
        <w:right w:val="none" w:sz="0" w:space="0" w:color="auto"/>
      </w:divBdr>
    </w:div>
    <w:div w:id="1792162678">
      <w:bodyDiv w:val="1"/>
      <w:marLeft w:val="0"/>
      <w:marRight w:val="0"/>
      <w:marTop w:val="0"/>
      <w:marBottom w:val="0"/>
      <w:divBdr>
        <w:top w:val="none" w:sz="0" w:space="0" w:color="auto"/>
        <w:left w:val="none" w:sz="0" w:space="0" w:color="auto"/>
        <w:bottom w:val="none" w:sz="0" w:space="0" w:color="auto"/>
        <w:right w:val="none" w:sz="0" w:space="0" w:color="auto"/>
      </w:divBdr>
      <w:divsChild>
        <w:div w:id="1606032742">
          <w:marLeft w:val="0"/>
          <w:marRight w:val="0"/>
          <w:marTop w:val="0"/>
          <w:marBottom w:val="0"/>
          <w:divBdr>
            <w:top w:val="none" w:sz="0" w:space="0" w:color="auto"/>
            <w:left w:val="none" w:sz="0" w:space="0" w:color="auto"/>
            <w:bottom w:val="none" w:sz="0" w:space="0" w:color="auto"/>
            <w:right w:val="none" w:sz="0" w:space="0" w:color="auto"/>
          </w:divBdr>
          <w:divsChild>
            <w:div w:id="1753505861">
              <w:marLeft w:val="0"/>
              <w:marRight w:val="0"/>
              <w:marTop w:val="0"/>
              <w:marBottom w:val="0"/>
              <w:divBdr>
                <w:top w:val="none" w:sz="0" w:space="0" w:color="auto"/>
                <w:left w:val="none" w:sz="0" w:space="0" w:color="auto"/>
                <w:bottom w:val="none" w:sz="0" w:space="0" w:color="auto"/>
                <w:right w:val="none" w:sz="0" w:space="0" w:color="auto"/>
              </w:divBdr>
              <w:divsChild>
                <w:div w:id="6305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1506">
      <w:bodyDiv w:val="1"/>
      <w:marLeft w:val="0"/>
      <w:marRight w:val="0"/>
      <w:marTop w:val="0"/>
      <w:marBottom w:val="0"/>
      <w:divBdr>
        <w:top w:val="none" w:sz="0" w:space="0" w:color="auto"/>
        <w:left w:val="none" w:sz="0" w:space="0" w:color="auto"/>
        <w:bottom w:val="none" w:sz="0" w:space="0" w:color="auto"/>
        <w:right w:val="none" w:sz="0" w:space="0" w:color="auto"/>
      </w:divBdr>
    </w:div>
    <w:div w:id="1852141315">
      <w:bodyDiv w:val="1"/>
      <w:marLeft w:val="0"/>
      <w:marRight w:val="0"/>
      <w:marTop w:val="0"/>
      <w:marBottom w:val="0"/>
      <w:divBdr>
        <w:top w:val="none" w:sz="0" w:space="0" w:color="auto"/>
        <w:left w:val="none" w:sz="0" w:space="0" w:color="auto"/>
        <w:bottom w:val="none" w:sz="0" w:space="0" w:color="auto"/>
        <w:right w:val="none" w:sz="0" w:space="0" w:color="auto"/>
      </w:divBdr>
    </w:div>
    <w:div w:id="1870680541">
      <w:bodyDiv w:val="1"/>
      <w:marLeft w:val="0"/>
      <w:marRight w:val="0"/>
      <w:marTop w:val="0"/>
      <w:marBottom w:val="0"/>
      <w:divBdr>
        <w:top w:val="none" w:sz="0" w:space="0" w:color="auto"/>
        <w:left w:val="none" w:sz="0" w:space="0" w:color="auto"/>
        <w:bottom w:val="none" w:sz="0" w:space="0" w:color="auto"/>
        <w:right w:val="none" w:sz="0" w:space="0" w:color="auto"/>
      </w:divBdr>
    </w:div>
    <w:div w:id="1872378763">
      <w:bodyDiv w:val="1"/>
      <w:marLeft w:val="0"/>
      <w:marRight w:val="0"/>
      <w:marTop w:val="0"/>
      <w:marBottom w:val="0"/>
      <w:divBdr>
        <w:top w:val="none" w:sz="0" w:space="0" w:color="auto"/>
        <w:left w:val="none" w:sz="0" w:space="0" w:color="auto"/>
        <w:bottom w:val="none" w:sz="0" w:space="0" w:color="auto"/>
        <w:right w:val="none" w:sz="0" w:space="0" w:color="auto"/>
      </w:divBdr>
    </w:div>
    <w:div w:id="1881741777">
      <w:bodyDiv w:val="1"/>
      <w:marLeft w:val="0"/>
      <w:marRight w:val="0"/>
      <w:marTop w:val="0"/>
      <w:marBottom w:val="0"/>
      <w:divBdr>
        <w:top w:val="none" w:sz="0" w:space="0" w:color="auto"/>
        <w:left w:val="none" w:sz="0" w:space="0" w:color="auto"/>
        <w:bottom w:val="none" w:sz="0" w:space="0" w:color="auto"/>
        <w:right w:val="none" w:sz="0" w:space="0" w:color="auto"/>
      </w:divBdr>
    </w:div>
    <w:div w:id="1908571443">
      <w:bodyDiv w:val="1"/>
      <w:marLeft w:val="0"/>
      <w:marRight w:val="0"/>
      <w:marTop w:val="0"/>
      <w:marBottom w:val="0"/>
      <w:divBdr>
        <w:top w:val="none" w:sz="0" w:space="0" w:color="auto"/>
        <w:left w:val="none" w:sz="0" w:space="0" w:color="auto"/>
        <w:bottom w:val="none" w:sz="0" w:space="0" w:color="auto"/>
        <w:right w:val="none" w:sz="0" w:space="0" w:color="auto"/>
      </w:divBdr>
      <w:divsChild>
        <w:div w:id="703167009">
          <w:marLeft w:val="0"/>
          <w:marRight w:val="0"/>
          <w:marTop w:val="0"/>
          <w:marBottom w:val="0"/>
          <w:divBdr>
            <w:top w:val="none" w:sz="0" w:space="0" w:color="auto"/>
            <w:left w:val="none" w:sz="0" w:space="0" w:color="auto"/>
            <w:bottom w:val="none" w:sz="0" w:space="0" w:color="auto"/>
            <w:right w:val="none" w:sz="0" w:space="0" w:color="auto"/>
          </w:divBdr>
          <w:divsChild>
            <w:div w:id="498816394">
              <w:marLeft w:val="0"/>
              <w:marRight w:val="0"/>
              <w:marTop w:val="0"/>
              <w:marBottom w:val="0"/>
              <w:divBdr>
                <w:top w:val="none" w:sz="0" w:space="0" w:color="auto"/>
                <w:left w:val="none" w:sz="0" w:space="0" w:color="auto"/>
                <w:bottom w:val="none" w:sz="0" w:space="0" w:color="auto"/>
                <w:right w:val="none" w:sz="0" w:space="0" w:color="auto"/>
              </w:divBdr>
              <w:divsChild>
                <w:div w:id="19624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4276">
      <w:bodyDiv w:val="1"/>
      <w:marLeft w:val="0"/>
      <w:marRight w:val="0"/>
      <w:marTop w:val="0"/>
      <w:marBottom w:val="0"/>
      <w:divBdr>
        <w:top w:val="none" w:sz="0" w:space="0" w:color="auto"/>
        <w:left w:val="none" w:sz="0" w:space="0" w:color="auto"/>
        <w:bottom w:val="none" w:sz="0" w:space="0" w:color="auto"/>
        <w:right w:val="none" w:sz="0" w:space="0" w:color="auto"/>
      </w:divBdr>
      <w:divsChild>
        <w:div w:id="1314942099">
          <w:marLeft w:val="0"/>
          <w:marRight w:val="0"/>
          <w:marTop w:val="0"/>
          <w:marBottom w:val="0"/>
          <w:divBdr>
            <w:top w:val="none" w:sz="0" w:space="0" w:color="auto"/>
            <w:left w:val="none" w:sz="0" w:space="0" w:color="auto"/>
            <w:bottom w:val="none" w:sz="0" w:space="0" w:color="auto"/>
            <w:right w:val="none" w:sz="0" w:space="0" w:color="auto"/>
          </w:divBdr>
          <w:divsChild>
            <w:div w:id="2144158053">
              <w:marLeft w:val="0"/>
              <w:marRight w:val="0"/>
              <w:marTop w:val="0"/>
              <w:marBottom w:val="0"/>
              <w:divBdr>
                <w:top w:val="none" w:sz="0" w:space="0" w:color="auto"/>
                <w:left w:val="none" w:sz="0" w:space="0" w:color="auto"/>
                <w:bottom w:val="none" w:sz="0" w:space="0" w:color="auto"/>
                <w:right w:val="none" w:sz="0" w:space="0" w:color="auto"/>
              </w:divBdr>
              <w:divsChild>
                <w:div w:id="19075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0311">
      <w:bodyDiv w:val="1"/>
      <w:marLeft w:val="0"/>
      <w:marRight w:val="0"/>
      <w:marTop w:val="0"/>
      <w:marBottom w:val="0"/>
      <w:divBdr>
        <w:top w:val="none" w:sz="0" w:space="0" w:color="auto"/>
        <w:left w:val="none" w:sz="0" w:space="0" w:color="auto"/>
        <w:bottom w:val="none" w:sz="0" w:space="0" w:color="auto"/>
        <w:right w:val="none" w:sz="0" w:space="0" w:color="auto"/>
      </w:divBdr>
    </w:div>
    <w:div w:id="1914468044">
      <w:bodyDiv w:val="1"/>
      <w:marLeft w:val="0"/>
      <w:marRight w:val="0"/>
      <w:marTop w:val="0"/>
      <w:marBottom w:val="0"/>
      <w:divBdr>
        <w:top w:val="none" w:sz="0" w:space="0" w:color="auto"/>
        <w:left w:val="none" w:sz="0" w:space="0" w:color="auto"/>
        <w:bottom w:val="none" w:sz="0" w:space="0" w:color="auto"/>
        <w:right w:val="none" w:sz="0" w:space="0" w:color="auto"/>
      </w:divBdr>
    </w:div>
    <w:div w:id="1921984595">
      <w:bodyDiv w:val="1"/>
      <w:marLeft w:val="0"/>
      <w:marRight w:val="0"/>
      <w:marTop w:val="0"/>
      <w:marBottom w:val="0"/>
      <w:divBdr>
        <w:top w:val="none" w:sz="0" w:space="0" w:color="auto"/>
        <w:left w:val="none" w:sz="0" w:space="0" w:color="auto"/>
        <w:bottom w:val="none" w:sz="0" w:space="0" w:color="auto"/>
        <w:right w:val="none" w:sz="0" w:space="0" w:color="auto"/>
      </w:divBdr>
    </w:div>
    <w:div w:id="1938713164">
      <w:bodyDiv w:val="1"/>
      <w:marLeft w:val="0"/>
      <w:marRight w:val="0"/>
      <w:marTop w:val="0"/>
      <w:marBottom w:val="0"/>
      <w:divBdr>
        <w:top w:val="none" w:sz="0" w:space="0" w:color="auto"/>
        <w:left w:val="none" w:sz="0" w:space="0" w:color="auto"/>
        <w:bottom w:val="none" w:sz="0" w:space="0" w:color="auto"/>
        <w:right w:val="none" w:sz="0" w:space="0" w:color="auto"/>
      </w:divBdr>
    </w:div>
    <w:div w:id="1947880981">
      <w:bodyDiv w:val="1"/>
      <w:marLeft w:val="0"/>
      <w:marRight w:val="0"/>
      <w:marTop w:val="0"/>
      <w:marBottom w:val="0"/>
      <w:divBdr>
        <w:top w:val="none" w:sz="0" w:space="0" w:color="auto"/>
        <w:left w:val="none" w:sz="0" w:space="0" w:color="auto"/>
        <w:bottom w:val="none" w:sz="0" w:space="0" w:color="auto"/>
        <w:right w:val="none" w:sz="0" w:space="0" w:color="auto"/>
      </w:divBdr>
      <w:divsChild>
        <w:div w:id="320084560">
          <w:marLeft w:val="1267"/>
          <w:marRight w:val="0"/>
          <w:marTop w:val="0"/>
          <w:marBottom w:val="120"/>
          <w:divBdr>
            <w:top w:val="none" w:sz="0" w:space="0" w:color="auto"/>
            <w:left w:val="none" w:sz="0" w:space="0" w:color="auto"/>
            <w:bottom w:val="none" w:sz="0" w:space="0" w:color="auto"/>
            <w:right w:val="none" w:sz="0" w:space="0" w:color="auto"/>
          </w:divBdr>
        </w:div>
      </w:divsChild>
    </w:div>
    <w:div w:id="1951469514">
      <w:bodyDiv w:val="1"/>
      <w:marLeft w:val="0"/>
      <w:marRight w:val="0"/>
      <w:marTop w:val="0"/>
      <w:marBottom w:val="0"/>
      <w:divBdr>
        <w:top w:val="none" w:sz="0" w:space="0" w:color="auto"/>
        <w:left w:val="none" w:sz="0" w:space="0" w:color="auto"/>
        <w:bottom w:val="none" w:sz="0" w:space="0" w:color="auto"/>
        <w:right w:val="none" w:sz="0" w:space="0" w:color="auto"/>
      </w:divBdr>
      <w:divsChild>
        <w:div w:id="1717462476">
          <w:marLeft w:val="0"/>
          <w:marRight w:val="0"/>
          <w:marTop w:val="0"/>
          <w:marBottom w:val="0"/>
          <w:divBdr>
            <w:top w:val="none" w:sz="0" w:space="0" w:color="auto"/>
            <w:left w:val="none" w:sz="0" w:space="0" w:color="auto"/>
            <w:bottom w:val="none" w:sz="0" w:space="0" w:color="auto"/>
            <w:right w:val="none" w:sz="0" w:space="0" w:color="auto"/>
          </w:divBdr>
          <w:divsChild>
            <w:div w:id="485972807">
              <w:marLeft w:val="0"/>
              <w:marRight w:val="0"/>
              <w:marTop w:val="0"/>
              <w:marBottom w:val="0"/>
              <w:divBdr>
                <w:top w:val="none" w:sz="0" w:space="0" w:color="auto"/>
                <w:left w:val="none" w:sz="0" w:space="0" w:color="auto"/>
                <w:bottom w:val="none" w:sz="0" w:space="0" w:color="auto"/>
                <w:right w:val="none" w:sz="0" w:space="0" w:color="auto"/>
              </w:divBdr>
              <w:divsChild>
                <w:div w:id="5015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1647">
      <w:bodyDiv w:val="1"/>
      <w:marLeft w:val="0"/>
      <w:marRight w:val="0"/>
      <w:marTop w:val="0"/>
      <w:marBottom w:val="0"/>
      <w:divBdr>
        <w:top w:val="none" w:sz="0" w:space="0" w:color="auto"/>
        <w:left w:val="none" w:sz="0" w:space="0" w:color="auto"/>
        <w:bottom w:val="none" w:sz="0" w:space="0" w:color="auto"/>
        <w:right w:val="none" w:sz="0" w:space="0" w:color="auto"/>
      </w:divBdr>
      <w:divsChild>
        <w:div w:id="383719285">
          <w:marLeft w:val="0"/>
          <w:marRight w:val="0"/>
          <w:marTop w:val="0"/>
          <w:marBottom w:val="0"/>
          <w:divBdr>
            <w:top w:val="none" w:sz="0" w:space="0" w:color="auto"/>
            <w:left w:val="none" w:sz="0" w:space="0" w:color="auto"/>
            <w:bottom w:val="none" w:sz="0" w:space="0" w:color="auto"/>
            <w:right w:val="none" w:sz="0" w:space="0" w:color="auto"/>
          </w:divBdr>
          <w:divsChild>
            <w:div w:id="801726344">
              <w:marLeft w:val="0"/>
              <w:marRight w:val="0"/>
              <w:marTop w:val="0"/>
              <w:marBottom w:val="0"/>
              <w:divBdr>
                <w:top w:val="none" w:sz="0" w:space="0" w:color="auto"/>
                <w:left w:val="none" w:sz="0" w:space="0" w:color="auto"/>
                <w:bottom w:val="none" w:sz="0" w:space="0" w:color="auto"/>
                <w:right w:val="none" w:sz="0" w:space="0" w:color="auto"/>
              </w:divBdr>
              <w:divsChild>
                <w:div w:id="13038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1506">
      <w:bodyDiv w:val="1"/>
      <w:marLeft w:val="0"/>
      <w:marRight w:val="0"/>
      <w:marTop w:val="0"/>
      <w:marBottom w:val="0"/>
      <w:divBdr>
        <w:top w:val="none" w:sz="0" w:space="0" w:color="auto"/>
        <w:left w:val="none" w:sz="0" w:space="0" w:color="auto"/>
        <w:bottom w:val="none" w:sz="0" w:space="0" w:color="auto"/>
        <w:right w:val="none" w:sz="0" w:space="0" w:color="auto"/>
      </w:divBdr>
    </w:div>
    <w:div w:id="1987780412">
      <w:bodyDiv w:val="1"/>
      <w:marLeft w:val="0"/>
      <w:marRight w:val="0"/>
      <w:marTop w:val="0"/>
      <w:marBottom w:val="0"/>
      <w:divBdr>
        <w:top w:val="none" w:sz="0" w:space="0" w:color="auto"/>
        <w:left w:val="none" w:sz="0" w:space="0" w:color="auto"/>
        <w:bottom w:val="none" w:sz="0" w:space="0" w:color="auto"/>
        <w:right w:val="none" w:sz="0" w:space="0" w:color="auto"/>
      </w:divBdr>
      <w:divsChild>
        <w:div w:id="711152662">
          <w:marLeft w:val="0"/>
          <w:marRight w:val="0"/>
          <w:marTop w:val="0"/>
          <w:marBottom w:val="0"/>
          <w:divBdr>
            <w:top w:val="none" w:sz="0" w:space="0" w:color="auto"/>
            <w:left w:val="none" w:sz="0" w:space="0" w:color="auto"/>
            <w:bottom w:val="none" w:sz="0" w:space="0" w:color="auto"/>
            <w:right w:val="none" w:sz="0" w:space="0" w:color="auto"/>
          </w:divBdr>
          <w:divsChild>
            <w:div w:id="1856462255">
              <w:marLeft w:val="0"/>
              <w:marRight w:val="0"/>
              <w:marTop w:val="0"/>
              <w:marBottom w:val="0"/>
              <w:divBdr>
                <w:top w:val="none" w:sz="0" w:space="0" w:color="auto"/>
                <w:left w:val="none" w:sz="0" w:space="0" w:color="auto"/>
                <w:bottom w:val="none" w:sz="0" w:space="0" w:color="auto"/>
                <w:right w:val="none" w:sz="0" w:space="0" w:color="auto"/>
              </w:divBdr>
              <w:divsChild>
                <w:div w:id="18297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7722">
      <w:bodyDiv w:val="1"/>
      <w:marLeft w:val="0"/>
      <w:marRight w:val="0"/>
      <w:marTop w:val="0"/>
      <w:marBottom w:val="0"/>
      <w:divBdr>
        <w:top w:val="none" w:sz="0" w:space="0" w:color="auto"/>
        <w:left w:val="none" w:sz="0" w:space="0" w:color="auto"/>
        <w:bottom w:val="none" w:sz="0" w:space="0" w:color="auto"/>
        <w:right w:val="none" w:sz="0" w:space="0" w:color="auto"/>
      </w:divBdr>
      <w:divsChild>
        <w:div w:id="1470323848">
          <w:marLeft w:val="0"/>
          <w:marRight w:val="0"/>
          <w:marTop w:val="0"/>
          <w:marBottom w:val="0"/>
          <w:divBdr>
            <w:top w:val="none" w:sz="0" w:space="0" w:color="auto"/>
            <w:left w:val="none" w:sz="0" w:space="0" w:color="auto"/>
            <w:bottom w:val="none" w:sz="0" w:space="0" w:color="auto"/>
            <w:right w:val="none" w:sz="0" w:space="0" w:color="auto"/>
          </w:divBdr>
          <w:divsChild>
            <w:div w:id="330564260">
              <w:marLeft w:val="0"/>
              <w:marRight w:val="0"/>
              <w:marTop w:val="0"/>
              <w:marBottom w:val="0"/>
              <w:divBdr>
                <w:top w:val="none" w:sz="0" w:space="0" w:color="auto"/>
                <w:left w:val="none" w:sz="0" w:space="0" w:color="auto"/>
                <w:bottom w:val="none" w:sz="0" w:space="0" w:color="auto"/>
                <w:right w:val="none" w:sz="0" w:space="0" w:color="auto"/>
              </w:divBdr>
              <w:divsChild>
                <w:div w:id="4763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9439">
      <w:bodyDiv w:val="1"/>
      <w:marLeft w:val="0"/>
      <w:marRight w:val="0"/>
      <w:marTop w:val="0"/>
      <w:marBottom w:val="0"/>
      <w:divBdr>
        <w:top w:val="none" w:sz="0" w:space="0" w:color="auto"/>
        <w:left w:val="none" w:sz="0" w:space="0" w:color="auto"/>
        <w:bottom w:val="none" w:sz="0" w:space="0" w:color="auto"/>
        <w:right w:val="none" w:sz="0" w:space="0" w:color="auto"/>
      </w:divBdr>
    </w:div>
    <w:div w:id="2021277958">
      <w:bodyDiv w:val="1"/>
      <w:marLeft w:val="0"/>
      <w:marRight w:val="0"/>
      <w:marTop w:val="0"/>
      <w:marBottom w:val="0"/>
      <w:divBdr>
        <w:top w:val="none" w:sz="0" w:space="0" w:color="auto"/>
        <w:left w:val="none" w:sz="0" w:space="0" w:color="auto"/>
        <w:bottom w:val="none" w:sz="0" w:space="0" w:color="auto"/>
        <w:right w:val="none" w:sz="0" w:space="0" w:color="auto"/>
      </w:divBdr>
      <w:divsChild>
        <w:div w:id="1378965957">
          <w:marLeft w:val="0"/>
          <w:marRight w:val="0"/>
          <w:marTop w:val="0"/>
          <w:marBottom w:val="0"/>
          <w:divBdr>
            <w:top w:val="none" w:sz="0" w:space="0" w:color="auto"/>
            <w:left w:val="none" w:sz="0" w:space="0" w:color="auto"/>
            <w:bottom w:val="none" w:sz="0" w:space="0" w:color="auto"/>
            <w:right w:val="none" w:sz="0" w:space="0" w:color="auto"/>
          </w:divBdr>
          <w:divsChild>
            <w:div w:id="500507105">
              <w:marLeft w:val="0"/>
              <w:marRight w:val="0"/>
              <w:marTop w:val="0"/>
              <w:marBottom w:val="0"/>
              <w:divBdr>
                <w:top w:val="none" w:sz="0" w:space="0" w:color="auto"/>
                <w:left w:val="none" w:sz="0" w:space="0" w:color="auto"/>
                <w:bottom w:val="none" w:sz="0" w:space="0" w:color="auto"/>
                <w:right w:val="none" w:sz="0" w:space="0" w:color="auto"/>
              </w:divBdr>
              <w:divsChild>
                <w:div w:id="533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1489">
      <w:bodyDiv w:val="1"/>
      <w:marLeft w:val="0"/>
      <w:marRight w:val="0"/>
      <w:marTop w:val="0"/>
      <w:marBottom w:val="0"/>
      <w:divBdr>
        <w:top w:val="none" w:sz="0" w:space="0" w:color="auto"/>
        <w:left w:val="none" w:sz="0" w:space="0" w:color="auto"/>
        <w:bottom w:val="none" w:sz="0" w:space="0" w:color="auto"/>
        <w:right w:val="none" w:sz="0" w:space="0" w:color="auto"/>
      </w:divBdr>
      <w:divsChild>
        <w:div w:id="1143887497">
          <w:marLeft w:val="0"/>
          <w:marRight w:val="0"/>
          <w:marTop w:val="0"/>
          <w:marBottom w:val="0"/>
          <w:divBdr>
            <w:top w:val="none" w:sz="0" w:space="0" w:color="auto"/>
            <w:left w:val="none" w:sz="0" w:space="0" w:color="auto"/>
            <w:bottom w:val="none" w:sz="0" w:space="0" w:color="auto"/>
            <w:right w:val="none" w:sz="0" w:space="0" w:color="auto"/>
          </w:divBdr>
          <w:divsChild>
            <w:div w:id="88085233">
              <w:marLeft w:val="0"/>
              <w:marRight w:val="0"/>
              <w:marTop w:val="0"/>
              <w:marBottom w:val="0"/>
              <w:divBdr>
                <w:top w:val="none" w:sz="0" w:space="0" w:color="auto"/>
                <w:left w:val="none" w:sz="0" w:space="0" w:color="auto"/>
                <w:bottom w:val="none" w:sz="0" w:space="0" w:color="auto"/>
                <w:right w:val="none" w:sz="0" w:space="0" w:color="auto"/>
              </w:divBdr>
              <w:divsChild>
                <w:div w:id="1441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3878">
      <w:bodyDiv w:val="1"/>
      <w:marLeft w:val="0"/>
      <w:marRight w:val="0"/>
      <w:marTop w:val="0"/>
      <w:marBottom w:val="0"/>
      <w:divBdr>
        <w:top w:val="none" w:sz="0" w:space="0" w:color="auto"/>
        <w:left w:val="none" w:sz="0" w:space="0" w:color="auto"/>
        <w:bottom w:val="none" w:sz="0" w:space="0" w:color="auto"/>
        <w:right w:val="none" w:sz="0" w:space="0" w:color="auto"/>
      </w:divBdr>
    </w:div>
    <w:div w:id="2041390340">
      <w:bodyDiv w:val="1"/>
      <w:marLeft w:val="0"/>
      <w:marRight w:val="0"/>
      <w:marTop w:val="0"/>
      <w:marBottom w:val="0"/>
      <w:divBdr>
        <w:top w:val="none" w:sz="0" w:space="0" w:color="auto"/>
        <w:left w:val="none" w:sz="0" w:space="0" w:color="auto"/>
        <w:bottom w:val="none" w:sz="0" w:space="0" w:color="auto"/>
        <w:right w:val="none" w:sz="0" w:space="0" w:color="auto"/>
      </w:divBdr>
    </w:div>
    <w:div w:id="2045666000">
      <w:bodyDiv w:val="1"/>
      <w:marLeft w:val="0"/>
      <w:marRight w:val="0"/>
      <w:marTop w:val="0"/>
      <w:marBottom w:val="0"/>
      <w:divBdr>
        <w:top w:val="none" w:sz="0" w:space="0" w:color="auto"/>
        <w:left w:val="none" w:sz="0" w:space="0" w:color="auto"/>
        <w:bottom w:val="none" w:sz="0" w:space="0" w:color="auto"/>
        <w:right w:val="none" w:sz="0" w:space="0" w:color="auto"/>
      </w:divBdr>
      <w:divsChild>
        <w:div w:id="1468354759">
          <w:marLeft w:val="0"/>
          <w:marRight w:val="0"/>
          <w:marTop w:val="0"/>
          <w:marBottom w:val="0"/>
          <w:divBdr>
            <w:top w:val="none" w:sz="0" w:space="0" w:color="auto"/>
            <w:left w:val="none" w:sz="0" w:space="0" w:color="auto"/>
            <w:bottom w:val="none" w:sz="0" w:space="0" w:color="auto"/>
            <w:right w:val="none" w:sz="0" w:space="0" w:color="auto"/>
          </w:divBdr>
          <w:divsChild>
            <w:div w:id="210579532">
              <w:marLeft w:val="0"/>
              <w:marRight w:val="0"/>
              <w:marTop w:val="0"/>
              <w:marBottom w:val="0"/>
              <w:divBdr>
                <w:top w:val="none" w:sz="0" w:space="0" w:color="auto"/>
                <w:left w:val="none" w:sz="0" w:space="0" w:color="auto"/>
                <w:bottom w:val="none" w:sz="0" w:space="0" w:color="auto"/>
                <w:right w:val="none" w:sz="0" w:space="0" w:color="auto"/>
              </w:divBdr>
              <w:divsChild>
                <w:div w:id="18093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8363">
      <w:bodyDiv w:val="1"/>
      <w:marLeft w:val="0"/>
      <w:marRight w:val="0"/>
      <w:marTop w:val="0"/>
      <w:marBottom w:val="0"/>
      <w:divBdr>
        <w:top w:val="none" w:sz="0" w:space="0" w:color="auto"/>
        <w:left w:val="none" w:sz="0" w:space="0" w:color="auto"/>
        <w:bottom w:val="none" w:sz="0" w:space="0" w:color="auto"/>
        <w:right w:val="none" w:sz="0" w:space="0" w:color="auto"/>
      </w:divBdr>
    </w:div>
    <w:div w:id="2061005202">
      <w:bodyDiv w:val="1"/>
      <w:marLeft w:val="0"/>
      <w:marRight w:val="0"/>
      <w:marTop w:val="0"/>
      <w:marBottom w:val="0"/>
      <w:divBdr>
        <w:top w:val="none" w:sz="0" w:space="0" w:color="auto"/>
        <w:left w:val="none" w:sz="0" w:space="0" w:color="auto"/>
        <w:bottom w:val="none" w:sz="0" w:space="0" w:color="auto"/>
        <w:right w:val="none" w:sz="0" w:space="0" w:color="auto"/>
      </w:divBdr>
      <w:divsChild>
        <w:div w:id="1573856822">
          <w:marLeft w:val="0"/>
          <w:marRight w:val="0"/>
          <w:marTop w:val="0"/>
          <w:marBottom w:val="0"/>
          <w:divBdr>
            <w:top w:val="none" w:sz="0" w:space="0" w:color="auto"/>
            <w:left w:val="none" w:sz="0" w:space="0" w:color="auto"/>
            <w:bottom w:val="none" w:sz="0" w:space="0" w:color="auto"/>
            <w:right w:val="none" w:sz="0" w:space="0" w:color="auto"/>
          </w:divBdr>
          <w:divsChild>
            <w:div w:id="1778676423">
              <w:marLeft w:val="0"/>
              <w:marRight w:val="0"/>
              <w:marTop w:val="0"/>
              <w:marBottom w:val="0"/>
              <w:divBdr>
                <w:top w:val="none" w:sz="0" w:space="0" w:color="auto"/>
                <w:left w:val="none" w:sz="0" w:space="0" w:color="auto"/>
                <w:bottom w:val="none" w:sz="0" w:space="0" w:color="auto"/>
                <w:right w:val="none" w:sz="0" w:space="0" w:color="auto"/>
              </w:divBdr>
              <w:divsChild>
                <w:div w:id="349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7419">
      <w:bodyDiv w:val="1"/>
      <w:marLeft w:val="0"/>
      <w:marRight w:val="0"/>
      <w:marTop w:val="0"/>
      <w:marBottom w:val="0"/>
      <w:divBdr>
        <w:top w:val="none" w:sz="0" w:space="0" w:color="auto"/>
        <w:left w:val="none" w:sz="0" w:space="0" w:color="auto"/>
        <w:bottom w:val="none" w:sz="0" w:space="0" w:color="auto"/>
        <w:right w:val="none" w:sz="0" w:space="0" w:color="auto"/>
      </w:divBdr>
      <w:divsChild>
        <w:div w:id="1603680703">
          <w:marLeft w:val="0"/>
          <w:marRight w:val="0"/>
          <w:marTop w:val="0"/>
          <w:marBottom w:val="0"/>
          <w:divBdr>
            <w:top w:val="none" w:sz="0" w:space="0" w:color="auto"/>
            <w:left w:val="none" w:sz="0" w:space="0" w:color="auto"/>
            <w:bottom w:val="none" w:sz="0" w:space="0" w:color="auto"/>
            <w:right w:val="none" w:sz="0" w:space="0" w:color="auto"/>
          </w:divBdr>
          <w:divsChild>
            <w:div w:id="970597521">
              <w:marLeft w:val="0"/>
              <w:marRight w:val="0"/>
              <w:marTop w:val="0"/>
              <w:marBottom w:val="0"/>
              <w:divBdr>
                <w:top w:val="none" w:sz="0" w:space="0" w:color="auto"/>
                <w:left w:val="none" w:sz="0" w:space="0" w:color="auto"/>
                <w:bottom w:val="none" w:sz="0" w:space="0" w:color="auto"/>
                <w:right w:val="none" w:sz="0" w:space="0" w:color="auto"/>
              </w:divBdr>
              <w:divsChild>
                <w:div w:id="10882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54512">
      <w:bodyDiv w:val="1"/>
      <w:marLeft w:val="0"/>
      <w:marRight w:val="0"/>
      <w:marTop w:val="0"/>
      <w:marBottom w:val="0"/>
      <w:divBdr>
        <w:top w:val="none" w:sz="0" w:space="0" w:color="auto"/>
        <w:left w:val="none" w:sz="0" w:space="0" w:color="auto"/>
        <w:bottom w:val="none" w:sz="0" w:space="0" w:color="auto"/>
        <w:right w:val="none" w:sz="0" w:space="0" w:color="auto"/>
      </w:divBdr>
      <w:divsChild>
        <w:div w:id="1261991540">
          <w:marLeft w:val="0"/>
          <w:marRight w:val="0"/>
          <w:marTop w:val="0"/>
          <w:marBottom w:val="0"/>
          <w:divBdr>
            <w:top w:val="none" w:sz="0" w:space="0" w:color="auto"/>
            <w:left w:val="none" w:sz="0" w:space="0" w:color="auto"/>
            <w:bottom w:val="none" w:sz="0" w:space="0" w:color="auto"/>
            <w:right w:val="none" w:sz="0" w:space="0" w:color="auto"/>
          </w:divBdr>
          <w:divsChild>
            <w:div w:id="945504696">
              <w:marLeft w:val="0"/>
              <w:marRight w:val="0"/>
              <w:marTop w:val="0"/>
              <w:marBottom w:val="0"/>
              <w:divBdr>
                <w:top w:val="none" w:sz="0" w:space="0" w:color="auto"/>
                <w:left w:val="none" w:sz="0" w:space="0" w:color="auto"/>
                <w:bottom w:val="none" w:sz="0" w:space="0" w:color="auto"/>
                <w:right w:val="none" w:sz="0" w:space="0" w:color="auto"/>
              </w:divBdr>
              <w:divsChild>
                <w:div w:id="408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6217">
      <w:bodyDiv w:val="1"/>
      <w:marLeft w:val="0"/>
      <w:marRight w:val="0"/>
      <w:marTop w:val="0"/>
      <w:marBottom w:val="0"/>
      <w:divBdr>
        <w:top w:val="none" w:sz="0" w:space="0" w:color="auto"/>
        <w:left w:val="none" w:sz="0" w:space="0" w:color="auto"/>
        <w:bottom w:val="none" w:sz="0" w:space="0" w:color="auto"/>
        <w:right w:val="none" w:sz="0" w:space="0" w:color="auto"/>
      </w:divBdr>
    </w:div>
    <w:div w:id="2081247858">
      <w:bodyDiv w:val="1"/>
      <w:marLeft w:val="0"/>
      <w:marRight w:val="0"/>
      <w:marTop w:val="0"/>
      <w:marBottom w:val="0"/>
      <w:divBdr>
        <w:top w:val="none" w:sz="0" w:space="0" w:color="auto"/>
        <w:left w:val="none" w:sz="0" w:space="0" w:color="auto"/>
        <w:bottom w:val="none" w:sz="0" w:space="0" w:color="auto"/>
        <w:right w:val="none" w:sz="0" w:space="0" w:color="auto"/>
      </w:divBdr>
    </w:div>
    <w:div w:id="2105033874">
      <w:bodyDiv w:val="1"/>
      <w:marLeft w:val="0"/>
      <w:marRight w:val="0"/>
      <w:marTop w:val="0"/>
      <w:marBottom w:val="0"/>
      <w:divBdr>
        <w:top w:val="none" w:sz="0" w:space="0" w:color="auto"/>
        <w:left w:val="none" w:sz="0" w:space="0" w:color="auto"/>
        <w:bottom w:val="none" w:sz="0" w:space="0" w:color="auto"/>
        <w:right w:val="none" w:sz="0" w:space="0" w:color="auto"/>
      </w:divBdr>
      <w:divsChild>
        <w:div w:id="818770815">
          <w:marLeft w:val="0"/>
          <w:marRight w:val="0"/>
          <w:marTop w:val="0"/>
          <w:marBottom w:val="0"/>
          <w:divBdr>
            <w:top w:val="none" w:sz="0" w:space="0" w:color="auto"/>
            <w:left w:val="none" w:sz="0" w:space="0" w:color="auto"/>
            <w:bottom w:val="none" w:sz="0" w:space="0" w:color="auto"/>
            <w:right w:val="none" w:sz="0" w:space="0" w:color="auto"/>
          </w:divBdr>
          <w:divsChild>
            <w:div w:id="1338731742">
              <w:marLeft w:val="0"/>
              <w:marRight w:val="0"/>
              <w:marTop w:val="0"/>
              <w:marBottom w:val="0"/>
              <w:divBdr>
                <w:top w:val="none" w:sz="0" w:space="0" w:color="auto"/>
                <w:left w:val="none" w:sz="0" w:space="0" w:color="auto"/>
                <w:bottom w:val="none" w:sz="0" w:space="0" w:color="auto"/>
                <w:right w:val="none" w:sz="0" w:space="0" w:color="auto"/>
              </w:divBdr>
              <w:divsChild>
                <w:div w:id="385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8002">
      <w:bodyDiv w:val="1"/>
      <w:marLeft w:val="0"/>
      <w:marRight w:val="0"/>
      <w:marTop w:val="0"/>
      <w:marBottom w:val="0"/>
      <w:divBdr>
        <w:top w:val="none" w:sz="0" w:space="0" w:color="auto"/>
        <w:left w:val="none" w:sz="0" w:space="0" w:color="auto"/>
        <w:bottom w:val="none" w:sz="0" w:space="0" w:color="auto"/>
        <w:right w:val="none" w:sz="0" w:space="0" w:color="auto"/>
      </w:divBdr>
    </w:div>
    <w:div w:id="2126194744">
      <w:bodyDiv w:val="1"/>
      <w:marLeft w:val="0"/>
      <w:marRight w:val="0"/>
      <w:marTop w:val="0"/>
      <w:marBottom w:val="0"/>
      <w:divBdr>
        <w:top w:val="none" w:sz="0" w:space="0" w:color="auto"/>
        <w:left w:val="none" w:sz="0" w:space="0" w:color="auto"/>
        <w:bottom w:val="none" w:sz="0" w:space="0" w:color="auto"/>
        <w:right w:val="none" w:sz="0" w:space="0" w:color="auto"/>
      </w:divBdr>
      <w:divsChild>
        <w:div w:id="830291472">
          <w:marLeft w:val="0"/>
          <w:marRight w:val="0"/>
          <w:marTop w:val="0"/>
          <w:marBottom w:val="0"/>
          <w:divBdr>
            <w:top w:val="none" w:sz="0" w:space="0" w:color="auto"/>
            <w:left w:val="none" w:sz="0" w:space="0" w:color="auto"/>
            <w:bottom w:val="none" w:sz="0" w:space="0" w:color="auto"/>
            <w:right w:val="none" w:sz="0" w:space="0" w:color="auto"/>
          </w:divBdr>
          <w:divsChild>
            <w:div w:id="697051177">
              <w:marLeft w:val="0"/>
              <w:marRight w:val="0"/>
              <w:marTop w:val="0"/>
              <w:marBottom w:val="0"/>
              <w:divBdr>
                <w:top w:val="none" w:sz="0" w:space="0" w:color="auto"/>
                <w:left w:val="none" w:sz="0" w:space="0" w:color="auto"/>
                <w:bottom w:val="none" w:sz="0" w:space="0" w:color="auto"/>
                <w:right w:val="none" w:sz="0" w:space="0" w:color="auto"/>
              </w:divBdr>
              <w:divsChild>
                <w:div w:id="1669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0773">
      <w:bodyDiv w:val="1"/>
      <w:marLeft w:val="0"/>
      <w:marRight w:val="0"/>
      <w:marTop w:val="0"/>
      <w:marBottom w:val="0"/>
      <w:divBdr>
        <w:top w:val="none" w:sz="0" w:space="0" w:color="auto"/>
        <w:left w:val="none" w:sz="0" w:space="0" w:color="auto"/>
        <w:bottom w:val="none" w:sz="0" w:space="0" w:color="auto"/>
        <w:right w:val="none" w:sz="0" w:space="0" w:color="auto"/>
      </w:divBdr>
      <w:divsChild>
        <w:div w:id="978850120">
          <w:marLeft w:val="0"/>
          <w:marRight w:val="0"/>
          <w:marTop w:val="0"/>
          <w:marBottom w:val="0"/>
          <w:divBdr>
            <w:top w:val="none" w:sz="0" w:space="0" w:color="auto"/>
            <w:left w:val="none" w:sz="0" w:space="0" w:color="auto"/>
            <w:bottom w:val="none" w:sz="0" w:space="0" w:color="auto"/>
            <w:right w:val="none" w:sz="0" w:space="0" w:color="auto"/>
          </w:divBdr>
          <w:divsChild>
            <w:div w:id="1922131426">
              <w:marLeft w:val="0"/>
              <w:marRight w:val="0"/>
              <w:marTop w:val="0"/>
              <w:marBottom w:val="0"/>
              <w:divBdr>
                <w:top w:val="none" w:sz="0" w:space="0" w:color="auto"/>
                <w:left w:val="none" w:sz="0" w:space="0" w:color="auto"/>
                <w:bottom w:val="none" w:sz="0" w:space="0" w:color="auto"/>
                <w:right w:val="none" w:sz="0" w:space="0" w:color="auto"/>
              </w:divBdr>
              <w:divsChild>
                <w:div w:id="9124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4678">
      <w:bodyDiv w:val="1"/>
      <w:marLeft w:val="0"/>
      <w:marRight w:val="0"/>
      <w:marTop w:val="0"/>
      <w:marBottom w:val="0"/>
      <w:divBdr>
        <w:top w:val="none" w:sz="0" w:space="0" w:color="auto"/>
        <w:left w:val="none" w:sz="0" w:space="0" w:color="auto"/>
        <w:bottom w:val="none" w:sz="0" w:space="0" w:color="auto"/>
        <w:right w:val="none" w:sz="0" w:space="0" w:color="auto"/>
      </w:divBdr>
      <w:divsChild>
        <w:div w:id="433020668">
          <w:marLeft w:val="0"/>
          <w:marRight w:val="0"/>
          <w:marTop w:val="0"/>
          <w:marBottom w:val="0"/>
          <w:divBdr>
            <w:top w:val="none" w:sz="0" w:space="0" w:color="auto"/>
            <w:left w:val="none" w:sz="0" w:space="0" w:color="auto"/>
            <w:bottom w:val="none" w:sz="0" w:space="0" w:color="auto"/>
            <w:right w:val="none" w:sz="0" w:space="0" w:color="auto"/>
          </w:divBdr>
          <w:divsChild>
            <w:div w:id="319042364">
              <w:marLeft w:val="0"/>
              <w:marRight w:val="0"/>
              <w:marTop w:val="0"/>
              <w:marBottom w:val="0"/>
              <w:divBdr>
                <w:top w:val="none" w:sz="0" w:space="0" w:color="auto"/>
                <w:left w:val="none" w:sz="0" w:space="0" w:color="auto"/>
                <w:bottom w:val="none" w:sz="0" w:space="0" w:color="auto"/>
                <w:right w:val="none" w:sz="0" w:space="0" w:color="auto"/>
              </w:divBdr>
              <w:divsChild>
                <w:div w:id="18006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CjTfkquhV1+HU4nATzJZqFmNeA==">AMUW2mXjl/oVR6yiV5YI656jKRzZE021tETglXmqqCuZ7ru9xBBw4casYssj21o0BLH9ruxv6VM8MjxXKgttS4yMoaeHH8S3geTKyr2jpobb5G4EpoT+z3UX2v81x0NBOYY2cDn5IdCP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EF8229-7AD8-4E24-8267-9C79A1B31BF8}"/>
</file>

<file path=customXml/itemProps3.xml><?xml version="1.0" encoding="utf-8"?>
<ds:datastoreItem xmlns:ds="http://schemas.openxmlformats.org/officeDocument/2006/customXml" ds:itemID="{7F23448D-2192-496F-A2FC-206B0E4C1AB0}"/>
</file>

<file path=customXml/itemProps4.xml><?xml version="1.0" encoding="utf-8"?>
<ds:datastoreItem xmlns:ds="http://schemas.openxmlformats.org/officeDocument/2006/customXml" ds:itemID="{963AF3C3-8793-4A33-9D4A-33D91C6664DB}"/>
</file>

<file path=docProps/app.xml><?xml version="1.0" encoding="utf-8"?>
<Properties xmlns="http://schemas.openxmlformats.org/officeDocument/2006/extended-properties" xmlns:vt="http://schemas.openxmlformats.org/officeDocument/2006/docPropsVTypes">
  <Template>Normal</Template>
  <TotalTime>2898</TotalTime>
  <Pages>142</Pages>
  <Words>34728</Words>
  <Characters>197950</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GENTAR</dc:creator>
  <cp:keywords/>
  <dc:description/>
  <cp:lastModifiedBy>Anggrayni Sulma Wardhani</cp:lastModifiedBy>
  <cp:revision>6</cp:revision>
  <dcterms:created xsi:type="dcterms:W3CDTF">2025-01-30T18:52:00Z</dcterms:created>
  <dcterms:modified xsi:type="dcterms:W3CDTF">2025-02-04T06:26:00Z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