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0D" w:rsidRDefault="006143E5" w:rsidP="00EB3560">
      <w:pPr>
        <w:spacing w:after="0"/>
        <w:jc w:val="center"/>
        <w:rPr>
          <w:rFonts w:ascii="Bookman Old Style" w:hAnsi="Bookman Old Style"/>
          <w:b/>
          <w:sz w:val="24"/>
          <w:szCs w:val="20"/>
        </w:rPr>
      </w:pPr>
      <w:r w:rsidRPr="00EB3560">
        <w:rPr>
          <w:rFonts w:ascii="Bookman Old Style" w:hAnsi="Bookman Old Style"/>
          <w:b/>
          <w:sz w:val="24"/>
          <w:szCs w:val="20"/>
        </w:rPr>
        <w:t xml:space="preserve">Rancangan POJK </w:t>
      </w:r>
      <w:r w:rsidR="00EF5B8F" w:rsidRPr="00EB3560">
        <w:rPr>
          <w:rFonts w:ascii="Bookman Old Style" w:hAnsi="Bookman Old Style"/>
          <w:b/>
          <w:sz w:val="24"/>
          <w:szCs w:val="20"/>
          <w:lang w:val="id-ID"/>
        </w:rPr>
        <w:t>tentang</w:t>
      </w:r>
      <w:r w:rsidRPr="00EB3560">
        <w:rPr>
          <w:rFonts w:ascii="Bookman Old Style" w:hAnsi="Bookman Old Style"/>
          <w:b/>
          <w:sz w:val="24"/>
          <w:szCs w:val="20"/>
        </w:rPr>
        <w:t xml:space="preserve"> </w:t>
      </w:r>
      <w:r w:rsidR="006D2479" w:rsidRPr="00EB3560">
        <w:rPr>
          <w:rFonts w:ascii="Bookman Old Style" w:hAnsi="Bookman Old Style"/>
          <w:b/>
          <w:sz w:val="24"/>
          <w:szCs w:val="20"/>
        </w:rPr>
        <w:t xml:space="preserve">Rencana Bisnis </w:t>
      </w:r>
    </w:p>
    <w:p w:rsidR="00BC3B3F" w:rsidRPr="00EB3560" w:rsidRDefault="002F2270" w:rsidP="004B490D">
      <w:pPr>
        <w:spacing w:after="120"/>
        <w:jc w:val="center"/>
        <w:rPr>
          <w:rFonts w:ascii="Bookman Old Style" w:hAnsi="Bookman Old Style"/>
          <w:b/>
          <w:sz w:val="24"/>
          <w:szCs w:val="20"/>
        </w:rPr>
      </w:pPr>
      <w:r w:rsidRPr="00EB3560">
        <w:rPr>
          <w:rFonts w:ascii="Bookman Old Style" w:hAnsi="Bookman Old Style"/>
          <w:b/>
          <w:sz w:val="24"/>
          <w:szCs w:val="20"/>
        </w:rPr>
        <w:t>Bank Perkreditan Rakyat</w:t>
      </w:r>
      <w:r w:rsidR="006D2479" w:rsidRPr="00EB3560">
        <w:rPr>
          <w:rFonts w:ascii="Bookman Old Style" w:hAnsi="Bookman Old Style"/>
          <w:b/>
          <w:sz w:val="24"/>
          <w:szCs w:val="20"/>
        </w:rPr>
        <w:t xml:space="preserve"> dan Bank Pembiayaan Rakyat Syariah</w:t>
      </w:r>
    </w:p>
    <w:tbl>
      <w:tblPr>
        <w:tblStyle w:val="TableGrid"/>
        <w:tblW w:w="5150" w:type="pct"/>
        <w:tblInd w:w="-95" w:type="dxa"/>
        <w:tblLayout w:type="fixed"/>
        <w:tblCellMar>
          <w:top w:w="28" w:type="dxa"/>
          <w:left w:w="57" w:type="dxa"/>
          <w:bottom w:w="28" w:type="dxa"/>
          <w:right w:w="57" w:type="dxa"/>
        </w:tblCellMar>
        <w:tblLook w:val="04A0" w:firstRow="1" w:lastRow="0" w:firstColumn="1" w:lastColumn="0" w:noHBand="0" w:noVBand="1"/>
      </w:tblPr>
      <w:tblGrid>
        <w:gridCol w:w="1172"/>
        <w:gridCol w:w="722"/>
        <w:gridCol w:w="5149"/>
        <w:gridCol w:w="3218"/>
      </w:tblGrid>
      <w:tr w:rsidR="00EF5B8F" w:rsidRPr="00145C23" w:rsidTr="00C8049C">
        <w:trPr>
          <w:tblHeader/>
        </w:trPr>
        <w:tc>
          <w:tcPr>
            <w:tcW w:w="571" w:type="pct"/>
            <w:shd w:val="clear" w:color="auto" w:fill="2F5496" w:themeFill="accent5" w:themeFillShade="BF"/>
          </w:tcPr>
          <w:p w:rsidR="001E6B73" w:rsidRPr="00145C23" w:rsidRDefault="001E6B73" w:rsidP="00A93BC7">
            <w:pPr>
              <w:spacing w:before="60" w:after="60" w:line="276" w:lineRule="auto"/>
              <w:jc w:val="center"/>
              <w:rPr>
                <w:rFonts w:ascii="Bookman Old Style" w:hAnsi="Bookman Old Style"/>
                <w:b/>
                <w:color w:val="FFFFFF" w:themeColor="background1"/>
                <w:sz w:val="20"/>
                <w:szCs w:val="20"/>
              </w:rPr>
            </w:pPr>
            <w:r w:rsidRPr="00145C23">
              <w:rPr>
                <w:rFonts w:ascii="Bookman Old Style" w:hAnsi="Bookman Old Style"/>
                <w:b/>
                <w:color w:val="FFFFFF" w:themeColor="background1"/>
                <w:sz w:val="20"/>
                <w:szCs w:val="20"/>
              </w:rPr>
              <w:t>Pasal</w:t>
            </w:r>
          </w:p>
        </w:tc>
        <w:tc>
          <w:tcPr>
            <w:tcW w:w="352" w:type="pct"/>
            <w:shd w:val="clear" w:color="auto" w:fill="2F5496" w:themeFill="accent5" w:themeFillShade="BF"/>
          </w:tcPr>
          <w:p w:rsidR="001E6B73" w:rsidRPr="00145C23" w:rsidRDefault="001E6B73" w:rsidP="00A93BC7">
            <w:pPr>
              <w:spacing w:before="60" w:after="60" w:line="276" w:lineRule="auto"/>
              <w:jc w:val="center"/>
              <w:rPr>
                <w:rFonts w:ascii="Bookman Old Style" w:hAnsi="Bookman Old Style"/>
                <w:b/>
                <w:color w:val="FFFFFF" w:themeColor="background1"/>
                <w:sz w:val="20"/>
                <w:szCs w:val="20"/>
              </w:rPr>
            </w:pPr>
            <w:r w:rsidRPr="00145C23">
              <w:rPr>
                <w:rFonts w:ascii="Bookman Old Style" w:hAnsi="Bookman Old Style"/>
                <w:b/>
                <w:color w:val="FFFFFF" w:themeColor="background1"/>
                <w:sz w:val="20"/>
                <w:szCs w:val="20"/>
              </w:rPr>
              <w:t>Ayat</w:t>
            </w:r>
          </w:p>
        </w:tc>
        <w:tc>
          <w:tcPr>
            <w:tcW w:w="2509" w:type="pct"/>
            <w:shd w:val="clear" w:color="auto" w:fill="2F5496" w:themeFill="accent5" w:themeFillShade="BF"/>
          </w:tcPr>
          <w:p w:rsidR="001E6B73" w:rsidRPr="00145C23" w:rsidRDefault="001E6B73" w:rsidP="00A93BC7">
            <w:pPr>
              <w:spacing w:before="60" w:after="60" w:line="276" w:lineRule="auto"/>
              <w:jc w:val="center"/>
              <w:rPr>
                <w:rFonts w:ascii="Bookman Old Style" w:hAnsi="Bookman Old Style"/>
                <w:b/>
                <w:color w:val="FFFFFF" w:themeColor="background1"/>
                <w:sz w:val="20"/>
                <w:szCs w:val="20"/>
              </w:rPr>
            </w:pPr>
            <w:r w:rsidRPr="00145C23">
              <w:rPr>
                <w:rFonts w:ascii="Bookman Old Style" w:hAnsi="Bookman Old Style"/>
                <w:b/>
                <w:color w:val="FFFFFF" w:themeColor="background1"/>
                <w:sz w:val="20"/>
                <w:szCs w:val="20"/>
              </w:rPr>
              <w:t>Rancangan POJK</w:t>
            </w:r>
          </w:p>
        </w:tc>
        <w:tc>
          <w:tcPr>
            <w:tcW w:w="1568" w:type="pct"/>
            <w:shd w:val="clear" w:color="auto" w:fill="2F5496" w:themeFill="accent5" w:themeFillShade="BF"/>
          </w:tcPr>
          <w:p w:rsidR="001E6B73" w:rsidRPr="00145C23" w:rsidRDefault="001E6B73" w:rsidP="00A93BC7">
            <w:pPr>
              <w:spacing w:before="60" w:after="60" w:line="276" w:lineRule="auto"/>
              <w:jc w:val="center"/>
              <w:rPr>
                <w:rFonts w:ascii="Bookman Old Style" w:hAnsi="Bookman Old Style"/>
                <w:b/>
                <w:color w:val="FFFFFF" w:themeColor="background1"/>
                <w:sz w:val="20"/>
                <w:szCs w:val="20"/>
              </w:rPr>
            </w:pPr>
            <w:r w:rsidRPr="00145C23">
              <w:rPr>
                <w:rFonts w:ascii="Bookman Old Style" w:hAnsi="Bookman Old Style"/>
                <w:b/>
                <w:color w:val="FFFFFF" w:themeColor="background1"/>
                <w:sz w:val="20"/>
                <w:szCs w:val="20"/>
              </w:rPr>
              <w:t xml:space="preserve">Penjelasan </w:t>
            </w:r>
          </w:p>
        </w:tc>
      </w:tr>
      <w:tr w:rsidR="001E6B73" w:rsidRPr="00607524" w:rsidTr="005D0ED5">
        <w:tc>
          <w:tcPr>
            <w:tcW w:w="5000" w:type="pct"/>
            <w:gridSpan w:val="4"/>
            <w:shd w:val="clear" w:color="auto" w:fill="EDEDED" w:themeFill="accent3" w:themeFillTint="33"/>
          </w:tcPr>
          <w:p w:rsidR="001E6B73" w:rsidRPr="00607524" w:rsidRDefault="00EF5B8F" w:rsidP="00A12E69">
            <w:pPr>
              <w:pStyle w:val="ListParagraph"/>
              <w:numPr>
                <w:ilvl w:val="0"/>
                <w:numId w:val="5"/>
              </w:numPr>
              <w:tabs>
                <w:tab w:val="left" w:pos="823"/>
              </w:tabs>
              <w:spacing w:before="60" w:after="60"/>
              <w:contextualSpacing w:val="0"/>
              <w:jc w:val="center"/>
              <w:rPr>
                <w:rFonts w:ascii="Bookman Old Style" w:hAnsi="Bookman Old Style" w:cs="Arial"/>
                <w:b/>
                <w:sz w:val="20"/>
                <w:szCs w:val="20"/>
              </w:rPr>
            </w:pPr>
            <w:r w:rsidRPr="00607524">
              <w:rPr>
                <w:rFonts w:ascii="Bookman Old Style" w:hAnsi="Bookman Old Style" w:cs="Arial"/>
                <w:b/>
                <w:sz w:val="20"/>
                <w:szCs w:val="20"/>
              </w:rPr>
              <w:t>KETENTUAN UMUM</w:t>
            </w:r>
          </w:p>
        </w:tc>
      </w:tr>
      <w:tr w:rsidR="00EF5B8F" w:rsidRPr="00607524" w:rsidTr="00C8049C">
        <w:tc>
          <w:tcPr>
            <w:tcW w:w="571" w:type="pct"/>
          </w:tcPr>
          <w:p w:rsidR="001E6B73" w:rsidRPr="00607524" w:rsidRDefault="001E6B73"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1E6B73" w:rsidRPr="00607524" w:rsidRDefault="001E6B73" w:rsidP="00A12E69">
            <w:pPr>
              <w:pStyle w:val="ListParagraph"/>
              <w:numPr>
                <w:ilvl w:val="0"/>
                <w:numId w:val="6"/>
              </w:numPr>
              <w:tabs>
                <w:tab w:val="left" w:pos="6447"/>
              </w:tabs>
              <w:spacing w:before="60" w:after="60"/>
              <w:contextualSpacing w:val="0"/>
              <w:jc w:val="center"/>
              <w:rPr>
                <w:rFonts w:ascii="Bookman Old Style" w:hAnsi="Bookman Old Style" w:cs="Arial"/>
                <w:sz w:val="20"/>
                <w:szCs w:val="20"/>
              </w:rPr>
            </w:pPr>
          </w:p>
        </w:tc>
        <w:tc>
          <w:tcPr>
            <w:tcW w:w="2509" w:type="pct"/>
          </w:tcPr>
          <w:p w:rsidR="001E6B73" w:rsidRPr="00607524" w:rsidRDefault="00A9009E"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Bank Perkreditan Rakyat yang selanjutnya disingkat BPR adalah bank yang melaksanakan kegiatan usaha secara konvensional yang dalam kegiatannya tidak memberikan jasa dalam lalu lintas pembayaran.</w:t>
            </w:r>
          </w:p>
        </w:tc>
        <w:tc>
          <w:tcPr>
            <w:tcW w:w="1568" w:type="pct"/>
          </w:tcPr>
          <w:p w:rsidR="001E6B73" w:rsidRPr="00607524" w:rsidRDefault="001E6B73"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Cukup jelas.</w:t>
            </w:r>
          </w:p>
        </w:tc>
      </w:tr>
      <w:tr w:rsidR="00A9009E" w:rsidRPr="00607524" w:rsidTr="00C8049C">
        <w:tc>
          <w:tcPr>
            <w:tcW w:w="571" w:type="pct"/>
          </w:tcPr>
          <w:p w:rsidR="00A9009E" w:rsidRPr="00607524" w:rsidRDefault="00A9009E" w:rsidP="00A9009E">
            <w:pPr>
              <w:tabs>
                <w:tab w:val="left" w:pos="6447"/>
              </w:tabs>
              <w:spacing w:before="60" w:after="60" w:line="276" w:lineRule="auto"/>
              <w:rPr>
                <w:rFonts w:ascii="Bookman Old Style" w:hAnsi="Bookman Old Style" w:cs="Arial"/>
                <w:sz w:val="20"/>
                <w:szCs w:val="20"/>
              </w:rPr>
            </w:pPr>
          </w:p>
        </w:tc>
        <w:tc>
          <w:tcPr>
            <w:tcW w:w="352" w:type="pct"/>
          </w:tcPr>
          <w:p w:rsidR="00A9009E" w:rsidRPr="00607524" w:rsidRDefault="00A9009E" w:rsidP="00A12E69">
            <w:pPr>
              <w:pStyle w:val="ListParagraph"/>
              <w:numPr>
                <w:ilvl w:val="0"/>
                <w:numId w:val="6"/>
              </w:numPr>
              <w:tabs>
                <w:tab w:val="left" w:pos="6447"/>
              </w:tabs>
              <w:spacing w:before="60" w:after="60"/>
              <w:contextualSpacing w:val="0"/>
              <w:jc w:val="center"/>
              <w:rPr>
                <w:rFonts w:ascii="Bookman Old Style" w:hAnsi="Bookman Old Style" w:cs="Arial"/>
                <w:sz w:val="20"/>
                <w:szCs w:val="20"/>
              </w:rPr>
            </w:pPr>
          </w:p>
        </w:tc>
        <w:tc>
          <w:tcPr>
            <w:tcW w:w="2509" w:type="pct"/>
          </w:tcPr>
          <w:p w:rsidR="00A9009E" w:rsidRPr="00607524" w:rsidRDefault="00A9009E" w:rsidP="00A9009E">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Bank Pembiayaan Rakyat Syariah yang selanjutnya disingkat BPRS adalah bank syariah yang dalam kegiatannya tidak memberikan jasa dalam lalu lintas pembayaran.</w:t>
            </w:r>
          </w:p>
        </w:tc>
        <w:tc>
          <w:tcPr>
            <w:tcW w:w="1568" w:type="pct"/>
          </w:tcPr>
          <w:p w:rsidR="00A9009E" w:rsidRPr="00607524" w:rsidRDefault="00A9009E" w:rsidP="00051D47">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A9009E" w:rsidRPr="00607524" w:rsidTr="00C8049C">
        <w:tc>
          <w:tcPr>
            <w:tcW w:w="571" w:type="pct"/>
          </w:tcPr>
          <w:p w:rsidR="00A9009E" w:rsidRPr="00607524" w:rsidRDefault="00A9009E" w:rsidP="00A9009E">
            <w:pPr>
              <w:tabs>
                <w:tab w:val="left" w:pos="6447"/>
              </w:tabs>
              <w:spacing w:before="60" w:after="60" w:line="276" w:lineRule="auto"/>
              <w:jc w:val="center"/>
              <w:rPr>
                <w:rFonts w:ascii="Bookman Old Style" w:hAnsi="Bookman Old Style" w:cs="Arial"/>
                <w:sz w:val="20"/>
                <w:szCs w:val="20"/>
              </w:rPr>
            </w:pPr>
          </w:p>
        </w:tc>
        <w:tc>
          <w:tcPr>
            <w:tcW w:w="352" w:type="pct"/>
          </w:tcPr>
          <w:p w:rsidR="00A9009E" w:rsidRPr="00607524" w:rsidRDefault="00A9009E" w:rsidP="00A12E69">
            <w:pPr>
              <w:pStyle w:val="ListParagraph"/>
              <w:numPr>
                <w:ilvl w:val="0"/>
                <w:numId w:val="6"/>
              </w:numPr>
              <w:tabs>
                <w:tab w:val="left" w:pos="6447"/>
              </w:tabs>
              <w:spacing w:before="60" w:after="60"/>
              <w:contextualSpacing w:val="0"/>
              <w:jc w:val="center"/>
              <w:rPr>
                <w:rFonts w:ascii="Bookman Old Style" w:hAnsi="Bookman Old Style" w:cs="Arial"/>
                <w:sz w:val="20"/>
                <w:szCs w:val="20"/>
              </w:rPr>
            </w:pPr>
          </w:p>
        </w:tc>
        <w:tc>
          <w:tcPr>
            <w:tcW w:w="2509" w:type="pct"/>
          </w:tcPr>
          <w:p w:rsidR="00A9009E" w:rsidRPr="00607524" w:rsidRDefault="00A9009E" w:rsidP="004B490D">
            <w:pPr>
              <w:tabs>
                <w:tab w:val="left" w:pos="6447"/>
              </w:tabs>
              <w:spacing w:before="60" w:after="60" w:line="276" w:lineRule="auto"/>
              <w:jc w:val="both"/>
              <w:rPr>
                <w:rFonts w:ascii="Bookman Old Style" w:hAnsi="Bookman Old Style" w:cs="Bookman Old Style"/>
                <w:noProof w:val="0"/>
                <w:sz w:val="23"/>
                <w:szCs w:val="23"/>
                <w:lang w:val="en-US"/>
              </w:rPr>
            </w:pPr>
            <w:r w:rsidRPr="00607524">
              <w:rPr>
                <w:rFonts w:ascii="Bookman Old Style" w:hAnsi="Bookman Old Style" w:cstheme="minorHAnsi"/>
                <w:sz w:val="20"/>
                <w:szCs w:val="20"/>
              </w:rPr>
              <w:t>Rencana Bisnis adalah dokumen tertulis yang menggambarkan rencana pengembangan dan kegiatan usaha BPR atau BPRS dalam jangka waktu tertentu serta strategi untuk merealisasikan rencana tersebut sesuai target dan waktu yang ditetapkan.</w:t>
            </w:r>
            <w:r w:rsidRPr="00607524">
              <w:rPr>
                <w:rFonts w:ascii="Bookman Old Style" w:hAnsi="Bookman Old Style" w:cs="Bookman Old Style"/>
                <w:noProof w:val="0"/>
                <w:sz w:val="23"/>
                <w:szCs w:val="23"/>
                <w:lang w:val="en-US"/>
              </w:rPr>
              <w:t xml:space="preserve"> </w:t>
            </w:r>
          </w:p>
        </w:tc>
        <w:tc>
          <w:tcPr>
            <w:tcW w:w="1568" w:type="pct"/>
          </w:tcPr>
          <w:p w:rsidR="00A9009E" w:rsidRPr="00607524" w:rsidRDefault="00A9009E" w:rsidP="00051D47">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A9009E" w:rsidRPr="00607524" w:rsidTr="00C8049C">
        <w:tc>
          <w:tcPr>
            <w:tcW w:w="571" w:type="pct"/>
          </w:tcPr>
          <w:p w:rsidR="00A9009E" w:rsidRPr="00607524" w:rsidRDefault="00A9009E" w:rsidP="00A9009E">
            <w:pPr>
              <w:tabs>
                <w:tab w:val="left" w:pos="6447"/>
              </w:tabs>
              <w:spacing w:before="60" w:after="60" w:line="276" w:lineRule="auto"/>
              <w:jc w:val="center"/>
              <w:rPr>
                <w:rFonts w:ascii="Bookman Old Style" w:hAnsi="Bookman Old Style" w:cs="Arial"/>
                <w:sz w:val="20"/>
                <w:szCs w:val="20"/>
              </w:rPr>
            </w:pPr>
          </w:p>
        </w:tc>
        <w:tc>
          <w:tcPr>
            <w:tcW w:w="352" w:type="pct"/>
          </w:tcPr>
          <w:p w:rsidR="00A9009E" w:rsidRPr="00607524" w:rsidRDefault="00A9009E" w:rsidP="00A12E69">
            <w:pPr>
              <w:pStyle w:val="ListParagraph"/>
              <w:numPr>
                <w:ilvl w:val="0"/>
                <w:numId w:val="6"/>
              </w:numPr>
              <w:tabs>
                <w:tab w:val="left" w:pos="6447"/>
              </w:tabs>
              <w:spacing w:before="60" w:after="60"/>
              <w:contextualSpacing w:val="0"/>
              <w:jc w:val="center"/>
              <w:rPr>
                <w:rFonts w:ascii="Bookman Old Style" w:hAnsi="Bookman Old Style" w:cs="Arial"/>
                <w:sz w:val="20"/>
                <w:szCs w:val="20"/>
              </w:rPr>
            </w:pPr>
          </w:p>
        </w:tc>
        <w:tc>
          <w:tcPr>
            <w:tcW w:w="2509" w:type="pct"/>
          </w:tcPr>
          <w:p w:rsidR="00A9009E" w:rsidRPr="00607524" w:rsidRDefault="00A9009E" w:rsidP="0014051B">
            <w:pPr>
              <w:tabs>
                <w:tab w:val="left" w:pos="6447"/>
              </w:tabs>
              <w:spacing w:before="60" w:after="60" w:line="276" w:lineRule="auto"/>
              <w:jc w:val="both"/>
              <w:rPr>
                <w:rFonts w:ascii="Bookman Old Style" w:hAnsi="Bookman Old Style" w:cs="Bookman Old Style"/>
                <w:noProof w:val="0"/>
                <w:sz w:val="23"/>
                <w:szCs w:val="23"/>
                <w:lang w:val="en-US"/>
              </w:rPr>
            </w:pPr>
            <w:r w:rsidRPr="00607524">
              <w:rPr>
                <w:rFonts w:ascii="Bookman Old Style" w:hAnsi="Bookman Old Style" w:cstheme="minorHAnsi"/>
                <w:sz w:val="20"/>
                <w:szCs w:val="20"/>
              </w:rPr>
              <w:t xml:space="preserve">Laporan Pelaksanaan dan </w:t>
            </w:r>
            <w:r w:rsidR="0014051B" w:rsidRPr="00607524">
              <w:rPr>
                <w:rFonts w:ascii="Bookman Old Style" w:hAnsi="Bookman Old Style" w:cstheme="minorHAnsi"/>
                <w:sz w:val="20"/>
                <w:szCs w:val="20"/>
              </w:rPr>
              <w:t>Pengawasan</w:t>
            </w:r>
            <w:r w:rsidRPr="00607524">
              <w:rPr>
                <w:rFonts w:ascii="Bookman Old Style" w:hAnsi="Bookman Old Style" w:cstheme="minorHAnsi"/>
                <w:sz w:val="20"/>
                <w:szCs w:val="20"/>
              </w:rPr>
              <w:t xml:space="preserve"> Rencana Bisnis adalah laporan yang disusun oleh Direksi dan Dewan Komisaris BPR atau BPRS mengenai pelaksanaan Rencana Bisnis oleh Direksi serta hasil pengawasan Dewan Komisaris terhadap pelaksanaan Rencana Bisnis sampai dengan periode tertentu.</w:t>
            </w:r>
            <w:r w:rsidRPr="00607524">
              <w:rPr>
                <w:rFonts w:ascii="Bookman Old Style" w:hAnsi="Bookman Old Style" w:cs="Bookman Old Style"/>
                <w:noProof w:val="0"/>
                <w:sz w:val="23"/>
                <w:szCs w:val="23"/>
                <w:lang w:val="en-US"/>
              </w:rPr>
              <w:t xml:space="preserve"> </w:t>
            </w:r>
          </w:p>
        </w:tc>
        <w:tc>
          <w:tcPr>
            <w:tcW w:w="1568" w:type="pct"/>
          </w:tcPr>
          <w:p w:rsidR="00A9009E" w:rsidRPr="00607524" w:rsidRDefault="00A9009E" w:rsidP="00051D47">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A9009E" w:rsidRPr="00607524" w:rsidTr="00C8049C">
        <w:tc>
          <w:tcPr>
            <w:tcW w:w="571" w:type="pct"/>
          </w:tcPr>
          <w:p w:rsidR="00A9009E" w:rsidRPr="00607524" w:rsidRDefault="00A9009E" w:rsidP="00A9009E">
            <w:pPr>
              <w:tabs>
                <w:tab w:val="left" w:pos="6447"/>
              </w:tabs>
              <w:spacing w:before="60" w:after="60" w:line="276" w:lineRule="auto"/>
              <w:jc w:val="center"/>
              <w:rPr>
                <w:rFonts w:ascii="Bookman Old Style" w:hAnsi="Bookman Old Style" w:cs="Arial"/>
                <w:sz w:val="20"/>
                <w:szCs w:val="20"/>
              </w:rPr>
            </w:pPr>
          </w:p>
        </w:tc>
        <w:tc>
          <w:tcPr>
            <w:tcW w:w="352" w:type="pct"/>
          </w:tcPr>
          <w:p w:rsidR="00A9009E" w:rsidRPr="00607524" w:rsidRDefault="00A9009E" w:rsidP="00A12E69">
            <w:pPr>
              <w:pStyle w:val="ListParagraph"/>
              <w:numPr>
                <w:ilvl w:val="0"/>
                <w:numId w:val="6"/>
              </w:numPr>
              <w:tabs>
                <w:tab w:val="left" w:pos="6447"/>
              </w:tabs>
              <w:spacing w:before="60" w:after="60"/>
              <w:contextualSpacing w:val="0"/>
              <w:jc w:val="center"/>
              <w:rPr>
                <w:rFonts w:ascii="Bookman Old Style" w:hAnsi="Bookman Old Style" w:cs="Arial"/>
                <w:sz w:val="20"/>
                <w:szCs w:val="20"/>
              </w:rPr>
            </w:pPr>
          </w:p>
        </w:tc>
        <w:tc>
          <w:tcPr>
            <w:tcW w:w="2509" w:type="pct"/>
          </w:tcPr>
          <w:p w:rsidR="00E35199" w:rsidRPr="00CD5E76" w:rsidRDefault="00BE21C3" w:rsidP="0005007A">
            <w:pPr>
              <w:tabs>
                <w:tab w:val="left" w:pos="6447"/>
              </w:tabs>
              <w:spacing w:before="60" w:after="60" w:line="276" w:lineRule="auto"/>
              <w:jc w:val="both"/>
              <w:rPr>
                <w:rFonts w:ascii="Bookman Old Style" w:hAnsi="Bookman Old Style" w:cstheme="minorHAnsi"/>
                <w:sz w:val="20"/>
                <w:szCs w:val="20"/>
              </w:rPr>
            </w:pPr>
            <w:r w:rsidRPr="00CD5E76">
              <w:rPr>
                <w:rFonts w:ascii="Bookman Old Style" w:hAnsi="Bookman Old Style" w:cstheme="minorHAnsi"/>
                <w:sz w:val="20"/>
                <w:szCs w:val="20"/>
              </w:rPr>
              <w:t xml:space="preserve">Direksi adalah direksi bagi BPR </w:t>
            </w:r>
            <w:r w:rsidR="00E35199" w:rsidRPr="00CD5E76">
              <w:rPr>
                <w:rFonts w:ascii="Bookman Old Style" w:hAnsi="Bookman Old Style" w:cstheme="minorHAnsi"/>
                <w:sz w:val="20"/>
                <w:szCs w:val="20"/>
              </w:rPr>
              <w:t xml:space="preserve">dan BPRS </w:t>
            </w:r>
            <w:r w:rsidRPr="00CD5E76">
              <w:rPr>
                <w:rFonts w:ascii="Bookman Old Style" w:hAnsi="Bookman Old Style" w:cstheme="minorHAnsi"/>
                <w:sz w:val="20"/>
                <w:szCs w:val="20"/>
              </w:rPr>
              <w:t xml:space="preserve">berbentuk badan hukum perseroan terbatas, </w:t>
            </w:r>
            <w:r w:rsidR="00E35199" w:rsidRPr="00CD5E76">
              <w:rPr>
                <w:rFonts w:ascii="Bookman Old Style" w:hAnsi="Bookman Old Style" w:cstheme="minorHAnsi"/>
                <w:sz w:val="20"/>
                <w:szCs w:val="20"/>
              </w:rPr>
              <w:t xml:space="preserve">atau direksi bagi BPR berbentuk badan hukum </w:t>
            </w:r>
            <w:r w:rsidRPr="00CD5E76">
              <w:rPr>
                <w:rFonts w:ascii="Bookman Old Style" w:hAnsi="Bookman Old Style" w:cstheme="minorHAnsi"/>
                <w:sz w:val="20"/>
                <w:szCs w:val="20"/>
              </w:rPr>
              <w:t>perusahaan umum daerah, perusahaan perseroan daerah, perusahaan daerah, atau pengurus bagi BPR</w:t>
            </w:r>
            <w:r w:rsidR="00051D47" w:rsidRPr="00CD5E76">
              <w:rPr>
                <w:rFonts w:ascii="Bookman Old Style" w:hAnsi="Bookman Old Style" w:cstheme="minorHAnsi"/>
                <w:sz w:val="20"/>
                <w:szCs w:val="20"/>
              </w:rPr>
              <w:t xml:space="preserve"> berbentuk badan hukum koperasi</w:t>
            </w:r>
            <w:r w:rsidR="00E35199" w:rsidRPr="00CD5E76">
              <w:rPr>
                <w:rFonts w:ascii="Bookman Old Style" w:hAnsi="Bookman Old Style" w:cstheme="minorHAnsi"/>
                <w:sz w:val="20"/>
                <w:szCs w:val="20"/>
              </w:rPr>
              <w:t>.</w:t>
            </w:r>
            <w:r w:rsidR="00051D47" w:rsidRPr="00CD5E76">
              <w:rPr>
                <w:rFonts w:ascii="Bookman Old Style" w:hAnsi="Bookman Old Style" w:cstheme="minorHAnsi"/>
                <w:sz w:val="20"/>
                <w:szCs w:val="20"/>
              </w:rPr>
              <w:t xml:space="preserve"> </w:t>
            </w:r>
          </w:p>
        </w:tc>
        <w:tc>
          <w:tcPr>
            <w:tcW w:w="1568" w:type="pct"/>
          </w:tcPr>
          <w:p w:rsidR="00A9009E" w:rsidRPr="00607524" w:rsidRDefault="00A9009E" w:rsidP="00051D47">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BE21C3" w:rsidRPr="00607524" w:rsidTr="00C8049C">
        <w:tc>
          <w:tcPr>
            <w:tcW w:w="571" w:type="pct"/>
          </w:tcPr>
          <w:p w:rsidR="00BE21C3" w:rsidRPr="00607524" w:rsidRDefault="00BE21C3" w:rsidP="00A9009E">
            <w:pPr>
              <w:tabs>
                <w:tab w:val="left" w:pos="6447"/>
              </w:tabs>
              <w:spacing w:before="60" w:after="60" w:line="276" w:lineRule="auto"/>
              <w:jc w:val="center"/>
              <w:rPr>
                <w:rFonts w:ascii="Bookman Old Style" w:hAnsi="Bookman Old Style" w:cs="Arial"/>
                <w:sz w:val="20"/>
                <w:szCs w:val="20"/>
              </w:rPr>
            </w:pPr>
          </w:p>
        </w:tc>
        <w:tc>
          <w:tcPr>
            <w:tcW w:w="352" w:type="pct"/>
          </w:tcPr>
          <w:p w:rsidR="00BE21C3" w:rsidRPr="00607524" w:rsidRDefault="00BE21C3" w:rsidP="00A12E69">
            <w:pPr>
              <w:pStyle w:val="ListParagraph"/>
              <w:numPr>
                <w:ilvl w:val="0"/>
                <w:numId w:val="6"/>
              </w:numPr>
              <w:tabs>
                <w:tab w:val="left" w:pos="6447"/>
              </w:tabs>
              <w:spacing w:before="60" w:after="60"/>
              <w:contextualSpacing w:val="0"/>
              <w:jc w:val="center"/>
              <w:rPr>
                <w:rFonts w:ascii="Bookman Old Style" w:hAnsi="Bookman Old Style" w:cs="Arial"/>
                <w:sz w:val="20"/>
                <w:szCs w:val="20"/>
              </w:rPr>
            </w:pPr>
          </w:p>
        </w:tc>
        <w:tc>
          <w:tcPr>
            <w:tcW w:w="2509" w:type="pct"/>
          </w:tcPr>
          <w:p w:rsidR="00BE21C3" w:rsidRPr="00CD5E76" w:rsidRDefault="00BE21C3" w:rsidP="0005007A">
            <w:pPr>
              <w:tabs>
                <w:tab w:val="left" w:pos="6447"/>
              </w:tabs>
              <w:spacing w:before="60" w:after="60" w:line="276" w:lineRule="auto"/>
              <w:jc w:val="both"/>
              <w:rPr>
                <w:rFonts w:ascii="Bookman Old Style" w:hAnsi="Bookman Old Style" w:cstheme="minorHAnsi"/>
                <w:sz w:val="20"/>
                <w:szCs w:val="20"/>
              </w:rPr>
            </w:pPr>
            <w:r w:rsidRPr="00CD5E76">
              <w:rPr>
                <w:rFonts w:ascii="Bookman Old Style" w:hAnsi="Bookman Old Style" w:cstheme="minorHAnsi"/>
                <w:sz w:val="20"/>
                <w:szCs w:val="20"/>
              </w:rPr>
              <w:t xml:space="preserve">Dewan Komisaris adalah dewan komisaris bagi BPR </w:t>
            </w:r>
            <w:r w:rsidR="00E35199" w:rsidRPr="00CD5E76">
              <w:rPr>
                <w:rFonts w:ascii="Bookman Old Style" w:hAnsi="Bookman Old Style" w:cstheme="minorHAnsi"/>
                <w:sz w:val="20"/>
                <w:szCs w:val="20"/>
              </w:rPr>
              <w:t xml:space="preserve">dan BPRS </w:t>
            </w:r>
            <w:r w:rsidRPr="00CD5E76">
              <w:rPr>
                <w:rFonts w:ascii="Bookman Old Style" w:hAnsi="Bookman Old Style" w:cstheme="minorHAnsi"/>
                <w:sz w:val="20"/>
                <w:szCs w:val="20"/>
              </w:rPr>
              <w:t xml:space="preserve">berbentuk badan hukum perseroan terbatas, </w:t>
            </w:r>
            <w:r w:rsidR="00E35199" w:rsidRPr="00CD5E76">
              <w:rPr>
                <w:rFonts w:ascii="Bookman Old Style" w:hAnsi="Bookman Old Style" w:cstheme="minorHAnsi"/>
                <w:sz w:val="20"/>
                <w:szCs w:val="20"/>
              </w:rPr>
              <w:t xml:space="preserve">atau </w:t>
            </w:r>
            <w:r w:rsidRPr="00CD5E76">
              <w:rPr>
                <w:rFonts w:ascii="Bookman Old Style" w:hAnsi="Bookman Old Style" w:cstheme="minorHAnsi"/>
                <w:sz w:val="20"/>
                <w:szCs w:val="20"/>
              </w:rPr>
              <w:t>komisaris bagi BPR berbentuk badan hukum perusahaan perseroan daerah, dewan pengawas bagi BPR berbentuk badan hukum perusahaan umum daerah dan perusahaan daerah, serta pengawas bagi BPR</w:t>
            </w:r>
            <w:r w:rsidR="00051D47" w:rsidRPr="00CD5E76">
              <w:rPr>
                <w:rFonts w:ascii="Bookman Old Style" w:hAnsi="Bookman Old Style" w:cstheme="minorHAnsi"/>
                <w:sz w:val="20"/>
                <w:szCs w:val="20"/>
              </w:rPr>
              <w:t xml:space="preserve"> berbentuk badan hukum koperasi</w:t>
            </w:r>
            <w:r w:rsidR="00E35199" w:rsidRPr="00CD5E76">
              <w:rPr>
                <w:rFonts w:ascii="Bookman Old Style" w:hAnsi="Bookman Old Style" w:cstheme="minorHAnsi"/>
                <w:sz w:val="20"/>
                <w:szCs w:val="20"/>
              </w:rPr>
              <w:t>.</w:t>
            </w:r>
            <w:r w:rsidR="00051D47" w:rsidRPr="00CD5E76">
              <w:rPr>
                <w:rFonts w:ascii="Bookman Old Style" w:hAnsi="Bookman Old Style" w:cstheme="minorHAnsi"/>
                <w:sz w:val="20"/>
                <w:szCs w:val="20"/>
              </w:rPr>
              <w:t xml:space="preserve"> </w:t>
            </w:r>
          </w:p>
        </w:tc>
        <w:tc>
          <w:tcPr>
            <w:tcW w:w="1568" w:type="pct"/>
          </w:tcPr>
          <w:p w:rsidR="00BE21C3" w:rsidRPr="00607524" w:rsidRDefault="00051D47" w:rsidP="00051D4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Cukup jelas.</w:t>
            </w:r>
          </w:p>
        </w:tc>
      </w:tr>
      <w:tr w:rsidR="00EF5B8F" w:rsidRPr="00607524" w:rsidTr="00C8049C">
        <w:tc>
          <w:tcPr>
            <w:tcW w:w="571" w:type="pct"/>
          </w:tcPr>
          <w:p w:rsidR="005D3659" w:rsidRPr="00607524" w:rsidRDefault="005D3659"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5D3659" w:rsidRPr="00607524" w:rsidRDefault="005D3659" w:rsidP="00A12E69">
            <w:pPr>
              <w:pStyle w:val="ListParagraph"/>
              <w:numPr>
                <w:ilvl w:val="0"/>
                <w:numId w:val="7"/>
              </w:numPr>
              <w:tabs>
                <w:tab w:val="left" w:pos="6447"/>
              </w:tabs>
              <w:spacing w:before="60" w:after="60"/>
              <w:contextualSpacing w:val="0"/>
              <w:jc w:val="center"/>
              <w:rPr>
                <w:rFonts w:ascii="Bookman Old Style" w:hAnsi="Bookman Old Style" w:cs="Arial"/>
                <w:sz w:val="20"/>
                <w:szCs w:val="20"/>
              </w:rPr>
            </w:pPr>
          </w:p>
        </w:tc>
        <w:tc>
          <w:tcPr>
            <w:tcW w:w="2509" w:type="pct"/>
          </w:tcPr>
          <w:p w:rsidR="005D3659" w:rsidRPr="00607524" w:rsidRDefault="00BE21C3"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Arial"/>
                <w:sz w:val="20"/>
                <w:szCs w:val="20"/>
              </w:rPr>
              <w:t>BPR dan BPRS wajib menyusun Rencana Bisnis secara realistis setiap tahun.</w:t>
            </w:r>
          </w:p>
        </w:tc>
        <w:tc>
          <w:tcPr>
            <w:tcW w:w="1568" w:type="pct"/>
          </w:tcPr>
          <w:p w:rsidR="005D3659" w:rsidRPr="00607524" w:rsidRDefault="00BE21C3"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 xml:space="preserve">Yang dimaksud dengan “Rencana Bisnis yang realistis” adalah Rencana Bisnis yang </w:t>
            </w:r>
            <w:r w:rsidRPr="00607524">
              <w:rPr>
                <w:rFonts w:ascii="Bookman Old Style" w:hAnsi="Bookman Old Style" w:cstheme="minorHAnsi"/>
                <w:sz w:val="20"/>
                <w:szCs w:val="20"/>
              </w:rPr>
              <w:lastRenderedPageBreak/>
              <w:t>disusun dengan mempertimbangkan faktor ekstern</w:t>
            </w:r>
            <w:r w:rsidR="00097104" w:rsidRPr="00607524">
              <w:rPr>
                <w:rFonts w:ascii="Bookman Old Style" w:hAnsi="Bookman Old Style" w:cstheme="minorHAnsi"/>
                <w:sz w:val="20"/>
                <w:szCs w:val="20"/>
              </w:rPr>
              <w:t>al</w:t>
            </w:r>
            <w:r w:rsidRPr="00607524">
              <w:rPr>
                <w:rFonts w:ascii="Bookman Old Style" w:hAnsi="Bookman Old Style" w:cstheme="minorHAnsi"/>
                <w:sz w:val="20"/>
                <w:szCs w:val="20"/>
              </w:rPr>
              <w:t xml:space="preserve"> dan intern</w:t>
            </w:r>
            <w:r w:rsidR="00097104" w:rsidRPr="00607524">
              <w:rPr>
                <w:rFonts w:ascii="Bookman Old Style" w:hAnsi="Bookman Old Style" w:cstheme="minorHAnsi"/>
                <w:sz w:val="20"/>
                <w:szCs w:val="20"/>
              </w:rPr>
              <w:t>al</w:t>
            </w:r>
            <w:r w:rsidRPr="00607524">
              <w:rPr>
                <w:rFonts w:ascii="Bookman Old Style" w:hAnsi="Bookman Old Style" w:cstheme="minorHAnsi"/>
                <w:sz w:val="20"/>
                <w:szCs w:val="20"/>
              </w:rPr>
              <w:t xml:space="preserve"> yang dapat memengaruhi kelangsungan usaha BPR dan BPRS, prinsip kehati-hatian, dan asas perbankan yang sehat, termasuk prinsip syariah bagi BPRS, sehingga terukur dan dapat dicapai.</w:t>
            </w:r>
          </w:p>
        </w:tc>
      </w:tr>
      <w:tr w:rsidR="00EF5B8F" w:rsidRPr="00607524" w:rsidTr="00C8049C">
        <w:tc>
          <w:tcPr>
            <w:tcW w:w="571" w:type="pct"/>
          </w:tcPr>
          <w:p w:rsidR="0017232D" w:rsidRPr="00607524" w:rsidRDefault="0017232D" w:rsidP="00A93BC7">
            <w:pPr>
              <w:tabs>
                <w:tab w:val="left" w:pos="6447"/>
              </w:tabs>
              <w:spacing w:before="60" w:after="60" w:line="276" w:lineRule="auto"/>
              <w:rPr>
                <w:rFonts w:ascii="Bookman Old Style" w:hAnsi="Bookman Old Style" w:cs="Arial"/>
                <w:sz w:val="20"/>
                <w:szCs w:val="20"/>
              </w:rPr>
            </w:pPr>
          </w:p>
        </w:tc>
        <w:tc>
          <w:tcPr>
            <w:tcW w:w="352" w:type="pct"/>
          </w:tcPr>
          <w:p w:rsidR="0017232D" w:rsidRPr="00607524" w:rsidRDefault="0017232D" w:rsidP="00A12E69">
            <w:pPr>
              <w:pStyle w:val="ListParagraph"/>
              <w:numPr>
                <w:ilvl w:val="0"/>
                <w:numId w:val="7"/>
              </w:numPr>
              <w:tabs>
                <w:tab w:val="left" w:pos="6447"/>
              </w:tabs>
              <w:spacing w:before="60" w:after="60"/>
              <w:contextualSpacing w:val="0"/>
              <w:jc w:val="center"/>
              <w:rPr>
                <w:rFonts w:ascii="Bookman Old Style" w:hAnsi="Bookman Old Style" w:cs="Arial"/>
                <w:sz w:val="20"/>
                <w:szCs w:val="20"/>
              </w:rPr>
            </w:pPr>
          </w:p>
        </w:tc>
        <w:tc>
          <w:tcPr>
            <w:tcW w:w="2509" w:type="pct"/>
          </w:tcPr>
          <w:p w:rsidR="0017232D"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Rencana Bisnis sebagaimana dimaksud pada ayat (1) wajib disusun oleh Direksi dan disetujui oleh Dewan Komisaris.</w:t>
            </w:r>
          </w:p>
        </w:tc>
        <w:tc>
          <w:tcPr>
            <w:tcW w:w="1568" w:type="pct"/>
          </w:tcPr>
          <w:p w:rsidR="0017232D"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Cukup jelas.</w:t>
            </w:r>
          </w:p>
        </w:tc>
      </w:tr>
      <w:tr w:rsidR="00607524" w:rsidRPr="00607524" w:rsidTr="00C8049C">
        <w:tc>
          <w:tcPr>
            <w:tcW w:w="571" w:type="pct"/>
          </w:tcPr>
          <w:p w:rsidR="00E518E7" w:rsidRPr="00607524" w:rsidRDefault="00E518E7" w:rsidP="00A93BC7">
            <w:pPr>
              <w:tabs>
                <w:tab w:val="left" w:pos="6447"/>
              </w:tabs>
              <w:spacing w:before="60" w:after="60" w:line="276" w:lineRule="auto"/>
              <w:rPr>
                <w:rFonts w:ascii="Bookman Old Style" w:hAnsi="Bookman Old Style" w:cs="Arial"/>
                <w:sz w:val="20"/>
                <w:szCs w:val="20"/>
              </w:rPr>
            </w:pPr>
          </w:p>
        </w:tc>
        <w:tc>
          <w:tcPr>
            <w:tcW w:w="352" w:type="pct"/>
          </w:tcPr>
          <w:p w:rsidR="00E518E7" w:rsidRPr="00607524" w:rsidRDefault="00E518E7" w:rsidP="00A12E69">
            <w:pPr>
              <w:pStyle w:val="ListParagraph"/>
              <w:numPr>
                <w:ilvl w:val="0"/>
                <w:numId w:val="7"/>
              </w:numPr>
              <w:tabs>
                <w:tab w:val="left" w:pos="6447"/>
              </w:tabs>
              <w:spacing w:before="60" w:after="60"/>
              <w:contextualSpacing w:val="0"/>
              <w:jc w:val="center"/>
              <w:rPr>
                <w:rFonts w:ascii="Bookman Old Style" w:hAnsi="Bookman Old Style" w:cs="Arial"/>
                <w:sz w:val="20"/>
                <w:szCs w:val="20"/>
              </w:rPr>
            </w:pPr>
          </w:p>
        </w:tc>
        <w:tc>
          <w:tcPr>
            <w:tcW w:w="2509" w:type="pct"/>
          </w:tcPr>
          <w:p w:rsidR="00E518E7"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Rencana Bisnis yang disusun oleh BPR dan BPRS sebagaimana dimaksud pada ayat (1) meliputi rencana jangka pendek, jangka menengah, dan rencana strategis jangka panjang.</w:t>
            </w:r>
          </w:p>
          <w:p w:rsidR="00211A12" w:rsidRPr="00607524" w:rsidRDefault="00211A12" w:rsidP="00A93BC7">
            <w:pPr>
              <w:tabs>
                <w:tab w:val="left" w:pos="6447"/>
              </w:tabs>
              <w:spacing w:before="60" w:after="60" w:line="276" w:lineRule="auto"/>
              <w:jc w:val="both"/>
              <w:rPr>
                <w:rFonts w:ascii="Bookman Old Style" w:hAnsi="Bookman Old Style" w:cstheme="minorHAnsi"/>
                <w:sz w:val="20"/>
                <w:szCs w:val="20"/>
              </w:rPr>
            </w:pPr>
          </w:p>
          <w:p w:rsidR="00211A12" w:rsidRPr="00607524" w:rsidRDefault="00211A12" w:rsidP="00211A12">
            <w:pPr>
              <w:tabs>
                <w:tab w:val="left" w:pos="6447"/>
              </w:tabs>
              <w:spacing w:before="60" w:after="60" w:line="276" w:lineRule="auto"/>
              <w:jc w:val="both"/>
              <w:rPr>
                <w:rFonts w:ascii="Bookman Old Style" w:hAnsi="Bookman Old Style" w:cs="Arial"/>
                <w:i/>
                <w:sz w:val="20"/>
                <w:szCs w:val="20"/>
              </w:rPr>
            </w:pPr>
          </w:p>
        </w:tc>
        <w:tc>
          <w:tcPr>
            <w:tcW w:w="1568" w:type="pct"/>
          </w:tcPr>
          <w:p w:rsidR="00BE21C3" w:rsidRPr="00607524" w:rsidRDefault="00BE21C3" w:rsidP="00BE21C3">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Yang dimaksud dengan “rencana jangka pendek” adalah rencana kegiatan usaha BPR dan BPRS dalam periode 1 (satu) tahun.</w:t>
            </w:r>
          </w:p>
          <w:p w:rsidR="00BE21C3" w:rsidRPr="00607524" w:rsidRDefault="00BE21C3" w:rsidP="00BE21C3">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Yang dimaksud dengan “rencana jangka menengah” adalah rencana kegiatan usaha BPR dan BPRS dalam periode 3 (tiga) tahun.</w:t>
            </w:r>
          </w:p>
          <w:p w:rsidR="00E518E7" w:rsidRPr="00607524" w:rsidRDefault="00BE21C3" w:rsidP="00654121">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Yang dimaksud dengan “rencana strategis jangka panjang” adalah rencana kegiatan usaha BPR dan BPRS dalam periode 5 (lima) tahun, dengan cakupan antara lain berupa arah kebijakan pengembangan dan penguatan permodalan, teknologi informasi dan sumber daya manusia.</w:t>
            </w:r>
          </w:p>
        </w:tc>
      </w:tr>
      <w:tr w:rsidR="00BE21C3" w:rsidRPr="00607524" w:rsidTr="00C8049C">
        <w:tc>
          <w:tcPr>
            <w:tcW w:w="571" w:type="pct"/>
          </w:tcPr>
          <w:p w:rsidR="00BE21C3" w:rsidRPr="00607524" w:rsidRDefault="00BE21C3" w:rsidP="00A93BC7">
            <w:pPr>
              <w:tabs>
                <w:tab w:val="left" w:pos="6447"/>
              </w:tabs>
              <w:spacing w:before="60" w:after="60" w:line="276" w:lineRule="auto"/>
              <w:rPr>
                <w:rFonts w:ascii="Bookman Old Style" w:hAnsi="Bookman Old Style" w:cs="Arial"/>
                <w:sz w:val="20"/>
                <w:szCs w:val="20"/>
              </w:rPr>
            </w:pPr>
          </w:p>
        </w:tc>
        <w:tc>
          <w:tcPr>
            <w:tcW w:w="352" w:type="pct"/>
          </w:tcPr>
          <w:p w:rsidR="00BE21C3" w:rsidRPr="00607524" w:rsidRDefault="00BE21C3" w:rsidP="00A12E69">
            <w:pPr>
              <w:pStyle w:val="ListParagraph"/>
              <w:numPr>
                <w:ilvl w:val="0"/>
                <w:numId w:val="7"/>
              </w:numPr>
              <w:tabs>
                <w:tab w:val="left" w:pos="6447"/>
              </w:tabs>
              <w:spacing w:before="60" w:after="60"/>
              <w:contextualSpacing w:val="0"/>
              <w:jc w:val="center"/>
              <w:rPr>
                <w:rFonts w:ascii="Bookman Old Style" w:hAnsi="Bookman Old Style" w:cs="Arial"/>
                <w:sz w:val="20"/>
                <w:szCs w:val="20"/>
              </w:rPr>
            </w:pPr>
          </w:p>
        </w:tc>
        <w:tc>
          <w:tcPr>
            <w:tcW w:w="2509" w:type="pct"/>
          </w:tcPr>
          <w:p w:rsidR="00BE21C3"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Rencana strategis jangka panjang sebagaimana dimaksud pada ayat (3) disusun dan ditetapkan setiap 5 (lima) tahun.</w:t>
            </w:r>
          </w:p>
        </w:tc>
        <w:tc>
          <w:tcPr>
            <w:tcW w:w="1568" w:type="pct"/>
          </w:tcPr>
          <w:p w:rsidR="00BE21C3"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Periode 5 (lima) tahun dihitung sejak penyampaian Rencana Bisnis BPR atau BPRS untuk pertama kalinya kepada Otoritas Jasa Keuangan.</w:t>
            </w:r>
          </w:p>
        </w:tc>
      </w:tr>
      <w:tr w:rsidR="00BE21C3" w:rsidRPr="00607524" w:rsidTr="00C8049C">
        <w:tc>
          <w:tcPr>
            <w:tcW w:w="571" w:type="pct"/>
          </w:tcPr>
          <w:p w:rsidR="00BE21C3" w:rsidRPr="00607524" w:rsidRDefault="00BE21C3" w:rsidP="00A93BC7">
            <w:pPr>
              <w:tabs>
                <w:tab w:val="left" w:pos="6447"/>
              </w:tabs>
              <w:spacing w:before="60" w:after="60" w:line="276" w:lineRule="auto"/>
              <w:rPr>
                <w:rFonts w:ascii="Bookman Old Style" w:hAnsi="Bookman Old Style" w:cs="Arial"/>
                <w:sz w:val="20"/>
                <w:szCs w:val="20"/>
              </w:rPr>
            </w:pPr>
          </w:p>
        </w:tc>
        <w:tc>
          <w:tcPr>
            <w:tcW w:w="352" w:type="pct"/>
          </w:tcPr>
          <w:p w:rsidR="00BE21C3" w:rsidRPr="00607524" w:rsidRDefault="00BE21C3" w:rsidP="00A12E69">
            <w:pPr>
              <w:pStyle w:val="ListParagraph"/>
              <w:numPr>
                <w:ilvl w:val="0"/>
                <w:numId w:val="7"/>
              </w:numPr>
              <w:tabs>
                <w:tab w:val="left" w:pos="6447"/>
              </w:tabs>
              <w:spacing w:before="60" w:after="60"/>
              <w:contextualSpacing w:val="0"/>
              <w:jc w:val="center"/>
              <w:rPr>
                <w:rFonts w:ascii="Bookman Old Style" w:hAnsi="Bookman Old Style" w:cs="Arial"/>
                <w:sz w:val="20"/>
                <w:szCs w:val="20"/>
              </w:rPr>
            </w:pPr>
          </w:p>
        </w:tc>
        <w:tc>
          <w:tcPr>
            <w:tcW w:w="2509" w:type="pct"/>
          </w:tcPr>
          <w:p w:rsidR="00BE21C3"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Cakupan materi yang tercantum dalam rencana strategis jangka panjang sebagaimana dimaksud pada ayat (4) dapat diubah dalam periode 5 (lima) tahun tersebut sesuai kebutuhan BPR dan BPRS.</w:t>
            </w:r>
          </w:p>
        </w:tc>
        <w:tc>
          <w:tcPr>
            <w:tcW w:w="1568" w:type="pct"/>
          </w:tcPr>
          <w:p w:rsidR="00BE21C3"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Cukup jelas.</w:t>
            </w:r>
          </w:p>
        </w:tc>
      </w:tr>
      <w:tr w:rsidR="00EF5B8F" w:rsidRPr="00607524" w:rsidTr="00C8049C">
        <w:tc>
          <w:tcPr>
            <w:tcW w:w="571" w:type="pct"/>
          </w:tcPr>
          <w:p w:rsidR="00E518E7" w:rsidRPr="00607524" w:rsidRDefault="00E518E7"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18E7" w:rsidRPr="00607524" w:rsidRDefault="00E518E7" w:rsidP="00A12E69">
            <w:pPr>
              <w:pStyle w:val="ListParagraph"/>
              <w:numPr>
                <w:ilvl w:val="0"/>
                <w:numId w:val="11"/>
              </w:numPr>
              <w:tabs>
                <w:tab w:val="left" w:pos="6447"/>
              </w:tabs>
              <w:spacing w:before="60" w:after="60"/>
              <w:contextualSpacing w:val="0"/>
              <w:jc w:val="center"/>
              <w:rPr>
                <w:rFonts w:ascii="Bookman Old Style" w:hAnsi="Bookman Old Style" w:cs="Arial"/>
                <w:sz w:val="20"/>
                <w:szCs w:val="20"/>
              </w:rPr>
            </w:pPr>
          </w:p>
        </w:tc>
        <w:tc>
          <w:tcPr>
            <w:tcW w:w="2509" w:type="pct"/>
          </w:tcPr>
          <w:p w:rsidR="00E518E7" w:rsidRPr="00607524" w:rsidRDefault="00BE21C3"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BPR dan BPRS harus menyusun Rencana Bisnis sebagaimana dimaksud dalam Pasal 2 ayat (1), dengan memperhatikan:</w:t>
            </w:r>
          </w:p>
        </w:tc>
        <w:tc>
          <w:tcPr>
            <w:tcW w:w="1568" w:type="pct"/>
          </w:tcPr>
          <w:p w:rsidR="00E518E7" w:rsidRPr="00607524" w:rsidRDefault="00E518E7" w:rsidP="00A93BC7">
            <w:pPr>
              <w:tabs>
                <w:tab w:val="left" w:pos="6447"/>
              </w:tabs>
              <w:spacing w:before="60" w:after="60" w:line="276" w:lineRule="auto"/>
              <w:jc w:val="both"/>
              <w:rPr>
                <w:rFonts w:ascii="Bookman Old Style" w:hAnsi="Bookman Old Style" w:cs="Arial"/>
                <w:sz w:val="20"/>
                <w:szCs w:val="20"/>
              </w:rPr>
            </w:pPr>
          </w:p>
        </w:tc>
      </w:tr>
      <w:tr w:rsidR="00EF5B8F" w:rsidRPr="00607524" w:rsidTr="00C8049C">
        <w:tc>
          <w:tcPr>
            <w:tcW w:w="571" w:type="pct"/>
          </w:tcPr>
          <w:p w:rsidR="00E518E7" w:rsidRPr="00607524" w:rsidRDefault="00E518E7"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E518E7" w:rsidRPr="00607524" w:rsidRDefault="00E518E7" w:rsidP="00A93BC7">
            <w:pPr>
              <w:tabs>
                <w:tab w:val="left" w:pos="6447"/>
              </w:tabs>
              <w:spacing w:before="60" w:after="60" w:line="276" w:lineRule="auto"/>
              <w:jc w:val="center"/>
              <w:rPr>
                <w:rFonts w:ascii="Bookman Old Style" w:hAnsi="Bookman Old Style" w:cs="Arial"/>
                <w:sz w:val="20"/>
                <w:szCs w:val="20"/>
              </w:rPr>
            </w:pPr>
          </w:p>
        </w:tc>
        <w:tc>
          <w:tcPr>
            <w:tcW w:w="2509" w:type="pct"/>
          </w:tcPr>
          <w:p w:rsidR="00E518E7" w:rsidRPr="00607524" w:rsidRDefault="00BE21C3" w:rsidP="00097104">
            <w:pPr>
              <w:pStyle w:val="ListParagraph"/>
              <w:numPr>
                <w:ilvl w:val="0"/>
                <w:numId w:val="1"/>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theme="minorHAnsi"/>
                <w:sz w:val="20"/>
                <w:szCs w:val="20"/>
              </w:rPr>
              <w:t xml:space="preserve">faktor </w:t>
            </w:r>
            <w:r w:rsidR="00097104" w:rsidRPr="00607524">
              <w:rPr>
                <w:rFonts w:ascii="Bookman Old Style" w:hAnsi="Bookman Old Style" w:cstheme="minorHAnsi"/>
                <w:sz w:val="20"/>
                <w:szCs w:val="20"/>
              </w:rPr>
              <w:t>eksternal</w:t>
            </w:r>
            <w:r w:rsidRPr="00607524">
              <w:rPr>
                <w:rFonts w:ascii="Bookman Old Style" w:hAnsi="Bookman Old Style" w:cstheme="minorHAnsi"/>
                <w:sz w:val="20"/>
                <w:szCs w:val="20"/>
              </w:rPr>
              <w:t xml:space="preserve"> dan intern</w:t>
            </w:r>
            <w:r w:rsidR="00097104" w:rsidRPr="00607524">
              <w:rPr>
                <w:rFonts w:ascii="Bookman Old Style" w:hAnsi="Bookman Old Style" w:cstheme="minorHAnsi"/>
                <w:sz w:val="20"/>
                <w:szCs w:val="20"/>
              </w:rPr>
              <w:t>al</w:t>
            </w:r>
            <w:r w:rsidRPr="00607524">
              <w:rPr>
                <w:rFonts w:ascii="Bookman Old Style" w:hAnsi="Bookman Old Style" w:cstheme="minorHAnsi"/>
                <w:sz w:val="20"/>
                <w:szCs w:val="20"/>
              </w:rPr>
              <w:t xml:space="preserve"> yang dapat memengaruhi kelangsungan usaha BPR dan BPRS;</w:t>
            </w:r>
          </w:p>
        </w:tc>
        <w:tc>
          <w:tcPr>
            <w:tcW w:w="1568" w:type="pct"/>
          </w:tcPr>
          <w:p w:rsidR="00BE21C3" w:rsidRPr="00607524" w:rsidRDefault="00BE21C3" w:rsidP="00BE21C3">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Yang dimaksud dengan “faktor ekstern</w:t>
            </w:r>
            <w:r w:rsidR="00097104" w:rsidRPr="00607524">
              <w:rPr>
                <w:rFonts w:ascii="Bookman Old Style" w:hAnsi="Bookman Old Style" w:cstheme="minorHAnsi"/>
                <w:sz w:val="20"/>
                <w:szCs w:val="20"/>
              </w:rPr>
              <w:t>al</w:t>
            </w:r>
            <w:r w:rsidRPr="00607524">
              <w:rPr>
                <w:rFonts w:ascii="Bookman Old Style" w:hAnsi="Bookman Old Style" w:cstheme="minorHAnsi"/>
                <w:sz w:val="20"/>
                <w:szCs w:val="20"/>
              </w:rPr>
              <w:t xml:space="preserve">” antara lain adalah kondisi perekonomian, </w:t>
            </w:r>
            <w:r w:rsidR="00097104" w:rsidRPr="00607524">
              <w:rPr>
                <w:rFonts w:ascii="Bookman Old Style" w:hAnsi="Bookman Old Style" w:cstheme="minorHAnsi"/>
                <w:sz w:val="20"/>
                <w:szCs w:val="20"/>
              </w:rPr>
              <w:t>kebijakan pemerintah</w:t>
            </w:r>
            <w:r w:rsidRPr="00607524">
              <w:rPr>
                <w:rFonts w:ascii="Bookman Old Style" w:hAnsi="Bookman Old Style" w:cstheme="minorHAnsi"/>
                <w:sz w:val="20"/>
                <w:szCs w:val="20"/>
              </w:rPr>
              <w:t xml:space="preserve"> serta perkembangan teknologi.</w:t>
            </w:r>
          </w:p>
          <w:p w:rsidR="00E518E7" w:rsidRPr="00607524" w:rsidRDefault="00BE21C3" w:rsidP="00BE21C3">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Yang dimaksud dengan “faktor intern</w:t>
            </w:r>
            <w:r w:rsidR="00097104" w:rsidRPr="00607524">
              <w:rPr>
                <w:rFonts w:ascii="Bookman Old Style" w:hAnsi="Bookman Old Style" w:cstheme="minorHAnsi"/>
                <w:sz w:val="20"/>
                <w:szCs w:val="20"/>
              </w:rPr>
              <w:t>al</w:t>
            </w:r>
            <w:r w:rsidRPr="00607524">
              <w:rPr>
                <w:rFonts w:ascii="Bookman Old Style" w:hAnsi="Bookman Old Style" w:cstheme="minorHAnsi"/>
                <w:sz w:val="20"/>
                <w:szCs w:val="20"/>
              </w:rPr>
              <w:t>” antara lain adalah kondisi keuangan, manajemen dan sumber daya manusia, serta kemampuan infrastruktur lainnya termasuk teknologi informasi.</w:t>
            </w:r>
          </w:p>
        </w:tc>
      </w:tr>
      <w:tr w:rsidR="00BE21C3" w:rsidRPr="00607524" w:rsidTr="00C8049C">
        <w:tc>
          <w:tcPr>
            <w:tcW w:w="571" w:type="pct"/>
          </w:tcPr>
          <w:p w:rsidR="00BE21C3" w:rsidRPr="00607524" w:rsidRDefault="00BE21C3" w:rsidP="00BE21C3">
            <w:pPr>
              <w:tabs>
                <w:tab w:val="left" w:pos="6447"/>
              </w:tabs>
              <w:spacing w:before="60" w:after="60" w:line="276" w:lineRule="auto"/>
              <w:jc w:val="center"/>
              <w:rPr>
                <w:rFonts w:ascii="Bookman Old Style" w:hAnsi="Bookman Old Style" w:cs="Arial"/>
                <w:sz w:val="20"/>
                <w:szCs w:val="20"/>
              </w:rPr>
            </w:pPr>
          </w:p>
        </w:tc>
        <w:tc>
          <w:tcPr>
            <w:tcW w:w="352" w:type="pct"/>
          </w:tcPr>
          <w:p w:rsidR="00BE21C3" w:rsidRPr="00607524" w:rsidRDefault="00BE21C3" w:rsidP="00BE21C3">
            <w:pPr>
              <w:tabs>
                <w:tab w:val="left" w:pos="6447"/>
              </w:tabs>
              <w:spacing w:before="60" w:after="60" w:line="276" w:lineRule="auto"/>
              <w:jc w:val="center"/>
              <w:rPr>
                <w:rFonts w:ascii="Bookman Old Style" w:hAnsi="Bookman Old Style" w:cs="Arial"/>
                <w:sz w:val="20"/>
                <w:szCs w:val="20"/>
              </w:rPr>
            </w:pPr>
          </w:p>
        </w:tc>
        <w:tc>
          <w:tcPr>
            <w:tcW w:w="2509" w:type="pct"/>
          </w:tcPr>
          <w:p w:rsidR="00BE21C3" w:rsidRPr="00607524" w:rsidRDefault="00BE21C3" w:rsidP="00365EFF">
            <w:pPr>
              <w:pStyle w:val="ListParagraph"/>
              <w:numPr>
                <w:ilvl w:val="0"/>
                <w:numId w:val="1"/>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prinsip kehati-hatian; dan</w:t>
            </w:r>
          </w:p>
        </w:tc>
        <w:tc>
          <w:tcPr>
            <w:tcW w:w="1568" w:type="pct"/>
          </w:tcPr>
          <w:p w:rsidR="00BE21C3" w:rsidRPr="00607524" w:rsidRDefault="00BE21C3" w:rsidP="00BE21C3">
            <w:r w:rsidRPr="00607524">
              <w:rPr>
                <w:rFonts w:ascii="Bookman Old Style" w:hAnsi="Bookman Old Style" w:cstheme="minorHAnsi"/>
                <w:sz w:val="20"/>
                <w:szCs w:val="20"/>
              </w:rPr>
              <w:t>Cukup jelas.</w:t>
            </w:r>
          </w:p>
        </w:tc>
      </w:tr>
      <w:tr w:rsidR="00BE21C3" w:rsidRPr="00607524" w:rsidTr="00C8049C">
        <w:tc>
          <w:tcPr>
            <w:tcW w:w="571" w:type="pct"/>
          </w:tcPr>
          <w:p w:rsidR="00BE21C3" w:rsidRPr="00607524" w:rsidRDefault="00BE21C3" w:rsidP="00BE21C3">
            <w:pPr>
              <w:tabs>
                <w:tab w:val="left" w:pos="6447"/>
              </w:tabs>
              <w:spacing w:before="60" w:after="60" w:line="276" w:lineRule="auto"/>
              <w:jc w:val="center"/>
              <w:rPr>
                <w:rFonts w:ascii="Bookman Old Style" w:hAnsi="Bookman Old Style" w:cs="Arial"/>
                <w:sz w:val="20"/>
                <w:szCs w:val="20"/>
              </w:rPr>
            </w:pPr>
          </w:p>
        </w:tc>
        <w:tc>
          <w:tcPr>
            <w:tcW w:w="352" w:type="pct"/>
          </w:tcPr>
          <w:p w:rsidR="00BE21C3" w:rsidRPr="00607524" w:rsidRDefault="00BE21C3" w:rsidP="00BE21C3">
            <w:pPr>
              <w:tabs>
                <w:tab w:val="left" w:pos="6447"/>
              </w:tabs>
              <w:spacing w:before="60" w:after="60" w:line="276" w:lineRule="auto"/>
              <w:jc w:val="center"/>
              <w:rPr>
                <w:rFonts w:ascii="Bookman Old Style" w:hAnsi="Bookman Old Style" w:cs="Arial"/>
                <w:sz w:val="20"/>
                <w:szCs w:val="20"/>
              </w:rPr>
            </w:pPr>
          </w:p>
        </w:tc>
        <w:tc>
          <w:tcPr>
            <w:tcW w:w="2509" w:type="pct"/>
          </w:tcPr>
          <w:p w:rsidR="00BE21C3" w:rsidRPr="00607524" w:rsidRDefault="00BE21C3" w:rsidP="00365EFF">
            <w:pPr>
              <w:pStyle w:val="ListParagraph"/>
              <w:numPr>
                <w:ilvl w:val="0"/>
                <w:numId w:val="1"/>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asas perbankan yang sehat.</w:t>
            </w:r>
          </w:p>
        </w:tc>
        <w:tc>
          <w:tcPr>
            <w:tcW w:w="1568" w:type="pct"/>
          </w:tcPr>
          <w:p w:rsidR="00BE21C3" w:rsidRPr="00607524" w:rsidRDefault="00BE21C3" w:rsidP="00BE21C3">
            <w:r w:rsidRPr="00607524">
              <w:rPr>
                <w:rFonts w:ascii="Bookman Old Style" w:hAnsi="Bookman Old Style" w:cstheme="minorHAnsi"/>
                <w:sz w:val="20"/>
                <w:szCs w:val="20"/>
              </w:rPr>
              <w:t>Cukup jelas.</w:t>
            </w:r>
          </w:p>
        </w:tc>
      </w:tr>
      <w:tr w:rsidR="00EF5B8F" w:rsidRPr="00607524" w:rsidTr="00C8049C">
        <w:tc>
          <w:tcPr>
            <w:tcW w:w="571" w:type="pct"/>
          </w:tcPr>
          <w:p w:rsidR="003530D9" w:rsidRPr="00607524" w:rsidRDefault="003530D9"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3530D9" w:rsidRPr="00607524" w:rsidRDefault="003530D9" w:rsidP="00A12E69">
            <w:pPr>
              <w:pStyle w:val="ListParagraph"/>
              <w:numPr>
                <w:ilvl w:val="0"/>
                <w:numId w:val="11"/>
              </w:numPr>
              <w:tabs>
                <w:tab w:val="left" w:pos="6447"/>
              </w:tabs>
              <w:spacing w:before="60" w:after="60"/>
              <w:contextualSpacing w:val="0"/>
              <w:jc w:val="center"/>
              <w:rPr>
                <w:rFonts w:ascii="Bookman Old Style" w:hAnsi="Bookman Old Style" w:cs="Arial"/>
                <w:sz w:val="20"/>
                <w:szCs w:val="20"/>
              </w:rPr>
            </w:pPr>
          </w:p>
        </w:tc>
        <w:tc>
          <w:tcPr>
            <w:tcW w:w="2509" w:type="pct"/>
          </w:tcPr>
          <w:p w:rsidR="003530D9"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Selain memperhatikan faktor-faktor sebagaimana dimaksud pada ayat (1), BPRS harus menyusun Rencana Bisnis dengan memperhatikan prinsip syariah.</w:t>
            </w:r>
          </w:p>
        </w:tc>
        <w:tc>
          <w:tcPr>
            <w:tcW w:w="1568" w:type="pct"/>
          </w:tcPr>
          <w:p w:rsidR="003530D9" w:rsidRPr="00607524" w:rsidRDefault="00BE21C3" w:rsidP="00A93BC7">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rPr>
              <w:t>Cukup jelas.</w:t>
            </w:r>
          </w:p>
        </w:tc>
      </w:tr>
      <w:tr w:rsidR="00EF5B8F" w:rsidRPr="00607524" w:rsidTr="00C8049C">
        <w:tc>
          <w:tcPr>
            <w:tcW w:w="571" w:type="pct"/>
          </w:tcPr>
          <w:p w:rsidR="00C95E0B" w:rsidRPr="00607524" w:rsidRDefault="00C95E0B"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C95E0B" w:rsidRPr="00607524" w:rsidRDefault="00C95E0B" w:rsidP="00A12E69">
            <w:pPr>
              <w:pStyle w:val="ListParagraph"/>
              <w:numPr>
                <w:ilvl w:val="0"/>
                <w:numId w:val="16"/>
              </w:numPr>
              <w:tabs>
                <w:tab w:val="left" w:pos="6447"/>
              </w:tabs>
              <w:spacing w:before="60" w:after="60"/>
              <w:contextualSpacing w:val="0"/>
              <w:jc w:val="center"/>
              <w:rPr>
                <w:rFonts w:ascii="Bookman Old Style" w:hAnsi="Bookman Old Style" w:cs="Arial"/>
                <w:sz w:val="20"/>
                <w:szCs w:val="20"/>
              </w:rPr>
            </w:pPr>
          </w:p>
        </w:tc>
        <w:tc>
          <w:tcPr>
            <w:tcW w:w="2509" w:type="pct"/>
          </w:tcPr>
          <w:p w:rsidR="00C95E0B" w:rsidRPr="00607524" w:rsidRDefault="00BE21C3"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Direksi wajib melaksanakan Rencana Bisnis secara efektif.</w:t>
            </w:r>
          </w:p>
        </w:tc>
        <w:tc>
          <w:tcPr>
            <w:tcW w:w="1568" w:type="pct"/>
          </w:tcPr>
          <w:p w:rsidR="00431BC8" w:rsidRPr="00607524" w:rsidRDefault="00431BC8" w:rsidP="00431BC8">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Rencana Bisnis dilaksanakan secara efektif apabila antara realisasi dan Rencana Bisnis terdapat:</w:t>
            </w:r>
          </w:p>
          <w:p w:rsidR="00431BC8" w:rsidRPr="00607524" w:rsidRDefault="00431BC8" w:rsidP="00A12E69">
            <w:pPr>
              <w:pStyle w:val="ListParagraph"/>
              <w:numPr>
                <w:ilvl w:val="0"/>
                <w:numId w:val="18"/>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perbedaan yang tidak material; atau</w:t>
            </w:r>
          </w:p>
          <w:p w:rsidR="00C95E0B" w:rsidRPr="00607524" w:rsidRDefault="00431BC8" w:rsidP="00A12E69">
            <w:pPr>
              <w:pStyle w:val="ListParagraph"/>
              <w:numPr>
                <w:ilvl w:val="0"/>
                <w:numId w:val="18"/>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perbedaan yang material, namun BPR dan BPRS telah melakukan upaya maksimal untuk memenuhinya disertai dengan penjelasan yang memadai dan dapat diterima (</w:t>
            </w:r>
            <w:r w:rsidRPr="00607524">
              <w:rPr>
                <w:rFonts w:ascii="Bookman Old Style" w:hAnsi="Bookman Old Style" w:cstheme="minorHAnsi"/>
                <w:i/>
                <w:sz w:val="20"/>
                <w:szCs w:val="20"/>
              </w:rPr>
              <w:t>reasonable</w:t>
            </w:r>
            <w:r w:rsidRPr="00607524">
              <w:rPr>
                <w:rFonts w:ascii="Bookman Old Style" w:hAnsi="Bookman Old Style" w:cstheme="minorHAnsi"/>
                <w:sz w:val="20"/>
                <w:szCs w:val="20"/>
              </w:rPr>
              <w:t>).</w:t>
            </w:r>
          </w:p>
        </w:tc>
      </w:tr>
      <w:tr w:rsidR="00BE21C3" w:rsidRPr="00607524" w:rsidTr="00C8049C">
        <w:tc>
          <w:tcPr>
            <w:tcW w:w="571" w:type="pct"/>
          </w:tcPr>
          <w:p w:rsidR="00BE21C3" w:rsidRPr="00607524" w:rsidRDefault="00BE21C3" w:rsidP="00BE21C3">
            <w:pPr>
              <w:tabs>
                <w:tab w:val="left" w:pos="6447"/>
              </w:tabs>
              <w:spacing w:before="60" w:after="60"/>
              <w:ind w:left="360"/>
              <w:jc w:val="center"/>
              <w:rPr>
                <w:rFonts w:ascii="Bookman Old Style" w:hAnsi="Bookman Old Style" w:cs="Arial"/>
                <w:sz w:val="20"/>
                <w:szCs w:val="20"/>
              </w:rPr>
            </w:pPr>
          </w:p>
        </w:tc>
        <w:tc>
          <w:tcPr>
            <w:tcW w:w="352" w:type="pct"/>
          </w:tcPr>
          <w:p w:rsidR="00BE21C3" w:rsidRPr="00607524" w:rsidRDefault="00BE21C3" w:rsidP="00A12E69">
            <w:pPr>
              <w:pStyle w:val="ListParagraph"/>
              <w:numPr>
                <w:ilvl w:val="0"/>
                <w:numId w:val="16"/>
              </w:numPr>
              <w:tabs>
                <w:tab w:val="left" w:pos="6447"/>
              </w:tabs>
              <w:spacing w:before="60" w:after="60"/>
              <w:contextualSpacing w:val="0"/>
              <w:jc w:val="center"/>
              <w:rPr>
                <w:rFonts w:ascii="Bookman Old Style" w:hAnsi="Bookman Old Style" w:cs="Arial"/>
                <w:sz w:val="20"/>
                <w:szCs w:val="20"/>
              </w:rPr>
            </w:pPr>
          </w:p>
        </w:tc>
        <w:tc>
          <w:tcPr>
            <w:tcW w:w="2509" w:type="pct"/>
          </w:tcPr>
          <w:p w:rsidR="00BE21C3" w:rsidRPr="00607524" w:rsidRDefault="00BE21C3"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Direksi wajib mengomunikasikan Rencana Bisnis kepada:</w:t>
            </w:r>
          </w:p>
        </w:tc>
        <w:tc>
          <w:tcPr>
            <w:tcW w:w="1568" w:type="pct"/>
          </w:tcPr>
          <w:p w:rsidR="00BE21C3" w:rsidRPr="00607524" w:rsidRDefault="00BE21C3" w:rsidP="00A93BC7">
            <w:pPr>
              <w:tabs>
                <w:tab w:val="left" w:pos="6447"/>
              </w:tabs>
              <w:spacing w:before="60" w:after="60" w:line="276" w:lineRule="auto"/>
              <w:jc w:val="both"/>
              <w:rPr>
                <w:rFonts w:ascii="Bookman Old Style" w:hAnsi="Bookman Old Style" w:cstheme="minorHAnsi"/>
                <w:sz w:val="20"/>
                <w:szCs w:val="20"/>
              </w:rPr>
            </w:pPr>
          </w:p>
        </w:tc>
      </w:tr>
      <w:tr w:rsidR="00EF5B8F" w:rsidRPr="00607524" w:rsidTr="00C8049C">
        <w:tc>
          <w:tcPr>
            <w:tcW w:w="571"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2509" w:type="pct"/>
          </w:tcPr>
          <w:p w:rsidR="00C95E0B" w:rsidRPr="00607524" w:rsidRDefault="00BE21C3" w:rsidP="00A12E69">
            <w:pPr>
              <w:pStyle w:val="ListParagraph"/>
              <w:numPr>
                <w:ilvl w:val="0"/>
                <w:numId w:val="14"/>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theme="minorHAnsi"/>
                <w:sz w:val="20"/>
                <w:szCs w:val="20"/>
              </w:rPr>
              <w:t>pemegang saham BPR atau BPRS; dan</w:t>
            </w:r>
          </w:p>
        </w:tc>
        <w:tc>
          <w:tcPr>
            <w:tcW w:w="1568" w:type="pct"/>
          </w:tcPr>
          <w:p w:rsidR="00C95E0B" w:rsidRPr="00607524" w:rsidRDefault="00431BC8"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Arial"/>
                <w:sz w:val="20"/>
                <w:szCs w:val="20"/>
              </w:rPr>
              <w:t xml:space="preserve">Komunikasi dengan pemegang saham dapat dilakukan antara lain melalui Rapat Umum Pemegang Saham atau Rapat Anggota Tahunan, atau bentuk </w:t>
            </w:r>
            <w:r w:rsidRPr="00607524">
              <w:rPr>
                <w:rFonts w:ascii="Bookman Old Style" w:hAnsi="Bookman Old Style" w:cs="Arial"/>
                <w:sz w:val="20"/>
                <w:szCs w:val="20"/>
              </w:rPr>
              <w:lastRenderedPageBreak/>
              <w:t>komunikasi lainnya yang dibuktikan dengan dokumen tertulis.</w:t>
            </w:r>
          </w:p>
        </w:tc>
      </w:tr>
      <w:tr w:rsidR="00EF5B8F" w:rsidRPr="00607524" w:rsidTr="00C8049C">
        <w:tc>
          <w:tcPr>
            <w:tcW w:w="571"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2509" w:type="pct"/>
          </w:tcPr>
          <w:p w:rsidR="00C95E0B" w:rsidRPr="00607524" w:rsidRDefault="00BE21C3" w:rsidP="00A12E69">
            <w:pPr>
              <w:pStyle w:val="ListParagraph"/>
              <w:numPr>
                <w:ilvl w:val="0"/>
                <w:numId w:val="14"/>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theme="minorHAnsi"/>
                <w:sz w:val="20"/>
                <w:szCs w:val="20"/>
              </w:rPr>
              <w:t>seluruh jenjang organisasi pada BPR atau BPRS.</w:t>
            </w:r>
          </w:p>
        </w:tc>
        <w:tc>
          <w:tcPr>
            <w:tcW w:w="1568" w:type="pct"/>
          </w:tcPr>
          <w:p w:rsidR="00431BC8" w:rsidRPr="00607524" w:rsidRDefault="00431BC8" w:rsidP="00431BC8">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Arial"/>
                <w:sz w:val="20"/>
                <w:szCs w:val="20"/>
              </w:rPr>
              <w:t>Komunikasi Rencana Bisnis kepada seluruh jenjang organisasi pada BPR atau BPRS dilakukan dengan tujuan agar kebijakan dan pelaksanaan oleh setiap pihak yang terlibat dalam operasionalisasi Rencana Bisnis sejalan dengan visi dan misi BPR atau BPRS.</w:t>
            </w:r>
          </w:p>
          <w:p w:rsidR="00C95E0B" w:rsidRPr="00607524" w:rsidRDefault="00431BC8" w:rsidP="00431BC8">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Arial"/>
                <w:sz w:val="20"/>
                <w:szCs w:val="20"/>
              </w:rPr>
              <w:t>Komunikasi dengan seluruh jenjang organisasi pada BPR atau BPRS dapat dilakukan antara lain melalui penyelenggaraan pertemuan atau bentuk komunikasi lainnya yang dibuktikan dengan dokumen tertulis.</w:t>
            </w:r>
          </w:p>
        </w:tc>
      </w:tr>
      <w:tr w:rsidR="00431BC8" w:rsidRPr="00607524" w:rsidTr="00C8049C">
        <w:tc>
          <w:tcPr>
            <w:tcW w:w="571" w:type="pct"/>
          </w:tcPr>
          <w:p w:rsidR="00431BC8" w:rsidRPr="00607524" w:rsidRDefault="00431BC8"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93BC7">
            <w:pPr>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Dewan Komisaris wajib melaksanakan pengawasan terhadap pelaksanaan Rencana Bisnis.</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Arial"/>
                <w:sz w:val="20"/>
                <w:szCs w:val="20"/>
                <w:lang w:val="id-ID"/>
              </w:rPr>
            </w:pPr>
            <w:r w:rsidRPr="00607524">
              <w:rPr>
                <w:rFonts w:ascii="Bookman Old Style" w:hAnsi="Bookman Old Style" w:cstheme="minorHAnsi"/>
                <w:sz w:val="20"/>
                <w:szCs w:val="20"/>
              </w:rPr>
              <w:t>Cukup jelas.</w:t>
            </w:r>
          </w:p>
        </w:tc>
      </w:tr>
      <w:tr w:rsidR="00431BC8" w:rsidRPr="00607524" w:rsidTr="005D0ED5">
        <w:tc>
          <w:tcPr>
            <w:tcW w:w="5000" w:type="pct"/>
            <w:gridSpan w:val="4"/>
            <w:shd w:val="clear" w:color="auto" w:fill="EDEDED" w:themeFill="accent3" w:themeFillTint="33"/>
          </w:tcPr>
          <w:p w:rsidR="00431BC8" w:rsidRPr="00607524" w:rsidRDefault="00431BC8" w:rsidP="00A12E69">
            <w:pPr>
              <w:pStyle w:val="ListParagraph"/>
              <w:numPr>
                <w:ilvl w:val="0"/>
                <w:numId w:val="5"/>
              </w:numPr>
              <w:tabs>
                <w:tab w:val="left" w:pos="823"/>
              </w:tabs>
              <w:spacing w:before="60" w:after="60"/>
              <w:contextualSpacing w:val="0"/>
              <w:jc w:val="center"/>
              <w:rPr>
                <w:rFonts w:ascii="Bookman Old Style" w:hAnsi="Bookman Old Style" w:cstheme="minorHAnsi"/>
                <w:b/>
                <w:sz w:val="20"/>
                <w:szCs w:val="20"/>
                <w:lang w:val="id-ID"/>
              </w:rPr>
            </w:pPr>
            <w:r w:rsidRPr="00607524">
              <w:rPr>
                <w:rFonts w:ascii="Bookman Old Style" w:hAnsi="Bookman Old Style" w:cstheme="minorHAnsi"/>
                <w:b/>
                <w:sz w:val="20"/>
                <w:szCs w:val="20"/>
                <w:lang w:val="en-US"/>
              </w:rPr>
              <w:t>CAKUPAN RENCANA BISNIS</w:t>
            </w:r>
          </w:p>
        </w:tc>
      </w:tr>
      <w:tr w:rsidR="00EF5B8F" w:rsidRPr="00607524" w:rsidTr="00C8049C">
        <w:tc>
          <w:tcPr>
            <w:tcW w:w="571" w:type="pct"/>
          </w:tcPr>
          <w:p w:rsidR="00C95E0B" w:rsidRPr="00607524" w:rsidRDefault="00C95E0B"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C95E0B" w:rsidRPr="00607524" w:rsidRDefault="00C95E0B" w:rsidP="00431BC8">
            <w:pPr>
              <w:tabs>
                <w:tab w:val="left" w:pos="6447"/>
              </w:tabs>
              <w:spacing w:before="60" w:after="60"/>
              <w:jc w:val="center"/>
              <w:rPr>
                <w:rFonts w:ascii="Bookman Old Style" w:hAnsi="Bookman Old Style" w:cs="Arial"/>
                <w:sz w:val="20"/>
                <w:szCs w:val="20"/>
              </w:rPr>
            </w:pPr>
          </w:p>
        </w:tc>
        <w:tc>
          <w:tcPr>
            <w:tcW w:w="2509" w:type="pct"/>
          </w:tcPr>
          <w:p w:rsidR="00C95E0B" w:rsidRPr="00607524" w:rsidRDefault="00431BC8"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Rencana Bisnis sebagaimana dimaksud dalam Pasal 2 paling sedikit meliputi:</w:t>
            </w:r>
          </w:p>
        </w:tc>
        <w:tc>
          <w:tcPr>
            <w:tcW w:w="1568" w:type="pct"/>
          </w:tcPr>
          <w:p w:rsidR="00C95E0B" w:rsidRPr="00607524" w:rsidRDefault="0014051B" w:rsidP="00A93BC7">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rPr>
              <w:t>Cukup jelas.</w:t>
            </w:r>
          </w:p>
        </w:tc>
      </w:tr>
      <w:tr w:rsidR="00EF5B8F" w:rsidRPr="00607524" w:rsidTr="00C8049C">
        <w:tc>
          <w:tcPr>
            <w:tcW w:w="571" w:type="pct"/>
          </w:tcPr>
          <w:p w:rsidR="00C95E0B" w:rsidRPr="00607524" w:rsidRDefault="00C95E0B" w:rsidP="00A93BC7">
            <w:pPr>
              <w:tabs>
                <w:tab w:val="left" w:pos="6447"/>
              </w:tabs>
              <w:spacing w:before="60" w:after="60" w:line="276" w:lineRule="auto"/>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ringkasan eksekutif;</w:t>
            </w:r>
          </w:p>
        </w:tc>
        <w:tc>
          <w:tcPr>
            <w:tcW w:w="1568" w:type="pct"/>
          </w:tcPr>
          <w:p w:rsidR="00C95E0B" w:rsidRPr="00607524"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607524" w:rsidTr="00C8049C">
        <w:tc>
          <w:tcPr>
            <w:tcW w:w="571" w:type="pct"/>
          </w:tcPr>
          <w:p w:rsidR="00C95E0B" w:rsidRPr="00607524" w:rsidRDefault="00C95E0B" w:rsidP="00A93BC7">
            <w:pPr>
              <w:tabs>
                <w:tab w:val="left" w:pos="6447"/>
              </w:tabs>
              <w:spacing w:before="60" w:after="60" w:line="276" w:lineRule="auto"/>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strategi bisnis dan kebijakan;</w:t>
            </w:r>
          </w:p>
        </w:tc>
        <w:tc>
          <w:tcPr>
            <w:tcW w:w="1568" w:type="pct"/>
          </w:tcPr>
          <w:p w:rsidR="00C95E0B" w:rsidRPr="00607524" w:rsidRDefault="00C95E0B" w:rsidP="00A93BC7">
            <w:pPr>
              <w:tabs>
                <w:tab w:val="left" w:pos="6447"/>
              </w:tabs>
              <w:spacing w:before="60" w:after="60" w:line="276" w:lineRule="auto"/>
              <w:jc w:val="both"/>
              <w:rPr>
                <w:rFonts w:ascii="Bookman Old Style" w:hAnsi="Bookman Old Style" w:cstheme="minorHAnsi"/>
                <w:sz w:val="20"/>
                <w:szCs w:val="20"/>
              </w:rPr>
            </w:pPr>
          </w:p>
        </w:tc>
      </w:tr>
      <w:tr w:rsidR="00EF5B8F" w:rsidRPr="00607524" w:rsidTr="00C8049C">
        <w:tc>
          <w:tcPr>
            <w:tcW w:w="571" w:type="pct"/>
          </w:tcPr>
          <w:p w:rsidR="00C95E0B" w:rsidRPr="00607524" w:rsidRDefault="00C95E0B" w:rsidP="00A93BC7">
            <w:pPr>
              <w:tabs>
                <w:tab w:val="left" w:pos="6447"/>
              </w:tabs>
              <w:spacing w:before="60" w:after="60" w:line="276" w:lineRule="auto"/>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rPr>
                <w:rFonts w:ascii="Bookman Old Style" w:hAnsi="Bookman Old Style" w:cs="Arial"/>
                <w:sz w:val="20"/>
                <w:szCs w:val="20"/>
              </w:rPr>
            </w:pPr>
          </w:p>
        </w:tc>
        <w:tc>
          <w:tcPr>
            <w:tcW w:w="2509" w:type="pct"/>
          </w:tcPr>
          <w:p w:rsidR="00C95E0B"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 xml:space="preserve">proyeksi laporan keuangan; </w:t>
            </w:r>
          </w:p>
        </w:tc>
        <w:tc>
          <w:tcPr>
            <w:tcW w:w="1568" w:type="pct"/>
          </w:tcPr>
          <w:p w:rsidR="00C95E0B" w:rsidRPr="00607524" w:rsidRDefault="00C95E0B"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target rasio dan pos keuangan;</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rencana penyaluran dana;</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rencana permodalan;</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rencana pengembangan teknologi informasi dan Sumber Daya Manusia (SDM);</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rencana pelaksanaan kegiatan usaha baru atau rencana penerbitan produk dan pelaksanaan aktivitas baru;</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 xml:space="preserve">rencana pengembangan dan/atau perubahan jaringan kantor; </w:t>
            </w:r>
            <w:r w:rsidR="004B490D" w:rsidRPr="00607524">
              <w:rPr>
                <w:rFonts w:ascii="Bookman Old Style" w:hAnsi="Bookman Old Style" w:cstheme="minorHAnsi"/>
                <w:sz w:val="20"/>
                <w:szCs w:val="20"/>
              </w:rPr>
              <w:t>dan</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431BC8" w:rsidRPr="00607524" w:rsidTr="00C8049C">
        <w:tc>
          <w:tcPr>
            <w:tcW w:w="571"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352" w:type="pct"/>
          </w:tcPr>
          <w:p w:rsidR="00431BC8" w:rsidRPr="00607524" w:rsidRDefault="00431BC8" w:rsidP="00A93BC7">
            <w:pPr>
              <w:tabs>
                <w:tab w:val="left" w:pos="6447"/>
              </w:tabs>
              <w:spacing w:before="60" w:after="60" w:line="276" w:lineRule="auto"/>
              <w:rPr>
                <w:rFonts w:ascii="Bookman Old Style" w:hAnsi="Bookman Old Style" w:cs="Arial"/>
                <w:sz w:val="20"/>
                <w:szCs w:val="20"/>
              </w:rPr>
            </w:pPr>
          </w:p>
        </w:tc>
        <w:tc>
          <w:tcPr>
            <w:tcW w:w="2509" w:type="pct"/>
          </w:tcPr>
          <w:p w:rsidR="00431BC8" w:rsidRPr="00607524" w:rsidRDefault="00431BC8" w:rsidP="00A12E69">
            <w:pPr>
              <w:pStyle w:val="ListParagraph"/>
              <w:numPr>
                <w:ilvl w:val="0"/>
                <w:numId w:val="9"/>
              </w:numPr>
              <w:tabs>
                <w:tab w:val="left" w:pos="6447"/>
              </w:tabs>
              <w:spacing w:before="60" w:after="60"/>
              <w:contextualSpacing w:val="0"/>
              <w:jc w:val="both"/>
              <w:rPr>
                <w:rFonts w:ascii="Bookman Old Style" w:hAnsi="Bookman Old Style" w:cstheme="minorHAnsi"/>
                <w:sz w:val="20"/>
                <w:szCs w:val="20"/>
              </w:rPr>
            </w:pPr>
            <w:r w:rsidRPr="00607524">
              <w:rPr>
                <w:rFonts w:ascii="Bookman Old Style" w:hAnsi="Bookman Old Style" w:cstheme="minorHAnsi"/>
                <w:sz w:val="20"/>
                <w:szCs w:val="20"/>
              </w:rPr>
              <w:t>informasi lainnya.</w:t>
            </w:r>
          </w:p>
        </w:tc>
        <w:tc>
          <w:tcPr>
            <w:tcW w:w="1568" w:type="pct"/>
          </w:tcPr>
          <w:p w:rsidR="00431BC8" w:rsidRPr="00607524" w:rsidRDefault="00431BC8" w:rsidP="00A93BC7">
            <w:pPr>
              <w:tabs>
                <w:tab w:val="left" w:pos="6447"/>
              </w:tabs>
              <w:spacing w:before="60" w:after="60" w:line="276" w:lineRule="auto"/>
              <w:jc w:val="both"/>
              <w:rPr>
                <w:rFonts w:ascii="Bookman Old Style" w:hAnsi="Bookman Old Style" w:cstheme="minorHAnsi"/>
                <w:sz w:val="20"/>
                <w:szCs w:val="20"/>
              </w:rPr>
            </w:pPr>
          </w:p>
        </w:tc>
      </w:tr>
      <w:tr w:rsidR="00EF5B8F" w:rsidRPr="00607524" w:rsidTr="00C8049C">
        <w:tc>
          <w:tcPr>
            <w:tcW w:w="571" w:type="pct"/>
          </w:tcPr>
          <w:p w:rsidR="00C95E0B" w:rsidRPr="00607524" w:rsidRDefault="00C95E0B"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C95E0B" w:rsidRPr="00607524" w:rsidRDefault="00C95E0B" w:rsidP="00A12E69">
            <w:pPr>
              <w:pStyle w:val="ListParagraph"/>
              <w:numPr>
                <w:ilvl w:val="0"/>
                <w:numId w:val="8"/>
              </w:numPr>
              <w:tabs>
                <w:tab w:val="left" w:pos="6447"/>
              </w:tabs>
              <w:spacing w:before="60" w:after="60"/>
              <w:contextualSpacing w:val="0"/>
              <w:jc w:val="center"/>
              <w:rPr>
                <w:rFonts w:ascii="Bookman Old Style" w:hAnsi="Bookman Old Style" w:cs="Arial"/>
                <w:sz w:val="20"/>
                <w:szCs w:val="20"/>
              </w:rPr>
            </w:pPr>
          </w:p>
        </w:tc>
        <w:tc>
          <w:tcPr>
            <w:tcW w:w="2509" w:type="pct"/>
          </w:tcPr>
          <w:p w:rsidR="00C95E0B" w:rsidRPr="00607524" w:rsidRDefault="00A93845"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Ringkasan eksekutif sebagaimana dimaksud dalam Pasal 6 huruf a paling sedikit meliputi:</w:t>
            </w:r>
          </w:p>
        </w:tc>
        <w:tc>
          <w:tcPr>
            <w:tcW w:w="1568" w:type="pct"/>
          </w:tcPr>
          <w:p w:rsidR="00C95E0B" w:rsidRPr="00607524" w:rsidRDefault="00C95E0B" w:rsidP="00A93BC7">
            <w:pPr>
              <w:tabs>
                <w:tab w:val="left" w:pos="6447"/>
              </w:tabs>
              <w:spacing w:before="60" w:after="60" w:line="276" w:lineRule="auto"/>
              <w:jc w:val="both"/>
              <w:rPr>
                <w:rFonts w:ascii="Bookman Old Style" w:hAnsi="Bookman Old Style" w:cstheme="minorHAnsi"/>
                <w:sz w:val="20"/>
                <w:szCs w:val="20"/>
              </w:rPr>
            </w:pPr>
          </w:p>
        </w:tc>
      </w:tr>
      <w:tr w:rsidR="00A93845" w:rsidRPr="00607524" w:rsidTr="00C8049C">
        <w:tc>
          <w:tcPr>
            <w:tcW w:w="571" w:type="pct"/>
          </w:tcPr>
          <w:p w:rsidR="00A93845" w:rsidRPr="00607524" w:rsidRDefault="00A93845" w:rsidP="00A93845">
            <w:pPr>
              <w:tabs>
                <w:tab w:val="left" w:pos="6447"/>
              </w:tabs>
              <w:spacing w:before="60" w:after="60"/>
              <w:ind w:left="360"/>
              <w:jc w:val="center"/>
              <w:rPr>
                <w:rFonts w:ascii="Bookman Old Style" w:hAnsi="Bookman Old Style" w:cs="Arial"/>
                <w:sz w:val="20"/>
                <w:szCs w:val="20"/>
              </w:rPr>
            </w:pPr>
          </w:p>
        </w:tc>
        <w:tc>
          <w:tcPr>
            <w:tcW w:w="352" w:type="pct"/>
          </w:tcPr>
          <w:p w:rsidR="00A93845" w:rsidRPr="00607524" w:rsidRDefault="00A93845" w:rsidP="00A93845">
            <w:pPr>
              <w:tabs>
                <w:tab w:val="left" w:pos="6447"/>
              </w:tabs>
              <w:spacing w:before="60" w:after="60"/>
              <w:jc w:val="center"/>
              <w:rPr>
                <w:rFonts w:ascii="Bookman Old Style" w:hAnsi="Bookman Old Style" w:cs="Arial"/>
                <w:sz w:val="20"/>
                <w:szCs w:val="20"/>
              </w:rPr>
            </w:pPr>
          </w:p>
        </w:tc>
        <w:tc>
          <w:tcPr>
            <w:tcW w:w="2509" w:type="pct"/>
          </w:tcPr>
          <w:p w:rsidR="00A93845" w:rsidRPr="00607524" w:rsidRDefault="0014051B" w:rsidP="0014051B">
            <w:pPr>
              <w:pStyle w:val="ListParagraph"/>
              <w:numPr>
                <w:ilvl w:val="0"/>
                <w:numId w:val="19"/>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v</w:t>
            </w:r>
            <w:r w:rsidR="00A93845" w:rsidRPr="00607524">
              <w:rPr>
                <w:rFonts w:ascii="Bookman Old Style" w:hAnsi="Bookman Old Style" w:cstheme="minorHAnsi"/>
                <w:sz w:val="20"/>
                <w:szCs w:val="20"/>
              </w:rPr>
              <w:t xml:space="preserve">isi dan </w:t>
            </w:r>
            <w:r w:rsidRPr="00607524">
              <w:rPr>
                <w:rFonts w:ascii="Bookman Old Style" w:hAnsi="Bookman Old Style" w:cstheme="minorHAnsi"/>
                <w:sz w:val="20"/>
                <w:szCs w:val="20"/>
              </w:rPr>
              <w:t>m</w:t>
            </w:r>
            <w:r w:rsidR="00A93845" w:rsidRPr="00607524">
              <w:rPr>
                <w:rFonts w:ascii="Bookman Old Style" w:hAnsi="Bookman Old Style" w:cstheme="minorHAnsi"/>
                <w:sz w:val="20"/>
                <w:szCs w:val="20"/>
              </w:rPr>
              <w:t>isi BPR atau BPRS</w:t>
            </w:r>
          </w:p>
        </w:tc>
        <w:tc>
          <w:tcPr>
            <w:tcW w:w="1568" w:type="pct"/>
          </w:tcPr>
          <w:p w:rsidR="00A93845" w:rsidRPr="00607524" w:rsidRDefault="00552CDF"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Visi dan Misi BPR atau BPRS disusun untuk jangka waktu 5 (lima) tahun dan disampaikan oleh BPR dan BPRS setiap tahun.</w:t>
            </w:r>
          </w:p>
        </w:tc>
      </w:tr>
      <w:tr w:rsidR="00552CDF" w:rsidRPr="00607524" w:rsidTr="00C8049C">
        <w:tc>
          <w:tcPr>
            <w:tcW w:w="571" w:type="pct"/>
          </w:tcPr>
          <w:p w:rsidR="00552CDF" w:rsidRPr="00607524" w:rsidRDefault="00552CDF" w:rsidP="00552CDF">
            <w:pPr>
              <w:tabs>
                <w:tab w:val="left" w:pos="6447"/>
              </w:tabs>
              <w:spacing w:before="60" w:after="60" w:line="276" w:lineRule="auto"/>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552CDF" w:rsidP="00A12E69">
            <w:pPr>
              <w:pStyle w:val="ListParagraph"/>
              <w:numPr>
                <w:ilvl w:val="0"/>
                <w:numId w:val="19"/>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rencana dan langkah</w:t>
            </w:r>
            <w:r w:rsidR="004B490D" w:rsidRPr="00607524">
              <w:rPr>
                <w:rFonts w:ascii="Bookman Old Style" w:hAnsi="Bookman Old Style" w:cstheme="minorHAnsi"/>
                <w:sz w:val="20"/>
                <w:szCs w:val="20"/>
              </w:rPr>
              <w:t xml:space="preserve"> </w:t>
            </w:r>
            <w:r w:rsidRPr="00607524">
              <w:rPr>
                <w:rFonts w:ascii="Bookman Old Style" w:hAnsi="Bookman Old Style" w:cstheme="minorHAnsi"/>
                <w:sz w:val="20"/>
                <w:szCs w:val="20"/>
              </w:rPr>
              <w:t>strategis yang akan ditempuh oleh BPR atau BPRS;</w:t>
            </w:r>
          </w:p>
        </w:tc>
        <w:tc>
          <w:tcPr>
            <w:tcW w:w="1568" w:type="pct"/>
          </w:tcPr>
          <w:p w:rsidR="00552CDF" w:rsidRPr="00607524" w:rsidRDefault="00552CDF" w:rsidP="00D24640">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552CDF" w:rsidRPr="00607524" w:rsidTr="00C8049C">
        <w:tc>
          <w:tcPr>
            <w:tcW w:w="571" w:type="pct"/>
          </w:tcPr>
          <w:p w:rsidR="00552CDF" w:rsidRPr="00607524" w:rsidRDefault="00552CDF" w:rsidP="00552CDF">
            <w:pPr>
              <w:tabs>
                <w:tab w:val="left" w:pos="6447"/>
              </w:tabs>
              <w:spacing w:before="60" w:after="60" w:line="276" w:lineRule="auto"/>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552CDF" w:rsidP="00A12E69">
            <w:pPr>
              <w:pStyle w:val="ListParagraph"/>
              <w:numPr>
                <w:ilvl w:val="0"/>
                <w:numId w:val="19"/>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indikator keuangan utama; dan</w:t>
            </w:r>
          </w:p>
        </w:tc>
        <w:tc>
          <w:tcPr>
            <w:tcW w:w="1568" w:type="pct"/>
          </w:tcPr>
          <w:p w:rsidR="00552CDF" w:rsidRPr="00607524" w:rsidRDefault="00552CDF" w:rsidP="00D24640">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552CDF" w:rsidRPr="00607524" w:rsidTr="00C8049C">
        <w:tc>
          <w:tcPr>
            <w:tcW w:w="571" w:type="pct"/>
          </w:tcPr>
          <w:p w:rsidR="00552CDF" w:rsidRPr="00607524" w:rsidRDefault="00552CDF" w:rsidP="00552CDF">
            <w:pPr>
              <w:tabs>
                <w:tab w:val="left" w:pos="6447"/>
              </w:tabs>
              <w:spacing w:before="60" w:after="60" w:line="276" w:lineRule="auto"/>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552CDF" w:rsidP="00A12E69">
            <w:pPr>
              <w:pStyle w:val="ListParagraph"/>
              <w:numPr>
                <w:ilvl w:val="0"/>
                <w:numId w:val="19"/>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target jangka pendek dan jangka menengah.</w:t>
            </w:r>
          </w:p>
        </w:tc>
        <w:tc>
          <w:tcPr>
            <w:tcW w:w="1568" w:type="pct"/>
          </w:tcPr>
          <w:p w:rsidR="00552CDF" w:rsidRPr="00607524" w:rsidRDefault="00552CDF" w:rsidP="00D24640">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A93845" w:rsidRPr="00607524" w:rsidTr="00C8049C">
        <w:tc>
          <w:tcPr>
            <w:tcW w:w="571" w:type="pct"/>
          </w:tcPr>
          <w:p w:rsidR="00A93845" w:rsidRPr="00607524" w:rsidRDefault="00A93845" w:rsidP="00A93845">
            <w:pPr>
              <w:tabs>
                <w:tab w:val="left" w:pos="6447"/>
              </w:tabs>
              <w:spacing w:before="60" w:after="60" w:line="276" w:lineRule="auto"/>
              <w:rPr>
                <w:rFonts w:ascii="Bookman Old Style" w:hAnsi="Bookman Old Style" w:cs="Arial"/>
                <w:sz w:val="20"/>
                <w:szCs w:val="20"/>
              </w:rPr>
            </w:pPr>
          </w:p>
        </w:tc>
        <w:tc>
          <w:tcPr>
            <w:tcW w:w="352" w:type="pct"/>
          </w:tcPr>
          <w:p w:rsidR="00A93845" w:rsidRPr="00607524" w:rsidRDefault="00A93845" w:rsidP="00A12E69">
            <w:pPr>
              <w:pStyle w:val="ListParagraph"/>
              <w:numPr>
                <w:ilvl w:val="0"/>
                <w:numId w:val="8"/>
              </w:numPr>
              <w:tabs>
                <w:tab w:val="left" w:pos="6447"/>
              </w:tabs>
              <w:spacing w:before="60" w:after="60"/>
              <w:contextualSpacing w:val="0"/>
              <w:jc w:val="center"/>
              <w:rPr>
                <w:rFonts w:ascii="Bookman Old Style" w:hAnsi="Bookman Old Style" w:cs="Arial"/>
                <w:sz w:val="20"/>
                <w:szCs w:val="20"/>
              </w:rPr>
            </w:pPr>
          </w:p>
        </w:tc>
        <w:tc>
          <w:tcPr>
            <w:tcW w:w="2509" w:type="pct"/>
          </w:tcPr>
          <w:p w:rsidR="00A93845" w:rsidRPr="00607524" w:rsidRDefault="00A93845" w:rsidP="004B490D">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Rencana dan langkah</w:t>
            </w:r>
            <w:r w:rsidR="004B490D" w:rsidRPr="00607524">
              <w:rPr>
                <w:rFonts w:ascii="Bookman Old Style" w:hAnsi="Bookman Old Style" w:cstheme="minorHAnsi"/>
                <w:sz w:val="20"/>
                <w:szCs w:val="20"/>
              </w:rPr>
              <w:t xml:space="preserve"> </w:t>
            </w:r>
            <w:r w:rsidRPr="00607524">
              <w:rPr>
                <w:rFonts w:ascii="Bookman Old Style" w:hAnsi="Bookman Old Style" w:cstheme="minorHAnsi"/>
                <w:sz w:val="20"/>
                <w:szCs w:val="20"/>
              </w:rPr>
              <w:t>strategis yang akan ditempuh oleh BPR atau BPRS sebagaimana dimaksud pada ayat (1) huruf b dijelaskan dalam jangka pendek untuk periode 1 (satu) tahun, jangka menengah untuk periode 3 (tiga) tahun, dan rencana strategis jangka panjang untuk periode 5 (lima) tahun.</w:t>
            </w:r>
          </w:p>
        </w:tc>
        <w:tc>
          <w:tcPr>
            <w:tcW w:w="1568" w:type="pct"/>
          </w:tcPr>
          <w:p w:rsidR="00A93845" w:rsidRPr="00607524" w:rsidRDefault="00A93845" w:rsidP="00D24640">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A93845" w:rsidRPr="00607524" w:rsidTr="00C8049C">
        <w:tc>
          <w:tcPr>
            <w:tcW w:w="571" w:type="pct"/>
          </w:tcPr>
          <w:p w:rsidR="00A93845" w:rsidRPr="00607524" w:rsidRDefault="00A93845" w:rsidP="00A93845">
            <w:pPr>
              <w:tabs>
                <w:tab w:val="left" w:pos="6447"/>
              </w:tabs>
              <w:spacing w:before="60" w:after="60" w:line="276" w:lineRule="auto"/>
              <w:rPr>
                <w:rFonts w:ascii="Bookman Old Style" w:hAnsi="Bookman Old Style" w:cs="Arial"/>
                <w:sz w:val="20"/>
                <w:szCs w:val="20"/>
              </w:rPr>
            </w:pPr>
          </w:p>
        </w:tc>
        <w:tc>
          <w:tcPr>
            <w:tcW w:w="352" w:type="pct"/>
          </w:tcPr>
          <w:p w:rsidR="00A93845" w:rsidRPr="00607524" w:rsidRDefault="00A93845" w:rsidP="00A12E69">
            <w:pPr>
              <w:pStyle w:val="ListParagraph"/>
              <w:numPr>
                <w:ilvl w:val="0"/>
                <w:numId w:val="8"/>
              </w:numPr>
              <w:tabs>
                <w:tab w:val="left" w:pos="6447"/>
              </w:tabs>
              <w:spacing w:before="60" w:after="60"/>
              <w:contextualSpacing w:val="0"/>
              <w:jc w:val="center"/>
              <w:rPr>
                <w:rFonts w:ascii="Bookman Old Style" w:hAnsi="Bookman Old Style" w:cs="Arial"/>
                <w:sz w:val="20"/>
                <w:szCs w:val="20"/>
              </w:rPr>
            </w:pPr>
          </w:p>
        </w:tc>
        <w:tc>
          <w:tcPr>
            <w:tcW w:w="2509" w:type="pct"/>
          </w:tcPr>
          <w:p w:rsidR="00A93845" w:rsidRPr="00607524" w:rsidRDefault="00A93845" w:rsidP="00654121">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Indikator keuangan utama sebagaimana dimaksud pada ayat (1) huruf c paling sedikit meliputi kinerja BPR atau BPRS </w:t>
            </w:r>
            <w:r w:rsidR="00D24640" w:rsidRPr="00607524">
              <w:rPr>
                <w:rFonts w:ascii="Bookman Old Style" w:hAnsi="Bookman Old Style" w:cstheme="minorHAnsi"/>
                <w:sz w:val="20"/>
                <w:szCs w:val="20"/>
              </w:rPr>
              <w:t xml:space="preserve">yang diperhitungkan dalam </w:t>
            </w:r>
            <w:r w:rsidRPr="00607524">
              <w:rPr>
                <w:rFonts w:ascii="Bookman Old Style" w:hAnsi="Bookman Old Style" w:cstheme="minorHAnsi"/>
                <w:sz w:val="20"/>
                <w:szCs w:val="20"/>
              </w:rPr>
              <w:t>penilaian tingkat kesehatan BPR atau BPRS</w:t>
            </w:r>
            <w:r w:rsidR="00D24640" w:rsidRPr="00607524">
              <w:rPr>
                <w:rFonts w:ascii="Bookman Old Style" w:hAnsi="Bookman Old Style" w:cstheme="minorHAnsi"/>
                <w:sz w:val="20"/>
                <w:szCs w:val="20"/>
              </w:rPr>
              <w:t xml:space="preserve"> sesuai dengan ketentuan yang mengatur mengenai penilaian tingkat kesehatan BPR dan Peraturan Otoritas Jasa Keuangan mengenai sistem penilaian tingkat kesehatan BPRS</w:t>
            </w:r>
            <w:r w:rsidRPr="00607524">
              <w:rPr>
                <w:rFonts w:ascii="Bookman Old Style" w:hAnsi="Bookman Old Style" w:cstheme="minorHAnsi"/>
                <w:sz w:val="20"/>
                <w:szCs w:val="20"/>
              </w:rPr>
              <w:t>.</w:t>
            </w:r>
          </w:p>
        </w:tc>
        <w:tc>
          <w:tcPr>
            <w:tcW w:w="1568" w:type="pct"/>
          </w:tcPr>
          <w:p w:rsidR="00A93845" w:rsidRPr="00607524" w:rsidRDefault="00A93845" w:rsidP="00D24640">
            <w:pPr>
              <w:tabs>
                <w:tab w:val="left" w:pos="6447"/>
              </w:tabs>
              <w:spacing w:before="60" w:after="60" w:line="276" w:lineRule="auto"/>
              <w:jc w:val="both"/>
            </w:pPr>
            <w:r w:rsidRPr="00607524">
              <w:rPr>
                <w:rFonts w:ascii="Bookman Old Style" w:hAnsi="Bookman Old Style" w:cstheme="minorHAnsi"/>
                <w:sz w:val="20"/>
                <w:szCs w:val="20"/>
              </w:rPr>
              <w:t>Cukup jelas.</w:t>
            </w:r>
          </w:p>
        </w:tc>
      </w:tr>
      <w:tr w:rsidR="00A93845" w:rsidRPr="00607524" w:rsidTr="00C8049C">
        <w:tc>
          <w:tcPr>
            <w:tcW w:w="571" w:type="pct"/>
          </w:tcPr>
          <w:p w:rsidR="00A93845" w:rsidRPr="00607524" w:rsidRDefault="00A93845" w:rsidP="00A93845">
            <w:pPr>
              <w:tabs>
                <w:tab w:val="left" w:pos="6447"/>
              </w:tabs>
              <w:spacing w:before="60" w:after="60" w:line="276" w:lineRule="auto"/>
              <w:rPr>
                <w:rFonts w:ascii="Bookman Old Style" w:hAnsi="Bookman Old Style" w:cs="Arial"/>
                <w:sz w:val="20"/>
                <w:szCs w:val="20"/>
              </w:rPr>
            </w:pPr>
          </w:p>
        </w:tc>
        <w:tc>
          <w:tcPr>
            <w:tcW w:w="352" w:type="pct"/>
          </w:tcPr>
          <w:p w:rsidR="00A93845" w:rsidRPr="00607524" w:rsidRDefault="00A93845" w:rsidP="00A12E69">
            <w:pPr>
              <w:pStyle w:val="ListParagraph"/>
              <w:numPr>
                <w:ilvl w:val="0"/>
                <w:numId w:val="8"/>
              </w:numPr>
              <w:tabs>
                <w:tab w:val="left" w:pos="6447"/>
              </w:tabs>
              <w:spacing w:before="60" w:after="60"/>
              <w:contextualSpacing w:val="0"/>
              <w:jc w:val="center"/>
              <w:rPr>
                <w:rFonts w:ascii="Bookman Old Style" w:hAnsi="Bookman Old Style" w:cs="Arial"/>
                <w:sz w:val="20"/>
                <w:szCs w:val="20"/>
              </w:rPr>
            </w:pPr>
          </w:p>
        </w:tc>
        <w:tc>
          <w:tcPr>
            <w:tcW w:w="2509" w:type="pct"/>
          </w:tcPr>
          <w:p w:rsidR="00A93845" w:rsidRPr="00607524" w:rsidRDefault="00A93845" w:rsidP="00A93845">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Target jangka pendek sebagaimana dimaksud pada ayat (1) huruf d adalah target kegiatan usaha BPR atau BPRS selama 1 (satu) tahun ke depan, paling sedikit meliputi penurunan </w:t>
            </w:r>
            <w:r w:rsidRPr="00607524">
              <w:rPr>
                <w:rFonts w:ascii="Bookman Old Style" w:hAnsi="Bookman Old Style" w:cstheme="minorHAnsi"/>
                <w:i/>
                <w:sz w:val="20"/>
                <w:szCs w:val="20"/>
              </w:rPr>
              <w:t>Non Performing Loan</w:t>
            </w:r>
            <w:r w:rsidRPr="00607524">
              <w:rPr>
                <w:rFonts w:ascii="Bookman Old Style" w:hAnsi="Bookman Old Style" w:cstheme="minorHAnsi"/>
                <w:sz w:val="20"/>
                <w:szCs w:val="20"/>
              </w:rPr>
              <w:t xml:space="preserve"> (NPL) atau </w:t>
            </w:r>
            <w:r w:rsidRPr="00607524">
              <w:rPr>
                <w:rFonts w:ascii="Bookman Old Style" w:hAnsi="Bookman Old Style" w:cstheme="minorHAnsi"/>
                <w:i/>
                <w:sz w:val="20"/>
                <w:szCs w:val="20"/>
              </w:rPr>
              <w:t>Non Performing Financing</w:t>
            </w:r>
            <w:r w:rsidRPr="00607524">
              <w:rPr>
                <w:rFonts w:ascii="Bookman Old Style" w:hAnsi="Bookman Old Style" w:cstheme="minorHAnsi"/>
                <w:sz w:val="20"/>
                <w:szCs w:val="20"/>
              </w:rPr>
              <w:t xml:space="preserve"> (NPF), peningkatan fungsi intermediasi, dan peningkatan efisiensi.</w:t>
            </w:r>
          </w:p>
        </w:tc>
        <w:tc>
          <w:tcPr>
            <w:tcW w:w="1568" w:type="pct"/>
          </w:tcPr>
          <w:p w:rsidR="00A93845" w:rsidRPr="00607524" w:rsidRDefault="00A93845" w:rsidP="00A93845">
            <w:r w:rsidRPr="00607524">
              <w:rPr>
                <w:rFonts w:ascii="Bookman Old Style" w:hAnsi="Bookman Old Style" w:cstheme="minorHAnsi"/>
                <w:sz w:val="20"/>
                <w:szCs w:val="20"/>
              </w:rPr>
              <w:t>Cukup jelas.</w:t>
            </w:r>
          </w:p>
        </w:tc>
      </w:tr>
      <w:tr w:rsidR="00A93845" w:rsidRPr="00607524" w:rsidTr="00C8049C">
        <w:tc>
          <w:tcPr>
            <w:tcW w:w="571" w:type="pct"/>
          </w:tcPr>
          <w:p w:rsidR="00A93845" w:rsidRPr="00607524" w:rsidRDefault="00A93845" w:rsidP="00A93845">
            <w:pPr>
              <w:tabs>
                <w:tab w:val="left" w:pos="6447"/>
              </w:tabs>
              <w:spacing w:before="60" w:after="60" w:line="276" w:lineRule="auto"/>
              <w:rPr>
                <w:rFonts w:ascii="Bookman Old Style" w:hAnsi="Bookman Old Style" w:cs="Arial"/>
                <w:sz w:val="20"/>
                <w:szCs w:val="20"/>
              </w:rPr>
            </w:pPr>
          </w:p>
        </w:tc>
        <w:tc>
          <w:tcPr>
            <w:tcW w:w="352" w:type="pct"/>
          </w:tcPr>
          <w:p w:rsidR="00A93845" w:rsidRPr="00607524" w:rsidRDefault="00A93845" w:rsidP="00A12E69">
            <w:pPr>
              <w:pStyle w:val="ListParagraph"/>
              <w:numPr>
                <w:ilvl w:val="0"/>
                <w:numId w:val="8"/>
              </w:numPr>
              <w:tabs>
                <w:tab w:val="left" w:pos="6447"/>
              </w:tabs>
              <w:spacing w:before="60" w:after="60"/>
              <w:contextualSpacing w:val="0"/>
              <w:jc w:val="center"/>
              <w:rPr>
                <w:rFonts w:ascii="Bookman Old Style" w:hAnsi="Bookman Old Style" w:cs="Arial"/>
                <w:sz w:val="20"/>
                <w:szCs w:val="20"/>
              </w:rPr>
            </w:pPr>
          </w:p>
        </w:tc>
        <w:tc>
          <w:tcPr>
            <w:tcW w:w="2509" w:type="pct"/>
          </w:tcPr>
          <w:p w:rsidR="00A93845" w:rsidRPr="00607524" w:rsidRDefault="00A93845" w:rsidP="003A4953">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Target jangka menengah sebagaimana dimaksud pada ayat (1) huruf d bagi BPR atau BPRS adalah target kegiatan usaha selama 3 (tiga) tahun ke depan, paling sedikit meli</w:t>
            </w:r>
            <w:r w:rsidR="00476BA5" w:rsidRPr="00607524">
              <w:rPr>
                <w:rFonts w:ascii="Bookman Old Style" w:hAnsi="Bookman Old Style" w:cstheme="minorHAnsi"/>
                <w:sz w:val="20"/>
                <w:szCs w:val="20"/>
              </w:rPr>
              <w:t>puti upaya penguatan permodalan dan pengembangan bisnis</w:t>
            </w:r>
            <w:r w:rsidR="00D24640" w:rsidRPr="00607524">
              <w:rPr>
                <w:rFonts w:ascii="Bookman Old Style" w:hAnsi="Bookman Old Style" w:cstheme="minorHAnsi"/>
                <w:sz w:val="20"/>
                <w:szCs w:val="20"/>
              </w:rPr>
              <w:t xml:space="preserve"> BPR dan BPRS</w:t>
            </w:r>
            <w:r w:rsidR="003A4953" w:rsidRPr="00607524">
              <w:rPr>
                <w:rFonts w:ascii="Bookman Old Style" w:hAnsi="Bookman Old Style" w:cstheme="minorHAnsi"/>
                <w:sz w:val="20"/>
                <w:szCs w:val="20"/>
              </w:rPr>
              <w:t>,</w:t>
            </w:r>
            <w:r w:rsidR="00476BA5" w:rsidRPr="00607524">
              <w:rPr>
                <w:rFonts w:ascii="Bookman Old Style" w:hAnsi="Bookman Old Style" w:cstheme="minorHAnsi"/>
                <w:sz w:val="20"/>
                <w:szCs w:val="20"/>
              </w:rPr>
              <w:t xml:space="preserve"> </w:t>
            </w:r>
            <w:r w:rsidRPr="00607524">
              <w:rPr>
                <w:rFonts w:ascii="Bookman Old Style" w:hAnsi="Bookman Old Style" w:cstheme="minorHAnsi"/>
                <w:sz w:val="20"/>
                <w:szCs w:val="20"/>
              </w:rPr>
              <w:t xml:space="preserve">serta </w:t>
            </w:r>
            <w:r w:rsidR="003A4953" w:rsidRPr="00607524">
              <w:rPr>
                <w:rFonts w:ascii="Bookman Old Style" w:hAnsi="Bookman Old Style" w:cstheme="minorHAnsi"/>
                <w:sz w:val="20"/>
                <w:szCs w:val="20"/>
              </w:rPr>
              <w:t>penerapan</w:t>
            </w:r>
            <w:r w:rsidRPr="00607524">
              <w:rPr>
                <w:rFonts w:ascii="Bookman Old Style" w:hAnsi="Bookman Old Style" w:cstheme="minorHAnsi"/>
                <w:sz w:val="20"/>
                <w:szCs w:val="20"/>
              </w:rPr>
              <w:t xml:space="preserve"> manajemen risiko BPR</w:t>
            </w:r>
            <w:r w:rsidR="003A4953" w:rsidRPr="00607524">
              <w:rPr>
                <w:rFonts w:ascii="Bookman Old Style" w:hAnsi="Bookman Old Style" w:cstheme="minorHAnsi"/>
                <w:sz w:val="20"/>
                <w:szCs w:val="20"/>
              </w:rPr>
              <w:t xml:space="preserve"> dan penerapan tata kelola yang baik</w:t>
            </w:r>
            <w:r w:rsidRPr="00607524">
              <w:rPr>
                <w:rFonts w:ascii="Bookman Old Style" w:hAnsi="Bookman Old Style" w:cstheme="minorHAnsi"/>
                <w:sz w:val="20"/>
                <w:szCs w:val="20"/>
              </w:rPr>
              <w:t>.</w:t>
            </w:r>
          </w:p>
        </w:tc>
        <w:tc>
          <w:tcPr>
            <w:tcW w:w="1568" w:type="pct"/>
          </w:tcPr>
          <w:p w:rsidR="00A93845" w:rsidRPr="00607524" w:rsidRDefault="00A93845" w:rsidP="00A93845">
            <w:r w:rsidRPr="00607524">
              <w:rPr>
                <w:rFonts w:ascii="Bookman Old Style" w:hAnsi="Bookman Old Style" w:cstheme="minorHAnsi"/>
                <w:sz w:val="20"/>
                <w:szCs w:val="20"/>
              </w:rPr>
              <w:t>Cukup jelas.</w:t>
            </w:r>
          </w:p>
        </w:tc>
      </w:tr>
      <w:tr w:rsidR="00EF5B8F" w:rsidRPr="00607524" w:rsidTr="00C8049C">
        <w:tc>
          <w:tcPr>
            <w:tcW w:w="571" w:type="pct"/>
          </w:tcPr>
          <w:p w:rsidR="00C95E0B" w:rsidRPr="00607524" w:rsidRDefault="00C95E0B"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C95E0B" w:rsidRPr="00607524" w:rsidRDefault="00C95E0B" w:rsidP="00A12E69">
            <w:pPr>
              <w:pStyle w:val="ListParagraph"/>
              <w:numPr>
                <w:ilvl w:val="0"/>
                <w:numId w:val="10"/>
              </w:numPr>
              <w:tabs>
                <w:tab w:val="left" w:pos="6447"/>
              </w:tabs>
              <w:spacing w:before="60" w:after="60"/>
              <w:contextualSpacing w:val="0"/>
              <w:jc w:val="center"/>
              <w:rPr>
                <w:rFonts w:ascii="Bookman Old Style" w:hAnsi="Bookman Old Style" w:cs="Arial"/>
                <w:sz w:val="20"/>
                <w:szCs w:val="20"/>
              </w:rPr>
            </w:pPr>
          </w:p>
        </w:tc>
        <w:tc>
          <w:tcPr>
            <w:tcW w:w="2509" w:type="pct"/>
          </w:tcPr>
          <w:p w:rsidR="00C95E0B" w:rsidRPr="00607524" w:rsidRDefault="00552CDF" w:rsidP="00C8455D">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Strategi bisnis dan kebijakan sebagaimana dimaksud dalam Pasal 6 huruf b paling sedikit meliputi:</w:t>
            </w:r>
          </w:p>
        </w:tc>
        <w:tc>
          <w:tcPr>
            <w:tcW w:w="1568" w:type="pct"/>
          </w:tcPr>
          <w:p w:rsidR="00C95E0B" w:rsidRPr="00607524" w:rsidRDefault="00C95E0B" w:rsidP="00A93BC7">
            <w:pPr>
              <w:tabs>
                <w:tab w:val="left" w:pos="6447"/>
              </w:tabs>
              <w:spacing w:before="60" w:after="60" w:line="276" w:lineRule="auto"/>
              <w:jc w:val="both"/>
              <w:rPr>
                <w:rFonts w:ascii="Bookman Old Style" w:hAnsi="Bookman Old Style" w:cstheme="minorHAnsi"/>
                <w:sz w:val="20"/>
                <w:szCs w:val="20"/>
              </w:rPr>
            </w:pPr>
          </w:p>
        </w:tc>
      </w:tr>
      <w:tr w:rsidR="00607524" w:rsidRPr="00607524" w:rsidTr="00C8049C">
        <w:tc>
          <w:tcPr>
            <w:tcW w:w="571" w:type="pct"/>
          </w:tcPr>
          <w:p w:rsidR="00552CDF" w:rsidRPr="00607524" w:rsidRDefault="00552CDF" w:rsidP="00552CDF">
            <w:pPr>
              <w:tabs>
                <w:tab w:val="left" w:pos="6447"/>
              </w:tabs>
              <w:spacing w:before="60" w:after="60"/>
              <w:ind w:left="360"/>
              <w:jc w:val="center"/>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DE2E0E" w:rsidP="00A12E69">
            <w:pPr>
              <w:pStyle w:val="ListParagraph"/>
              <w:numPr>
                <w:ilvl w:val="0"/>
                <w:numId w:val="20"/>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analisis posisi BPR atau BPRS dalam persaingan usaha berdasarkan aset dan/atau lokasi;</w:t>
            </w:r>
          </w:p>
        </w:tc>
        <w:tc>
          <w:tcPr>
            <w:tcW w:w="1568" w:type="pct"/>
          </w:tcPr>
          <w:p w:rsidR="00552CDF" w:rsidRPr="00607524" w:rsidRDefault="00DE2E0E" w:rsidP="00654121">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Dalam analisis posisi dijelaskan permasalahan dan hambatan BPR atau BPRS dalam menghadapi persaingan dengan BPR dan/atau BPRS lain.</w:t>
            </w:r>
          </w:p>
        </w:tc>
      </w:tr>
      <w:tr w:rsidR="00552CDF" w:rsidRPr="00607524" w:rsidTr="00C8049C">
        <w:tc>
          <w:tcPr>
            <w:tcW w:w="571" w:type="pct"/>
          </w:tcPr>
          <w:p w:rsidR="00552CDF" w:rsidRPr="00607524" w:rsidRDefault="00552CDF" w:rsidP="00552CDF">
            <w:pPr>
              <w:tabs>
                <w:tab w:val="left" w:pos="6447"/>
              </w:tabs>
              <w:spacing w:before="60" w:after="60"/>
              <w:ind w:left="360"/>
              <w:jc w:val="center"/>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552CDF" w:rsidP="00A12E69">
            <w:pPr>
              <w:pStyle w:val="ListParagraph"/>
              <w:numPr>
                <w:ilvl w:val="0"/>
                <w:numId w:val="20"/>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arah kebijakan BPR atau BPRS;</w:t>
            </w:r>
          </w:p>
        </w:tc>
        <w:tc>
          <w:tcPr>
            <w:tcW w:w="1568" w:type="pct"/>
          </w:tcPr>
          <w:p w:rsidR="00476BA5" w:rsidRPr="00607524" w:rsidRDefault="00DE2E0E" w:rsidP="00DE2E0E">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Arah kebijakan BPR atau BPRS dijelaskan dalam jangka pendek untuk periode 1 (satu) tahun, jangka menengah untuk periode 3 (tiga) tahun, dan rencana strategis jangka panjang untuk periode 5 (lima) tahun</w:t>
            </w:r>
            <w:r w:rsidR="00476BA5" w:rsidRPr="00607524">
              <w:rPr>
                <w:rFonts w:ascii="Bookman Old Style" w:hAnsi="Bookman Old Style" w:cstheme="minorHAnsi"/>
                <w:sz w:val="20"/>
                <w:szCs w:val="20"/>
              </w:rPr>
              <w:t xml:space="preserve"> </w:t>
            </w:r>
            <w:r w:rsidRPr="00607524">
              <w:rPr>
                <w:rFonts w:ascii="Bookman Old Style" w:hAnsi="Bookman Old Style" w:cstheme="minorHAnsi"/>
                <w:sz w:val="20"/>
                <w:szCs w:val="20"/>
              </w:rPr>
              <w:t xml:space="preserve">meliputi informasi umum kebijakan BPR atau BPRS yang ditetapkan oleh manajemen dalam pengembangan usaha BPR atau BPRS di waktu yang akan datang, </w:t>
            </w:r>
            <w:r w:rsidR="00AC3106" w:rsidRPr="00607524">
              <w:rPr>
                <w:rFonts w:ascii="Bookman Old Style" w:hAnsi="Bookman Old Style" w:cstheme="minorHAnsi"/>
                <w:sz w:val="20"/>
                <w:szCs w:val="20"/>
              </w:rPr>
              <w:t xml:space="preserve">rencana pelaksanaan penggabungan, peleburan dan pengambilalihan BPR </w:t>
            </w:r>
            <w:r w:rsidR="003A4953" w:rsidRPr="00607524">
              <w:rPr>
                <w:rFonts w:ascii="Bookman Old Style" w:hAnsi="Bookman Old Style" w:cstheme="minorHAnsi"/>
                <w:sz w:val="20"/>
                <w:szCs w:val="20"/>
              </w:rPr>
              <w:t>atau</w:t>
            </w:r>
            <w:r w:rsidR="00AC3106" w:rsidRPr="00607524">
              <w:rPr>
                <w:rFonts w:ascii="Bookman Old Style" w:hAnsi="Bookman Old Style" w:cstheme="minorHAnsi"/>
                <w:sz w:val="20"/>
                <w:szCs w:val="20"/>
              </w:rPr>
              <w:t xml:space="preserve"> BPRS, serta </w:t>
            </w:r>
            <w:r w:rsidRPr="00607524">
              <w:rPr>
                <w:rFonts w:ascii="Bookman Old Style" w:hAnsi="Bookman Old Style" w:cstheme="minorHAnsi"/>
                <w:sz w:val="20"/>
                <w:szCs w:val="20"/>
              </w:rPr>
              <w:t xml:space="preserve">strategi pengembangan bisnis </w:t>
            </w:r>
            <w:r w:rsidR="00AC3106" w:rsidRPr="00607524">
              <w:rPr>
                <w:rFonts w:ascii="Bookman Old Style" w:hAnsi="Bookman Old Style" w:cstheme="minorHAnsi"/>
                <w:sz w:val="20"/>
                <w:szCs w:val="20"/>
              </w:rPr>
              <w:t>di era digital</w:t>
            </w:r>
            <w:r w:rsidR="00476BA5" w:rsidRPr="00607524">
              <w:rPr>
                <w:rFonts w:ascii="Bookman Old Style" w:hAnsi="Bookman Old Style" w:cstheme="minorHAnsi"/>
                <w:sz w:val="20"/>
                <w:szCs w:val="20"/>
              </w:rPr>
              <w:t>.</w:t>
            </w:r>
          </w:p>
          <w:p w:rsidR="00DE2E0E" w:rsidRPr="00607524" w:rsidRDefault="00476BA5" w:rsidP="00DE2E0E">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Termasuk dalam strategi pengembangan bisnis adalah </w:t>
            </w:r>
            <w:r w:rsidR="00DE2E0E" w:rsidRPr="00607524">
              <w:rPr>
                <w:rFonts w:ascii="Bookman Old Style" w:hAnsi="Bookman Old Style" w:cstheme="minorHAnsi"/>
                <w:sz w:val="20"/>
                <w:szCs w:val="20"/>
              </w:rPr>
              <w:t xml:space="preserve">pengembangan teknologi informasi, </w:t>
            </w:r>
            <w:r w:rsidR="00EC02F4" w:rsidRPr="00607524">
              <w:rPr>
                <w:rFonts w:ascii="Bookman Old Style" w:hAnsi="Bookman Old Style" w:cstheme="minorHAnsi"/>
                <w:sz w:val="20"/>
                <w:szCs w:val="20"/>
              </w:rPr>
              <w:t xml:space="preserve">serta </w:t>
            </w:r>
            <w:r w:rsidR="00DE2E0E" w:rsidRPr="00607524">
              <w:rPr>
                <w:rFonts w:ascii="Bookman Old Style" w:hAnsi="Bookman Old Style" w:cstheme="minorHAnsi"/>
                <w:sz w:val="20"/>
                <w:szCs w:val="20"/>
              </w:rPr>
              <w:t>strategi untuk menganti</w:t>
            </w:r>
            <w:r w:rsidR="00053B7C" w:rsidRPr="00607524">
              <w:rPr>
                <w:rFonts w:ascii="Bookman Old Style" w:hAnsi="Bookman Old Style" w:cstheme="minorHAnsi"/>
                <w:sz w:val="20"/>
                <w:szCs w:val="20"/>
              </w:rPr>
              <w:t xml:space="preserve">sipasi </w:t>
            </w:r>
            <w:r w:rsidR="00EC02F4" w:rsidRPr="00607524">
              <w:rPr>
                <w:rFonts w:ascii="Bookman Old Style" w:hAnsi="Bookman Old Style" w:cstheme="minorHAnsi"/>
                <w:sz w:val="20"/>
                <w:szCs w:val="20"/>
              </w:rPr>
              <w:t>perubahan kondisi ekstern</w:t>
            </w:r>
            <w:r w:rsidR="003A4953" w:rsidRPr="00607524">
              <w:rPr>
                <w:rFonts w:ascii="Bookman Old Style" w:hAnsi="Bookman Old Style" w:cstheme="minorHAnsi"/>
                <w:sz w:val="20"/>
                <w:szCs w:val="20"/>
              </w:rPr>
              <w:t>al</w:t>
            </w:r>
            <w:r w:rsidR="00EC02F4" w:rsidRPr="00607524">
              <w:rPr>
                <w:rFonts w:ascii="Bookman Old Style" w:hAnsi="Bookman Old Style" w:cstheme="minorHAnsi"/>
                <w:sz w:val="20"/>
                <w:szCs w:val="20"/>
              </w:rPr>
              <w:t>.</w:t>
            </w:r>
          </w:p>
          <w:p w:rsidR="00552CDF" w:rsidRPr="00607524" w:rsidRDefault="00DE2E0E" w:rsidP="00DE2E0E">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Untuk BPRS, termasuk juga arah kebijakan dalam rangka penguatan penerapan prinsip-prinsip syariah.</w:t>
            </w:r>
          </w:p>
        </w:tc>
      </w:tr>
      <w:tr w:rsidR="00552CDF" w:rsidRPr="00607524" w:rsidTr="00C8049C">
        <w:tc>
          <w:tcPr>
            <w:tcW w:w="571" w:type="pct"/>
          </w:tcPr>
          <w:p w:rsidR="00552CDF" w:rsidRPr="00607524" w:rsidRDefault="00552CDF" w:rsidP="00552CDF">
            <w:pPr>
              <w:tabs>
                <w:tab w:val="left" w:pos="6447"/>
              </w:tabs>
              <w:spacing w:before="60" w:after="60"/>
              <w:ind w:left="360"/>
              <w:jc w:val="center"/>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552CDF" w:rsidP="00A12E69">
            <w:pPr>
              <w:pStyle w:val="ListParagraph"/>
              <w:numPr>
                <w:ilvl w:val="0"/>
                <w:numId w:val="20"/>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 xml:space="preserve">strategi </w:t>
            </w:r>
            <w:r w:rsidR="00F43EF7" w:rsidRPr="00607524">
              <w:rPr>
                <w:rFonts w:ascii="Bookman Old Style" w:hAnsi="Bookman Old Style" w:cstheme="minorHAnsi"/>
                <w:sz w:val="20"/>
                <w:szCs w:val="20"/>
              </w:rPr>
              <w:t xml:space="preserve">penghimpunan dana dan </w:t>
            </w:r>
            <w:r w:rsidRPr="00607524">
              <w:rPr>
                <w:rFonts w:ascii="Bookman Old Style" w:hAnsi="Bookman Old Style" w:cstheme="minorHAnsi"/>
                <w:sz w:val="20"/>
                <w:szCs w:val="20"/>
              </w:rPr>
              <w:t xml:space="preserve">penyaluran </w:t>
            </w:r>
            <w:r w:rsidRPr="00CD5E76">
              <w:rPr>
                <w:rFonts w:ascii="Bookman Old Style" w:hAnsi="Bookman Old Style" w:cstheme="minorHAnsi"/>
                <w:sz w:val="20"/>
                <w:szCs w:val="20"/>
              </w:rPr>
              <w:t>kredit</w:t>
            </w:r>
            <w:r w:rsidR="00E35199" w:rsidRPr="00CD5E76">
              <w:rPr>
                <w:rFonts w:ascii="Bookman Old Style" w:hAnsi="Bookman Old Style" w:cstheme="minorHAnsi"/>
                <w:sz w:val="20"/>
                <w:szCs w:val="20"/>
              </w:rPr>
              <w:t xml:space="preserve"> atau pembiayaan</w:t>
            </w:r>
            <w:r w:rsidRPr="00CD5E76">
              <w:rPr>
                <w:rFonts w:ascii="Bookman Old Style" w:hAnsi="Bookman Old Style" w:cstheme="minorHAnsi"/>
                <w:sz w:val="20"/>
                <w:szCs w:val="20"/>
              </w:rPr>
              <w:t>; dan</w:t>
            </w:r>
          </w:p>
        </w:tc>
        <w:tc>
          <w:tcPr>
            <w:tcW w:w="1568" w:type="pct"/>
          </w:tcPr>
          <w:p w:rsidR="00552CDF" w:rsidRPr="00607524" w:rsidRDefault="00F43EF7" w:rsidP="00A93BC7">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lang w:val="id-ID"/>
              </w:rPr>
              <w:t>Cukup jelas.</w:t>
            </w:r>
          </w:p>
        </w:tc>
      </w:tr>
      <w:tr w:rsidR="00607524" w:rsidRPr="00607524" w:rsidTr="00C8049C">
        <w:tc>
          <w:tcPr>
            <w:tcW w:w="571" w:type="pct"/>
          </w:tcPr>
          <w:p w:rsidR="00552CDF" w:rsidRPr="00607524" w:rsidRDefault="00552CDF" w:rsidP="00552CDF">
            <w:pPr>
              <w:tabs>
                <w:tab w:val="left" w:pos="6447"/>
              </w:tabs>
              <w:spacing w:before="60" w:after="60"/>
              <w:ind w:left="360"/>
              <w:jc w:val="center"/>
              <w:rPr>
                <w:rFonts w:ascii="Bookman Old Style" w:hAnsi="Bookman Old Style" w:cs="Arial"/>
                <w:sz w:val="20"/>
                <w:szCs w:val="20"/>
              </w:rPr>
            </w:pPr>
          </w:p>
        </w:tc>
        <w:tc>
          <w:tcPr>
            <w:tcW w:w="352" w:type="pct"/>
          </w:tcPr>
          <w:p w:rsidR="00552CDF" w:rsidRPr="00607524" w:rsidRDefault="00552CDF" w:rsidP="00552CDF">
            <w:pPr>
              <w:tabs>
                <w:tab w:val="left" w:pos="6447"/>
              </w:tabs>
              <w:spacing w:before="60" w:after="60"/>
              <w:jc w:val="center"/>
              <w:rPr>
                <w:rFonts w:ascii="Bookman Old Style" w:hAnsi="Bookman Old Style" w:cs="Arial"/>
                <w:sz w:val="20"/>
                <w:szCs w:val="20"/>
              </w:rPr>
            </w:pPr>
          </w:p>
        </w:tc>
        <w:tc>
          <w:tcPr>
            <w:tcW w:w="2509" w:type="pct"/>
          </w:tcPr>
          <w:p w:rsidR="00552CDF" w:rsidRPr="00607524" w:rsidRDefault="00552CDF" w:rsidP="00A12E69">
            <w:pPr>
              <w:pStyle w:val="ListParagraph"/>
              <w:numPr>
                <w:ilvl w:val="0"/>
                <w:numId w:val="20"/>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 xml:space="preserve">strategi </w:t>
            </w:r>
            <w:r w:rsidR="00F43EF7" w:rsidRPr="00607524">
              <w:rPr>
                <w:rFonts w:ascii="Bookman Old Style" w:hAnsi="Bookman Old Style" w:cstheme="minorHAnsi"/>
                <w:sz w:val="20"/>
                <w:szCs w:val="20"/>
              </w:rPr>
              <w:t>penyelesaian permasalahan strategis dan pemenuhan ketentuan BPR</w:t>
            </w:r>
            <w:r w:rsidR="000E4FF0" w:rsidRPr="00607524">
              <w:rPr>
                <w:rFonts w:ascii="Bookman Old Style" w:hAnsi="Bookman Old Style" w:cstheme="minorHAnsi"/>
                <w:sz w:val="20"/>
                <w:szCs w:val="20"/>
              </w:rPr>
              <w:t xml:space="preserve"> atau BPRS</w:t>
            </w:r>
            <w:r w:rsidRPr="00607524">
              <w:rPr>
                <w:rFonts w:ascii="Bookman Old Style" w:hAnsi="Bookman Old Style" w:cstheme="minorHAnsi"/>
                <w:sz w:val="20"/>
                <w:szCs w:val="20"/>
              </w:rPr>
              <w:t>.</w:t>
            </w:r>
          </w:p>
        </w:tc>
        <w:tc>
          <w:tcPr>
            <w:tcW w:w="1568" w:type="pct"/>
          </w:tcPr>
          <w:p w:rsidR="00C01717" w:rsidRPr="00607524" w:rsidRDefault="00C01717" w:rsidP="00F43EF7">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en-US"/>
              </w:rPr>
              <w:t>Yang dimaksud dengan permasalahan strateg</w:t>
            </w:r>
            <w:r w:rsidR="00C82816" w:rsidRPr="00607524">
              <w:rPr>
                <w:rFonts w:ascii="Bookman Old Style" w:hAnsi="Bookman Old Style" w:cstheme="minorHAnsi"/>
                <w:sz w:val="20"/>
                <w:szCs w:val="20"/>
                <w:lang w:val="en-US"/>
              </w:rPr>
              <w:t>is adalah permasalahan yang mem</w:t>
            </w:r>
            <w:r w:rsidRPr="00607524">
              <w:rPr>
                <w:rFonts w:ascii="Bookman Old Style" w:hAnsi="Bookman Old Style" w:cstheme="minorHAnsi"/>
                <w:sz w:val="20"/>
                <w:szCs w:val="20"/>
                <w:lang w:val="en-US"/>
              </w:rPr>
              <w:t xml:space="preserve">engaruhi tingkat kesehatan BPR </w:t>
            </w:r>
            <w:r w:rsidR="00453F5E" w:rsidRPr="00607524">
              <w:rPr>
                <w:rFonts w:ascii="Bookman Old Style" w:hAnsi="Bookman Old Style" w:cstheme="minorHAnsi"/>
                <w:sz w:val="20"/>
                <w:szCs w:val="20"/>
                <w:lang w:val="en-US"/>
              </w:rPr>
              <w:t>atau</w:t>
            </w:r>
            <w:r w:rsidRPr="00607524">
              <w:rPr>
                <w:rFonts w:ascii="Bookman Old Style" w:hAnsi="Bookman Old Style" w:cstheme="minorHAnsi"/>
                <w:sz w:val="20"/>
                <w:szCs w:val="20"/>
                <w:lang w:val="en-US"/>
              </w:rPr>
              <w:t xml:space="preserve"> BPRS, </w:t>
            </w:r>
            <w:r w:rsidRPr="00607524">
              <w:rPr>
                <w:rFonts w:ascii="Bookman Old Style" w:hAnsi="Bookman Old Style" w:cstheme="minorHAnsi"/>
                <w:sz w:val="20"/>
                <w:szCs w:val="20"/>
                <w:lang w:val="en-US"/>
              </w:rPr>
              <w:lastRenderedPageBreak/>
              <w:t>antara lain langkah-langkah penyelesaian kredit atau pembiayaan bermasalah.</w:t>
            </w:r>
          </w:p>
          <w:p w:rsidR="00552CDF" w:rsidRPr="00607524" w:rsidRDefault="00C01717" w:rsidP="0005007A">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en-US"/>
              </w:rPr>
              <w:t>Yang dimaksud</w:t>
            </w:r>
            <w:r w:rsidR="00C82816" w:rsidRPr="00607524">
              <w:rPr>
                <w:rFonts w:ascii="Bookman Old Style" w:hAnsi="Bookman Old Style" w:cstheme="minorHAnsi"/>
                <w:sz w:val="20"/>
                <w:szCs w:val="20"/>
                <w:lang w:val="en-US"/>
              </w:rPr>
              <w:t xml:space="preserve"> dengan pemenuhan ketentuan BPR atau BPR</w:t>
            </w:r>
            <w:r w:rsidRPr="00607524">
              <w:rPr>
                <w:rFonts w:ascii="Bookman Old Style" w:hAnsi="Bookman Old Style" w:cstheme="minorHAnsi"/>
                <w:sz w:val="20"/>
                <w:szCs w:val="20"/>
                <w:lang w:val="en-US"/>
              </w:rPr>
              <w:t xml:space="preserve">S antara lain pemenuhan </w:t>
            </w:r>
            <w:r w:rsidR="00AC3106" w:rsidRPr="00607524">
              <w:rPr>
                <w:rFonts w:ascii="Bookman Old Style" w:hAnsi="Bookman Old Style" w:cstheme="minorHAnsi"/>
                <w:sz w:val="20"/>
                <w:szCs w:val="20"/>
                <w:lang w:val="en-US"/>
              </w:rPr>
              <w:t>permodalan meliputi rasio KPMM, rasio modal inti dan pemenuhan modal inti minimum</w:t>
            </w:r>
            <w:r w:rsidRPr="00607524">
              <w:rPr>
                <w:rFonts w:ascii="Bookman Old Style" w:hAnsi="Bookman Old Style" w:cstheme="minorHAnsi"/>
                <w:sz w:val="20"/>
                <w:szCs w:val="20"/>
                <w:lang w:val="en-US"/>
              </w:rPr>
              <w:t xml:space="preserve">, </w:t>
            </w:r>
            <w:r w:rsidR="00453F5E" w:rsidRPr="00607524">
              <w:rPr>
                <w:rFonts w:ascii="Bookman Old Style" w:hAnsi="Bookman Old Style" w:cstheme="minorHAnsi"/>
                <w:sz w:val="20"/>
                <w:szCs w:val="20"/>
                <w:lang w:val="en-US"/>
              </w:rPr>
              <w:t xml:space="preserve">serta </w:t>
            </w:r>
            <w:r w:rsidRPr="00607524">
              <w:rPr>
                <w:rFonts w:ascii="Bookman Old Style" w:hAnsi="Bookman Old Style" w:cstheme="minorHAnsi"/>
                <w:sz w:val="20"/>
                <w:szCs w:val="20"/>
                <w:lang w:val="en-US"/>
              </w:rPr>
              <w:t>penerapan tata kelola dan manajemen risiko</w:t>
            </w:r>
            <w:r w:rsidR="007F3D1E" w:rsidRPr="00607524">
              <w:rPr>
                <w:rFonts w:ascii="Bookman Old Style" w:hAnsi="Bookman Old Style" w:cstheme="minorHAnsi"/>
                <w:sz w:val="20"/>
                <w:szCs w:val="20"/>
                <w:lang w:val="en-US"/>
              </w:rPr>
              <w:t xml:space="preserve"> sesuai dengan Peraturan Otoritas Jasa Keuangan mengenai </w:t>
            </w:r>
            <w:r w:rsidR="00453F5E" w:rsidRPr="00607524">
              <w:rPr>
                <w:rFonts w:ascii="Bookman Old Style" w:hAnsi="Bookman Old Style" w:cstheme="minorHAnsi"/>
                <w:sz w:val="20"/>
                <w:szCs w:val="20"/>
                <w:lang w:val="en-US"/>
              </w:rPr>
              <w:t xml:space="preserve">pemenuhan rasio kewajiban penyediaan modal minimum dan pemenuhan modal inti </w:t>
            </w:r>
            <w:r w:rsidR="00453F5E" w:rsidRPr="00CD5E76">
              <w:rPr>
                <w:rFonts w:ascii="Bookman Old Style" w:hAnsi="Bookman Old Style" w:cstheme="minorHAnsi"/>
                <w:sz w:val="20"/>
                <w:szCs w:val="20"/>
                <w:lang w:val="en-US"/>
              </w:rPr>
              <w:t>minimum BPR, penerapan tata kelola bagi BPR, dan penerapan manajemen risiko bagi BPR</w:t>
            </w:r>
            <w:r w:rsidR="00E35199" w:rsidRPr="00CD5E76">
              <w:rPr>
                <w:rFonts w:ascii="Bookman Old Style" w:hAnsi="Bookman Old Style" w:cstheme="minorHAnsi"/>
                <w:sz w:val="20"/>
                <w:szCs w:val="20"/>
                <w:lang w:val="en-US"/>
              </w:rPr>
              <w:t>, serta Peraturan Otoritas Jasa Keuangan mengenai pemenuhan rasio kewajiban penyediaan modal minimum dan pemenuhan modal inti minimum BPRS, penerapan tata kelola bagi BPRS, dan penerapan manajemen risiko bagi BPRS.</w:t>
            </w:r>
          </w:p>
        </w:tc>
      </w:tr>
      <w:tr w:rsidR="00EF5B8F" w:rsidRPr="00607524" w:rsidTr="00C8049C">
        <w:tc>
          <w:tcPr>
            <w:tcW w:w="571" w:type="pct"/>
          </w:tcPr>
          <w:p w:rsidR="00C95E0B" w:rsidRPr="00607524" w:rsidRDefault="00C95E0B"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C95E0B" w:rsidRPr="00607524" w:rsidRDefault="00C95E0B" w:rsidP="00A12E69">
            <w:pPr>
              <w:pStyle w:val="ListParagraph"/>
              <w:numPr>
                <w:ilvl w:val="0"/>
                <w:numId w:val="17"/>
              </w:numPr>
              <w:tabs>
                <w:tab w:val="left" w:pos="6447"/>
              </w:tabs>
              <w:spacing w:before="60" w:after="60"/>
              <w:contextualSpacing w:val="0"/>
              <w:jc w:val="center"/>
              <w:rPr>
                <w:rFonts w:ascii="Bookman Old Style" w:hAnsi="Bookman Old Style" w:cs="Arial"/>
                <w:sz w:val="20"/>
                <w:szCs w:val="20"/>
              </w:rPr>
            </w:pPr>
          </w:p>
        </w:tc>
        <w:tc>
          <w:tcPr>
            <w:tcW w:w="2509" w:type="pct"/>
          </w:tcPr>
          <w:p w:rsidR="00C95E0B" w:rsidRPr="00607524" w:rsidRDefault="00F43EF7" w:rsidP="00A93BC7">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Proyeksi laporan keuangan sebagaimana dimaksud dalam Pasal 6 huruf c paling sedikit meliputi:</w:t>
            </w:r>
          </w:p>
        </w:tc>
        <w:tc>
          <w:tcPr>
            <w:tcW w:w="1568" w:type="pct"/>
          </w:tcPr>
          <w:p w:rsidR="00C95E0B" w:rsidRPr="00607524" w:rsidRDefault="006F0033" w:rsidP="007F3D1E">
            <w:pPr>
              <w:spacing w:before="60" w:after="60" w:line="276" w:lineRule="auto"/>
              <w:jc w:val="both"/>
              <w:rPr>
                <w:sz w:val="20"/>
                <w:szCs w:val="20"/>
              </w:rPr>
            </w:pPr>
            <w:r w:rsidRPr="00607524">
              <w:rPr>
                <w:rFonts w:ascii="Bookman Old Style" w:eastAsiaTheme="minorEastAsia" w:hAnsi="Bookman Old Style"/>
                <w:sz w:val="20"/>
                <w:szCs w:val="20"/>
              </w:rPr>
              <w:t xml:space="preserve">Laporan posisi keuangan, laba rugi dan rekening administratif sesuai dengan </w:t>
            </w:r>
            <w:r w:rsidR="00AC3106" w:rsidRPr="00607524">
              <w:rPr>
                <w:rFonts w:ascii="Bookman Old Style" w:eastAsiaTheme="minorEastAsia" w:hAnsi="Bookman Old Style"/>
                <w:sz w:val="20"/>
                <w:szCs w:val="20"/>
              </w:rPr>
              <w:t>ketentuan mengenai laporan bulanan BPR dan BPRS</w:t>
            </w:r>
            <w:r w:rsidRPr="00607524">
              <w:rPr>
                <w:rFonts w:ascii="Bookman Old Style" w:eastAsiaTheme="minorEastAsia" w:hAnsi="Bookman Old Style"/>
                <w:sz w:val="20"/>
                <w:szCs w:val="20"/>
              </w:rPr>
              <w:t>.</w:t>
            </w:r>
          </w:p>
        </w:tc>
      </w:tr>
      <w:tr w:rsidR="00EF5B8F" w:rsidRPr="00607524" w:rsidTr="00C8049C">
        <w:tc>
          <w:tcPr>
            <w:tcW w:w="571"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2509" w:type="pct"/>
          </w:tcPr>
          <w:p w:rsidR="00F43EF7" w:rsidRPr="00607524" w:rsidRDefault="006F0033" w:rsidP="00365EFF">
            <w:pPr>
              <w:pStyle w:val="ListParagraph"/>
              <w:numPr>
                <w:ilvl w:val="0"/>
                <w:numId w:val="2"/>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Arial"/>
                <w:sz w:val="20"/>
                <w:szCs w:val="20"/>
              </w:rPr>
              <w:t>laporan posisi keuangan</w:t>
            </w:r>
            <w:r w:rsidR="00F43EF7" w:rsidRPr="00607524">
              <w:rPr>
                <w:rFonts w:ascii="Bookman Old Style" w:hAnsi="Bookman Old Style" w:cs="Arial"/>
                <w:sz w:val="20"/>
                <w:szCs w:val="20"/>
              </w:rPr>
              <w:t xml:space="preserve">; </w:t>
            </w:r>
          </w:p>
        </w:tc>
        <w:tc>
          <w:tcPr>
            <w:tcW w:w="1568" w:type="pct"/>
          </w:tcPr>
          <w:p w:rsidR="00C95E0B" w:rsidRPr="00607524" w:rsidRDefault="00C95E0B" w:rsidP="00A93BC7">
            <w:pPr>
              <w:spacing w:before="60" w:after="60" w:line="276" w:lineRule="auto"/>
              <w:rPr>
                <w:sz w:val="20"/>
                <w:szCs w:val="20"/>
              </w:rPr>
            </w:pPr>
          </w:p>
        </w:tc>
      </w:tr>
      <w:tr w:rsidR="00EF5B8F" w:rsidRPr="00607524" w:rsidTr="00C8049C">
        <w:tc>
          <w:tcPr>
            <w:tcW w:w="571"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C95E0B" w:rsidRPr="00607524" w:rsidRDefault="00C95E0B" w:rsidP="00A93BC7">
            <w:pPr>
              <w:tabs>
                <w:tab w:val="left" w:pos="6447"/>
              </w:tabs>
              <w:spacing w:before="60" w:after="60" w:line="276" w:lineRule="auto"/>
              <w:jc w:val="center"/>
              <w:rPr>
                <w:rFonts w:ascii="Bookman Old Style" w:hAnsi="Bookman Old Style" w:cs="Arial"/>
                <w:sz w:val="20"/>
                <w:szCs w:val="20"/>
              </w:rPr>
            </w:pPr>
          </w:p>
        </w:tc>
        <w:tc>
          <w:tcPr>
            <w:tcW w:w="2509" w:type="pct"/>
          </w:tcPr>
          <w:p w:rsidR="00F43EF7" w:rsidRPr="00607524" w:rsidRDefault="006F0033" w:rsidP="00365EFF">
            <w:pPr>
              <w:pStyle w:val="ListParagraph"/>
              <w:numPr>
                <w:ilvl w:val="0"/>
                <w:numId w:val="2"/>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Arial"/>
                <w:sz w:val="20"/>
                <w:szCs w:val="20"/>
              </w:rPr>
              <w:t>laba rugi; dan</w:t>
            </w:r>
          </w:p>
        </w:tc>
        <w:tc>
          <w:tcPr>
            <w:tcW w:w="1568" w:type="pct"/>
          </w:tcPr>
          <w:p w:rsidR="00C95E0B" w:rsidRPr="00607524" w:rsidRDefault="00C95E0B" w:rsidP="00A93BC7">
            <w:pPr>
              <w:spacing w:before="60" w:after="60" w:line="276" w:lineRule="auto"/>
              <w:rPr>
                <w:sz w:val="20"/>
                <w:szCs w:val="20"/>
              </w:rPr>
            </w:pPr>
          </w:p>
        </w:tc>
      </w:tr>
      <w:tr w:rsidR="00F43EF7" w:rsidRPr="00607524" w:rsidTr="00C8049C">
        <w:tc>
          <w:tcPr>
            <w:tcW w:w="571" w:type="pct"/>
          </w:tcPr>
          <w:p w:rsidR="00F43EF7" w:rsidRPr="00607524" w:rsidRDefault="00F43EF7" w:rsidP="00A93BC7">
            <w:pPr>
              <w:tabs>
                <w:tab w:val="left" w:pos="6447"/>
              </w:tabs>
              <w:spacing w:before="60" w:after="60" w:line="276" w:lineRule="auto"/>
              <w:jc w:val="center"/>
              <w:rPr>
                <w:rFonts w:ascii="Bookman Old Style" w:hAnsi="Bookman Old Style" w:cs="Arial"/>
                <w:sz w:val="20"/>
                <w:szCs w:val="20"/>
              </w:rPr>
            </w:pPr>
          </w:p>
        </w:tc>
        <w:tc>
          <w:tcPr>
            <w:tcW w:w="352" w:type="pct"/>
          </w:tcPr>
          <w:p w:rsidR="00F43EF7" w:rsidRPr="00607524" w:rsidRDefault="00F43EF7" w:rsidP="00A93BC7">
            <w:pPr>
              <w:tabs>
                <w:tab w:val="left" w:pos="6447"/>
              </w:tabs>
              <w:spacing w:before="60" w:after="60" w:line="276" w:lineRule="auto"/>
              <w:jc w:val="center"/>
              <w:rPr>
                <w:rFonts w:ascii="Bookman Old Style" w:hAnsi="Bookman Old Style" w:cs="Arial"/>
                <w:sz w:val="20"/>
                <w:szCs w:val="20"/>
              </w:rPr>
            </w:pPr>
          </w:p>
        </w:tc>
        <w:tc>
          <w:tcPr>
            <w:tcW w:w="2509" w:type="pct"/>
          </w:tcPr>
          <w:p w:rsidR="00F43EF7" w:rsidRPr="00607524" w:rsidRDefault="00F43EF7" w:rsidP="00365EFF">
            <w:pPr>
              <w:pStyle w:val="ListParagraph"/>
              <w:numPr>
                <w:ilvl w:val="0"/>
                <w:numId w:val="2"/>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Arial"/>
                <w:sz w:val="20"/>
                <w:szCs w:val="20"/>
              </w:rPr>
              <w:t>rekening administratif.</w:t>
            </w:r>
          </w:p>
        </w:tc>
        <w:tc>
          <w:tcPr>
            <w:tcW w:w="1568" w:type="pct"/>
          </w:tcPr>
          <w:p w:rsidR="00F43EF7" w:rsidRPr="00607524" w:rsidRDefault="00F43EF7" w:rsidP="00A93BC7">
            <w:pPr>
              <w:spacing w:before="60" w:after="60" w:line="276" w:lineRule="auto"/>
              <w:rPr>
                <w:rFonts w:ascii="Bookman Old Style" w:eastAsiaTheme="minorEastAsia" w:hAnsi="Bookman Old Style"/>
                <w:sz w:val="20"/>
                <w:szCs w:val="20"/>
              </w:rPr>
            </w:pP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17"/>
              </w:numPr>
              <w:tabs>
                <w:tab w:val="left" w:pos="6447"/>
              </w:tabs>
              <w:spacing w:before="60" w:after="60"/>
              <w:contextualSpacing w:val="0"/>
              <w:jc w:val="center"/>
              <w:rPr>
                <w:rFonts w:ascii="Bookman Old Style" w:hAnsi="Bookman Old Style" w:cs="Arial"/>
                <w:sz w:val="20"/>
                <w:szCs w:val="20"/>
              </w:rPr>
            </w:pPr>
          </w:p>
        </w:tc>
        <w:tc>
          <w:tcPr>
            <w:tcW w:w="2509" w:type="pct"/>
          </w:tcPr>
          <w:p w:rsidR="007F3D1E" w:rsidRPr="00607524" w:rsidRDefault="00E570BD" w:rsidP="00AB5323">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Arial"/>
                <w:sz w:val="20"/>
                <w:szCs w:val="20"/>
              </w:rPr>
              <w:t xml:space="preserve">BPR atau BPRS yang memiliki modal inti kurang dari Rp50.000.000.000,00 (lima puluh miliar rupiah) wajib </w:t>
            </w:r>
            <w:r w:rsidRPr="00607524">
              <w:rPr>
                <w:rFonts w:ascii="Bookman Old Style" w:hAnsi="Bookman Old Style" w:cstheme="minorHAnsi"/>
                <w:sz w:val="20"/>
                <w:szCs w:val="20"/>
              </w:rPr>
              <w:t>menyampaikan</w:t>
            </w:r>
            <w:r w:rsidRPr="00607524">
              <w:rPr>
                <w:rFonts w:ascii="Bookman Old Style" w:hAnsi="Bookman Old Style" w:cs="Arial"/>
                <w:sz w:val="20"/>
                <w:szCs w:val="20"/>
              </w:rPr>
              <w:t xml:space="preserve"> proyeksi laporan keuangan sebagaimana dimaksud pada ayat (1) </w:t>
            </w:r>
            <w:r w:rsidR="007F3D1E" w:rsidRPr="00607524">
              <w:rPr>
                <w:rFonts w:ascii="Bookman Old Style" w:hAnsi="Bookman Old Style" w:cs="Arial"/>
                <w:sz w:val="20"/>
                <w:szCs w:val="20"/>
              </w:rPr>
              <w:t>sampai dengan 1 (satu) tahun kedepan.</w:t>
            </w:r>
            <w:r w:rsidRPr="00607524">
              <w:rPr>
                <w:rFonts w:ascii="Bookman Old Style" w:hAnsi="Bookman Old Style" w:cs="Arial"/>
                <w:sz w:val="20"/>
                <w:szCs w:val="20"/>
              </w:rPr>
              <w:t xml:space="preserve"> </w:t>
            </w:r>
            <w:r w:rsidR="007F3D1E" w:rsidRPr="00607524">
              <w:rPr>
                <w:rFonts w:ascii="Bookman Old Style" w:hAnsi="Bookman Old Style" w:cs="Arial"/>
                <w:sz w:val="20"/>
                <w:szCs w:val="20"/>
              </w:rPr>
              <w:t xml:space="preserve"> </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r w:rsidRPr="00607524">
              <w:rPr>
                <w:rFonts w:ascii="Bookman Old Style" w:eastAsiaTheme="minorEastAsia" w:hAnsi="Bookman Old Style"/>
                <w:sz w:val="20"/>
                <w:szCs w:val="20"/>
              </w:rPr>
              <w:t>Cukup jelas.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17"/>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AB5323">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Arial"/>
                <w:sz w:val="20"/>
                <w:szCs w:val="20"/>
              </w:rPr>
              <w:t xml:space="preserve">BPR atau BPRS yang memiliki modal inti paling sedikit Rp50.000.000.000,00 (lima puluh miliar rupiah) wajib menyampaikan </w:t>
            </w:r>
            <w:r w:rsidRPr="00607524">
              <w:rPr>
                <w:rFonts w:ascii="Bookman Old Style" w:hAnsi="Bookman Old Style" w:cstheme="minorHAnsi"/>
                <w:sz w:val="20"/>
                <w:szCs w:val="20"/>
              </w:rPr>
              <w:t>proyeksi</w:t>
            </w:r>
            <w:r w:rsidRPr="00607524">
              <w:rPr>
                <w:rFonts w:ascii="Bookman Old Style" w:hAnsi="Bookman Old Style" w:cs="Arial"/>
                <w:sz w:val="20"/>
                <w:szCs w:val="20"/>
              </w:rPr>
              <w:t xml:space="preserve"> laporan keuangan sebagaimana dimaksud pada ayat (1) </w:t>
            </w:r>
            <w:r w:rsidR="007F3D1E" w:rsidRPr="00607524">
              <w:rPr>
                <w:rFonts w:ascii="Bookman Old Style" w:hAnsi="Bookman Old Style" w:cs="Arial"/>
                <w:sz w:val="20"/>
                <w:szCs w:val="20"/>
              </w:rPr>
              <w:t>sampai dengan 3 (tiga) tahun kedepan.</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r w:rsidRPr="00607524">
              <w:rPr>
                <w:rFonts w:ascii="Bookman Old Style" w:eastAsiaTheme="minorEastAsia" w:hAnsi="Bookman Old Style"/>
                <w:sz w:val="20"/>
                <w:szCs w:val="20"/>
              </w:rPr>
              <w:t>Cukup jelas.</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21"/>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AC3106">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Target rasio dan pos keuangan sebagaimana dimaksud dalam Pasal 6 huruf d paling sedikit meliputi:</w:t>
            </w:r>
          </w:p>
        </w:tc>
        <w:tc>
          <w:tcPr>
            <w:tcW w:w="1568" w:type="pct"/>
          </w:tcPr>
          <w:p w:rsidR="00E570BD" w:rsidRPr="00607524" w:rsidRDefault="00E570BD" w:rsidP="00E570BD">
            <w:pPr>
              <w:spacing w:before="60" w:after="60" w:line="276" w:lineRule="auto"/>
              <w:jc w:val="both"/>
              <w:rPr>
                <w:sz w:val="20"/>
                <w:szCs w:val="20"/>
                <w:lang w:val="id-ID"/>
              </w:rPr>
            </w:pPr>
          </w:p>
        </w:tc>
      </w:tr>
      <w:tr w:rsidR="00607524"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2509" w:type="pct"/>
          </w:tcPr>
          <w:p w:rsidR="00E570BD" w:rsidRPr="00607524" w:rsidRDefault="00E570BD" w:rsidP="00E570BD">
            <w:pPr>
              <w:pStyle w:val="ListParagraph"/>
              <w:numPr>
                <w:ilvl w:val="0"/>
                <w:numId w:val="3"/>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Arial"/>
                <w:sz w:val="20"/>
                <w:szCs w:val="20"/>
              </w:rPr>
              <w:t>target rasio keuangan pokok; dan</w:t>
            </w:r>
          </w:p>
        </w:tc>
        <w:tc>
          <w:tcPr>
            <w:tcW w:w="1568" w:type="pct"/>
          </w:tcPr>
          <w:p w:rsidR="00E570BD" w:rsidRPr="00607524" w:rsidRDefault="00E570BD" w:rsidP="00654121">
            <w:pPr>
              <w:spacing w:before="60" w:after="60" w:line="276" w:lineRule="auto"/>
              <w:jc w:val="both"/>
              <w:rPr>
                <w:sz w:val="20"/>
                <w:szCs w:val="20"/>
              </w:rPr>
            </w:pPr>
            <w:r w:rsidRPr="00607524">
              <w:rPr>
                <w:rFonts w:ascii="Bookman Old Style" w:hAnsi="Bookman Old Style" w:cstheme="minorHAnsi"/>
                <w:sz w:val="20"/>
                <w:szCs w:val="20"/>
              </w:rPr>
              <w:t xml:space="preserve">Target rasio keuangan pokok meliputi rasio yang paling sedikit dapat memberikan informasi untuk penilaian </w:t>
            </w:r>
            <w:r w:rsidR="0000227A" w:rsidRPr="00607524">
              <w:rPr>
                <w:rFonts w:ascii="Bookman Old Style" w:hAnsi="Bookman Old Style" w:cstheme="minorHAnsi"/>
                <w:sz w:val="20"/>
                <w:szCs w:val="20"/>
              </w:rPr>
              <w:t xml:space="preserve">tingkat kesehatan BPR dan BPRS </w:t>
            </w:r>
            <w:r w:rsidRPr="00607524">
              <w:rPr>
                <w:rFonts w:ascii="Bookman Old Style" w:hAnsi="Bookman Old Style" w:cstheme="minorHAnsi"/>
                <w:sz w:val="20"/>
                <w:szCs w:val="20"/>
              </w:rPr>
              <w:t>sesuai dengan ketentuan mengenai penilaian tingkat kesehatan BPR atau BPRS.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2509" w:type="pct"/>
          </w:tcPr>
          <w:p w:rsidR="00E570BD" w:rsidRPr="00607524" w:rsidRDefault="00E570BD" w:rsidP="00AC3106">
            <w:pPr>
              <w:pStyle w:val="ListParagraph"/>
              <w:numPr>
                <w:ilvl w:val="0"/>
                <w:numId w:val="3"/>
              </w:numPr>
              <w:tabs>
                <w:tab w:val="left" w:pos="6447"/>
              </w:tabs>
              <w:spacing w:before="60" w:after="60"/>
              <w:contextualSpacing w:val="0"/>
              <w:jc w:val="both"/>
              <w:rPr>
                <w:rFonts w:ascii="Bookman Old Style" w:hAnsi="Bookman Old Style" w:cs="Arial"/>
                <w:sz w:val="20"/>
                <w:szCs w:val="20"/>
              </w:rPr>
            </w:pPr>
            <w:r w:rsidRPr="00607524">
              <w:rPr>
                <w:rFonts w:ascii="Bookman Old Style" w:hAnsi="Bookman Old Style" w:cs="Arial"/>
                <w:sz w:val="20"/>
                <w:szCs w:val="20"/>
              </w:rPr>
              <w:t>target rasio pos tertentu lainnya.</w:t>
            </w:r>
          </w:p>
        </w:tc>
        <w:tc>
          <w:tcPr>
            <w:tcW w:w="1568" w:type="pct"/>
          </w:tcPr>
          <w:p w:rsidR="00E570BD" w:rsidRPr="00607524" w:rsidRDefault="00AC3106" w:rsidP="00AC3106">
            <w:pPr>
              <w:spacing w:before="60" w:after="60" w:line="276" w:lineRule="auto"/>
              <w:jc w:val="both"/>
              <w:rPr>
                <w:sz w:val="20"/>
                <w:szCs w:val="20"/>
              </w:rPr>
            </w:pPr>
            <w:r w:rsidRPr="00607524">
              <w:rPr>
                <w:rFonts w:ascii="Bookman Old Style" w:hAnsi="Bookman Old Style" w:cstheme="minorHAnsi"/>
                <w:sz w:val="20"/>
                <w:szCs w:val="20"/>
              </w:rPr>
              <w:t xml:space="preserve">Target rasio </w:t>
            </w:r>
            <w:r w:rsidR="00E570BD" w:rsidRPr="00607524">
              <w:rPr>
                <w:rFonts w:ascii="Bookman Old Style" w:hAnsi="Bookman Old Style" w:cstheme="minorHAnsi"/>
                <w:sz w:val="20"/>
                <w:szCs w:val="20"/>
              </w:rPr>
              <w:t>pos tertentu lainnya paling sedikit meliputi target beberapa rasio terkait kredit atau pembiayaan usaha mikro, usaha kecil dan usaha menengah terhadap total kredit atau pembiayaan, rasio dana pendidikan dan pelatihan terhadap total beban tenaga kerja tahun sebelumnya, rasio realisasi dana pendidikan dan pelatihan terhadap total dana pendidikan dan pelatihan yang dianggarkan, dan rasio agunan yang diambil alih terhadap total kredit atau pembiayaan.</w:t>
            </w:r>
          </w:p>
        </w:tc>
      </w:tr>
      <w:tr w:rsidR="00E570BD" w:rsidRPr="00607524" w:rsidTr="00EF1AC7">
        <w:tc>
          <w:tcPr>
            <w:tcW w:w="571" w:type="pct"/>
          </w:tcPr>
          <w:p w:rsidR="00E570BD" w:rsidRPr="00607524" w:rsidRDefault="00E570BD" w:rsidP="00EF1AC7">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21"/>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654121">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BPR atau BPRS yang memiliki modal inti kurang dari Rp50.000.000.000,00 (lima puluh miliar rupiah) wajib menyampaikan target rasio keuangan pokok dan target pos tertentu lainnya sebagaimana dimaksud pada ayat (1)</w:t>
            </w:r>
            <w:r w:rsidR="0000227A" w:rsidRPr="00607524">
              <w:rPr>
                <w:rFonts w:ascii="Bookman Old Style" w:hAnsi="Bookman Old Style" w:cstheme="minorHAnsi"/>
                <w:sz w:val="20"/>
                <w:szCs w:val="20"/>
              </w:rPr>
              <w:t xml:space="preserve"> sampai dengan 1 (satu) tahun ke depan.</w:t>
            </w:r>
          </w:p>
        </w:tc>
        <w:tc>
          <w:tcPr>
            <w:tcW w:w="1568" w:type="pct"/>
          </w:tcPr>
          <w:p w:rsidR="00E570BD" w:rsidRPr="00607524" w:rsidRDefault="00E570BD" w:rsidP="00EF1AC7">
            <w:pPr>
              <w:spacing w:before="60" w:after="60" w:line="276" w:lineRule="auto"/>
              <w:jc w:val="both"/>
              <w:rPr>
                <w:sz w:val="20"/>
                <w:szCs w:val="20"/>
              </w:rPr>
            </w:pPr>
            <w:r w:rsidRPr="00607524">
              <w:rPr>
                <w:rFonts w:ascii="Bookman Old Style" w:hAnsi="Bookman Old Style" w:cstheme="minorHAnsi"/>
                <w:sz w:val="20"/>
                <w:szCs w:val="20"/>
              </w:rPr>
              <w:t>Cukup jelas.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21"/>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654121">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BPR atau BPRS yang memiliki modal inti paling sedikit Rp50.000.000.000,00 (lima puluh miliar rupiah) wajib menyampaikan target rasio keuangan pokok dan target pos tertentu lainnya sebagaimana </w:t>
            </w:r>
            <w:r w:rsidRPr="00607524">
              <w:rPr>
                <w:rFonts w:ascii="Bookman Old Style" w:hAnsi="Bookman Old Style" w:cstheme="minorHAnsi"/>
                <w:sz w:val="20"/>
                <w:szCs w:val="20"/>
              </w:rPr>
              <w:lastRenderedPageBreak/>
              <w:t xml:space="preserve">dimaksud pada ayat (1) </w:t>
            </w:r>
            <w:r w:rsidR="0000227A" w:rsidRPr="00607524">
              <w:rPr>
                <w:rFonts w:ascii="Bookman Old Style" w:hAnsi="Bookman Old Style" w:cstheme="minorHAnsi"/>
                <w:sz w:val="20"/>
                <w:szCs w:val="20"/>
              </w:rPr>
              <w:t>sampai dengan 3 (tiga) tahun ke depan.</w:t>
            </w:r>
          </w:p>
        </w:tc>
        <w:tc>
          <w:tcPr>
            <w:tcW w:w="1568" w:type="pct"/>
          </w:tcPr>
          <w:p w:rsidR="00E570BD" w:rsidRPr="00607524" w:rsidRDefault="00E570BD" w:rsidP="00E570BD">
            <w:pPr>
              <w:spacing w:before="60" w:after="60" w:line="276" w:lineRule="auto"/>
              <w:jc w:val="both"/>
              <w:rPr>
                <w:sz w:val="20"/>
                <w:szCs w:val="20"/>
              </w:rPr>
            </w:pPr>
            <w:r w:rsidRPr="00607524">
              <w:rPr>
                <w:rFonts w:ascii="Bookman Old Style" w:hAnsi="Bookman Old Style" w:cstheme="minorHAnsi"/>
                <w:sz w:val="20"/>
                <w:szCs w:val="20"/>
              </w:rPr>
              <w:lastRenderedPageBreak/>
              <w:t>Cukup jelas.</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E570BD">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Rencana penyaluran dana sebagaiman</w:t>
            </w:r>
            <w:r w:rsidR="0000227A" w:rsidRPr="00607524">
              <w:rPr>
                <w:rFonts w:ascii="Bookman Old Style" w:hAnsi="Bookman Old Style" w:cstheme="minorHAnsi"/>
                <w:sz w:val="20"/>
                <w:szCs w:val="20"/>
                <w:lang w:val="id-ID"/>
              </w:rPr>
              <w:t>a dimaksud dalam Pasal 6 huruf e</w:t>
            </w:r>
            <w:r w:rsidRPr="00607524">
              <w:rPr>
                <w:rFonts w:ascii="Bookman Old Style" w:hAnsi="Bookman Old Style" w:cstheme="minorHAnsi"/>
                <w:sz w:val="20"/>
                <w:szCs w:val="20"/>
                <w:lang w:val="id-ID"/>
              </w:rPr>
              <w:t xml:space="preserve"> paling sedikit meliputi:</w:t>
            </w:r>
          </w:p>
        </w:tc>
        <w:tc>
          <w:tcPr>
            <w:tcW w:w="1568" w:type="pct"/>
          </w:tcPr>
          <w:p w:rsidR="00E570BD" w:rsidRPr="00607524" w:rsidRDefault="00E570BD" w:rsidP="00E570BD">
            <w:pPr>
              <w:spacing w:before="60" w:after="60" w:line="276" w:lineRule="auto"/>
              <w:ind w:right="34"/>
              <w:jc w:val="both"/>
              <w:rPr>
                <w:rFonts w:ascii="Bookman Old Style" w:hAnsi="Bookman Old Style" w:cstheme="minorHAnsi"/>
                <w:sz w:val="20"/>
                <w:szCs w:val="20"/>
              </w:rPr>
            </w:pP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24"/>
              </w:numPr>
              <w:tabs>
                <w:tab w:val="left" w:pos="6447"/>
              </w:tabs>
              <w:spacing w:before="60" w:after="60"/>
              <w:jc w:val="both"/>
              <w:rPr>
                <w:rFonts w:ascii="Bookman Old Style" w:hAnsi="Bookman Old Style" w:cs="Arial"/>
                <w:sz w:val="20"/>
                <w:szCs w:val="20"/>
              </w:rPr>
            </w:pPr>
            <w:r w:rsidRPr="00607524">
              <w:rPr>
                <w:rFonts w:ascii="Bookman Old Style" w:hAnsi="Bookman Old Style" w:cs="Arial"/>
                <w:sz w:val="20"/>
                <w:szCs w:val="20"/>
              </w:rPr>
              <w:t xml:space="preserve">rencana penyaluran kredit atau pembiayaan berdasarkan sektor ekonomi </w:t>
            </w:r>
            <w:r w:rsidR="00AC3106" w:rsidRPr="00607524">
              <w:rPr>
                <w:rFonts w:ascii="Bookman Old Style" w:hAnsi="Bookman Old Style" w:cs="Arial"/>
                <w:sz w:val="20"/>
                <w:szCs w:val="20"/>
              </w:rPr>
              <w:t>terbesar</w:t>
            </w:r>
            <w:r w:rsidRPr="00607524">
              <w:rPr>
                <w:rFonts w:ascii="Bookman Old Style" w:hAnsi="Bookman Old Style" w:cs="Arial"/>
                <w:sz w:val="20"/>
                <w:szCs w:val="20"/>
              </w:rPr>
              <w:t xml:space="preserve"> dalam penyaluran kredit atau pembiayaan;</w:t>
            </w:r>
          </w:p>
        </w:tc>
        <w:tc>
          <w:tcPr>
            <w:tcW w:w="1568" w:type="pct"/>
          </w:tcPr>
          <w:p w:rsidR="00E570BD" w:rsidRPr="00607524" w:rsidRDefault="00E570BD" w:rsidP="00AC3106">
            <w:pPr>
              <w:spacing w:before="60" w:after="60" w:line="276" w:lineRule="auto"/>
              <w:ind w:right="34"/>
              <w:jc w:val="both"/>
              <w:rPr>
                <w:rFonts w:ascii="Bookman Old Style" w:hAnsi="Bookman Old Style" w:cstheme="minorHAnsi"/>
                <w:sz w:val="20"/>
                <w:szCs w:val="20"/>
              </w:rPr>
            </w:pPr>
            <w:r w:rsidRPr="00607524">
              <w:rPr>
                <w:rFonts w:ascii="Bookman Old Style" w:hAnsi="Bookman Old Style" w:cstheme="minorHAnsi"/>
                <w:sz w:val="20"/>
                <w:szCs w:val="20"/>
              </w:rPr>
              <w:t xml:space="preserve">Yang dimaksud dengan “sektor ekonomi </w:t>
            </w:r>
            <w:r w:rsidR="00AC3106" w:rsidRPr="00607524">
              <w:rPr>
                <w:rFonts w:ascii="Bookman Old Style" w:hAnsi="Bookman Old Style" w:cstheme="minorHAnsi"/>
                <w:sz w:val="20"/>
                <w:szCs w:val="20"/>
              </w:rPr>
              <w:t>terbesar</w:t>
            </w:r>
            <w:r w:rsidRPr="00607524">
              <w:rPr>
                <w:rFonts w:ascii="Bookman Old Style" w:hAnsi="Bookman Old Style" w:cstheme="minorHAnsi"/>
                <w:sz w:val="20"/>
                <w:szCs w:val="20"/>
              </w:rPr>
              <w:t xml:space="preserve"> dalam penyaluran kredit atau pembiayaan” BPR atau BPRS </w:t>
            </w:r>
            <w:r w:rsidR="00AC3106" w:rsidRPr="00607524">
              <w:rPr>
                <w:rFonts w:ascii="Bookman Old Style" w:hAnsi="Bookman Old Style" w:cstheme="minorHAnsi"/>
                <w:sz w:val="20"/>
                <w:szCs w:val="20"/>
              </w:rPr>
              <w:t xml:space="preserve">adalah </w:t>
            </w:r>
            <w:r w:rsidRPr="00607524">
              <w:rPr>
                <w:rFonts w:ascii="Bookman Old Style" w:hAnsi="Bookman Old Style" w:cstheme="minorHAnsi"/>
                <w:sz w:val="20"/>
                <w:szCs w:val="20"/>
              </w:rPr>
              <w:t>paling banyak pada 5 (lima) sektor ekonomi dengan persentase penyaluran kredit atau pembiayaan terbesar dari total portofolio penyaluran kredit atau pembiayaan BPR atau BPRS.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24"/>
              </w:numPr>
              <w:tabs>
                <w:tab w:val="left" w:pos="6447"/>
              </w:tabs>
              <w:spacing w:before="60" w:after="60"/>
              <w:jc w:val="both"/>
              <w:rPr>
                <w:rFonts w:ascii="Bookman Old Style" w:hAnsi="Bookman Old Style" w:cs="Arial"/>
                <w:sz w:val="20"/>
                <w:szCs w:val="20"/>
              </w:rPr>
            </w:pPr>
            <w:r w:rsidRPr="00607524">
              <w:rPr>
                <w:rFonts w:ascii="Bookman Old Style" w:hAnsi="Bookman Old Style" w:cs="Arial"/>
                <w:sz w:val="20"/>
                <w:szCs w:val="20"/>
              </w:rPr>
              <w:t>rencana penyaluran kredit atau pembiayaan berdasarkan jenis penggunaan;</w:t>
            </w:r>
          </w:p>
        </w:tc>
        <w:tc>
          <w:tcPr>
            <w:tcW w:w="1568" w:type="pct"/>
          </w:tcPr>
          <w:p w:rsidR="00E570BD" w:rsidRPr="00607524" w:rsidRDefault="00E570BD" w:rsidP="00E570BD">
            <w:pPr>
              <w:spacing w:before="60" w:after="60" w:line="276" w:lineRule="auto"/>
              <w:ind w:right="34"/>
              <w:jc w:val="both"/>
              <w:rPr>
                <w:rFonts w:ascii="Bookman Old Style" w:hAnsi="Bookman Old Style" w:cstheme="minorHAnsi"/>
                <w:sz w:val="20"/>
                <w:szCs w:val="20"/>
              </w:rPr>
            </w:pPr>
            <w:r w:rsidRPr="00607524">
              <w:rPr>
                <w:rFonts w:ascii="Bookman Old Style" w:hAnsi="Bookman Old Style" w:cstheme="minorHAnsi"/>
                <w:sz w:val="20"/>
                <w:szCs w:val="20"/>
              </w:rPr>
              <w:t>Cukup jelas.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24"/>
              </w:numPr>
              <w:tabs>
                <w:tab w:val="left" w:pos="6447"/>
              </w:tabs>
              <w:spacing w:before="60" w:after="60"/>
              <w:jc w:val="both"/>
              <w:rPr>
                <w:rFonts w:ascii="Bookman Old Style" w:hAnsi="Bookman Old Style" w:cs="Arial"/>
                <w:sz w:val="20"/>
                <w:szCs w:val="20"/>
              </w:rPr>
            </w:pPr>
            <w:r w:rsidRPr="00607524">
              <w:rPr>
                <w:rFonts w:ascii="Bookman Old Style" w:hAnsi="Bookman Old Style" w:cs="Arial"/>
                <w:sz w:val="20"/>
                <w:szCs w:val="20"/>
              </w:rPr>
              <w:t>rencana penyaluran kredit atau pembiayaan berdasarkan jenis usaha; dan</w:t>
            </w:r>
          </w:p>
        </w:tc>
        <w:tc>
          <w:tcPr>
            <w:tcW w:w="1568" w:type="pct"/>
          </w:tcPr>
          <w:p w:rsidR="00E570BD" w:rsidRPr="00607524" w:rsidRDefault="00E570BD" w:rsidP="00E570BD">
            <w:pPr>
              <w:spacing w:before="60" w:after="60" w:line="276" w:lineRule="auto"/>
              <w:ind w:right="34"/>
              <w:jc w:val="both"/>
              <w:rPr>
                <w:rFonts w:ascii="Bookman Old Style" w:hAnsi="Bookman Old Style" w:cstheme="minorHAnsi"/>
                <w:sz w:val="20"/>
                <w:szCs w:val="20"/>
              </w:rPr>
            </w:pPr>
            <w:r w:rsidRPr="00607524">
              <w:rPr>
                <w:rFonts w:ascii="Bookman Old Style" w:hAnsi="Bookman Old Style" w:cstheme="minorHAnsi"/>
                <w:sz w:val="20"/>
                <w:szCs w:val="20"/>
              </w:rPr>
              <w:t>Yang dimaksud dengan “jenis usaha” meliputi usaha mikro, usaha kecil dan usaha menengah yang mengacu pada kriteria usaha berdasarkan undang-undang mengenai usaha mikro, kecil, dan menengah.</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24"/>
              </w:numPr>
              <w:tabs>
                <w:tab w:val="left" w:pos="6447"/>
              </w:tabs>
              <w:spacing w:before="60" w:after="60"/>
              <w:jc w:val="both"/>
              <w:rPr>
                <w:rFonts w:ascii="Bookman Old Style" w:hAnsi="Bookman Old Style" w:cs="Arial"/>
                <w:sz w:val="20"/>
                <w:szCs w:val="20"/>
              </w:rPr>
            </w:pPr>
            <w:r w:rsidRPr="00607524">
              <w:rPr>
                <w:rFonts w:ascii="Bookman Old Style" w:hAnsi="Bookman Old Style" w:cs="Arial"/>
                <w:sz w:val="20"/>
                <w:szCs w:val="20"/>
              </w:rPr>
              <w:t>rencana penyaluran pembiayaan berdasarkan akad bagi BPRS.</w:t>
            </w:r>
          </w:p>
        </w:tc>
        <w:tc>
          <w:tcPr>
            <w:tcW w:w="1568" w:type="pct"/>
          </w:tcPr>
          <w:p w:rsidR="00E570BD" w:rsidRPr="00607524" w:rsidRDefault="00E570BD" w:rsidP="00E570BD">
            <w:pPr>
              <w:spacing w:before="60" w:after="60" w:line="276" w:lineRule="auto"/>
              <w:ind w:right="34"/>
              <w:jc w:val="both"/>
              <w:rPr>
                <w:rFonts w:ascii="Bookman Old Style" w:hAnsi="Bookman Old Style" w:cstheme="minorHAnsi"/>
                <w:sz w:val="20"/>
                <w:szCs w:val="20"/>
              </w:rPr>
            </w:pPr>
            <w:r w:rsidRPr="00607524">
              <w:rPr>
                <w:rFonts w:ascii="Bookman Old Style" w:hAnsi="Bookman Old Style" w:cstheme="minorHAnsi"/>
                <w:sz w:val="20"/>
                <w:szCs w:val="20"/>
              </w:rPr>
              <w:t>Cukup jelas.</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13"/>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654121">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id-ID"/>
              </w:rPr>
              <w:t xml:space="preserve">Rencana permodalan sebagaimana dimaksud dalam Pasal 6 huruf </w:t>
            </w:r>
            <w:r w:rsidR="00314960" w:rsidRPr="00607524">
              <w:rPr>
                <w:rFonts w:ascii="Bookman Old Style" w:hAnsi="Bookman Old Style" w:cstheme="minorHAnsi"/>
                <w:sz w:val="20"/>
                <w:szCs w:val="20"/>
                <w:lang w:val="en-US"/>
              </w:rPr>
              <w:t>f</w:t>
            </w:r>
            <w:r w:rsidRPr="00607524">
              <w:rPr>
                <w:rFonts w:ascii="Bookman Old Style" w:hAnsi="Bookman Old Style" w:cstheme="minorHAnsi"/>
                <w:sz w:val="20"/>
                <w:szCs w:val="20"/>
                <w:lang w:val="id-ID"/>
              </w:rPr>
              <w:t xml:space="preserve"> </w:t>
            </w:r>
            <w:r w:rsidR="00AC3106" w:rsidRPr="00607524">
              <w:rPr>
                <w:rFonts w:ascii="Bookman Old Style" w:hAnsi="Bookman Old Style" w:cstheme="minorHAnsi"/>
                <w:sz w:val="20"/>
                <w:szCs w:val="20"/>
                <w:lang w:val="en-US"/>
              </w:rPr>
              <w:t>adalah rencana perubahan atau penambahan modal disetor, modal pinjaman dan</w:t>
            </w:r>
            <w:r w:rsidR="000E4FF0" w:rsidRPr="00607524">
              <w:rPr>
                <w:rFonts w:ascii="Bookman Old Style" w:hAnsi="Bookman Old Style" w:cstheme="minorHAnsi"/>
                <w:sz w:val="20"/>
                <w:szCs w:val="20"/>
                <w:lang w:val="en-US"/>
              </w:rPr>
              <w:t>/atau</w:t>
            </w:r>
            <w:r w:rsidR="00AC3106" w:rsidRPr="00607524">
              <w:rPr>
                <w:rFonts w:ascii="Bookman Old Style" w:hAnsi="Bookman Old Style" w:cstheme="minorHAnsi"/>
                <w:sz w:val="20"/>
                <w:szCs w:val="20"/>
                <w:lang w:val="en-US"/>
              </w:rPr>
              <w:t xml:space="preserve"> revaluasi aset tetap</w:t>
            </w:r>
            <w:r w:rsidR="00314960" w:rsidRPr="00607524">
              <w:rPr>
                <w:rFonts w:ascii="Bookman Old Style" w:hAnsi="Bookman Old Style" w:cstheme="minorHAnsi"/>
                <w:sz w:val="20"/>
                <w:szCs w:val="20"/>
                <w:lang w:val="en-US"/>
              </w:rPr>
              <w:t>.</w:t>
            </w:r>
          </w:p>
        </w:tc>
        <w:tc>
          <w:tcPr>
            <w:tcW w:w="1568" w:type="pct"/>
          </w:tcPr>
          <w:p w:rsidR="00E570BD" w:rsidRPr="00607524" w:rsidRDefault="00AC3106" w:rsidP="00E570BD">
            <w:pPr>
              <w:spacing w:before="60" w:after="60" w:line="276" w:lineRule="auto"/>
              <w:ind w:right="34"/>
              <w:jc w:val="both"/>
              <w:rPr>
                <w:rFonts w:ascii="Bookman Old Style" w:hAnsi="Bookman Old Style" w:cstheme="minorHAnsi"/>
                <w:sz w:val="20"/>
                <w:szCs w:val="20"/>
              </w:rPr>
            </w:pPr>
            <w:r w:rsidRPr="00607524">
              <w:rPr>
                <w:rFonts w:ascii="Bookman Old Style" w:hAnsi="Bookman Old Style" w:cstheme="minorHAnsi"/>
                <w:sz w:val="20"/>
                <w:szCs w:val="20"/>
              </w:rPr>
              <w:t>Cukup jelas.</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314960">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Rencana pengembangan </w:t>
            </w:r>
            <w:r w:rsidR="00AC3106" w:rsidRPr="00607524">
              <w:rPr>
                <w:rFonts w:ascii="Bookman Old Style" w:hAnsi="Bookman Old Style" w:cstheme="minorHAnsi"/>
                <w:sz w:val="20"/>
                <w:szCs w:val="20"/>
              </w:rPr>
              <w:t>teknologi informasi</w:t>
            </w:r>
            <w:r w:rsidRPr="00607524">
              <w:rPr>
                <w:rFonts w:ascii="Bookman Old Style" w:hAnsi="Bookman Old Style" w:cstheme="minorHAnsi"/>
                <w:sz w:val="20"/>
                <w:szCs w:val="20"/>
              </w:rPr>
              <w:t xml:space="preserve"> dan SDM sebagaimana dimaksud dalam Pasal 6 huruf </w:t>
            </w:r>
            <w:r w:rsidR="00314960" w:rsidRPr="00607524">
              <w:rPr>
                <w:rFonts w:ascii="Bookman Old Style" w:hAnsi="Bookman Old Style" w:cstheme="minorHAnsi"/>
                <w:sz w:val="20"/>
                <w:szCs w:val="20"/>
              </w:rPr>
              <w:t>g</w:t>
            </w:r>
            <w:r w:rsidRPr="00607524">
              <w:rPr>
                <w:rFonts w:ascii="Bookman Old Style" w:hAnsi="Bookman Old Style" w:cstheme="minorHAnsi"/>
                <w:sz w:val="20"/>
                <w:szCs w:val="20"/>
              </w:rPr>
              <w:t xml:space="preserve"> paling sedikit meliputi:</w:t>
            </w:r>
          </w:p>
        </w:tc>
        <w:tc>
          <w:tcPr>
            <w:tcW w:w="1568" w:type="pct"/>
          </w:tcPr>
          <w:p w:rsidR="00E570BD" w:rsidRPr="00607524" w:rsidRDefault="00E570BD" w:rsidP="00E570BD">
            <w:pPr>
              <w:spacing w:before="60" w:after="60" w:line="276" w:lineRule="auto"/>
              <w:ind w:right="34"/>
              <w:jc w:val="both"/>
              <w:rPr>
                <w:rFonts w:ascii="Bookman Old Style" w:hAnsi="Bookman Old Style" w:cs="Arial"/>
                <w:sz w:val="20"/>
                <w:szCs w:val="20"/>
              </w:rPr>
            </w:pPr>
          </w:p>
        </w:tc>
      </w:tr>
      <w:tr w:rsidR="00607524"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654121">
            <w:pPr>
              <w:pStyle w:val="ListParagraph"/>
              <w:numPr>
                <w:ilvl w:val="0"/>
                <w:numId w:val="25"/>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rencana pengembangan teknologi informasi yang bersifat mendasar;</w:t>
            </w:r>
            <w:r w:rsidR="00314960" w:rsidRPr="00607524">
              <w:rPr>
                <w:rFonts w:ascii="Bookman Old Style" w:hAnsi="Bookman Old Style" w:cstheme="minorHAnsi"/>
                <w:sz w:val="20"/>
                <w:szCs w:val="20"/>
              </w:rPr>
              <w:t xml:space="preserve"> dan</w:t>
            </w:r>
          </w:p>
        </w:tc>
        <w:tc>
          <w:tcPr>
            <w:tcW w:w="1568" w:type="pct"/>
          </w:tcPr>
          <w:p w:rsidR="00E570BD" w:rsidRPr="00607524" w:rsidRDefault="00E570BD" w:rsidP="00E570BD">
            <w:pPr>
              <w:spacing w:before="60" w:after="60" w:line="276" w:lineRule="auto"/>
              <w:jc w:val="both"/>
              <w:rPr>
                <w:rFonts w:ascii="Bookman Old Style" w:eastAsiaTheme="minorEastAsia" w:hAnsi="Bookman Old Style" w:cstheme="minorHAnsi"/>
                <w:sz w:val="20"/>
                <w:szCs w:val="20"/>
              </w:rPr>
            </w:pPr>
            <w:r w:rsidRPr="00607524">
              <w:rPr>
                <w:rFonts w:ascii="Bookman Old Style" w:eastAsiaTheme="minorEastAsia" w:hAnsi="Bookman Old Style" w:cstheme="minorHAnsi"/>
                <w:sz w:val="20"/>
                <w:szCs w:val="20"/>
              </w:rPr>
              <w:t xml:space="preserve">Yang dimaksud dengan "pengembangan teknologi informasi" adalah proses pengembangan sistem teknologi informasi baru termasuk penggantian atau perbaikan sistem teknologi informasi yang telah ada baik </w:t>
            </w:r>
            <w:r w:rsidRPr="00607524">
              <w:rPr>
                <w:rFonts w:ascii="Bookman Old Style" w:eastAsiaTheme="minorEastAsia" w:hAnsi="Bookman Old Style" w:cstheme="minorHAnsi"/>
                <w:sz w:val="20"/>
                <w:szCs w:val="20"/>
              </w:rPr>
              <w:lastRenderedPageBreak/>
              <w:t>dilakukan secara mandiri oleh BPR atau BPRS maupun bekerjasama dengan penyedia jasa teknologi informasi</w:t>
            </w:r>
            <w:r w:rsidR="000E4FF0" w:rsidRPr="00607524">
              <w:rPr>
                <w:rFonts w:ascii="Bookman Old Style" w:eastAsiaTheme="minorEastAsia" w:hAnsi="Bookman Old Style" w:cstheme="minorHAnsi"/>
                <w:sz w:val="20"/>
                <w:szCs w:val="20"/>
              </w:rPr>
              <w:t xml:space="preserve"> sesuai dengan Peraturan Otoritas Jasa Keuangan mengenai standar penyelenggaraan teknologi informasi BPR dan BPRS</w:t>
            </w:r>
            <w:r w:rsidRPr="00607524">
              <w:rPr>
                <w:rFonts w:ascii="Bookman Old Style" w:eastAsiaTheme="minorEastAsia" w:hAnsi="Bookman Old Style" w:cstheme="minorHAnsi"/>
                <w:sz w:val="20"/>
                <w:szCs w:val="20"/>
              </w:rPr>
              <w:t>.</w:t>
            </w:r>
          </w:p>
          <w:p w:rsidR="00E570BD" w:rsidRPr="00607524" w:rsidRDefault="00E570BD" w:rsidP="00654121">
            <w:pPr>
              <w:spacing w:before="60" w:after="60" w:line="276" w:lineRule="auto"/>
              <w:jc w:val="both"/>
              <w:rPr>
                <w:sz w:val="20"/>
                <w:szCs w:val="20"/>
              </w:rPr>
            </w:pPr>
            <w:r w:rsidRPr="00607524">
              <w:rPr>
                <w:rFonts w:ascii="Bookman Old Style" w:eastAsiaTheme="minorEastAsia" w:hAnsi="Bookman Old Style" w:cstheme="minorHAnsi"/>
                <w:sz w:val="20"/>
                <w:szCs w:val="20"/>
              </w:rPr>
              <w:t>Termasuk dalam pengembangan teknologi informasi yang bersifat mendasar antara lain perubahan secara signifikan terhadap konfigurasi teknologi informasi atau aplikasi inti perbankan, pengadaan aplikasi inti perbankan baru, kerja sama dengan penyedia jasa teknologi informasi, serta pengembangan dan pengadaan teknologi informasi mendasar lainnya yang dapat menambah dan/atau meningkatkan risiko BPR atau BPRS.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AC3106" w:rsidRPr="00607524" w:rsidRDefault="00E570BD" w:rsidP="00A12E69">
            <w:pPr>
              <w:pStyle w:val="ListParagraph"/>
              <w:numPr>
                <w:ilvl w:val="0"/>
                <w:numId w:val="25"/>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rencana pengembangan SDM</w:t>
            </w:r>
            <w:r w:rsidR="00AC3106" w:rsidRPr="00607524">
              <w:rPr>
                <w:rFonts w:ascii="Bookman Old Style" w:hAnsi="Bookman Old Style" w:cstheme="minorHAnsi"/>
                <w:sz w:val="20"/>
                <w:szCs w:val="20"/>
              </w:rPr>
              <w:t>, paling sedikit meliputi:</w:t>
            </w:r>
          </w:p>
          <w:p w:rsidR="00E570BD" w:rsidRPr="00607524" w:rsidRDefault="00E570BD" w:rsidP="00AC3106">
            <w:pPr>
              <w:tabs>
                <w:tab w:val="left" w:pos="6447"/>
              </w:tabs>
              <w:spacing w:before="60" w:after="60"/>
              <w:jc w:val="both"/>
              <w:rPr>
                <w:rFonts w:ascii="Bookman Old Style" w:hAnsi="Bookman Old Style" w:cstheme="minorHAnsi"/>
                <w:sz w:val="20"/>
                <w:szCs w:val="20"/>
              </w:rPr>
            </w:pPr>
          </w:p>
        </w:tc>
        <w:tc>
          <w:tcPr>
            <w:tcW w:w="1568" w:type="pct"/>
          </w:tcPr>
          <w:p w:rsidR="00E570BD" w:rsidRPr="00607524" w:rsidRDefault="00E570BD" w:rsidP="00E570BD">
            <w:pPr>
              <w:spacing w:before="60" w:after="60" w:line="276" w:lineRule="auto"/>
              <w:jc w:val="both"/>
              <w:rPr>
                <w:rFonts w:ascii="Bookman Old Style" w:eastAsiaTheme="minorEastAsia" w:hAnsi="Bookman Old Style" w:cstheme="minorHAnsi"/>
                <w:sz w:val="20"/>
                <w:szCs w:val="20"/>
              </w:rPr>
            </w:pPr>
          </w:p>
        </w:tc>
      </w:tr>
      <w:tr w:rsidR="00AC3106" w:rsidRPr="00607524" w:rsidTr="00C8049C">
        <w:tc>
          <w:tcPr>
            <w:tcW w:w="571" w:type="pct"/>
          </w:tcPr>
          <w:p w:rsidR="00AC3106" w:rsidRPr="00607524" w:rsidRDefault="00AC3106"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AC3106" w:rsidRPr="00607524" w:rsidRDefault="00AC3106" w:rsidP="00E570BD">
            <w:pPr>
              <w:tabs>
                <w:tab w:val="left" w:pos="6447"/>
              </w:tabs>
              <w:spacing w:before="60" w:after="60"/>
              <w:jc w:val="center"/>
              <w:rPr>
                <w:rFonts w:ascii="Bookman Old Style" w:hAnsi="Bookman Old Style" w:cs="Arial"/>
                <w:sz w:val="20"/>
                <w:szCs w:val="20"/>
              </w:rPr>
            </w:pPr>
          </w:p>
        </w:tc>
        <w:tc>
          <w:tcPr>
            <w:tcW w:w="2509" w:type="pct"/>
          </w:tcPr>
          <w:p w:rsidR="00AC3106" w:rsidRPr="00607524" w:rsidRDefault="00AC3106" w:rsidP="00A12E69">
            <w:pPr>
              <w:pStyle w:val="ListParagraph"/>
              <w:numPr>
                <w:ilvl w:val="0"/>
                <w:numId w:val="40"/>
              </w:numPr>
              <w:tabs>
                <w:tab w:val="left" w:pos="6447"/>
              </w:tabs>
              <w:spacing w:before="60" w:after="60"/>
              <w:ind w:left="843" w:hanging="450"/>
              <w:jc w:val="both"/>
              <w:rPr>
                <w:rFonts w:ascii="Bookman Old Style" w:hAnsi="Bookman Old Style" w:cstheme="minorHAnsi"/>
                <w:sz w:val="20"/>
                <w:szCs w:val="20"/>
              </w:rPr>
            </w:pPr>
            <w:r w:rsidRPr="00607524">
              <w:rPr>
                <w:rFonts w:ascii="Bookman Old Style" w:hAnsi="Bookman Old Style" w:cstheme="minorHAnsi"/>
                <w:sz w:val="20"/>
                <w:szCs w:val="20"/>
              </w:rPr>
              <w:t>rencana rekrutmen SDM;</w:t>
            </w:r>
          </w:p>
        </w:tc>
        <w:tc>
          <w:tcPr>
            <w:tcW w:w="1568" w:type="pct"/>
          </w:tcPr>
          <w:p w:rsidR="000E4FF0" w:rsidRPr="00607524" w:rsidRDefault="00620C30" w:rsidP="00620C30">
            <w:pPr>
              <w:spacing w:before="60" w:after="60" w:line="276" w:lineRule="auto"/>
              <w:jc w:val="both"/>
              <w:rPr>
                <w:rFonts w:ascii="Bookman Old Style" w:eastAsiaTheme="minorEastAsia" w:hAnsi="Bookman Old Style" w:cstheme="minorHAnsi"/>
                <w:sz w:val="20"/>
                <w:szCs w:val="20"/>
              </w:rPr>
            </w:pPr>
            <w:r w:rsidRPr="00607524">
              <w:rPr>
                <w:rFonts w:ascii="Bookman Old Style" w:eastAsiaTheme="minorEastAsia" w:hAnsi="Bookman Old Style" w:cstheme="minorHAnsi"/>
                <w:sz w:val="20"/>
                <w:szCs w:val="20"/>
              </w:rPr>
              <w:t>Cukup jelas.</w:t>
            </w:r>
            <w:r w:rsidR="000E4FF0" w:rsidRPr="00607524">
              <w:rPr>
                <w:rFonts w:ascii="Bookman Old Style" w:eastAsiaTheme="minorEastAsia" w:hAnsi="Bookman Old Style" w:cstheme="minorHAnsi"/>
                <w:sz w:val="20"/>
                <w:szCs w:val="20"/>
              </w:rPr>
              <w:t xml:space="preserve"> </w:t>
            </w:r>
          </w:p>
        </w:tc>
      </w:tr>
      <w:tr w:rsidR="00AC3106" w:rsidRPr="00607524" w:rsidTr="00C8049C">
        <w:tc>
          <w:tcPr>
            <w:tcW w:w="571" w:type="pct"/>
          </w:tcPr>
          <w:p w:rsidR="00AC3106" w:rsidRPr="00607524" w:rsidRDefault="00AC3106"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AC3106" w:rsidRPr="00607524" w:rsidRDefault="00AC3106" w:rsidP="00E570BD">
            <w:pPr>
              <w:tabs>
                <w:tab w:val="left" w:pos="6447"/>
              </w:tabs>
              <w:spacing w:before="60" w:after="60"/>
              <w:jc w:val="center"/>
              <w:rPr>
                <w:rFonts w:ascii="Bookman Old Style" w:hAnsi="Bookman Old Style" w:cs="Arial"/>
                <w:sz w:val="20"/>
                <w:szCs w:val="20"/>
              </w:rPr>
            </w:pPr>
          </w:p>
        </w:tc>
        <w:tc>
          <w:tcPr>
            <w:tcW w:w="2509" w:type="pct"/>
          </w:tcPr>
          <w:p w:rsidR="00AC3106" w:rsidRPr="00607524" w:rsidRDefault="00AC3106" w:rsidP="00A12E69">
            <w:pPr>
              <w:pStyle w:val="ListParagraph"/>
              <w:numPr>
                <w:ilvl w:val="0"/>
                <w:numId w:val="40"/>
              </w:numPr>
              <w:tabs>
                <w:tab w:val="left" w:pos="6447"/>
              </w:tabs>
              <w:spacing w:before="60" w:after="60"/>
              <w:ind w:left="843" w:hanging="450"/>
              <w:jc w:val="both"/>
              <w:rPr>
                <w:rFonts w:ascii="Bookman Old Style" w:hAnsi="Bookman Old Style" w:cstheme="minorHAnsi"/>
                <w:sz w:val="20"/>
                <w:szCs w:val="20"/>
              </w:rPr>
            </w:pPr>
            <w:r w:rsidRPr="00607524">
              <w:rPr>
                <w:rFonts w:ascii="Bookman Old Style" w:hAnsi="Bookman Old Style" w:cstheme="minorHAnsi"/>
                <w:sz w:val="20"/>
                <w:szCs w:val="20"/>
              </w:rPr>
              <w:t>rencana pendidikan dan pelatihan SDM; dan</w:t>
            </w:r>
          </w:p>
        </w:tc>
        <w:tc>
          <w:tcPr>
            <w:tcW w:w="1568" w:type="pct"/>
          </w:tcPr>
          <w:p w:rsidR="00AC3106" w:rsidRPr="00607524" w:rsidRDefault="000E4FF0" w:rsidP="000E4FF0">
            <w:pPr>
              <w:spacing w:before="60" w:after="60" w:line="276" w:lineRule="auto"/>
              <w:jc w:val="both"/>
              <w:rPr>
                <w:rFonts w:ascii="Bookman Old Style" w:eastAsiaTheme="minorEastAsia" w:hAnsi="Bookman Old Style" w:cstheme="minorHAnsi"/>
                <w:sz w:val="20"/>
                <w:szCs w:val="20"/>
              </w:rPr>
            </w:pPr>
            <w:r w:rsidRPr="00607524">
              <w:rPr>
                <w:rFonts w:ascii="Bookman Old Style" w:eastAsiaTheme="minorEastAsia" w:hAnsi="Bookman Old Style" w:cstheme="minorHAnsi"/>
                <w:sz w:val="20"/>
                <w:szCs w:val="20"/>
              </w:rPr>
              <w:t>Penyusunan r</w:t>
            </w:r>
            <w:r w:rsidR="00AC3106" w:rsidRPr="00607524">
              <w:rPr>
                <w:rFonts w:ascii="Bookman Old Style" w:eastAsiaTheme="minorEastAsia" w:hAnsi="Bookman Old Style" w:cstheme="minorHAnsi"/>
                <w:sz w:val="20"/>
                <w:szCs w:val="20"/>
              </w:rPr>
              <w:t xml:space="preserve">encana pendidikan dan pelatihan </w:t>
            </w:r>
            <w:r w:rsidR="00F46E3F" w:rsidRPr="00607524">
              <w:rPr>
                <w:rFonts w:ascii="Bookman Old Style" w:eastAsiaTheme="minorEastAsia" w:hAnsi="Bookman Old Style" w:cstheme="minorHAnsi"/>
                <w:sz w:val="20"/>
                <w:szCs w:val="20"/>
              </w:rPr>
              <w:t>SDM</w:t>
            </w:r>
            <w:r w:rsidR="00C97CBA" w:rsidRPr="00607524">
              <w:rPr>
                <w:rFonts w:ascii="Bookman Old Style" w:eastAsiaTheme="minorEastAsia" w:hAnsi="Bookman Old Style" w:cstheme="minorHAnsi"/>
                <w:sz w:val="20"/>
                <w:szCs w:val="20"/>
              </w:rPr>
              <w:t xml:space="preserve"> </w:t>
            </w:r>
            <w:r w:rsidRPr="00607524">
              <w:rPr>
                <w:rFonts w:ascii="Bookman Old Style" w:eastAsiaTheme="minorEastAsia" w:hAnsi="Bookman Old Style" w:cstheme="minorHAnsi"/>
                <w:sz w:val="20"/>
                <w:szCs w:val="20"/>
              </w:rPr>
              <w:t xml:space="preserve">dilakukan dengan </w:t>
            </w:r>
            <w:r w:rsidR="00C97CBA" w:rsidRPr="00607524">
              <w:rPr>
                <w:rFonts w:ascii="Bookman Old Style" w:eastAsiaTheme="minorEastAsia" w:hAnsi="Bookman Old Style" w:cstheme="minorHAnsi"/>
                <w:sz w:val="20"/>
                <w:szCs w:val="20"/>
              </w:rPr>
              <w:t xml:space="preserve">memperhatikan </w:t>
            </w:r>
            <w:r w:rsidR="00F46E3F" w:rsidRPr="00607524">
              <w:rPr>
                <w:rFonts w:ascii="Bookman Old Style" w:eastAsiaTheme="minorEastAsia" w:hAnsi="Bookman Old Style" w:cstheme="minorHAnsi"/>
                <w:sz w:val="20"/>
                <w:szCs w:val="20"/>
              </w:rPr>
              <w:t xml:space="preserve">Peraturan Otoritas Jasa Keuangan </w:t>
            </w:r>
            <w:r w:rsidR="00AC3106" w:rsidRPr="00607524">
              <w:rPr>
                <w:rFonts w:ascii="Bookman Old Style" w:eastAsiaTheme="minorEastAsia" w:hAnsi="Bookman Old Style" w:cstheme="minorHAnsi"/>
                <w:sz w:val="20"/>
                <w:szCs w:val="20"/>
              </w:rPr>
              <w:t>mengenai kewajiban penyediaan dana pendidikan dan pelatihan untuk pengembangan sumber daya manusia BPR atau BPRS.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40"/>
              </w:numPr>
              <w:tabs>
                <w:tab w:val="left" w:pos="6447"/>
              </w:tabs>
              <w:spacing w:before="60" w:after="60"/>
              <w:ind w:left="843" w:hanging="450"/>
              <w:jc w:val="both"/>
              <w:rPr>
                <w:rFonts w:ascii="Bookman Old Style" w:hAnsi="Bookman Old Style" w:cstheme="minorHAnsi"/>
                <w:sz w:val="20"/>
                <w:szCs w:val="20"/>
              </w:rPr>
            </w:pPr>
            <w:r w:rsidRPr="00607524">
              <w:rPr>
                <w:rFonts w:ascii="Bookman Old Style" w:hAnsi="Bookman Old Style" w:cstheme="minorHAnsi"/>
                <w:sz w:val="20"/>
                <w:szCs w:val="20"/>
              </w:rPr>
              <w:t>rencana pemanfaatan tenaga kerja alih daya.</w:t>
            </w:r>
          </w:p>
        </w:tc>
        <w:tc>
          <w:tcPr>
            <w:tcW w:w="1568" w:type="pct"/>
          </w:tcPr>
          <w:p w:rsidR="00E570BD" w:rsidRPr="00607524" w:rsidRDefault="00E570BD" w:rsidP="00E570BD">
            <w:pPr>
              <w:spacing w:before="60" w:after="60" w:line="276" w:lineRule="auto"/>
              <w:jc w:val="both"/>
              <w:rPr>
                <w:rFonts w:ascii="Bookman Old Style" w:eastAsiaTheme="minorEastAsia" w:hAnsi="Bookman Old Style" w:cstheme="minorHAnsi"/>
                <w:sz w:val="20"/>
                <w:szCs w:val="20"/>
              </w:rPr>
            </w:pPr>
            <w:r w:rsidRPr="00607524">
              <w:rPr>
                <w:rFonts w:ascii="Bookman Old Style" w:eastAsiaTheme="minorEastAsia" w:hAnsi="Bookman Old Style" w:cstheme="minorHAnsi"/>
                <w:sz w:val="20"/>
                <w:szCs w:val="20"/>
              </w:rPr>
              <w:t xml:space="preserve">Yang dimaksud dengan “alih daya” adalah penyerahan sebagian pelaksanaan pekerjaan kepada perusahaan penyedia jasa melalui perjanjian pemborongan </w:t>
            </w:r>
            <w:r w:rsidRPr="00607524">
              <w:rPr>
                <w:rFonts w:ascii="Bookman Old Style" w:eastAsiaTheme="minorEastAsia" w:hAnsi="Bookman Old Style" w:cstheme="minorHAnsi"/>
                <w:sz w:val="20"/>
                <w:szCs w:val="20"/>
              </w:rPr>
              <w:lastRenderedPageBreak/>
              <w:t>pekerjaan dan/atau melalui perjanjian penyediaan jasa tenaga kerja.</w:t>
            </w:r>
          </w:p>
          <w:p w:rsidR="00E570BD" w:rsidRPr="00607524" w:rsidRDefault="00E570BD" w:rsidP="00E570BD">
            <w:pPr>
              <w:spacing w:before="60" w:after="60" w:line="276" w:lineRule="auto"/>
              <w:jc w:val="both"/>
              <w:rPr>
                <w:sz w:val="20"/>
                <w:szCs w:val="20"/>
              </w:rPr>
            </w:pPr>
            <w:r w:rsidRPr="00607524">
              <w:rPr>
                <w:rFonts w:ascii="Bookman Old Style" w:eastAsiaTheme="minorEastAsia" w:hAnsi="Bookman Old Style" w:cstheme="minorHAnsi"/>
                <w:sz w:val="20"/>
                <w:szCs w:val="20"/>
              </w:rPr>
              <w:t>Rencana pemanfaatan tenaga kerja alih daya antara lain rencana pemanfaatan tenaga kerja di luar tenaga kerja tetap, yang meliputi jumlah maupun bidang kerja penugasan.</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r w:rsidRPr="00607524">
              <w:rPr>
                <w:rFonts w:ascii="Bookman Old Style" w:hAnsi="Bookman Old Style" w:cs="Arial"/>
                <w:sz w:val="20"/>
                <w:szCs w:val="20"/>
              </w:rPr>
              <w:lastRenderedPageBreak/>
              <w:t>1</w:t>
            </w:r>
          </w:p>
        </w:tc>
        <w:tc>
          <w:tcPr>
            <w:tcW w:w="352" w:type="pct"/>
          </w:tcPr>
          <w:p w:rsidR="00E570BD" w:rsidRPr="00607524" w:rsidRDefault="00E570BD" w:rsidP="00A12E69">
            <w:pPr>
              <w:pStyle w:val="ListParagraph"/>
              <w:numPr>
                <w:ilvl w:val="0"/>
                <w:numId w:val="26"/>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654121">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Rencana pelaksanaan kegiatan usaha baru untuk BPR sebagaimana dimaksud dalam Pasal 6 huruf </w:t>
            </w:r>
            <w:r w:rsidR="00654121" w:rsidRPr="00607524">
              <w:rPr>
                <w:rFonts w:ascii="Bookman Old Style" w:hAnsi="Bookman Old Style" w:cstheme="minorHAnsi"/>
                <w:sz w:val="20"/>
                <w:szCs w:val="20"/>
              </w:rPr>
              <w:t>h</w:t>
            </w:r>
            <w:r w:rsidRPr="00607524">
              <w:rPr>
                <w:rFonts w:ascii="Bookman Old Style" w:hAnsi="Bookman Old Style" w:cstheme="minorHAnsi"/>
                <w:sz w:val="20"/>
                <w:szCs w:val="20"/>
              </w:rPr>
              <w:t xml:space="preserve"> </w:t>
            </w:r>
            <w:r w:rsidR="00F46E3F" w:rsidRPr="00607524">
              <w:rPr>
                <w:rFonts w:ascii="Bookman Old Style" w:hAnsi="Bookman Old Style" w:cstheme="minorHAnsi"/>
                <w:sz w:val="20"/>
                <w:szCs w:val="20"/>
              </w:rPr>
              <w:t>meliputi rencana pelaksanaan kegiatan usaha yang memerlukan persetujuan dan/atau dilaporkan kepada Otoritas Jasa Keuangan.</w:t>
            </w:r>
          </w:p>
        </w:tc>
        <w:tc>
          <w:tcPr>
            <w:tcW w:w="1568" w:type="pct"/>
          </w:tcPr>
          <w:p w:rsidR="00E570BD" w:rsidRPr="00607524" w:rsidRDefault="00E570BD" w:rsidP="00F46E3F">
            <w:pPr>
              <w:spacing w:before="60" w:after="60" w:line="276" w:lineRule="auto"/>
              <w:jc w:val="both"/>
              <w:rPr>
                <w:sz w:val="20"/>
                <w:szCs w:val="20"/>
                <w:lang w:val="id-ID"/>
              </w:rPr>
            </w:pPr>
            <w:r w:rsidRPr="00607524">
              <w:rPr>
                <w:rFonts w:ascii="Bookman Old Style" w:eastAsiaTheme="minorEastAsia" w:hAnsi="Bookman Old Style"/>
                <w:sz w:val="20"/>
                <w:szCs w:val="20"/>
              </w:rPr>
              <w:t xml:space="preserve">Penyampaian pelaksanaan kegiatan usaha baru sesuai dengan </w:t>
            </w:r>
            <w:r w:rsidR="00F46E3F" w:rsidRPr="00607524">
              <w:rPr>
                <w:rFonts w:ascii="Bookman Old Style" w:eastAsiaTheme="minorEastAsia" w:hAnsi="Bookman Old Style"/>
                <w:sz w:val="20"/>
                <w:szCs w:val="20"/>
              </w:rPr>
              <w:t>ketentuan</w:t>
            </w:r>
            <w:r w:rsidRPr="00607524">
              <w:rPr>
                <w:rFonts w:ascii="Bookman Old Style" w:eastAsiaTheme="minorEastAsia" w:hAnsi="Bookman Old Style"/>
                <w:sz w:val="20"/>
                <w:szCs w:val="20"/>
              </w:rPr>
              <w:t xml:space="preserve"> </w:t>
            </w:r>
            <w:r w:rsidR="00C97CBA" w:rsidRPr="00607524">
              <w:rPr>
                <w:rFonts w:ascii="Bookman Old Style" w:eastAsiaTheme="minorEastAsia" w:hAnsi="Bookman Old Style"/>
                <w:sz w:val="20"/>
                <w:szCs w:val="20"/>
              </w:rPr>
              <w:t xml:space="preserve">Otoritas Jasa Keuangan </w:t>
            </w:r>
            <w:r w:rsidRPr="00607524">
              <w:rPr>
                <w:rFonts w:ascii="Bookman Old Style" w:eastAsiaTheme="minorEastAsia" w:hAnsi="Bookman Old Style"/>
                <w:sz w:val="20"/>
                <w:szCs w:val="20"/>
              </w:rPr>
              <w:t>mengenai kegiatan usaha BPR.</w:t>
            </w:r>
          </w:p>
        </w:tc>
      </w:tr>
      <w:tr w:rsidR="00607524"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26"/>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CD5E76" w:rsidRDefault="00E570BD" w:rsidP="00E35199">
            <w:pPr>
              <w:tabs>
                <w:tab w:val="left" w:pos="6447"/>
              </w:tabs>
              <w:spacing w:before="60" w:after="60" w:line="276" w:lineRule="auto"/>
              <w:jc w:val="both"/>
              <w:rPr>
                <w:rFonts w:ascii="Bookman Old Style" w:hAnsi="Bookman Old Style" w:cs="Arial"/>
                <w:sz w:val="20"/>
                <w:szCs w:val="20"/>
              </w:rPr>
            </w:pPr>
            <w:r w:rsidRPr="00CD5E76">
              <w:rPr>
                <w:rFonts w:ascii="Bookman Old Style" w:hAnsi="Bookman Old Style" w:cstheme="minorHAnsi"/>
                <w:sz w:val="20"/>
                <w:szCs w:val="20"/>
              </w:rPr>
              <w:t xml:space="preserve">Rencana penerbitan produk dan pelaksanaan aktivitas baru untuk BPRS sebagaimana dimaksud dalam Pasal 6 huruf </w:t>
            </w:r>
            <w:r w:rsidR="00E35199" w:rsidRPr="00CD5E76">
              <w:rPr>
                <w:rFonts w:ascii="Bookman Old Style" w:hAnsi="Bookman Old Style" w:cstheme="minorHAnsi"/>
                <w:sz w:val="20"/>
                <w:szCs w:val="20"/>
              </w:rPr>
              <w:t>h</w:t>
            </w:r>
            <w:r w:rsidRPr="00CD5E76">
              <w:rPr>
                <w:rFonts w:ascii="Bookman Old Style" w:hAnsi="Bookman Old Style" w:cstheme="minorHAnsi"/>
                <w:sz w:val="20"/>
                <w:szCs w:val="20"/>
              </w:rPr>
              <w:t xml:space="preserve"> paling sedikit meliputi:</w:t>
            </w:r>
          </w:p>
        </w:tc>
        <w:tc>
          <w:tcPr>
            <w:tcW w:w="1568" w:type="pct"/>
          </w:tcPr>
          <w:p w:rsidR="00E570BD" w:rsidRPr="00607524" w:rsidRDefault="00E570BD" w:rsidP="00654121">
            <w:pPr>
              <w:spacing w:before="60" w:after="60" w:line="276" w:lineRule="auto"/>
              <w:jc w:val="both"/>
              <w:rPr>
                <w:sz w:val="20"/>
                <w:szCs w:val="20"/>
              </w:rPr>
            </w:pPr>
            <w:r w:rsidRPr="00607524">
              <w:rPr>
                <w:rFonts w:ascii="Bookman Old Style" w:eastAsiaTheme="minorEastAsia" w:hAnsi="Bookman Old Style"/>
                <w:sz w:val="20"/>
                <w:szCs w:val="20"/>
              </w:rPr>
              <w:t>Rencana penerbitan produk baru dan pelaksanaan aktivitas baru yang perlu dimuat dalam Rencana Bisnis</w:t>
            </w:r>
            <w:r w:rsidR="000E4FF0" w:rsidRPr="00607524">
              <w:rPr>
                <w:rFonts w:ascii="Bookman Old Style" w:eastAsiaTheme="minorEastAsia" w:hAnsi="Bookman Old Style"/>
                <w:sz w:val="20"/>
                <w:szCs w:val="20"/>
              </w:rPr>
              <w:t xml:space="preserve"> sesuai dengan</w:t>
            </w:r>
            <w:r w:rsidRPr="00607524">
              <w:rPr>
                <w:rFonts w:ascii="Bookman Old Style" w:eastAsiaTheme="minorEastAsia" w:hAnsi="Bookman Old Style"/>
                <w:sz w:val="20"/>
                <w:szCs w:val="20"/>
              </w:rPr>
              <w:t xml:space="preserve"> Peraturan Otoritas Jasa Keuangan mengenai produk dan aktivitas Bank Syariah dan Unit Usaha Syariah.</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2509" w:type="pct"/>
          </w:tcPr>
          <w:p w:rsidR="00E570BD" w:rsidRPr="00CD5E76" w:rsidRDefault="00E570BD" w:rsidP="00A12E69">
            <w:pPr>
              <w:pStyle w:val="ListParagraph"/>
              <w:numPr>
                <w:ilvl w:val="0"/>
                <w:numId w:val="27"/>
              </w:numPr>
              <w:tabs>
                <w:tab w:val="left" w:pos="6447"/>
              </w:tabs>
              <w:spacing w:before="60" w:after="60"/>
              <w:jc w:val="both"/>
              <w:rPr>
                <w:rFonts w:ascii="Bookman Old Style" w:hAnsi="Bookman Old Style" w:cstheme="minorHAnsi"/>
                <w:sz w:val="20"/>
                <w:szCs w:val="20"/>
              </w:rPr>
            </w:pPr>
            <w:r w:rsidRPr="00CD5E76">
              <w:rPr>
                <w:rFonts w:ascii="Bookman Old Style" w:hAnsi="Bookman Old Style" w:cstheme="minorHAnsi"/>
                <w:sz w:val="20"/>
                <w:szCs w:val="20"/>
              </w:rPr>
              <w:t>rencana penerbitan produk baru; dan</w:t>
            </w:r>
          </w:p>
        </w:tc>
        <w:tc>
          <w:tcPr>
            <w:tcW w:w="1568" w:type="pct"/>
          </w:tcPr>
          <w:p w:rsidR="00E570BD" w:rsidRPr="00607524" w:rsidRDefault="00E570BD" w:rsidP="00E570BD">
            <w:pPr>
              <w:tabs>
                <w:tab w:val="left" w:pos="6447"/>
              </w:tabs>
              <w:spacing w:before="60" w:after="60" w:line="276" w:lineRule="auto"/>
              <w:jc w:val="both"/>
              <w:rPr>
                <w:rFonts w:ascii="Bookman Old Style" w:hAnsi="Bookman Old Style" w:cs="Arial"/>
                <w:sz w:val="20"/>
                <w:szCs w:val="20"/>
              </w:rPr>
            </w:pP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2509" w:type="pct"/>
          </w:tcPr>
          <w:p w:rsidR="00E570BD" w:rsidRPr="00CD5E76" w:rsidRDefault="00E570BD" w:rsidP="00A12E69">
            <w:pPr>
              <w:pStyle w:val="ListParagraph"/>
              <w:numPr>
                <w:ilvl w:val="0"/>
                <w:numId w:val="27"/>
              </w:numPr>
              <w:tabs>
                <w:tab w:val="left" w:pos="6447"/>
              </w:tabs>
              <w:spacing w:before="60" w:after="60"/>
              <w:jc w:val="both"/>
              <w:rPr>
                <w:rFonts w:ascii="Bookman Old Style" w:hAnsi="Bookman Old Style" w:cstheme="minorHAnsi"/>
                <w:sz w:val="20"/>
                <w:szCs w:val="20"/>
              </w:rPr>
            </w:pPr>
            <w:r w:rsidRPr="00CD5E76">
              <w:rPr>
                <w:rFonts w:ascii="Bookman Old Style" w:hAnsi="Bookman Old Style" w:cstheme="minorHAnsi"/>
                <w:sz w:val="20"/>
                <w:szCs w:val="20"/>
              </w:rPr>
              <w:t>rencana pelaksanaan aktivitas baru.</w:t>
            </w:r>
          </w:p>
        </w:tc>
        <w:tc>
          <w:tcPr>
            <w:tcW w:w="1568" w:type="pct"/>
          </w:tcPr>
          <w:p w:rsidR="00E570BD" w:rsidRPr="00607524" w:rsidRDefault="00E570BD" w:rsidP="00E570BD">
            <w:pPr>
              <w:tabs>
                <w:tab w:val="left" w:pos="6447"/>
              </w:tabs>
              <w:spacing w:before="60" w:after="60" w:line="276" w:lineRule="auto"/>
              <w:jc w:val="both"/>
              <w:rPr>
                <w:rFonts w:ascii="Bookman Old Style" w:hAnsi="Bookman Old Style" w:cs="Arial"/>
                <w:sz w:val="20"/>
                <w:szCs w:val="20"/>
              </w:rPr>
            </w:pP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CD5E76" w:rsidRDefault="00E570BD" w:rsidP="00E35199">
            <w:pPr>
              <w:tabs>
                <w:tab w:val="left" w:pos="6447"/>
              </w:tabs>
              <w:spacing w:before="60" w:after="60" w:line="276" w:lineRule="auto"/>
              <w:jc w:val="both"/>
              <w:rPr>
                <w:rFonts w:ascii="Bookman Old Style" w:hAnsi="Bookman Old Style" w:cstheme="minorHAnsi"/>
                <w:sz w:val="20"/>
                <w:szCs w:val="20"/>
              </w:rPr>
            </w:pPr>
            <w:r w:rsidRPr="00CD5E76">
              <w:rPr>
                <w:rFonts w:ascii="Bookman Old Style" w:hAnsi="Bookman Old Style" w:cstheme="minorHAnsi"/>
                <w:sz w:val="20"/>
                <w:szCs w:val="20"/>
              </w:rPr>
              <w:t xml:space="preserve">Rencana pengembangan dan/atau perubahan jaringan kantor sebagaimana dimaksud dalam Pasal 6 huruf </w:t>
            </w:r>
            <w:r w:rsidR="00E35199" w:rsidRPr="00CD5E76">
              <w:rPr>
                <w:rFonts w:ascii="Bookman Old Style" w:hAnsi="Bookman Old Style" w:cstheme="minorHAnsi"/>
                <w:sz w:val="20"/>
                <w:szCs w:val="20"/>
              </w:rPr>
              <w:t>i</w:t>
            </w:r>
            <w:r w:rsidRPr="00CD5E76">
              <w:rPr>
                <w:rFonts w:ascii="Bookman Old Style" w:hAnsi="Bookman Old Style" w:cstheme="minorHAnsi"/>
                <w:sz w:val="20"/>
                <w:szCs w:val="20"/>
              </w:rPr>
              <w:t xml:space="preserve"> paling sedikit meliputi:</w:t>
            </w:r>
          </w:p>
        </w:tc>
        <w:tc>
          <w:tcPr>
            <w:tcW w:w="1568" w:type="pct"/>
          </w:tcPr>
          <w:p w:rsidR="00E570BD" w:rsidRPr="00607524" w:rsidRDefault="00C97CBA" w:rsidP="00F46E3F">
            <w:pPr>
              <w:spacing w:before="60" w:after="60" w:line="276" w:lineRule="auto"/>
              <w:jc w:val="both"/>
              <w:rPr>
                <w:sz w:val="20"/>
                <w:szCs w:val="20"/>
              </w:rPr>
            </w:pPr>
            <w:r w:rsidRPr="00607524">
              <w:rPr>
                <w:rFonts w:ascii="Bookman Old Style" w:eastAsiaTheme="minorEastAsia" w:hAnsi="Bookman Old Style"/>
                <w:sz w:val="20"/>
                <w:szCs w:val="20"/>
              </w:rPr>
              <w:t>Penjelasan</w:t>
            </w:r>
            <w:r w:rsidR="00E570BD" w:rsidRPr="00607524">
              <w:rPr>
                <w:rFonts w:ascii="Bookman Old Style" w:eastAsiaTheme="minorEastAsia" w:hAnsi="Bookman Old Style"/>
                <w:sz w:val="20"/>
                <w:szCs w:val="20"/>
              </w:rPr>
              <w:t xml:space="preserve"> kantor cabang</w:t>
            </w:r>
            <w:r w:rsidR="00F46E3F" w:rsidRPr="00607524">
              <w:rPr>
                <w:rFonts w:ascii="Bookman Old Style" w:eastAsiaTheme="minorEastAsia" w:hAnsi="Bookman Old Style"/>
                <w:sz w:val="20"/>
                <w:szCs w:val="20"/>
              </w:rPr>
              <w:t xml:space="preserve"> dan kantor kas </w:t>
            </w:r>
            <w:r w:rsidR="00E570BD" w:rsidRPr="00607524">
              <w:rPr>
                <w:rFonts w:ascii="Bookman Old Style" w:eastAsiaTheme="minorEastAsia" w:hAnsi="Bookman Old Style"/>
                <w:sz w:val="20"/>
                <w:szCs w:val="20"/>
              </w:rPr>
              <w:t>sesuai dengan Peraturan Otoritas Jasa Keuangan mengenai BPR atau BPRS.</w:t>
            </w:r>
          </w:p>
        </w:tc>
      </w:tr>
      <w:tr w:rsidR="00E570BD" w:rsidRPr="00607524" w:rsidTr="00C8049C">
        <w:tc>
          <w:tcPr>
            <w:tcW w:w="571" w:type="pct"/>
          </w:tcPr>
          <w:p w:rsidR="00E570BD" w:rsidRPr="00607524" w:rsidRDefault="00E570BD" w:rsidP="00E570BD">
            <w:pPr>
              <w:tabs>
                <w:tab w:val="left" w:pos="6447"/>
              </w:tabs>
              <w:spacing w:before="60" w:after="60" w:line="276" w:lineRule="auto"/>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28"/>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rencana pemindahan alamat kantor pusat</w:t>
            </w:r>
            <w:r w:rsidR="00EF1AC7" w:rsidRPr="00607524">
              <w:rPr>
                <w:rFonts w:ascii="Bookman Old Style" w:hAnsi="Bookman Old Style" w:cstheme="minorHAnsi"/>
                <w:sz w:val="20"/>
                <w:szCs w:val="20"/>
              </w:rPr>
              <w:t xml:space="preserve"> dan/atau kantor cabang</w:t>
            </w:r>
            <w:r w:rsidRPr="00607524">
              <w:rPr>
                <w:rFonts w:ascii="Bookman Old Style" w:hAnsi="Bookman Old Style" w:cstheme="minorHAnsi"/>
                <w:sz w:val="20"/>
                <w:szCs w:val="20"/>
              </w:rPr>
              <w:t>;</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r w:rsidRPr="00607524">
              <w:rPr>
                <w:rFonts w:ascii="Bookman Old Style" w:eastAsiaTheme="minorEastAsia" w:hAnsi="Bookman Old Style"/>
                <w:sz w:val="20"/>
                <w:szCs w:val="20"/>
              </w:rPr>
              <w:t xml:space="preserve"> </w:t>
            </w:r>
          </w:p>
        </w:tc>
      </w:tr>
      <w:tr w:rsidR="00E570BD" w:rsidRPr="00607524" w:rsidTr="00C8049C">
        <w:tc>
          <w:tcPr>
            <w:tcW w:w="571" w:type="pct"/>
          </w:tcPr>
          <w:p w:rsidR="00E570BD" w:rsidRPr="00607524" w:rsidRDefault="00E570BD" w:rsidP="00E570BD">
            <w:pPr>
              <w:tabs>
                <w:tab w:val="left" w:pos="6447"/>
              </w:tabs>
              <w:spacing w:before="60" w:after="60" w:line="276" w:lineRule="auto"/>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28"/>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 xml:space="preserve">rencana pembukaan </w:t>
            </w:r>
            <w:r w:rsidR="00EF1AC7" w:rsidRPr="00607524">
              <w:rPr>
                <w:rFonts w:ascii="Bookman Old Style" w:hAnsi="Bookman Old Style" w:cstheme="minorHAnsi"/>
                <w:sz w:val="20"/>
                <w:szCs w:val="20"/>
              </w:rPr>
              <w:t xml:space="preserve">dan/atau penutupan </w:t>
            </w:r>
            <w:r w:rsidRPr="00607524">
              <w:rPr>
                <w:rFonts w:ascii="Bookman Old Style" w:hAnsi="Bookman Old Style" w:cstheme="minorHAnsi"/>
                <w:sz w:val="20"/>
                <w:szCs w:val="20"/>
              </w:rPr>
              <w:t>kantor cabang;</w:t>
            </w:r>
            <w:r w:rsidR="00EF1AC7" w:rsidRPr="00607524">
              <w:rPr>
                <w:rFonts w:ascii="Bookman Old Style" w:hAnsi="Bookman Old Style" w:cstheme="minorHAnsi"/>
                <w:sz w:val="20"/>
                <w:szCs w:val="20"/>
              </w:rPr>
              <w:t xml:space="preserve"> </w:t>
            </w:r>
            <w:r w:rsidR="00C97CBA" w:rsidRPr="00607524">
              <w:rPr>
                <w:rFonts w:ascii="Bookman Old Style" w:hAnsi="Bookman Old Style" w:cstheme="minorHAnsi"/>
                <w:sz w:val="20"/>
                <w:szCs w:val="20"/>
              </w:rPr>
              <w:t>dan</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p>
        </w:tc>
      </w:tr>
      <w:tr w:rsidR="00607524" w:rsidRPr="00607524" w:rsidTr="00C8049C">
        <w:tc>
          <w:tcPr>
            <w:tcW w:w="571" w:type="pct"/>
          </w:tcPr>
          <w:p w:rsidR="00E570BD" w:rsidRPr="00607524" w:rsidRDefault="00E570BD" w:rsidP="00E570BD">
            <w:pPr>
              <w:tabs>
                <w:tab w:val="left" w:pos="6447"/>
              </w:tabs>
              <w:spacing w:before="60" w:after="60" w:line="276" w:lineRule="auto"/>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C97CBA">
            <w:pPr>
              <w:pStyle w:val="ListParagraph"/>
              <w:numPr>
                <w:ilvl w:val="0"/>
                <w:numId w:val="28"/>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 xml:space="preserve">rencana </w:t>
            </w:r>
            <w:r w:rsidR="00C97CBA" w:rsidRPr="00607524">
              <w:rPr>
                <w:rFonts w:ascii="Bookman Old Style" w:hAnsi="Bookman Old Style" w:cstheme="minorHAnsi"/>
                <w:sz w:val="20"/>
                <w:szCs w:val="20"/>
              </w:rPr>
              <w:t>perubahan</w:t>
            </w:r>
            <w:r w:rsidRPr="00607524">
              <w:rPr>
                <w:rFonts w:ascii="Bookman Old Style" w:hAnsi="Bookman Old Style" w:cstheme="minorHAnsi"/>
                <w:sz w:val="20"/>
                <w:szCs w:val="20"/>
              </w:rPr>
              <w:t xml:space="preserve"> status </w:t>
            </w:r>
            <w:r w:rsidR="00C97CBA" w:rsidRPr="00607524">
              <w:rPr>
                <w:rFonts w:ascii="Bookman Old Style" w:hAnsi="Bookman Old Style" w:cstheme="minorHAnsi"/>
                <w:sz w:val="20"/>
                <w:szCs w:val="20"/>
              </w:rPr>
              <w:t>jaringan kantor.</w:t>
            </w:r>
          </w:p>
        </w:tc>
        <w:tc>
          <w:tcPr>
            <w:tcW w:w="1568" w:type="pct"/>
          </w:tcPr>
          <w:p w:rsidR="00C97CBA" w:rsidRPr="00607524" w:rsidRDefault="00C97CBA" w:rsidP="00607524">
            <w:pPr>
              <w:spacing w:before="60" w:after="60" w:line="276" w:lineRule="auto"/>
              <w:jc w:val="both"/>
              <w:rPr>
                <w:rFonts w:ascii="Bookman Old Style" w:eastAsiaTheme="minorEastAsia" w:hAnsi="Bookman Old Style"/>
                <w:sz w:val="20"/>
                <w:szCs w:val="20"/>
              </w:rPr>
            </w:pPr>
            <w:r w:rsidRPr="00607524">
              <w:rPr>
                <w:rFonts w:ascii="Bookman Old Style" w:eastAsiaTheme="minorEastAsia" w:hAnsi="Bookman Old Style"/>
                <w:sz w:val="20"/>
                <w:szCs w:val="20"/>
              </w:rPr>
              <w:t xml:space="preserve">Yang dimaksud dengan perubahan status jaringan kantor </w:t>
            </w:r>
            <w:r w:rsidR="00607524" w:rsidRPr="00607524">
              <w:rPr>
                <w:rFonts w:ascii="Bookman Old Style" w:eastAsiaTheme="minorEastAsia" w:hAnsi="Bookman Old Style"/>
                <w:sz w:val="20"/>
                <w:szCs w:val="20"/>
              </w:rPr>
              <w:t xml:space="preserve">sesuai dengan </w:t>
            </w:r>
            <w:r w:rsidRPr="00607524">
              <w:rPr>
                <w:rFonts w:ascii="Bookman Old Style" w:eastAsiaTheme="minorEastAsia" w:hAnsi="Bookman Old Style"/>
                <w:sz w:val="20"/>
                <w:szCs w:val="20"/>
              </w:rPr>
              <w:t>Peraturan Otoritas Jasa Keuangan mengenai BPR</w:t>
            </w:r>
            <w:r w:rsidR="0005007A">
              <w:rPr>
                <w:rFonts w:ascii="Bookman Old Style" w:eastAsiaTheme="minorEastAsia" w:hAnsi="Bookman Old Style"/>
                <w:sz w:val="20"/>
                <w:szCs w:val="20"/>
              </w:rPr>
              <w:t xml:space="preserve"> </w:t>
            </w:r>
            <w:r w:rsidR="000E4FF0" w:rsidRPr="0005007A">
              <w:rPr>
                <w:rFonts w:ascii="Bookman Old Style" w:eastAsiaTheme="minorEastAsia" w:hAnsi="Bookman Old Style"/>
                <w:sz w:val="20"/>
                <w:szCs w:val="20"/>
              </w:rPr>
              <w:t>atau BPRS</w:t>
            </w:r>
            <w:r w:rsidRPr="0005007A">
              <w:rPr>
                <w:rFonts w:ascii="Bookman Old Style" w:eastAsiaTheme="minorEastAsia" w:hAnsi="Bookman Old Style"/>
                <w:sz w:val="20"/>
                <w:szCs w:val="20"/>
              </w:rPr>
              <w:t>.</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E570BD">
            <w:pPr>
              <w:tabs>
                <w:tab w:val="left" w:pos="6447"/>
              </w:tabs>
              <w:spacing w:before="60" w:after="60"/>
              <w:jc w:val="center"/>
              <w:rPr>
                <w:rFonts w:ascii="Bookman Old Style" w:hAnsi="Bookman Old Style" w:cs="Arial"/>
                <w:sz w:val="20"/>
                <w:szCs w:val="20"/>
              </w:rPr>
            </w:pPr>
          </w:p>
        </w:tc>
        <w:tc>
          <w:tcPr>
            <w:tcW w:w="2509" w:type="pct"/>
          </w:tcPr>
          <w:p w:rsidR="00E570BD" w:rsidRPr="00607524" w:rsidRDefault="00E570BD" w:rsidP="00607524">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Informasi lainnya sebagaimana dimaksud dalam Pasal 6 huruf </w:t>
            </w:r>
            <w:r w:rsidR="00654121" w:rsidRPr="00607524">
              <w:rPr>
                <w:rFonts w:ascii="Bookman Old Style" w:hAnsi="Bookman Old Style" w:cstheme="minorHAnsi"/>
                <w:sz w:val="20"/>
                <w:szCs w:val="20"/>
                <w:lang w:val="en-US"/>
              </w:rPr>
              <w:t>i</w:t>
            </w:r>
            <w:r w:rsidRPr="00607524">
              <w:rPr>
                <w:rFonts w:ascii="Bookman Old Style" w:hAnsi="Bookman Old Style" w:cstheme="minorHAnsi"/>
                <w:sz w:val="20"/>
                <w:szCs w:val="20"/>
                <w:lang w:val="id-ID"/>
              </w:rPr>
              <w:t xml:space="preserve"> paling sedikit meliputi informasi </w:t>
            </w:r>
            <w:r w:rsidRPr="00607524">
              <w:rPr>
                <w:rFonts w:ascii="Bookman Old Style" w:hAnsi="Bookman Old Style" w:cstheme="minorHAnsi"/>
                <w:sz w:val="20"/>
                <w:szCs w:val="20"/>
                <w:lang w:val="id-ID"/>
              </w:rPr>
              <w:lastRenderedPageBreak/>
              <w:t>yang diperkirakan memengaruhi kegiatan usaha BPR atau BPRS</w:t>
            </w:r>
            <w:r w:rsidR="002920DA" w:rsidRPr="00607524">
              <w:rPr>
                <w:rFonts w:ascii="Bookman Old Style" w:hAnsi="Bookman Old Style" w:cstheme="minorHAnsi"/>
                <w:sz w:val="20"/>
                <w:szCs w:val="20"/>
                <w:lang w:val="en-US"/>
              </w:rPr>
              <w:t xml:space="preserve"> atau informasi yang dipersyaratkan dalam ketentuan peraturan perundang-undangan.</w:t>
            </w:r>
            <w:r w:rsidRPr="00607524">
              <w:rPr>
                <w:rFonts w:ascii="Bookman Old Style" w:hAnsi="Bookman Old Style" w:cstheme="minorHAnsi"/>
                <w:sz w:val="20"/>
                <w:szCs w:val="20"/>
                <w:lang w:val="id-ID"/>
              </w:rPr>
              <w:t xml:space="preserve"> </w:t>
            </w:r>
          </w:p>
        </w:tc>
        <w:tc>
          <w:tcPr>
            <w:tcW w:w="1568" w:type="pct"/>
          </w:tcPr>
          <w:p w:rsidR="00F46E3F" w:rsidRPr="00607524" w:rsidRDefault="00E570BD" w:rsidP="00E570BD">
            <w:pPr>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lastRenderedPageBreak/>
              <w:t>Termasuk dalam informasi lainnya meliputi antara lain</w:t>
            </w:r>
            <w:r w:rsidR="00F46E3F" w:rsidRPr="00607524">
              <w:rPr>
                <w:rFonts w:ascii="Bookman Old Style" w:hAnsi="Bookman Old Style" w:cstheme="minorHAnsi"/>
                <w:sz w:val="20"/>
                <w:szCs w:val="20"/>
              </w:rPr>
              <w:t>:</w:t>
            </w:r>
          </w:p>
          <w:p w:rsidR="00005C9E" w:rsidRPr="00607524" w:rsidRDefault="00005C9E" w:rsidP="00A12E69">
            <w:pPr>
              <w:pStyle w:val="ListParagraph"/>
              <w:numPr>
                <w:ilvl w:val="0"/>
                <w:numId w:val="41"/>
              </w:numPr>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lastRenderedPageBreak/>
              <w:t>rencana literasi dan inklusi keuangan sesuai dengan format yang diatur dalam Peraturan Otoritas Jasa Keuangan mengenai literasi dan inklusi keuangan;</w:t>
            </w:r>
          </w:p>
          <w:p w:rsidR="00005C9E" w:rsidRPr="00607524" w:rsidRDefault="00005C9E" w:rsidP="00A12E69">
            <w:pPr>
              <w:pStyle w:val="ListParagraph"/>
              <w:numPr>
                <w:ilvl w:val="0"/>
                <w:numId w:val="41"/>
              </w:numPr>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 xml:space="preserve">laporan BPR atau BPRS sebagai penyelenggara laku pandai sesuai dengan Peraturan Otoritas Jasa Keuangan tentang layanan keuangan tanpa kantor dalam rangka keuangan inklusif; </w:t>
            </w:r>
            <w:r w:rsidR="002920DA" w:rsidRPr="00607524">
              <w:rPr>
                <w:rFonts w:ascii="Bookman Old Style" w:hAnsi="Bookman Old Style" w:cstheme="minorHAnsi"/>
                <w:sz w:val="20"/>
                <w:szCs w:val="20"/>
              </w:rPr>
              <w:t>dan</w:t>
            </w:r>
          </w:p>
          <w:p w:rsidR="00005C9E" w:rsidRPr="00607524" w:rsidRDefault="00005C9E" w:rsidP="00114ECE">
            <w:pPr>
              <w:pStyle w:val="ListParagraph"/>
              <w:numPr>
                <w:ilvl w:val="0"/>
                <w:numId w:val="41"/>
              </w:numPr>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 xml:space="preserve">rencana pengkinian data dalam rangka </w:t>
            </w:r>
            <w:r w:rsidR="00114ECE" w:rsidRPr="00607524">
              <w:rPr>
                <w:rFonts w:ascii="Bookman Old Style" w:hAnsi="Bookman Old Style" w:cstheme="minorHAnsi"/>
                <w:sz w:val="20"/>
                <w:szCs w:val="20"/>
              </w:rPr>
              <w:t xml:space="preserve">anti pencucian uang dan pencegahan pendanaan terorisme </w:t>
            </w:r>
            <w:r w:rsidRPr="00607524">
              <w:rPr>
                <w:rFonts w:ascii="Bookman Old Style" w:hAnsi="Bookman Old Style" w:cstheme="minorHAnsi"/>
                <w:sz w:val="20"/>
                <w:szCs w:val="20"/>
              </w:rPr>
              <w:t>sesuai dengan Peraturan Otoritas Jasa Keuangan tentang penerapan program anti pencucian uang dan pencegahan pendanaan terorisme d</w:t>
            </w:r>
            <w:r w:rsidR="002920DA" w:rsidRPr="00607524">
              <w:rPr>
                <w:rFonts w:ascii="Bookman Old Style" w:hAnsi="Bookman Old Style" w:cstheme="minorHAnsi"/>
                <w:sz w:val="20"/>
                <w:szCs w:val="20"/>
              </w:rPr>
              <w:t>i sektor jasa keuangan.</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35"/>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145C23">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BPR dan BPRS yang tidak memenuhi ketentuan sebagaimana </w:t>
            </w:r>
            <w:r w:rsidR="002B5FF9" w:rsidRPr="00607524">
              <w:rPr>
                <w:rFonts w:ascii="Bookman Old Style" w:hAnsi="Bookman Old Style" w:cstheme="minorHAnsi"/>
                <w:sz w:val="20"/>
                <w:szCs w:val="20"/>
                <w:lang w:val="id-ID"/>
              </w:rPr>
              <w:t xml:space="preserve">dimaksud dalam Pasal 2 ayat (1), </w:t>
            </w:r>
            <w:r w:rsidR="002B5FF9" w:rsidRPr="00607524">
              <w:rPr>
                <w:rFonts w:ascii="Bookman Old Style" w:hAnsi="Bookman Old Style" w:cstheme="minorHAnsi"/>
                <w:sz w:val="20"/>
                <w:szCs w:val="20"/>
                <w:lang w:val="en-US"/>
              </w:rPr>
              <w:t xml:space="preserve">Pasal 2 </w:t>
            </w:r>
            <w:r w:rsidRPr="00607524">
              <w:rPr>
                <w:rFonts w:ascii="Bookman Old Style" w:hAnsi="Bookman Old Style" w:cstheme="minorHAnsi"/>
                <w:sz w:val="20"/>
                <w:szCs w:val="20"/>
                <w:lang w:val="id-ID"/>
              </w:rPr>
              <w:t>ayat (2), Pas</w:t>
            </w:r>
            <w:r w:rsidR="002B5FF9" w:rsidRPr="00607524">
              <w:rPr>
                <w:rFonts w:ascii="Bookman Old Style" w:hAnsi="Bookman Old Style" w:cstheme="minorHAnsi"/>
                <w:sz w:val="20"/>
                <w:szCs w:val="20"/>
                <w:lang w:val="id-ID"/>
              </w:rPr>
              <w:t>al 4</w:t>
            </w:r>
            <w:r w:rsidR="00CD660A" w:rsidRPr="00607524">
              <w:rPr>
                <w:rFonts w:ascii="Bookman Old Style" w:hAnsi="Bookman Old Style" w:cstheme="minorHAnsi"/>
                <w:sz w:val="20"/>
                <w:szCs w:val="20"/>
                <w:lang w:val="en-US"/>
              </w:rPr>
              <w:t xml:space="preserve"> ayat (1)</w:t>
            </w:r>
            <w:r w:rsidR="002B5FF9" w:rsidRPr="00607524">
              <w:rPr>
                <w:rFonts w:ascii="Bookman Old Style" w:hAnsi="Bookman Old Style" w:cstheme="minorHAnsi"/>
                <w:sz w:val="20"/>
                <w:szCs w:val="20"/>
                <w:lang w:val="id-ID"/>
              </w:rPr>
              <w:t>,</w:t>
            </w:r>
            <w:r w:rsidR="00CD660A" w:rsidRPr="00607524">
              <w:rPr>
                <w:rFonts w:ascii="Bookman Old Style" w:hAnsi="Bookman Old Style" w:cstheme="minorHAnsi"/>
                <w:sz w:val="20"/>
                <w:szCs w:val="20"/>
                <w:lang w:val="en-US"/>
              </w:rPr>
              <w:t xml:space="preserve"> Pasal 4 ayat (2),</w:t>
            </w:r>
            <w:r w:rsidR="002B5FF9" w:rsidRPr="00607524">
              <w:rPr>
                <w:rFonts w:ascii="Bookman Old Style" w:hAnsi="Bookman Old Style" w:cstheme="minorHAnsi"/>
                <w:sz w:val="20"/>
                <w:szCs w:val="20"/>
                <w:lang w:val="id-ID"/>
              </w:rPr>
              <w:t xml:space="preserve"> Pasal 5, Pasal 9 ayat (2), </w:t>
            </w:r>
            <w:r w:rsidR="002B5FF9" w:rsidRPr="00607524">
              <w:rPr>
                <w:rFonts w:ascii="Bookman Old Style" w:hAnsi="Bookman Old Style" w:cstheme="minorHAnsi"/>
                <w:sz w:val="20"/>
                <w:szCs w:val="20"/>
                <w:lang w:val="en-US"/>
              </w:rPr>
              <w:t xml:space="preserve">Pasal 9 </w:t>
            </w:r>
            <w:r w:rsidR="002B5FF9" w:rsidRPr="00607524">
              <w:rPr>
                <w:rFonts w:ascii="Bookman Old Style" w:hAnsi="Bookman Old Style" w:cstheme="minorHAnsi"/>
                <w:sz w:val="20"/>
                <w:szCs w:val="20"/>
                <w:lang w:val="id-ID"/>
              </w:rPr>
              <w:t xml:space="preserve">ayat (3), Pasal 10 ayat (2), </w:t>
            </w:r>
            <w:r w:rsidR="00145C23" w:rsidRPr="00607524">
              <w:rPr>
                <w:rFonts w:ascii="Bookman Old Style" w:hAnsi="Bookman Old Style" w:cstheme="minorHAnsi"/>
                <w:sz w:val="20"/>
                <w:szCs w:val="20"/>
                <w:lang w:val="en-US"/>
              </w:rPr>
              <w:t xml:space="preserve">dan/atau </w:t>
            </w:r>
            <w:r w:rsidR="002B5FF9" w:rsidRPr="00607524">
              <w:rPr>
                <w:rFonts w:ascii="Bookman Old Style" w:hAnsi="Bookman Old Style" w:cstheme="minorHAnsi"/>
                <w:sz w:val="20"/>
                <w:szCs w:val="20"/>
                <w:lang w:val="en-US"/>
              </w:rPr>
              <w:t>Pasal 10</w:t>
            </w:r>
            <w:r w:rsidR="00CD660A"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ayat (3), dikenai sanksi administratif berupa teguran tertulis.</w:t>
            </w:r>
            <w:r w:rsidRPr="00607524">
              <w:rPr>
                <w:rFonts w:ascii="Bookman Old Style" w:hAnsi="Bookman Old Style"/>
              </w:rPr>
              <w:t xml:space="preserve"> </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E570BD" w:rsidRPr="00607524" w:rsidTr="00C8049C">
        <w:tc>
          <w:tcPr>
            <w:tcW w:w="571" w:type="pct"/>
          </w:tcPr>
          <w:p w:rsidR="00E570BD" w:rsidRPr="00607524" w:rsidRDefault="00E570BD" w:rsidP="00E857CB">
            <w:pPr>
              <w:tabs>
                <w:tab w:val="left" w:pos="6447"/>
              </w:tabs>
              <w:spacing w:before="60" w:after="60"/>
              <w:ind w:left="360"/>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35"/>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CD5E76" w:rsidRDefault="00E570BD" w:rsidP="00E570BD">
            <w:pPr>
              <w:tabs>
                <w:tab w:val="left" w:pos="6447"/>
              </w:tabs>
              <w:spacing w:before="60" w:after="60" w:line="276" w:lineRule="auto"/>
              <w:jc w:val="both"/>
              <w:rPr>
                <w:rFonts w:ascii="Bookman Old Style" w:hAnsi="Bookman Old Style" w:cstheme="minorHAnsi"/>
                <w:sz w:val="20"/>
                <w:szCs w:val="20"/>
                <w:lang w:val="id-ID"/>
              </w:rPr>
            </w:pPr>
            <w:r w:rsidRPr="00CD5E76">
              <w:rPr>
                <w:rFonts w:ascii="Bookman Old Style" w:hAnsi="Bookman Old Style" w:cstheme="minorHAnsi"/>
                <w:sz w:val="20"/>
                <w:szCs w:val="20"/>
                <w:lang w:val="id-ID"/>
              </w:rPr>
              <w:t>Dalam hal BPR</w:t>
            </w:r>
            <w:r w:rsidRPr="00CD5E76">
              <w:rPr>
                <w:rFonts w:ascii="Bookman Old Style" w:hAnsi="Bookman Old Style" w:cstheme="minorHAnsi"/>
                <w:sz w:val="20"/>
                <w:szCs w:val="20"/>
                <w:lang w:val="en-US"/>
              </w:rPr>
              <w:t xml:space="preserve"> </w:t>
            </w:r>
            <w:r w:rsidR="00E35199" w:rsidRPr="00CD5E76">
              <w:rPr>
                <w:rFonts w:ascii="Bookman Old Style" w:hAnsi="Bookman Old Style" w:cstheme="minorHAnsi"/>
                <w:sz w:val="20"/>
                <w:szCs w:val="20"/>
                <w:lang w:val="en-US"/>
              </w:rPr>
              <w:t xml:space="preserve">dan BPRS </w:t>
            </w:r>
            <w:r w:rsidRPr="00CD5E76">
              <w:rPr>
                <w:rFonts w:ascii="Bookman Old Style" w:hAnsi="Bookman Old Style" w:cstheme="minorHAnsi"/>
                <w:sz w:val="20"/>
                <w:szCs w:val="20"/>
                <w:lang w:val="en-US"/>
              </w:rPr>
              <w:t>tidak memenuhi ketentuan dan telah dikenai</w:t>
            </w:r>
            <w:r w:rsidRPr="00CD5E76">
              <w:rPr>
                <w:rFonts w:ascii="Bookman Old Style" w:hAnsi="Bookman Old Style" w:cstheme="minorHAnsi"/>
                <w:sz w:val="20"/>
                <w:szCs w:val="20"/>
                <w:lang w:val="id-ID"/>
              </w:rPr>
              <w:t xml:space="preserve"> sanksi administratif sebagaimana dimaksud pada ayat (1), BPR </w:t>
            </w:r>
            <w:r w:rsidR="00E35199" w:rsidRPr="00CD5E76">
              <w:rPr>
                <w:rFonts w:ascii="Bookman Old Style" w:hAnsi="Bookman Old Style" w:cstheme="minorHAnsi"/>
                <w:sz w:val="20"/>
                <w:szCs w:val="20"/>
                <w:lang w:val="en-US"/>
              </w:rPr>
              <w:t xml:space="preserve">dan BPRS </w:t>
            </w:r>
            <w:r w:rsidRPr="00CD5E76">
              <w:rPr>
                <w:rFonts w:ascii="Bookman Old Style" w:hAnsi="Bookman Old Style" w:cstheme="minorHAnsi"/>
                <w:sz w:val="20"/>
                <w:szCs w:val="20"/>
                <w:lang w:val="id-ID"/>
              </w:rPr>
              <w:t>dapat dikenai sanksi administratif berupa</w:t>
            </w:r>
            <w:r w:rsidRPr="00CD5E76">
              <w:rPr>
                <w:rFonts w:ascii="Bookman Old Style" w:hAnsi="Bookman Old Style" w:cstheme="minorHAnsi"/>
                <w:sz w:val="20"/>
                <w:szCs w:val="20"/>
                <w:lang w:val="en-US"/>
              </w:rPr>
              <w:t>:</w:t>
            </w:r>
            <w:r w:rsidRPr="00CD5E76">
              <w:rPr>
                <w:rFonts w:ascii="Bookman Old Style" w:hAnsi="Bookman Old Style" w:cstheme="minorHAnsi"/>
                <w:sz w:val="20"/>
                <w:szCs w:val="20"/>
                <w:lang w:val="id-ID"/>
              </w:rPr>
              <w:t xml:space="preserve"> </w:t>
            </w:r>
          </w:p>
        </w:tc>
        <w:tc>
          <w:tcPr>
            <w:tcW w:w="1568" w:type="pct"/>
          </w:tcPr>
          <w:p w:rsidR="00E570BD" w:rsidRPr="00607524" w:rsidRDefault="00E570BD" w:rsidP="00E570BD">
            <w:pPr>
              <w:spacing w:before="60" w:after="60" w:line="276" w:lineRule="auto"/>
              <w:rPr>
                <w:rFonts w:ascii="Bookman Old Style" w:hAnsi="Bookman Old Style"/>
                <w:sz w:val="20"/>
                <w:szCs w:val="20"/>
              </w:rPr>
            </w:pPr>
            <w:r w:rsidRPr="00607524">
              <w:rPr>
                <w:rFonts w:ascii="Bookman Old Style" w:hAnsi="Bookman Old Style"/>
                <w:sz w:val="20"/>
                <w:szCs w:val="20"/>
              </w:rPr>
              <w:t>Cukup jelas.</w:t>
            </w:r>
          </w:p>
        </w:tc>
      </w:tr>
      <w:tr w:rsidR="00E570BD" w:rsidRPr="00607524" w:rsidTr="00C8049C">
        <w:tc>
          <w:tcPr>
            <w:tcW w:w="571" w:type="pct"/>
          </w:tcPr>
          <w:p w:rsidR="00E570BD" w:rsidRPr="00607524" w:rsidRDefault="00E570BD" w:rsidP="00E570BD">
            <w:pPr>
              <w:tabs>
                <w:tab w:val="left" w:pos="6447"/>
              </w:tabs>
              <w:spacing w:before="60" w:after="60"/>
              <w:ind w:left="360"/>
              <w:jc w:val="center"/>
              <w:rPr>
                <w:rFonts w:ascii="Bookman Old Style" w:hAnsi="Bookman Old Style" w:cs="Arial"/>
                <w:sz w:val="20"/>
                <w:szCs w:val="20"/>
              </w:rPr>
            </w:pPr>
          </w:p>
        </w:tc>
        <w:tc>
          <w:tcPr>
            <w:tcW w:w="352" w:type="pct"/>
          </w:tcPr>
          <w:p w:rsidR="00E570BD" w:rsidRPr="00607524" w:rsidRDefault="00E570BD" w:rsidP="00E570BD">
            <w:pPr>
              <w:pStyle w:val="ListParagraph"/>
              <w:tabs>
                <w:tab w:val="left" w:pos="6447"/>
              </w:tabs>
              <w:spacing w:before="60" w:after="60"/>
              <w:ind w:left="360"/>
              <w:contextualSpacing w:val="0"/>
              <w:rPr>
                <w:rFonts w:ascii="Bookman Old Style" w:hAnsi="Bookman Old Style" w:cs="Arial"/>
                <w:sz w:val="20"/>
                <w:szCs w:val="20"/>
              </w:rPr>
            </w:pPr>
          </w:p>
        </w:tc>
        <w:tc>
          <w:tcPr>
            <w:tcW w:w="2509" w:type="pct"/>
          </w:tcPr>
          <w:p w:rsidR="00E570BD" w:rsidRPr="00CD5E76" w:rsidRDefault="00E570BD" w:rsidP="00A12E69">
            <w:pPr>
              <w:pStyle w:val="ListParagraph"/>
              <w:numPr>
                <w:ilvl w:val="0"/>
                <w:numId w:val="34"/>
              </w:numPr>
              <w:tabs>
                <w:tab w:val="left" w:pos="6447"/>
              </w:tabs>
              <w:spacing w:before="60" w:after="60"/>
              <w:jc w:val="both"/>
              <w:rPr>
                <w:rFonts w:ascii="Bookman Old Style" w:hAnsi="Bookman Old Style" w:cstheme="minorHAnsi"/>
                <w:sz w:val="20"/>
                <w:szCs w:val="20"/>
                <w:lang w:val="id-ID"/>
              </w:rPr>
            </w:pPr>
            <w:r w:rsidRPr="00CD5E76">
              <w:rPr>
                <w:rFonts w:ascii="Bookman Old Style" w:hAnsi="Bookman Old Style" w:cstheme="minorHAnsi"/>
                <w:sz w:val="20"/>
                <w:szCs w:val="20"/>
                <w:lang w:val="id-ID"/>
              </w:rPr>
              <w:t>penurunan tingkat kesehatan BPR dan BPRS</w:t>
            </w:r>
            <w:r w:rsidRPr="00CD5E76">
              <w:rPr>
                <w:rFonts w:ascii="Bookman Old Style" w:hAnsi="Bookman Old Style" w:cstheme="minorHAnsi"/>
                <w:sz w:val="20"/>
                <w:szCs w:val="20"/>
                <w:lang w:val="en-US"/>
              </w:rPr>
              <w:t xml:space="preserve"> satu predikat</w:t>
            </w:r>
            <w:r w:rsidRPr="00CD5E76">
              <w:rPr>
                <w:rFonts w:ascii="Bookman Old Style" w:hAnsi="Bookman Old Style" w:cstheme="minorHAnsi"/>
                <w:sz w:val="20"/>
                <w:szCs w:val="20"/>
                <w:lang w:val="id-ID"/>
              </w:rPr>
              <w:t>; dan/atau</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p>
        </w:tc>
      </w:tr>
      <w:tr w:rsidR="00E570BD" w:rsidRPr="00607524" w:rsidTr="00C8049C">
        <w:tc>
          <w:tcPr>
            <w:tcW w:w="571" w:type="pct"/>
          </w:tcPr>
          <w:p w:rsidR="00E570BD" w:rsidRPr="00607524" w:rsidRDefault="00E570BD" w:rsidP="00E570BD">
            <w:pPr>
              <w:tabs>
                <w:tab w:val="left" w:pos="6447"/>
              </w:tabs>
              <w:spacing w:before="60" w:after="60"/>
              <w:ind w:left="360"/>
              <w:jc w:val="center"/>
              <w:rPr>
                <w:rFonts w:ascii="Bookman Old Style" w:hAnsi="Bookman Old Style" w:cs="Arial"/>
                <w:sz w:val="20"/>
                <w:szCs w:val="20"/>
              </w:rPr>
            </w:pPr>
          </w:p>
        </w:tc>
        <w:tc>
          <w:tcPr>
            <w:tcW w:w="352" w:type="pct"/>
          </w:tcPr>
          <w:p w:rsidR="00E570BD" w:rsidRPr="00607524" w:rsidRDefault="00E570BD" w:rsidP="00E570BD">
            <w:pPr>
              <w:pStyle w:val="ListParagraph"/>
              <w:tabs>
                <w:tab w:val="left" w:pos="6447"/>
              </w:tabs>
              <w:spacing w:before="60" w:after="60"/>
              <w:ind w:left="360"/>
              <w:contextualSpacing w:val="0"/>
              <w:rPr>
                <w:rFonts w:ascii="Bookman Old Style" w:hAnsi="Bookman Old Style" w:cs="Arial"/>
                <w:sz w:val="20"/>
                <w:szCs w:val="20"/>
              </w:rPr>
            </w:pPr>
          </w:p>
        </w:tc>
        <w:tc>
          <w:tcPr>
            <w:tcW w:w="2509" w:type="pct"/>
          </w:tcPr>
          <w:p w:rsidR="00E570BD" w:rsidRPr="00607524" w:rsidRDefault="00E570BD" w:rsidP="00A12E69">
            <w:pPr>
              <w:pStyle w:val="ListParagraph"/>
              <w:numPr>
                <w:ilvl w:val="0"/>
                <w:numId w:val="34"/>
              </w:numPr>
              <w:tabs>
                <w:tab w:val="left" w:pos="6447"/>
              </w:tabs>
              <w:spacing w:before="60" w:after="60"/>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penghentian sementara sebagian kegiatan usaha BPR dan BPRS.</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p>
        </w:tc>
      </w:tr>
      <w:tr w:rsidR="00E570BD" w:rsidRPr="00607524" w:rsidTr="005D0ED5">
        <w:tc>
          <w:tcPr>
            <w:tcW w:w="5000" w:type="pct"/>
            <w:gridSpan w:val="4"/>
            <w:shd w:val="clear" w:color="auto" w:fill="EDEDED" w:themeFill="accent3" w:themeFillTint="33"/>
          </w:tcPr>
          <w:p w:rsidR="00E570BD" w:rsidRPr="00607524" w:rsidRDefault="00E570BD" w:rsidP="00A12E69">
            <w:pPr>
              <w:pStyle w:val="ListParagraph"/>
              <w:numPr>
                <w:ilvl w:val="0"/>
                <w:numId w:val="5"/>
              </w:numPr>
              <w:tabs>
                <w:tab w:val="left" w:pos="823"/>
              </w:tabs>
              <w:spacing w:before="60" w:after="60"/>
              <w:contextualSpacing w:val="0"/>
              <w:jc w:val="center"/>
              <w:rPr>
                <w:rFonts w:ascii="Bookman Old Style" w:hAnsi="Bookman Old Style" w:cstheme="minorHAnsi"/>
                <w:b/>
                <w:sz w:val="20"/>
                <w:szCs w:val="20"/>
              </w:rPr>
            </w:pPr>
            <w:r w:rsidRPr="00607524">
              <w:rPr>
                <w:rFonts w:ascii="Bookman Old Style" w:hAnsi="Bookman Old Style" w:cstheme="minorHAnsi"/>
                <w:b/>
                <w:sz w:val="20"/>
                <w:szCs w:val="20"/>
              </w:rPr>
              <w:t>PENYAMPAIAN, PERUBAHAN</w:t>
            </w:r>
            <w:r w:rsidR="002C40B2" w:rsidRPr="00607524">
              <w:rPr>
                <w:rFonts w:ascii="Bookman Old Style" w:hAnsi="Bookman Old Style" w:cstheme="minorHAnsi"/>
                <w:b/>
                <w:sz w:val="20"/>
                <w:szCs w:val="20"/>
              </w:rPr>
              <w:t>,</w:t>
            </w:r>
            <w:r w:rsidRPr="00607524">
              <w:rPr>
                <w:rFonts w:ascii="Bookman Old Style" w:hAnsi="Bookman Old Style" w:cstheme="minorHAnsi"/>
                <w:b/>
                <w:sz w:val="20"/>
                <w:szCs w:val="20"/>
              </w:rPr>
              <w:t xml:space="preserve"> DAN PELAPORAN RENCANA BISNIS</w:t>
            </w:r>
          </w:p>
        </w:tc>
      </w:tr>
      <w:tr w:rsidR="00E570BD" w:rsidRPr="00607524" w:rsidTr="00C8049C">
        <w:tc>
          <w:tcPr>
            <w:tcW w:w="571" w:type="pct"/>
          </w:tcPr>
          <w:p w:rsidR="00E570BD" w:rsidRPr="00607524" w:rsidRDefault="00E570BD" w:rsidP="00A12E6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12"/>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E570BD">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cstheme="minorHAnsi"/>
                <w:sz w:val="20"/>
                <w:szCs w:val="20"/>
              </w:rPr>
              <w:t xml:space="preserve">BPR dan BPRS wajib menyampaikan Rencana Bisnis sebagaimana dimaksud dalam Pasal 2 kepada Otoritas Jasa Keuangan paling lambat pada </w:t>
            </w:r>
            <w:r w:rsidRPr="00607524">
              <w:rPr>
                <w:rFonts w:ascii="Bookman Old Style" w:hAnsi="Bookman Old Style" w:cstheme="minorHAnsi"/>
                <w:sz w:val="20"/>
                <w:szCs w:val="20"/>
              </w:rPr>
              <w:lastRenderedPageBreak/>
              <w:t>tanggal 15 Desember sebelum tahun Rencana Bisnis dimulai.</w:t>
            </w:r>
          </w:p>
        </w:tc>
        <w:tc>
          <w:tcPr>
            <w:tcW w:w="1568" w:type="pct"/>
          </w:tcPr>
          <w:p w:rsidR="00E570BD" w:rsidRPr="00607524" w:rsidRDefault="00E570BD" w:rsidP="00E570BD">
            <w:pPr>
              <w:tabs>
                <w:tab w:val="left" w:pos="6447"/>
              </w:tabs>
              <w:spacing w:before="60" w:after="60" w:line="276" w:lineRule="auto"/>
              <w:jc w:val="both"/>
              <w:rPr>
                <w:rFonts w:ascii="Bookman Old Style" w:hAnsi="Bookman Old Style" w:cs="Arial"/>
                <w:sz w:val="20"/>
                <w:szCs w:val="20"/>
              </w:rPr>
            </w:pPr>
            <w:r w:rsidRPr="00607524">
              <w:rPr>
                <w:rFonts w:ascii="Bookman Old Style" w:hAnsi="Bookman Old Style"/>
                <w:sz w:val="20"/>
                <w:szCs w:val="20"/>
              </w:rPr>
              <w:lastRenderedPageBreak/>
              <w:t>Cukup jelas.</w:t>
            </w:r>
          </w:p>
        </w:tc>
      </w:tr>
      <w:tr w:rsidR="00E570BD" w:rsidRPr="00607524" w:rsidTr="00C8049C">
        <w:tc>
          <w:tcPr>
            <w:tcW w:w="571" w:type="pct"/>
          </w:tcPr>
          <w:p w:rsidR="00E570BD" w:rsidRPr="00607524" w:rsidRDefault="00E570BD" w:rsidP="00E570BD">
            <w:pPr>
              <w:tabs>
                <w:tab w:val="left" w:pos="6447"/>
              </w:tabs>
              <w:spacing w:before="60" w:after="60" w:line="276" w:lineRule="auto"/>
              <w:jc w:val="center"/>
              <w:rPr>
                <w:rFonts w:ascii="Bookman Old Style" w:hAnsi="Bookman Old Style" w:cs="Arial"/>
                <w:sz w:val="20"/>
                <w:szCs w:val="20"/>
              </w:rPr>
            </w:pPr>
          </w:p>
        </w:tc>
        <w:tc>
          <w:tcPr>
            <w:tcW w:w="352" w:type="pct"/>
          </w:tcPr>
          <w:p w:rsidR="00E570BD" w:rsidRPr="00607524" w:rsidRDefault="00E570BD" w:rsidP="00A12E69">
            <w:pPr>
              <w:pStyle w:val="ListParagraph"/>
              <w:numPr>
                <w:ilvl w:val="0"/>
                <w:numId w:val="12"/>
              </w:numPr>
              <w:tabs>
                <w:tab w:val="left" w:pos="6447"/>
              </w:tabs>
              <w:spacing w:before="60" w:after="60"/>
              <w:contextualSpacing w:val="0"/>
              <w:jc w:val="center"/>
              <w:rPr>
                <w:rFonts w:ascii="Bookman Old Style" w:hAnsi="Bookman Old Style" w:cs="Arial"/>
                <w:sz w:val="20"/>
                <w:szCs w:val="20"/>
              </w:rPr>
            </w:pPr>
          </w:p>
        </w:tc>
        <w:tc>
          <w:tcPr>
            <w:tcW w:w="2509" w:type="pct"/>
          </w:tcPr>
          <w:p w:rsidR="00E570BD" w:rsidRPr="00607524" w:rsidRDefault="00E570BD" w:rsidP="00E570BD">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Otoritas Jasa Keuangan dapat meminta BPR dan BPRS untuk melakukan presentasi atau memberikan penjelasan yang menyeluruh mengenai Rencana Bisnis yang disampaikan oleh BPR dan BPRS.</w:t>
            </w:r>
          </w:p>
        </w:tc>
        <w:tc>
          <w:tcPr>
            <w:tcW w:w="1568" w:type="pct"/>
          </w:tcPr>
          <w:p w:rsidR="00E570BD" w:rsidRPr="00607524" w:rsidRDefault="00E570BD" w:rsidP="00E570BD">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tabs>
                <w:tab w:val="left" w:pos="6447"/>
              </w:tabs>
              <w:spacing w:before="60" w:after="60" w:line="276" w:lineRule="auto"/>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12"/>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Apabila tanggal 15 Desember sebagaimana dimaksud pada ayat (1) jatuh pada hari Sabtu, hari Minggu, atau hari libur, batas waktu penyampaian Rencana Bisnis BPR dan BPRS jatuh pada hari kerja setelahnya.</w:t>
            </w:r>
          </w:p>
        </w:tc>
        <w:tc>
          <w:tcPr>
            <w:tcW w:w="1568" w:type="pct"/>
          </w:tcPr>
          <w:p w:rsidR="002C40B2" w:rsidRPr="00607524" w:rsidRDefault="002C40B2" w:rsidP="002C40B2">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pStyle w:val="ListParagraph"/>
              <w:numPr>
                <w:ilvl w:val="0"/>
                <w:numId w:val="4"/>
              </w:numPr>
              <w:tabs>
                <w:tab w:val="left" w:pos="6447"/>
              </w:tabs>
              <w:spacing w:before="60" w:after="60"/>
              <w:contextualSpacing w:val="0"/>
              <w:jc w:val="center"/>
              <w:rPr>
                <w:rFonts w:ascii="Bookman Old Style" w:hAnsi="Bookman Old Style" w:cs="Arial"/>
                <w:sz w:val="20"/>
                <w:szCs w:val="20"/>
              </w:rPr>
            </w:pPr>
            <w:r w:rsidRPr="00607524">
              <w:rPr>
                <w:rFonts w:ascii="Bookman Old Style" w:hAnsi="Bookman Old Style" w:cs="Arial"/>
                <w:sz w:val="20"/>
                <w:szCs w:val="20"/>
              </w:rPr>
              <w:t>1</w:t>
            </w:r>
          </w:p>
        </w:tc>
        <w:tc>
          <w:tcPr>
            <w:tcW w:w="352" w:type="pct"/>
          </w:tcPr>
          <w:p w:rsidR="002C40B2" w:rsidRPr="00607524" w:rsidRDefault="002C40B2" w:rsidP="002C40B2">
            <w:pPr>
              <w:pStyle w:val="ListParagraph"/>
              <w:numPr>
                <w:ilvl w:val="0"/>
                <w:numId w:val="29"/>
              </w:numPr>
              <w:tabs>
                <w:tab w:val="left" w:pos="6447"/>
              </w:tabs>
              <w:spacing w:before="60" w:after="60"/>
              <w:contextualSpacing w:val="0"/>
              <w:jc w:val="center"/>
              <w:rPr>
                <w:rFonts w:ascii="Bookman Old Style" w:hAnsi="Bookman Old Style" w:cs="Arial"/>
                <w:sz w:val="20"/>
                <w:szCs w:val="20"/>
              </w:rPr>
            </w:pPr>
          </w:p>
        </w:tc>
        <w:tc>
          <w:tcPr>
            <w:tcW w:w="2509" w:type="pct"/>
          </w:tcPr>
          <w:p w:rsidR="009D41DC" w:rsidRPr="00607524" w:rsidRDefault="002C40B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Otoritas Jasa Keuangan berwenang meminta BPR dan BPRS untuk melakukan penyesuaian terhadap Rencana Bisnis yang disampaikan oleh BPR dan BPRS</w:t>
            </w:r>
            <w:r w:rsidR="004408E7" w:rsidRPr="00607524">
              <w:rPr>
                <w:rFonts w:ascii="Bookman Old Style" w:hAnsi="Bookman Old Style" w:cstheme="minorHAnsi"/>
                <w:sz w:val="20"/>
                <w:szCs w:val="20"/>
              </w:rPr>
              <w:t>.</w:t>
            </w:r>
          </w:p>
          <w:p w:rsidR="009D41DC" w:rsidRPr="00607524" w:rsidRDefault="009D41DC" w:rsidP="009D41DC">
            <w:pPr>
              <w:rPr>
                <w:rFonts w:ascii="Bookman Old Style" w:hAnsi="Bookman Old Style" w:cstheme="minorHAnsi"/>
                <w:sz w:val="20"/>
                <w:szCs w:val="20"/>
              </w:rPr>
            </w:pPr>
          </w:p>
          <w:p w:rsidR="002C40B2" w:rsidRPr="00607524" w:rsidRDefault="009D41DC" w:rsidP="009D41DC">
            <w:pPr>
              <w:jc w:val="center"/>
              <w:rPr>
                <w:rFonts w:ascii="Bookman Old Style" w:hAnsi="Bookman Old Style" w:cstheme="minorHAnsi"/>
                <w:sz w:val="20"/>
                <w:szCs w:val="20"/>
              </w:rPr>
            </w:pPr>
            <w:r w:rsidRPr="00607524">
              <w:rPr>
                <w:rFonts w:ascii="Bookman Old Style" w:hAnsi="Bookman Old Style" w:cstheme="minorHAnsi"/>
                <w:sz w:val="20"/>
                <w:szCs w:val="20"/>
              </w:rPr>
              <w:t xml:space="preserve"> </w:t>
            </w:r>
          </w:p>
        </w:tc>
        <w:tc>
          <w:tcPr>
            <w:tcW w:w="1568" w:type="pct"/>
          </w:tcPr>
          <w:p w:rsidR="002C40B2" w:rsidRPr="00607524" w:rsidRDefault="004408E7" w:rsidP="004408E7">
            <w:pPr>
              <w:spacing w:before="60" w:line="276" w:lineRule="auto"/>
              <w:jc w:val="both"/>
              <w:rPr>
                <w:rFonts w:ascii="Bookman Old Style" w:hAnsi="Bookman Old Style"/>
                <w:sz w:val="20"/>
                <w:szCs w:val="20"/>
              </w:rPr>
            </w:pPr>
            <w:r w:rsidRPr="00607524">
              <w:rPr>
                <w:rFonts w:ascii="Bookman Old Style" w:hAnsi="Bookman Old Style"/>
                <w:sz w:val="20"/>
                <w:szCs w:val="20"/>
              </w:rPr>
              <w:t xml:space="preserve">Kewenangan Otoritas Jasa Keuangan untuk meminta penyesuaian Rencana Bisnis </w:t>
            </w:r>
            <w:r w:rsidR="002C40B2" w:rsidRPr="00607524">
              <w:rPr>
                <w:rFonts w:ascii="Bookman Old Style" w:hAnsi="Bookman Old Style"/>
                <w:sz w:val="20"/>
                <w:szCs w:val="20"/>
              </w:rPr>
              <w:t>antara lain:</w:t>
            </w:r>
          </w:p>
          <w:p w:rsidR="002C40B2" w:rsidRPr="00607524" w:rsidRDefault="002C40B2" w:rsidP="004408E7">
            <w:pPr>
              <w:pStyle w:val="ListParagraph"/>
              <w:numPr>
                <w:ilvl w:val="0"/>
                <w:numId w:val="42"/>
              </w:numPr>
              <w:spacing w:after="0"/>
              <w:contextualSpacing w:val="0"/>
              <w:jc w:val="both"/>
              <w:rPr>
                <w:rFonts w:ascii="Bookman Old Style" w:hAnsi="Bookman Old Style"/>
                <w:sz w:val="20"/>
                <w:szCs w:val="20"/>
              </w:rPr>
            </w:pPr>
            <w:r w:rsidRPr="00607524">
              <w:rPr>
                <w:rFonts w:ascii="Bookman Old Style" w:hAnsi="Bookman Old Style" w:cstheme="minorHAnsi"/>
                <w:sz w:val="20"/>
                <w:szCs w:val="20"/>
              </w:rPr>
              <w:t xml:space="preserve">rencana Bisnis dinilai belum memenuhi cakupan Rencana Bisnis sebagaimana diatur dalam Peraturan Otoritas Jasa Keuangan ini; </w:t>
            </w:r>
          </w:p>
          <w:p w:rsidR="002C40B2" w:rsidRPr="00607524" w:rsidRDefault="002C40B2" w:rsidP="002C40B2">
            <w:pPr>
              <w:pStyle w:val="ListParagraph"/>
              <w:numPr>
                <w:ilvl w:val="0"/>
                <w:numId w:val="42"/>
              </w:numPr>
              <w:spacing w:before="60" w:after="60"/>
              <w:jc w:val="both"/>
              <w:rPr>
                <w:rFonts w:ascii="Bookman Old Style" w:hAnsi="Bookman Old Style"/>
                <w:sz w:val="20"/>
                <w:szCs w:val="20"/>
              </w:rPr>
            </w:pPr>
            <w:r w:rsidRPr="00607524">
              <w:rPr>
                <w:rFonts w:ascii="Bookman Old Style" w:hAnsi="Bookman Old Style"/>
                <w:sz w:val="20"/>
                <w:szCs w:val="20"/>
              </w:rPr>
              <w:t xml:space="preserve">upaya untuk mendukung kebijakan pemerintah pusat atau daerah dan/atau  memenuhi </w:t>
            </w:r>
            <w:r w:rsidRPr="00607524">
              <w:rPr>
                <w:rFonts w:ascii="Bookman Old Style" w:hAnsi="Bookman Old Style" w:cstheme="minorHAnsi"/>
                <w:sz w:val="20"/>
                <w:szCs w:val="20"/>
              </w:rPr>
              <w:t>persyaratan ketentuan peraturan perundang-undangan; dan/atau</w:t>
            </w:r>
          </w:p>
          <w:p w:rsidR="002C40B2" w:rsidRPr="00607524" w:rsidRDefault="004408E7" w:rsidP="009D41DC">
            <w:pPr>
              <w:pStyle w:val="ListParagraph"/>
              <w:numPr>
                <w:ilvl w:val="0"/>
                <w:numId w:val="42"/>
              </w:numPr>
              <w:spacing w:before="60" w:after="60"/>
              <w:jc w:val="both"/>
              <w:rPr>
                <w:sz w:val="20"/>
                <w:szCs w:val="20"/>
              </w:rPr>
            </w:pPr>
            <w:r w:rsidRPr="00607524">
              <w:rPr>
                <w:rFonts w:ascii="Bookman Old Style" w:hAnsi="Bookman Old Style" w:cstheme="minorHAnsi"/>
                <w:sz w:val="20"/>
                <w:szCs w:val="20"/>
              </w:rPr>
              <w:t xml:space="preserve">terdapat bencana alam, non alam atau </w:t>
            </w:r>
            <w:r w:rsidR="002C40B2" w:rsidRPr="00607524">
              <w:rPr>
                <w:rFonts w:ascii="Bookman Old Style" w:hAnsi="Bookman Old Style" w:cstheme="minorHAnsi"/>
                <w:sz w:val="20"/>
                <w:szCs w:val="20"/>
              </w:rPr>
              <w:t xml:space="preserve">kondisi lain yang dinilai </w:t>
            </w:r>
            <w:r w:rsidRPr="00607524">
              <w:rPr>
                <w:rFonts w:ascii="Bookman Old Style" w:hAnsi="Bookman Old Style" w:cstheme="minorHAnsi"/>
                <w:sz w:val="20"/>
                <w:szCs w:val="20"/>
              </w:rPr>
              <w:t xml:space="preserve">dapat </w:t>
            </w:r>
            <w:r w:rsidR="002C40B2" w:rsidRPr="00607524">
              <w:rPr>
                <w:rFonts w:ascii="Bookman Old Style" w:hAnsi="Bookman Old Style" w:cstheme="minorHAnsi"/>
                <w:sz w:val="20"/>
                <w:szCs w:val="20"/>
              </w:rPr>
              <w:t>memengaruhi kelangsungan kegiatan usaha BPR</w:t>
            </w:r>
            <w:r w:rsidR="009D41DC" w:rsidRPr="00607524">
              <w:rPr>
                <w:rFonts w:ascii="Bookman Old Style" w:hAnsi="Bookman Old Style" w:cstheme="minorHAnsi"/>
                <w:sz w:val="20"/>
                <w:szCs w:val="20"/>
              </w:rPr>
              <w:t xml:space="preserve"> atau BPRS</w:t>
            </w:r>
            <w:r w:rsidRPr="00607524">
              <w:rPr>
                <w:rFonts w:ascii="Bookman Old Style" w:hAnsi="Bookman Old Style" w:cstheme="minorHAnsi"/>
                <w:sz w:val="20"/>
                <w:szCs w:val="20"/>
              </w:rPr>
              <w:t xml:space="preserve"> dan/atau perkembangan bisnis BPR atau BPRS</w:t>
            </w:r>
            <w:r w:rsidR="002C40B2" w:rsidRPr="00607524">
              <w:rPr>
                <w:rFonts w:ascii="Bookman Old Style" w:hAnsi="Bookman Old Style" w:cstheme="minorHAnsi"/>
                <w:sz w:val="20"/>
                <w:szCs w:val="20"/>
              </w:rPr>
              <w:t>.</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29"/>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BPR dan BPRS wajib menyampaikan penyesuaian terhadap Rencana Bisnis sebagaimana dimaksud pada ayat (1) kepada Otoritas Jasa Keuangan paling lambat 20 (dua puluh) hari kerja setelah tanggal surat Otoritas Jasa Keuangan.</w:t>
            </w:r>
          </w:p>
        </w:tc>
        <w:tc>
          <w:tcPr>
            <w:tcW w:w="1568" w:type="pct"/>
          </w:tcPr>
          <w:p w:rsidR="002C40B2" w:rsidRPr="00607524" w:rsidRDefault="002C40B2" w:rsidP="002C40B2">
            <w:pPr>
              <w:spacing w:before="60" w:after="60" w:line="276" w:lineRule="auto"/>
              <w:jc w:val="both"/>
              <w:rPr>
                <w:rFonts w:ascii="Bookman Old Style" w:eastAsiaTheme="minorEastAsia"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43"/>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607524">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BPR dan BPRS hanya dapat melakukan perubahan terhadap Rencana Bisnis sebagaimana dimaksud dalam Pasal 2, </w:t>
            </w:r>
            <w:r w:rsidR="00582D32" w:rsidRPr="00607524">
              <w:rPr>
                <w:rFonts w:ascii="Bookman Old Style" w:hAnsi="Bookman Old Style" w:cstheme="minorHAnsi"/>
                <w:sz w:val="20"/>
                <w:szCs w:val="20"/>
              </w:rPr>
              <w:t>dalam hal</w:t>
            </w:r>
            <w:r w:rsidRPr="00607524">
              <w:rPr>
                <w:rFonts w:ascii="Bookman Old Style" w:hAnsi="Bookman Old Style" w:cstheme="minorHAnsi"/>
                <w:sz w:val="20"/>
                <w:szCs w:val="20"/>
              </w:rPr>
              <w:t>:</w:t>
            </w:r>
          </w:p>
        </w:tc>
        <w:tc>
          <w:tcPr>
            <w:tcW w:w="1568" w:type="pct"/>
          </w:tcPr>
          <w:p w:rsidR="002C40B2" w:rsidRPr="00607524" w:rsidRDefault="002C40B2" w:rsidP="002C40B2">
            <w:pPr>
              <w:spacing w:before="60" w:after="60" w:line="276" w:lineRule="auto"/>
              <w:jc w:val="both"/>
              <w:rPr>
                <w:rFonts w:ascii="Bookman Old Style" w:eastAsiaTheme="minorEastAsia" w:hAnsi="Bookman Old Style"/>
                <w:sz w:val="20"/>
                <w:szCs w:val="20"/>
              </w:rPr>
            </w:pPr>
            <w:r w:rsidRPr="00607524">
              <w:rPr>
                <w:rFonts w:ascii="Bookman Old Style" w:eastAsiaTheme="minorEastAsia" w:hAnsi="Bookman Old Style"/>
                <w:sz w:val="20"/>
                <w:szCs w:val="20"/>
              </w:rPr>
              <w:t xml:space="preserve">Perubahan Rencana Bisnis yang disampaikan oleh BPR dan BPRS disertai dengan </w:t>
            </w:r>
            <w:r w:rsidRPr="00607524">
              <w:rPr>
                <w:rFonts w:ascii="Bookman Old Style" w:eastAsiaTheme="minorEastAsia" w:hAnsi="Bookman Old Style"/>
                <w:sz w:val="20"/>
                <w:szCs w:val="20"/>
              </w:rPr>
              <w:lastRenderedPageBreak/>
              <w:t>alasan perubahan secara tertulis.</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2C40B2">
            <w:pPr>
              <w:pStyle w:val="ListParagraph"/>
              <w:numPr>
                <w:ilvl w:val="0"/>
                <w:numId w:val="30"/>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terdapat faktor ekstern</w:t>
            </w:r>
            <w:r w:rsidR="004408E7" w:rsidRPr="00607524">
              <w:rPr>
                <w:rFonts w:ascii="Bookman Old Style" w:hAnsi="Bookman Old Style" w:cstheme="minorHAnsi"/>
                <w:sz w:val="20"/>
                <w:szCs w:val="20"/>
              </w:rPr>
              <w:t>al</w:t>
            </w:r>
            <w:r w:rsidRPr="00607524">
              <w:rPr>
                <w:rFonts w:ascii="Bookman Old Style" w:hAnsi="Bookman Old Style" w:cstheme="minorHAnsi"/>
                <w:sz w:val="20"/>
                <w:szCs w:val="20"/>
              </w:rPr>
              <w:t xml:space="preserve"> dan intern</w:t>
            </w:r>
            <w:r w:rsidR="004408E7" w:rsidRPr="00607524">
              <w:rPr>
                <w:rFonts w:ascii="Bookman Old Style" w:hAnsi="Bookman Old Style" w:cstheme="minorHAnsi"/>
                <w:sz w:val="20"/>
                <w:szCs w:val="20"/>
              </w:rPr>
              <w:t>al</w:t>
            </w:r>
            <w:r w:rsidRPr="00607524">
              <w:rPr>
                <w:rFonts w:ascii="Bookman Old Style" w:hAnsi="Bookman Old Style" w:cstheme="minorHAnsi"/>
                <w:sz w:val="20"/>
                <w:szCs w:val="20"/>
              </w:rPr>
              <w:t xml:space="preserve"> yang secara signifikan memengaruhi </w:t>
            </w:r>
            <w:r w:rsidR="004408E7" w:rsidRPr="00607524">
              <w:rPr>
                <w:rFonts w:ascii="Bookman Old Style" w:hAnsi="Bookman Old Style" w:cstheme="minorHAnsi"/>
                <w:sz w:val="20"/>
                <w:szCs w:val="20"/>
              </w:rPr>
              <w:t xml:space="preserve">kegiatan </w:t>
            </w:r>
            <w:r w:rsidRPr="00607524">
              <w:rPr>
                <w:rFonts w:ascii="Bookman Old Style" w:hAnsi="Bookman Old Style" w:cstheme="minorHAnsi"/>
                <w:sz w:val="20"/>
                <w:szCs w:val="20"/>
              </w:rPr>
              <w:t>operasional BPR atau BPRS; dan/atau</w:t>
            </w:r>
          </w:p>
        </w:tc>
        <w:tc>
          <w:tcPr>
            <w:tcW w:w="1568" w:type="pct"/>
          </w:tcPr>
          <w:p w:rsidR="004408E7" w:rsidRPr="00607524" w:rsidRDefault="004408E7" w:rsidP="002C40B2">
            <w:pPr>
              <w:spacing w:before="60" w:after="60" w:line="276" w:lineRule="auto"/>
              <w:jc w:val="both"/>
              <w:rPr>
                <w:rFonts w:ascii="Bookman Old Style" w:eastAsiaTheme="minorEastAsia" w:hAnsi="Bookman Old Style"/>
                <w:sz w:val="20"/>
                <w:szCs w:val="20"/>
              </w:rPr>
            </w:pPr>
            <w:r w:rsidRPr="00607524">
              <w:rPr>
                <w:rFonts w:ascii="Bookman Old Style" w:eastAsiaTheme="minorEastAsia" w:hAnsi="Bookman Old Style"/>
                <w:sz w:val="20"/>
                <w:szCs w:val="20"/>
              </w:rPr>
              <w:t>Cukup jelas.</w:t>
            </w:r>
          </w:p>
          <w:p w:rsidR="002C40B2" w:rsidRPr="00607524" w:rsidRDefault="002C40B2" w:rsidP="002C40B2">
            <w:pPr>
              <w:spacing w:before="60" w:after="60" w:line="276" w:lineRule="auto"/>
              <w:jc w:val="both"/>
              <w:rPr>
                <w:rFonts w:ascii="Bookman Old Style" w:eastAsiaTheme="minorEastAsia" w:hAnsi="Bookman Old Style"/>
                <w:sz w:val="20"/>
                <w:szCs w:val="20"/>
              </w:rPr>
            </w:pP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2C40B2">
            <w:pPr>
              <w:pStyle w:val="ListParagraph"/>
              <w:numPr>
                <w:ilvl w:val="0"/>
                <w:numId w:val="30"/>
              </w:numPr>
              <w:tabs>
                <w:tab w:val="left" w:pos="6447"/>
              </w:tabs>
              <w:spacing w:before="60" w:after="60"/>
              <w:jc w:val="both"/>
              <w:rPr>
                <w:rFonts w:ascii="Bookman Old Style" w:hAnsi="Bookman Old Style" w:cstheme="minorHAnsi"/>
                <w:sz w:val="20"/>
                <w:szCs w:val="20"/>
              </w:rPr>
            </w:pPr>
            <w:r w:rsidRPr="00607524">
              <w:rPr>
                <w:rFonts w:ascii="Bookman Old Style" w:hAnsi="Bookman Old Style" w:cstheme="minorHAnsi"/>
                <w:sz w:val="20"/>
                <w:szCs w:val="20"/>
              </w:rPr>
              <w:t>terdapat faktor yang secara signifikan memengaruhi kinerja BPR atau BPRS, berdasarkan pertimbangan Otoritas Jasa Keuangan.</w:t>
            </w:r>
          </w:p>
        </w:tc>
        <w:tc>
          <w:tcPr>
            <w:tcW w:w="1568" w:type="pct"/>
          </w:tcPr>
          <w:p w:rsidR="002C40B2" w:rsidRPr="00607524" w:rsidRDefault="002C40B2" w:rsidP="002C40B2">
            <w:pPr>
              <w:spacing w:before="60" w:after="60" w:line="276" w:lineRule="auto"/>
              <w:jc w:val="both"/>
              <w:rPr>
                <w:rFonts w:ascii="Bookman Old Style" w:eastAsiaTheme="minorEastAsia" w:hAnsi="Bookman Old Style"/>
                <w:sz w:val="20"/>
                <w:szCs w:val="20"/>
              </w:rPr>
            </w:pPr>
            <w:r w:rsidRPr="00607524">
              <w:rPr>
                <w:rFonts w:ascii="Bookman Old Style" w:eastAsiaTheme="minorEastAsia" w:hAnsi="Bookman Old Style"/>
                <w:sz w:val="20"/>
                <w:szCs w:val="20"/>
              </w:rPr>
              <w:t>Faktor yang secara signifikan memengaruhi kinerja BPR dan BPRS antara lain permasalahan solvabilitas, likuiditas, dan/atau permasalahan ekstern</w:t>
            </w:r>
            <w:r w:rsidR="006D1C74" w:rsidRPr="00607524">
              <w:rPr>
                <w:rFonts w:ascii="Bookman Old Style" w:eastAsiaTheme="minorEastAsia" w:hAnsi="Bookman Old Style"/>
                <w:sz w:val="20"/>
                <w:szCs w:val="20"/>
              </w:rPr>
              <w:t>al</w:t>
            </w:r>
            <w:r w:rsidRPr="00607524">
              <w:rPr>
                <w:rFonts w:ascii="Bookman Old Style" w:eastAsiaTheme="minorEastAsia" w:hAnsi="Bookman Old Style"/>
                <w:sz w:val="20"/>
                <w:szCs w:val="20"/>
              </w:rPr>
              <w:t xml:space="preserve"> yang secara signifikan berdampak pada kinerja BPR atau BPRS.</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43"/>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Otoritas Jasa Keuangan dapat meminta BPR dan BPRS untuk melakukan presentasi atau memberikan penjelasan yang menyeluruh mengenai perubahan Rencana Bisnis.</w:t>
            </w:r>
          </w:p>
        </w:tc>
        <w:tc>
          <w:tcPr>
            <w:tcW w:w="1568" w:type="pct"/>
          </w:tcPr>
          <w:p w:rsidR="002C40B2" w:rsidRPr="00607524" w:rsidRDefault="002C40B2" w:rsidP="002C40B2">
            <w:pPr>
              <w:spacing w:before="60" w:after="60" w:line="276" w:lineRule="auto"/>
              <w:jc w:val="both"/>
              <w:rPr>
                <w:rFonts w:ascii="Bookman Old Style" w:eastAsiaTheme="minorEastAsia"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43"/>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Perubahan Rencana Bisnis sebagaimana dimaksud pada ayat (1) huruf a hanya dapat dilakukan 1 (satu) kali, dan </w:t>
            </w:r>
            <w:r w:rsidR="002B77C6" w:rsidRPr="00607524">
              <w:rPr>
                <w:rFonts w:ascii="Bookman Old Style" w:hAnsi="Bookman Old Style" w:cstheme="minorHAnsi"/>
                <w:sz w:val="20"/>
                <w:szCs w:val="20"/>
              </w:rPr>
              <w:t xml:space="preserve">wajib </w:t>
            </w:r>
            <w:r w:rsidRPr="00607524">
              <w:rPr>
                <w:rFonts w:ascii="Bookman Old Style" w:hAnsi="Bookman Old Style" w:cstheme="minorHAnsi"/>
                <w:sz w:val="20"/>
                <w:szCs w:val="20"/>
              </w:rPr>
              <w:t>disampaikan kepada Otoritas Jasa Keuangan paling lambat pada akhir bulan Juni tahun berjalan.</w:t>
            </w:r>
          </w:p>
        </w:tc>
        <w:tc>
          <w:tcPr>
            <w:tcW w:w="1568" w:type="pct"/>
          </w:tcPr>
          <w:p w:rsidR="006D1C74" w:rsidRPr="00607524" w:rsidRDefault="006D1C74" w:rsidP="002C40B2">
            <w:pPr>
              <w:spacing w:before="60" w:after="60" w:line="276" w:lineRule="auto"/>
              <w:jc w:val="both"/>
              <w:rPr>
                <w:rFonts w:ascii="Bookman Old Style" w:eastAsiaTheme="minorEastAsia" w:hAnsi="Bookman Old Style"/>
                <w:strike/>
                <w:sz w:val="20"/>
                <w:szCs w:val="20"/>
              </w:rPr>
            </w:pPr>
            <w:r w:rsidRPr="00607524">
              <w:rPr>
                <w:rFonts w:ascii="Bookman Old Style" w:hAnsi="Bookman Old Style"/>
                <w:sz w:val="20"/>
                <w:szCs w:val="20"/>
              </w:rPr>
              <w:t>Cukup jelas.</w:t>
            </w:r>
          </w:p>
          <w:p w:rsidR="002C40B2" w:rsidRPr="00607524" w:rsidRDefault="002C40B2" w:rsidP="002C40B2">
            <w:pPr>
              <w:spacing w:before="60" w:after="60" w:line="276" w:lineRule="auto"/>
              <w:jc w:val="both"/>
              <w:rPr>
                <w:rFonts w:ascii="Bookman Old Style" w:eastAsiaTheme="minorEastAsia" w:hAnsi="Bookman Old Style"/>
                <w:strike/>
                <w:sz w:val="20"/>
                <w:szCs w:val="20"/>
              </w:rPr>
            </w:pP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43"/>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607524">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Perubahan Rencana Bisnis sebagaimana dimaksud pada ayat (3) hanya dapat dilaksanakan paling cepat </w:t>
            </w:r>
            <w:r w:rsidR="00582D32" w:rsidRPr="00607524">
              <w:rPr>
                <w:rFonts w:ascii="Bookman Old Style" w:hAnsi="Bookman Old Style" w:cstheme="minorHAnsi"/>
                <w:sz w:val="20"/>
                <w:szCs w:val="20"/>
              </w:rPr>
              <w:t xml:space="preserve">20 </w:t>
            </w:r>
            <w:r w:rsidR="002B77C6" w:rsidRPr="00607524">
              <w:rPr>
                <w:rFonts w:ascii="Bookman Old Style" w:hAnsi="Bookman Old Style" w:cstheme="minorHAnsi"/>
                <w:sz w:val="20"/>
                <w:szCs w:val="20"/>
              </w:rPr>
              <w:t>(</w:t>
            </w:r>
            <w:r w:rsidR="00582D32" w:rsidRPr="00607524">
              <w:rPr>
                <w:rFonts w:ascii="Bookman Old Style" w:hAnsi="Bookman Old Style" w:cstheme="minorHAnsi"/>
                <w:sz w:val="20"/>
                <w:szCs w:val="20"/>
              </w:rPr>
              <w:t xml:space="preserve">dua </w:t>
            </w:r>
            <w:r w:rsidRPr="00607524">
              <w:rPr>
                <w:rFonts w:ascii="Bookman Old Style" w:hAnsi="Bookman Old Style" w:cstheme="minorHAnsi"/>
                <w:sz w:val="20"/>
                <w:szCs w:val="20"/>
              </w:rPr>
              <w:t xml:space="preserve">puluh) hari </w:t>
            </w:r>
            <w:r w:rsidR="00582D32" w:rsidRPr="00607524">
              <w:rPr>
                <w:rFonts w:ascii="Bookman Old Style" w:hAnsi="Bookman Old Style" w:cstheme="minorHAnsi"/>
                <w:sz w:val="20"/>
                <w:szCs w:val="20"/>
              </w:rPr>
              <w:t xml:space="preserve">kerja </w:t>
            </w:r>
            <w:r w:rsidRPr="00607524">
              <w:rPr>
                <w:rFonts w:ascii="Bookman Old Style" w:hAnsi="Bookman Old Style" w:cstheme="minorHAnsi"/>
                <w:sz w:val="20"/>
                <w:szCs w:val="20"/>
              </w:rPr>
              <w:t>setelah tanggal penyampaian perubahan Rencana Bisnis.</w:t>
            </w:r>
          </w:p>
        </w:tc>
        <w:tc>
          <w:tcPr>
            <w:tcW w:w="1568" w:type="pct"/>
          </w:tcPr>
          <w:p w:rsidR="002C40B2" w:rsidRPr="00607524" w:rsidRDefault="002C40B2" w:rsidP="002C40B2">
            <w:pPr>
              <w:spacing w:before="60" w:after="60" w:line="276" w:lineRule="auto"/>
              <w:jc w:val="both"/>
              <w:rPr>
                <w:rFonts w:ascii="Bookman Old Style" w:eastAsiaTheme="minorEastAsia"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shd w:val="clear" w:color="auto" w:fill="auto"/>
          </w:tcPr>
          <w:p w:rsidR="002C40B2" w:rsidRPr="00607524" w:rsidRDefault="002C40B2" w:rsidP="002C40B2">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shd w:val="clear" w:color="auto" w:fill="auto"/>
          </w:tcPr>
          <w:p w:rsidR="002C40B2" w:rsidRPr="00607524" w:rsidRDefault="002C40B2" w:rsidP="002C40B2">
            <w:pPr>
              <w:pStyle w:val="ListParagraph"/>
              <w:numPr>
                <w:ilvl w:val="0"/>
                <w:numId w:val="15"/>
              </w:numPr>
              <w:tabs>
                <w:tab w:val="left" w:pos="6447"/>
              </w:tabs>
              <w:spacing w:before="60" w:after="60"/>
              <w:contextualSpacing w:val="0"/>
              <w:jc w:val="center"/>
              <w:rPr>
                <w:rFonts w:ascii="Bookman Old Style" w:hAnsi="Bookman Old Style" w:cs="Arial"/>
                <w:sz w:val="20"/>
                <w:szCs w:val="20"/>
              </w:rPr>
            </w:pPr>
          </w:p>
        </w:tc>
        <w:tc>
          <w:tcPr>
            <w:tcW w:w="2509" w:type="pct"/>
            <w:shd w:val="clear" w:color="auto" w:fill="auto"/>
          </w:tcPr>
          <w:p w:rsidR="002C40B2" w:rsidRPr="00607524" w:rsidRDefault="002C40B2" w:rsidP="00582D3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BPR dan BPRS wajib menyampaikan Laporan Pelaksanaan dan </w:t>
            </w:r>
            <w:r w:rsidR="00582D32" w:rsidRPr="00607524">
              <w:rPr>
                <w:rFonts w:ascii="Bookman Old Style" w:hAnsi="Bookman Old Style" w:cstheme="minorHAnsi"/>
                <w:sz w:val="20"/>
                <w:szCs w:val="20"/>
              </w:rPr>
              <w:t>Pengawasan</w:t>
            </w:r>
            <w:r w:rsidRPr="00607524">
              <w:rPr>
                <w:rFonts w:ascii="Bookman Old Style" w:hAnsi="Bookman Old Style" w:cstheme="minorHAnsi"/>
                <w:sz w:val="20"/>
                <w:szCs w:val="20"/>
              </w:rPr>
              <w:t xml:space="preserve"> Rencana Bisnis secara semesteran.</w:t>
            </w:r>
          </w:p>
        </w:tc>
        <w:tc>
          <w:tcPr>
            <w:tcW w:w="1568" w:type="pct"/>
            <w:shd w:val="clear" w:color="auto" w:fill="auto"/>
          </w:tcPr>
          <w:p w:rsidR="002C40B2" w:rsidRPr="00607524" w:rsidRDefault="00582D32" w:rsidP="00582D32">
            <w:pPr>
              <w:spacing w:before="60" w:after="60" w:line="276" w:lineRule="auto"/>
              <w:jc w:val="both"/>
            </w:pPr>
            <w:r w:rsidRPr="00607524">
              <w:rPr>
                <w:rFonts w:ascii="Bookman Old Style" w:hAnsi="Bookman Old Style" w:cstheme="minorHAnsi"/>
                <w:sz w:val="20"/>
                <w:szCs w:val="20"/>
              </w:rPr>
              <w:t>Yang dimaksud dengan “semesteran” adalah posisi akhir bulan Juni dan Desember.</w:t>
            </w:r>
          </w:p>
        </w:tc>
      </w:tr>
      <w:tr w:rsidR="003E3CAE" w:rsidRPr="00607524" w:rsidTr="00C8049C">
        <w:tc>
          <w:tcPr>
            <w:tcW w:w="571" w:type="pct"/>
            <w:shd w:val="clear" w:color="auto" w:fill="auto"/>
          </w:tcPr>
          <w:p w:rsidR="003E3CAE" w:rsidRPr="003E3CAE" w:rsidRDefault="003E3CAE" w:rsidP="003E3CAE">
            <w:pPr>
              <w:tabs>
                <w:tab w:val="left" w:pos="6447"/>
              </w:tabs>
              <w:spacing w:before="60" w:after="60"/>
              <w:ind w:left="360"/>
              <w:jc w:val="center"/>
              <w:rPr>
                <w:rFonts w:ascii="Bookman Old Style" w:hAnsi="Bookman Old Style" w:cs="Arial"/>
                <w:sz w:val="20"/>
                <w:szCs w:val="20"/>
              </w:rPr>
            </w:pPr>
          </w:p>
        </w:tc>
        <w:tc>
          <w:tcPr>
            <w:tcW w:w="352" w:type="pct"/>
            <w:shd w:val="clear" w:color="auto" w:fill="auto"/>
          </w:tcPr>
          <w:p w:rsidR="003E3CAE" w:rsidRPr="00607524" w:rsidRDefault="003E3CAE" w:rsidP="003E3CAE">
            <w:pPr>
              <w:pStyle w:val="ListParagraph"/>
              <w:numPr>
                <w:ilvl w:val="0"/>
                <w:numId w:val="15"/>
              </w:numPr>
              <w:tabs>
                <w:tab w:val="left" w:pos="6447"/>
              </w:tabs>
              <w:spacing w:before="60" w:after="60"/>
              <w:contextualSpacing w:val="0"/>
              <w:jc w:val="center"/>
              <w:rPr>
                <w:rFonts w:ascii="Bookman Old Style" w:hAnsi="Bookman Old Style" w:cs="Arial"/>
                <w:sz w:val="20"/>
                <w:szCs w:val="20"/>
              </w:rPr>
            </w:pPr>
          </w:p>
        </w:tc>
        <w:tc>
          <w:tcPr>
            <w:tcW w:w="2509" w:type="pct"/>
            <w:shd w:val="clear" w:color="auto" w:fill="auto"/>
          </w:tcPr>
          <w:p w:rsidR="003E3CAE" w:rsidRPr="003E3CAE" w:rsidRDefault="003E3CAE" w:rsidP="003E3CAE">
            <w:pPr>
              <w:tabs>
                <w:tab w:val="left" w:pos="6447"/>
              </w:tabs>
              <w:spacing w:before="60" w:after="60" w:line="276" w:lineRule="auto"/>
              <w:jc w:val="both"/>
              <w:rPr>
                <w:rFonts w:ascii="Bookman Old Style" w:hAnsi="Bookman Old Style" w:cstheme="minorHAnsi"/>
                <w:color w:val="000000" w:themeColor="text1"/>
                <w:sz w:val="20"/>
                <w:szCs w:val="20"/>
              </w:rPr>
            </w:pPr>
            <w:r w:rsidRPr="003E3CAE">
              <w:rPr>
                <w:rFonts w:ascii="Bookman Old Style" w:hAnsi="Bookman Old Style" w:cstheme="minorHAnsi"/>
                <w:color w:val="000000" w:themeColor="text1"/>
                <w:sz w:val="20"/>
                <w:szCs w:val="20"/>
              </w:rPr>
              <w:t>Laporan sebagaimana dimaksud pada ayat (1) wajib ditandatangani oleh Direksi dan Dewan Komisaris BPR atau BPRS.</w:t>
            </w:r>
          </w:p>
        </w:tc>
        <w:tc>
          <w:tcPr>
            <w:tcW w:w="1568" w:type="pct"/>
            <w:shd w:val="clear" w:color="auto" w:fill="auto"/>
          </w:tcPr>
          <w:p w:rsidR="003E3CAE" w:rsidRPr="003E3CAE" w:rsidRDefault="003E3CAE" w:rsidP="003E3CAE">
            <w:pPr>
              <w:spacing w:before="60" w:after="60" w:line="276" w:lineRule="auto"/>
              <w:jc w:val="both"/>
              <w:rPr>
                <w:rFonts w:ascii="Bookman Old Style" w:hAnsi="Bookman Old Style" w:cstheme="minorHAnsi"/>
                <w:color w:val="000000" w:themeColor="text1"/>
                <w:sz w:val="20"/>
                <w:szCs w:val="20"/>
              </w:rPr>
            </w:pPr>
            <w:r w:rsidRPr="003E3CAE">
              <w:rPr>
                <w:rFonts w:ascii="Bookman Old Style" w:hAnsi="Bookman Old Style" w:cstheme="minorHAnsi"/>
                <w:color w:val="000000" w:themeColor="text1"/>
                <w:sz w:val="20"/>
                <w:szCs w:val="20"/>
              </w:rPr>
              <w:t>Cukup jelas.</w:t>
            </w:r>
          </w:p>
        </w:tc>
      </w:tr>
      <w:tr w:rsidR="002C40B2" w:rsidRPr="00607524" w:rsidTr="00C8049C">
        <w:tc>
          <w:tcPr>
            <w:tcW w:w="571" w:type="pct"/>
            <w:shd w:val="clear" w:color="auto" w:fill="auto"/>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shd w:val="clear" w:color="auto" w:fill="auto"/>
          </w:tcPr>
          <w:p w:rsidR="002C40B2" w:rsidRPr="00607524" w:rsidRDefault="002C40B2" w:rsidP="002C40B2">
            <w:pPr>
              <w:pStyle w:val="ListParagraph"/>
              <w:numPr>
                <w:ilvl w:val="0"/>
                <w:numId w:val="15"/>
              </w:numPr>
              <w:tabs>
                <w:tab w:val="left" w:pos="6447"/>
              </w:tabs>
              <w:spacing w:before="60" w:after="60"/>
              <w:contextualSpacing w:val="0"/>
              <w:jc w:val="center"/>
              <w:rPr>
                <w:rFonts w:ascii="Bookman Old Style" w:hAnsi="Bookman Old Style" w:cs="Arial"/>
                <w:sz w:val="20"/>
                <w:szCs w:val="20"/>
              </w:rPr>
            </w:pPr>
          </w:p>
        </w:tc>
        <w:tc>
          <w:tcPr>
            <w:tcW w:w="2509" w:type="pct"/>
            <w:shd w:val="clear" w:color="auto" w:fill="auto"/>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Laporan sebagaimana dimaksud pada ayat (1) wajib disampaikan kepada Otoritas Jasa Keuangan paling lambat 1 (satu) bulan setelah semester dimaksud berakhir.</w:t>
            </w:r>
          </w:p>
        </w:tc>
        <w:tc>
          <w:tcPr>
            <w:tcW w:w="1568" w:type="pct"/>
            <w:shd w:val="clear" w:color="auto" w:fill="auto"/>
          </w:tcPr>
          <w:p w:rsidR="002C40B2" w:rsidRPr="00607524" w:rsidRDefault="002C40B2" w:rsidP="00582D32">
            <w:pPr>
              <w:spacing w:before="60" w:after="60" w:line="276" w:lineRule="auto"/>
              <w:jc w:val="both"/>
            </w:pPr>
            <w:r w:rsidRPr="00607524">
              <w:rPr>
                <w:rFonts w:ascii="Bookman Old Style" w:hAnsi="Bookman Old Style"/>
                <w:sz w:val="20"/>
                <w:szCs w:val="20"/>
              </w:rPr>
              <w:t>Cukup jelas.</w:t>
            </w:r>
          </w:p>
        </w:tc>
      </w:tr>
      <w:tr w:rsidR="002C40B2" w:rsidRPr="00607524" w:rsidTr="00C8049C">
        <w:tc>
          <w:tcPr>
            <w:tcW w:w="571" w:type="pct"/>
            <w:shd w:val="clear" w:color="auto" w:fill="auto"/>
          </w:tcPr>
          <w:p w:rsidR="002C40B2" w:rsidRPr="00607524" w:rsidRDefault="002C40B2" w:rsidP="002C40B2">
            <w:pPr>
              <w:tabs>
                <w:tab w:val="left" w:pos="6447"/>
              </w:tabs>
              <w:spacing w:before="60" w:after="60" w:line="276" w:lineRule="auto"/>
              <w:rPr>
                <w:rFonts w:ascii="Bookman Old Style" w:hAnsi="Bookman Old Style" w:cs="Arial"/>
                <w:sz w:val="20"/>
                <w:szCs w:val="20"/>
              </w:rPr>
            </w:pPr>
          </w:p>
        </w:tc>
        <w:tc>
          <w:tcPr>
            <w:tcW w:w="352" w:type="pct"/>
            <w:shd w:val="clear" w:color="auto" w:fill="auto"/>
          </w:tcPr>
          <w:p w:rsidR="002C40B2" w:rsidRPr="00607524" w:rsidRDefault="002C40B2" w:rsidP="002C40B2">
            <w:pPr>
              <w:pStyle w:val="ListParagraph"/>
              <w:numPr>
                <w:ilvl w:val="0"/>
                <w:numId w:val="15"/>
              </w:numPr>
              <w:tabs>
                <w:tab w:val="left" w:pos="6447"/>
              </w:tabs>
              <w:spacing w:before="60" w:after="60"/>
              <w:contextualSpacing w:val="0"/>
              <w:jc w:val="center"/>
              <w:rPr>
                <w:rFonts w:ascii="Bookman Old Style" w:hAnsi="Bookman Old Style" w:cs="Arial"/>
                <w:sz w:val="20"/>
                <w:szCs w:val="20"/>
              </w:rPr>
            </w:pPr>
          </w:p>
        </w:tc>
        <w:tc>
          <w:tcPr>
            <w:tcW w:w="2509" w:type="pct"/>
            <w:shd w:val="clear" w:color="auto" w:fill="auto"/>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Laporan sebagaimana dimaksud pada ayat (1) </w:t>
            </w:r>
            <w:r w:rsidR="00582D32" w:rsidRPr="00607524">
              <w:rPr>
                <w:rFonts w:ascii="Bookman Old Style" w:hAnsi="Bookman Old Style" w:cstheme="minorHAnsi"/>
                <w:sz w:val="20"/>
                <w:szCs w:val="20"/>
                <w:lang w:val="en-US"/>
              </w:rPr>
              <w:t xml:space="preserve">paling sedikit </w:t>
            </w:r>
            <w:r w:rsidRPr="00607524">
              <w:rPr>
                <w:rFonts w:ascii="Bookman Old Style" w:hAnsi="Bookman Old Style" w:cstheme="minorHAnsi"/>
                <w:sz w:val="20"/>
                <w:szCs w:val="20"/>
                <w:lang w:val="id-ID"/>
              </w:rPr>
              <w:t>meliputi:</w:t>
            </w:r>
          </w:p>
        </w:tc>
        <w:tc>
          <w:tcPr>
            <w:tcW w:w="1568" w:type="pct"/>
            <w:shd w:val="clear" w:color="auto" w:fill="auto"/>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rPr>
            </w:pPr>
          </w:p>
        </w:tc>
      </w:tr>
      <w:tr w:rsidR="00582D32" w:rsidRPr="00607524" w:rsidTr="00C8049C">
        <w:tc>
          <w:tcPr>
            <w:tcW w:w="571" w:type="pct"/>
            <w:shd w:val="clear" w:color="auto" w:fill="auto"/>
          </w:tcPr>
          <w:p w:rsidR="00582D32" w:rsidRPr="00607524" w:rsidRDefault="00582D32" w:rsidP="00582D32">
            <w:pPr>
              <w:tabs>
                <w:tab w:val="left" w:pos="6447"/>
              </w:tabs>
              <w:spacing w:before="60" w:after="60" w:line="276" w:lineRule="auto"/>
              <w:rPr>
                <w:rFonts w:ascii="Bookman Old Style" w:hAnsi="Bookman Old Style" w:cs="Arial"/>
                <w:sz w:val="20"/>
                <w:szCs w:val="20"/>
              </w:rPr>
            </w:pPr>
          </w:p>
        </w:tc>
        <w:tc>
          <w:tcPr>
            <w:tcW w:w="352" w:type="pct"/>
            <w:shd w:val="clear" w:color="auto" w:fill="auto"/>
          </w:tcPr>
          <w:p w:rsidR="00582D32" w:rsidRPr="00607524" w:rsidRDefault="00582D32" w:rsidP="00582D32">
            <w:pPr>
              <w:tabs>
                <w:tab w:val="left" w:pos="6447"/>
              </w:tabs>
              <w:spacing w:before="60" w:after="60"/>
              <w:jc w:val="center"/>
              <w:rPr>
                <w:rFonts w:ascii="Bookman Old Style" w:hAnsi="Bookman Old Style" w:cs="Arial"/>
                <w:sz w:val="20"/>
                <w:szCs w:val="20"/>
              </w:rPr>
            </w:pPr>
          </w:p>
        </w:tc>
        <w:tc>
          <w:tcPr>
            <w:tcW w:w="2509" w:type="pct"/>
            <w:shd w:val="clear" w:color="auto" w:fill="auto"/>
          </w:tcPr>
          <w:p w:rsidR="00582D32" w:rsidRPr="00607524" w:rsidRDefault="00582D32" w:rsidP="00582D32">
            <w:pPr>
              <w:pStyle w:val="ListParagraph"/>
              <w:numPr>
                <w:ilvl w:val="0"/>
                <w:numId w:val="31"/>
              </w:numPr>
              <w:tabs>
                <w:tab w:val="left" w:pos="6447"/>
              </w:tabs>
              <w:spacing w:before="60" w:after="60"/>
              <w:ind w:left="393"/>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pencapaian Rencana Bisnis yaitu perbandingan antara rencana dengan realisasi;</w:t>
            </w:r>
          </w:p>
        </w:tc>
        <w:tc>
          <w:tcPr>
            <w:tcW w:w="1568" w:type="pct"/>
            <w:shd w:val="clear" w:color="auto" w:fill="auto"/>
          </w:tcPr>
          <w:p w:rsidR="00582D32" w:rsidRPr="00607524" w:rsidRDefault="00582D32" w:rsidP="00AC40F3">
            <w:pPr>
              <w:spacing w:before="60" w:after="60" w:line="276" w:lineRule="auto"/>
              <w:jc w:val="both"/>
            </w:pPr>
            <w:r w:rsidRPr="00607524">
              <w:rPr>
                <w:rFonts w:ascii="Bookman Old Style" w:hAnsi="Bookman Old Style"/>
                <w:sz w:val="20"/>
                <w:szCs w:val="20"/>
              </w:rPr>
              <w:t>Cukup jelas.</w:t>
            </w:r>
          </w:p>
        </w:tc>
      </w:tr>
      <w:tr w:rsidR="00582D32" w:rsidRPr="00607524" w:rsidTr="00C8049C">
        <w:tc>
          <w:tcPr>
            <w:tcW w:w="571" w:type="pct"/>
            <w:shd w:val="clear" w:color="auto" w:fill="auto"/>
          </w:tcPr>
          <w:p w:rsidR="00582D32" w:rsidRPr="00607524" w:rsidRDefault="00582D32" w:rsidP="00582D32">
            <w:pPr>
              <w:tabs>
                <w:tab w:val="left" w:pos="6447"/>
              </w:tabs>
              <w:spacing w:before="60" w:after="60" w:line="276" w:lineRule="auto"/>
              <w:rPr>
                <w:rFonts w:ascii="Bookman Old Style" w:hAnsi="Bookman Old Style" w:cs="Arial"/>
                <w:sz w:val="20"/>
                <w:szCs w:val="20"/>
              </w:rPr>
            </w:pPr>
          </w:p>
        </w:tc>
        <w:tc>
          <w:tcPr>
            <w:tcW w:w="352" w:type="pct"/>
            <w:shd w:val="clear" w:color="auto" w:fill="auto"/>
          </w:tcPr>
          <w:p w:rsidR="00582D32" w:rsidRPr="00607524" w:rsidRDefault="00582D32" w:rsidP="00582D32">
            <w:pPr>
              <w:tabs>
                <w:tab w:val="left" w:pos="6447"/>
              </w:tabs>
              <w:spacing w:before="60" w:after="60"/>
              <w:jc w:val="center"/>
              <w:rPr>
                <w:rFonts w:ascii="Bookman Old Style" w:hAnsi="Bookman Old Style" w:cs="Arial"/>
                <w:sz w:val="20"/>
                <w:szCs w:val="20"/>
              </w:rPr>
            </w:pPr>
          </w:p>
        </w:tc>
        <w:tc>
          <w:tcPr>
            <w:tcW w:w="2509" w:type="pct"/>
            <w:shd w:val="clear" w:color="auto" w:fill="auto"/>
          </w:tcPr>
          <w:p w:rsidR="00582D32" w:rsidRPr="00607524" w:rsidRDefault="00582D32" w:rsidP="00582D32">
            <w:pPr>
              <w:pStyle w:val="ListParagraph"/>
              <w:numPr>
                <w:ilvl w:val="0"/>
                <w:numId w:val="31"/>
              </w:numPr>
              <w:tabs>
                <w:tab w:val="left" w:pos="6447"/>
              </w:tabs>
              <w:spacing w:before="60" w:after="60"/>
              <w:ind w:left="393"/>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penjelasan mengenai penyebab dan kendala terjadinya perbedaan antara rencana dengan realisasi Rencana Bisnis; </w:t>
            </w:r>
          </w:p>
        </w:tc>
        <w:tc>
          <w:tcPr>
            <w:tcW w:w="1568" w:type="pct"/>
            <w:shd w:val="clear" w:color="auto" w:fill="auto"/>
          </w:tcPr>
          <w:p w:rsidR="00582D32" w:rsidRPr="00607524" w:rsidRDefault="00582D32" w:rsidP="00AC40F3">
            <w:pPr>
              <w:spacing w:before="60" w:after="60" w:line="276" w:lineRule="auto"/>
              <w:jc w:val="both"/>
            </w:pPr>
            <w:r w:rsidRPr="00607524">
              <w:rPr>
                <w:rFonts w:ascii="Bookman Old Style" w:hAnsi="Bookman Old Style"/>
                <w:sz w:val="20"/>
                <w:szCs w:val="20"/>
              </w:rPr>
              <w:t>Cukup jelas.</w:t>
            </w:r>
          </w:p>
        </w:tc>
      </w:tr>
      <w:tr w:rsidR="00582D32" w:rsidRPr="00607524" w:rsidTr="00C8049C">
        <w:tc>
          <w:tcPr>
            <w:tcW w:w="571" w:type="pct"/>
            <w:shd w:val="clear" w:color="auto" w:fill="auto"/>
          </w:tcPr>
          <w:p w:rsidR="00582D32" w:rsidRPr="00607524" w:rsidRDefault="00582D32" w:rsidP="00582D32">
            <w:pPr>
              <w:tabs>
                <w:tab w:val="left" w:pos="6447"/>
              </w:tabs>
              <w:spacing w:before="60" w:after="60" w:line="276" w:lineRule="auto"/>
              <w:rPr>
                <w:rFonts w:ascii="Bookman Old Style" w:hAnsi="Bookman Old Style" w:cs="Arial"/>
                <w:sz w:val="20"/>
                <w:szCs w:val="20"/>
              </w:rPr>
            </w:pPr>
          </w:p>
        </w:tc>
        <w:tc>
          <w:tcPr>
            <w:tcW w:w="352" w:type="pct"/>
            <w:shd w:val="clear" w:color="auto" w:fill="auto"/>
          </w:tcPr>
          <w:p w:rsidR="00582D32" w:rsidRPr="00607524" w:rsidRDefault="00582D32" w:rsidP="00582D32">
            <w:pPr>
              <w:tabs>
                <w:tab w:val="left" w:pos="6447"/>
              </w:tabs>
              <w:spacing w:before="60" w:after="60"/>
              <w:jc w:val="center"/>
              <w:rPr>
                <w:rFonts w:ascii="Bookman Old Style" w:hAnsi="Bookman Old Style" w:cs="Arial"/>
                <w:sz w:val="20"/>
                <w:szCs w:val="20"/>
              </w:rPr>
            </w:pPr>
          </w:p>
        </w:tc>
        <w:tc>
          <w:tcPr>
            <w:tcW w:w="2509" w:type="pct"/>
            <w:shd w:val="clear" w:color="auto" w:fill="auto"/>
          </w:tcPr>
          <w:p w:rsidR="00582D32" w:rsidRPr="00607524" w:rsidRDefault="00582D32" w:rsidP="00582D32">
            <w:pPr>
              <w:pStyle w:val="ListParagraph"/>
              <w:numPr>
                <w:ilvl w:val="0"/>
                <w:numId w:val="31"/>
              </w:numPr>
              <w:tabs>
                <w:tab w:val="left" w:pos="6447"/>
              </w:tabs>
              <w:spacing w:before="60" w:after="60"/>
              <w:ind w:left="393"/>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upaya tindak lanjut yang telah dan akan dilakukan untuk memperbaiki pencapaian realisasi Rencana Bisnis;</w:t>
            </w:r>
          </w:p>
        </w:tc>
        <w:tc>
          <w:tcPr>
            <w:tcW w:w="1568" w:type="pct"/>
            <w:shd w:val="clear" w:color="auto" w:fill="auto"/>
          </w:tcPr>
          <w:p w:rsidR="00582D32" w:rsidRPr="00607524" w:rsidRDefault="00582D32" w:rsidP="00AC40F3">
            <w:pPr>
              <w:spacing w:before="60" w:after="60" w:line="276" w:lineRule="auto"/>
              <w:jc w:val="both"/>
            </w:pPr>
            <w:r w:rsidRPr="00607524">
              <w:rPr>
                <w:rFonts w:ascii="Bookman Old Style" w:hAnsi="Bookman Old Style"/>
                <w:sz w:val="20"/>
                <w:szCs w:val="20"/>
              </w:rPr>
              <w:t>Cukup jelas.</w:t>
            </w:r>
          </w:p>
        </w:tc>
      </w:tr>
      <w:tr w:rsidR="002C40B2" w:rsidRPr="00607524" w:rsidTr="00C8049C">
        <w:tc>
          <w:tcPr>
            <w:tcW w:w="571" w:type="pct"/>
            <w:shd w:val="clear" w:color="auto" w:fill="auto"/>
          </w:tcPr>
          <w:p w:rsidR="002C40B2" w:rsidRPr="00607524" w:rsidRDefault="002C40B2" w:rsidP="002C40B2">
            <w:pPr>
              <w:tabs>
                <w:tab w:val="left" w:pos="6447"/>
              </w:tabs>
              <w:spacing w:before="60" w:after="60" w:line="276" w:lineRule="auto"/>
              <w:rPr>
                <w:rFonts w:ascii="Bookman Old Style" w:hAnsi="Bookman Old Style" w:cs="Arial"/>
                <w:sz w:val="20"/>
                <w:szCs w:val="20"/>
              </w:rPr>
            </w:pPr>
          </w:p>
        </w:tc>
        <w:tc>
          <w:tcPr>
            <w:tcW w:w="352" w:type="pct"/>
            <w:shd w:val="clear" w:color="auto" w:fill="auto"/>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shd w:val="clear" w:color="auto" w:fill="auto"/>
          </w:tcPr>
          <w:p w:rsidR="002C40B2" w:rsidRPr="00607524" w:rsidRDefault="002C40B2" w:rsidP="00582D32">
            <w:pPr>
              <w:pStyle w:val="ListParagraph"/>
              <w:numPr>
                <w:ilvl w:val="0"/>
                <w:numId w:val="31"/>
              </w:numPr>
              <w:tabs>
                <w:tab w:val="left" w:pos="6447"/>
              </w:tabs>
              <w:spacing w:before="60" w:after="60"/>
              <w:ind w:left="393"/>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hasil analisis</w:t>
            </w:r>
            <w:r w:rsidRPr="00607524">
              <w:rPr>
                <w:rFonts w:ascii="Bookman Old Style" w:hAnsi="Bookman Old Style" w:cstheme="minorHAnsi"/>
                <w:sz w:val="20"/>
                <w:szCs w:val="20"/>
                <w:lang w:val="en-US"/>
              </w:rPr>
              <w:t xml:space="preserve"> atau </w:t>
            </w:r>
            <w:r w:rsidRPr="00607524">
              <w:rPr>
                <w:rFonts w:ascii="Bookman Old Style" w:hAnsi="Bookman Old Style" w:cstheme="minorHAnsi"/>
                <w:sz w:val="20"/>
                <w:szCs w:val="20"/>
                <w:lang w:val="id-ID"/>
              </w:rPr>
              <w:t xml:space="preserve">identifikasi serta pendapat Dewan Komisaris atas </w:t>
            </w:r>
            <w:r w:rsidR="00582D32" w:rsidRPr="00607524">
              <w:rPr>
                <w:rFonts w:ascii="Bookman Old Style" w:hAnsi="Bookman Old Style" w:cstheme="minorHAnsi"/>
                <w:sz w:val="20"/>
                <w:szCs w:val="20"/>
                <w:lang w:val="en-US"/>
              </w:rPr>
              <w:t>pengawasan</w:t>
            </w:r>
            <w:r w:rsidRPr="00607524">
              <w:rPr>
                <w:rFonts w:ascii="Bookman Old Style" w:hAnsi="Bookman Old Style" w:cstheme="minorHAnsi"/>
                <w:sz w:val="20"/>
                <w:szCs w:val="20"/>
                <w:lang w:val="id-ID"/>
              </w:rPr>
              <w:t xml:space="preserve"> terhadap pelaksanaan </w:t>
            </w:r>
            <w:r w:rsidRPr="00607524">
              <w:rPr>
                <w:rFonts w:ascii="Bookman Old Style" w:hAnsi="Bookman Old Style" w:cstheme="minorHAnsi"/>
                <w:sz w:val="20"/>
                <w:szCs w:val="20"/>
                <w:lang w:val="en-US"/>
              </w:rPr>
              <w:t>Rencana Bisnis</w:t>
            </w:r>
            <w:r w:rsidRPr="00607524">
              <w:rPr>
                <w:rFonts w:ascii="Bookman Old Style" w:hAnsi="Bookman Old Style" w:cstheme="minorHAnsi"/>
                <w:sz w:val="20"/>
                <w:szCs w:val="20"/>
                <w:lang w:val="id-ID"/>
              </w:rPr>
              <w:t xml:space="preserve"> oleh Direksi; dan</w:t>
            </w:r>
          </w:p>
        </w:tc>
        <w:tc>
          <w:tcPr>
            <w:tcW w:w="1568" w:type="pct"/>
            <w:shd w:val="clear" w:color="auto" w:fill="auto"/>
          </w:tcPr>
          <w:p w:rsidR="002C40B2" w:rsidRPr="00607524" w:rsidRDefault="00AC40F3" w:rsidP="00AC40F3">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Termasuk dalam </w:t>
            </w:r>
            <w:r w:rsidR="00114ECE" w:rsidRPr="00607524">
              <w:rPr>
                <w:rFonts w:ascii="Bookman Old Style" w:hAnsi="Bookman Old Style" w:cstheme="minorHAnsi"/>
                <w:sz w:val="20"/>
                <w:szCs w:val="20"/>
              </w:rPr>
              <w:t xml:space="preserve">hasil </w:t>
            </w:r>
            <w:r w:rsidR="00114ECE" w:rsidRPr="00607524">
              <w:rPr>
                <w:rFonts w:ascii="Bookman Old Style" w:hAnsi="Bookman Old Style" w:cstheme="minorHAnsi"/>
                <w:sz w:val="20"/>
                <w:szCs w:val="20"/>
                <w:lang w:val="id-ID"/>
              </w:rPr>
              <w:t>analisis</w:t>
            </w:r>
            <w:r w:rsidR="00114ECE" w:rsidRPr="00607524">
              <w:rPr>
                <w:rFonts w:ascii="Bookman Old Style" w:hAnsi="Bookman Old Style" w:cstheme="minorHAnsi"/>
                <w:sz w:val="20"/>
                <w:szCs w:val="20"/>
                <w:lang w:val="en-US"/>
              </w:rPr>
              <w:t xml:space="preserve"> atau </w:t>
            </w:r>
            <w:r w:rsidR="00114ECE" w:rsidRPr="00607524">
              <w:rPr>
                <w:rFonts w:ascii="Bookman Old Style" w:hAnsi="Bookman Old Style" w:cstheme="minorHAnsi"/>
                <w:sz w:val="20"/>
                <w:szCs w:val="20"/>
                <w:lang w:val="id-ID"/>
              </w:rPr>
              <w:t xml:space="preserve">identifikasi serta </w:t>
            </w:r>
            <w:r w:rsidRPr="00607524">
              <w:rPr>
                <w:rFonts w:ascii="Bookman Old Style" w:hAnsi="Bookman Old Style" w:cstheme="minorHAnsi"/>
                <w:sz w:val="20"/>
                <w:szCs w:val="20"/>
              </w:rPr>
              <w:t xml:space="preserve">pendapat Dewan Komisaris adalah </w:t>
            </w:r>
            <w:r w:rsidR="00582D32" w:rsidRPr="00607524">
              <w:rPr>
                <w:rFonts w:ascii="Bookman Old Style" w:hAnsi="Bookman Old Style" w:cstheme="minorHAnsi"/>
                <w:sz w:val="20"/>
                <w:szCs w:val="20"/>
              </w:rPr>
              <w:t xml:space="preserve">hasil pengawasan terhadap pelaksanaan kebijakan perkreditan dan prosedur perkreditan oleh Direksi </w:t>
            </w:r>
            <w:r w:rsidRPr="00607524">
              <w:rPr>
                <w:rFonts w:ascii="Bookman Old Style" w:hAnsi="Bookman Old Style" w:cstheme="minorHAnsi"/>
                <w:sz w:val="20"/>
                <w:szCs w:val="20"/>
              </w:rPr>
              <w:t xml:space="preserve">sesuai dengan Peraturan Otoritas Jasa Keuangan mengenai kualitas aset produktif dan penyisihan </w:t>
            </w:r>
            <w:r w:rsidRPr="00CD5E76">
              <w:rPr>
                <w:rFonts w:ascii="Bookman Old Style" w:hAnsi="Bookman Old Style" w:cstheme="minorHAnsi"/>
                <w:sz w:val="20"/>
                <w:szCs w:val="20"/>
              </w:rPr>
              <w:t xml:space="preserve">penghapusan aset produktif bagi </w:t>
            </w:r>
            <w:r w:rsidR="00114ECE" w:rsidRPr="00CD5E76">
              <w:rPr>
                <w:rFonts w:ascii="Bookman Old Style" w:eastAsiaTheme="minorEastAsia" w:hAnsi="Bookman Old Style"/>
                <w:sz w:val="20"/>
                <w:szCs w:val="20"/>
              </w:rPr>
              <w:t>bank perkreditan rakyat</w:t>
            </w:r>
            <w:r w:rsidR="00E35199" w:rsidRPr="00CD5E76">
              <w:rPr>
                <w:rFonts w:ascii="Bookman Old Style" w:eastAsiaTheme="minorEastAsia" w:hAnsi="Bookman Old Style"/>
                <w:sz w:val="20"/>
                <w:szCs w:val="20"/>
              </w:rPr>
              <w:t xml:space="preserve"> dan </w:t>
            </w:r>
            <w:r w:rsidR="00E35199" w:rsidRPr="00CD5E76">
              <w:rPr>
                <w:rFonts w:ascii="Bookman Old Style" w:hAnsi="Bookman Old Style" w:cstheme="minorHAnsi"/>
                <w:sz w:val="20"/>
                <w:szCs w:val="20"/>
              </w:rPr>
              <w:t xml:space="preserve">Peraturan Otoritas Jasa Keuangan mengenai kualitas aset produktif dan penyisihan penghapusan aset produktif bagi </w:t>
            </w:r>
            <w:r w:rsidR="00E35199" w:rsidRPr="00CD5E76">
              <w:rPr>
                <w:rFonts w:ascii="Bookman Old Style" w:eastAsiaTheme="minorEastAsia" w:hAnsi="Bookman Old Style"/>
                <w:sz w:val="20"/>
                <w:szCs w:val="20"/>
              </w:rPr>
              <w:t>bank pembiayaan rakyat syariah</w:t>
            </w:r>
            <w:r w:rsidRPr="00CD5E76">
              <w:rPr>
                <w:rFonts w:ascii="Bookman Old Style" w:hAnsi="Bookman Old Style" w:cstheme="minorHAnsi"/>
                <w:sz w:val="20"/>
                <w:szCs w:val="20"/>
              </w:rPr>
              <w:t>.</w:t>
            </w:r>
            <w:r w:rsidR="00114ECE" w:rsidRPr="00CD5E76">
              <w:rPr>
                <w:rFonts w:ascii="Bookman Old Style" w:hAnsi="Bookman Old Style" w:cstheme="minorHAnsi"/>
                <w:sz w:val="20"/>
                <w:szCs w:val="20"/>
              </w:rPr>
              <w:t xml:space="preserve"> </w:t>
            </w:r>
          </w:p>
        </w:tc>
      </w:tr>
      <w:tr w:rsidR="002C40B2" w:rsidRPr="00607524" w:rsidTr="00C8049C">
        <w:tc>
          <w:tcPr>
            <w:tcW w:w="571" w:type="pct"/>
            <w:shd w:val="clear" w:color="auto" w:fill="auto"/>
          </w:tcPr>
          <w:p w:rsidR="002C40B2" w:rsidRPr="00607524" w:rsidRDefault="002C40B2" w:rsidP="002C40B2">
            <w:pPr>
              <w:tabs>
                <w:tab w:val="left" w:pos="6447"/>
              </w:tabs>
              <w:spacing w:before="60" w:after="60" w:line="276" w:lineRule="auto"/>
              <w:rPr>
                <w:rFonts w:ascii="Bookman Old Style" w:hAnsi="Bookman Old Style" w:cs="Arial"/>
                <w:sz w:val="20"/>
                <w:szCs w:val="20"/>
              </w:rPr>
            </w:pPr>
          </w:p>
        </w:tc>
        <w:tc>
          <w:tcPr>
            <w:tcW w:w="352" w:type="pct"/>
            <w:shd w:val="clear" w:color="auto" w:fill="auto"/>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shd w:val="clear" w:color="auto" w:fill="auto"/>
          </w:tcPr>
          <w:p w:rsidR="002C40B2" w:rsidRPr="00607524" w:rsidRDefault="002C40B2" w:rsidP="002C40B2">
            <w:pPr>
              <w:pStyle w:val="ListParagraph"/>
              <w:numPr>
                <w:ilvl w:val="0"/>
                <w:numId w:val="31"/>
              </w:numPr>
              <w:tabs>
                <w:tab w:val="left" w:pos="6447"/>
              </w:tabs>
              <w:spacing w:before="60" w:after="60"/>
              <w:ind w:left="393"/>
              <w:jc w:val="both"/>
              <w:rPr>
                <w:rFonts w:ascii="Bookman Old Style" w:hAnsi="Bookman Old Style" w:cstheme="minorHAnsi"/>
                <w:sz w:val="20"/>
                <w:szCs w:val="20"/>
                <w:lang w:val="id-ID"/>
              </w:rPr>
            </w:pPr>
            <w:r w:rsidRPr="00607524">
              <w:rPr>
                <w:rFonts w:ascii="Bookman Old Style" w:eastAsiaTheme="minorHAnsi" w:hAnsi="Bookman Old Style" w:cstheme="minorHAnsi"/>
                <w:sz w:val="20"/>
                <w:szCs w:val="20"/>
                <w:lang w:val="id-ID"/>
              </w:rPr>
              <w:t xml:space="preserve">langkah pengawasan yang telah dan akan ditempuh Dewan Komisaris </w:t>
            </w:r>
            <w:r w:rsidRPr="00607524">
              <w:rPr>
                <w:rFonts w:ascii="Bookman Old Style" w:hAnsi="Bookman Old Style" w:cstheme="minorHAnsi"/>
                <w:sz w:val="20"/>
                <w:szCs w:val="20"/>
                <w:lang w:val="id-ID"/>
              </w:rPr>
              <w:t>kepada</w:t>
            </w:r>
            <w:r w:rsidRPr="00607524">
              <w:rPr>
                <w:rFonts w:ascii="Bookman Old Style" w:eastAsiaTheme="minorHAnsi" w:hAnsi="Bookman Old Style" w:cstheme="minorHAnsi"/>
                <w:sz w:val="20"/>
                <w:szCs w:val="20"/>
                <w:lang w:val="id-ID"/>
              </w:rPr>
              <w:t xml:space="preserve"> Direksi dalam proses pengawasan </w:t>
            </w:r>
            <w:r w:rsidRPr="00607524">
              <w:rPr>
                <w:rFonts w:ascii="Bookman Old Style" w:eastAsiaTheme="minorHAnsi" w:hAnsi="Bookman Old Style" w:cstheme="minorHAnsi"/>
                <w:sz w:val="20"/>
                <w:szCs w:val="20"/>
                <w:lang w:val="en-US"/>
              </w:rPr>
              <w:t>R</w:t>
            </w:r>
            <w:r w:rsidRPr="00607524">
              <w:rPr>
                <w:rFonts w:ascii="Bookman Old Style" w:eastAsiaTheme="minorHAnsi" w:hAnsi="Bookman Old Style" w:cstheme="minorHAnsi"/>
                <w:sz w:val="20"/>
                <w:szCs w:val="20"/>
                <w:lang w:val="id-ID"/>
              </w:rPr>
              <w:t xml:space="preserve">encana </w:t>
            </w:r>
            <w:r w:rsidRPr="00607524">
              <w:rPr>
                <w:rFonts w:ascii="Bookman Old Style" w:eastAsiaTheme="minorHAnsi" w:hAnsi="Bookman Old Style" w:cstheme="minorHAnsi"/>
                <w:sz w:val="20"/>
                <w:szCs w:val="20"/>
                <w:lang w:val="en-US"/>
              </w:rPr>
              <w:t>B</w:t>
            </w:r>
            <w:r w:rsidRPr="00607524">
              <w:rPr>
                <w:rFonts w:ascii="Bookman Old Style" w:eastAsiaTheme="minorHAnsi" w:hAnsi="Bookman Old Style" w:cstheme="minorHAnsi"/>
                <w:sz w:val="20"/>
                <w:szCs w:val="20"/>
                <w:lang w:val="id-ID"/>
              </w:rPr>
              <w:t>isnis.</w:t>
            </w:r>
          </w:p>
        </w:tc>
        <w:tc>
          <w:tcPr>
            <w:tcW w:w="1568" w:type="pct"/>
            <w:shd w:val="clear" w:color="auto" w:fill="auto"/>
          </w:tcPr>
          <w:p w:rsidR="002C40B2" w:rsidRPr="00607524" w:rsidRDefault="00582D32" w:rsidP="002C40B2">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rPr>
                <w:rFonts w:ascii="Bookman Old Style" w:hAnsi="Bookman Old Style" w:cs="Arial"/>
                <w:sz w:val="20"/>
                <w:szCs w:val="20"/>
              </w:rPr>
            </w:pPr>
          </w:p>
        </w:tc>
        <w:tc>
          <w:tcPr>
            <w:tcW w:w="2509" w:type="pct"/>
          </w:tcPr>
          <w:p w:rsidR="002C40B2" w:rsidRPr="00607524" w:rsidRDefault="002C40B2" w:rsidP="0046299E">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Penyampaian, penyesuaian, dan perubahan Rencana Bisnis, serta Laporan Pelaksanaan dan </w:t>
            </w:r>
            <w:r w:rsidR="00114ECE" w:rsidRPr="00607524">
              <w:rPr>
                <w:rFonts w:ascii="Bookman Old Style" w:hAnsi="Bookman Old Style" w:cstheme="minorHAnsi"/>
                <w:sz w:val="20"/>
                <w:szCs w:val="20"/>
              </w:rPr>
              <w:t>Pengawasan</w:t>
            </w:r>
            <w:r w:rsidRPr="00607524">
              <w:rPr>
                <w:rFonts w:ascii="Bookman Old Style" w:hAnsi="Bookman Old Style" w:cstheme="minorHAnsi"/>
                <w:sz w:val="20"/>
                <w:szCs w:val="20"/>
              </w:rPr>
              <w:t xml:space="preserve"> Rencana Bisnis sebagaimana dimaksud dalam Pasal </w:t>
            </w:r>
            <w:r w:rsidR="0046299E" w:rsidRPr="00607524">
              <w:rPr>
                <w:rFonts w:ascii="Bookman Old Style" w:hAnsi="Bookman Old Style" w:cstheme="minorHAnsi"/>
                <w:sz w:val="20"/>
                <w:szCs w:val="20"/>
              </w:rPr>
              <w:t>18</w:t>
            </w:r>
            <w:r w:rsidRPr="00607524">
              <w:rPr>
                <w:rFonts w:ascii="Bookman Old Style" w:hAnsi="Bookman Old Style" w:cstheme="minorHAnsi"/>
                <w:sz w:val="20"/>
                <w:szCs w:val="20"/>
              </w:rPr>
              <w:t xml:space="preserve"> ayat (1),</w:t>
            </w:r>
            <w:r w:rsidR="00114ECE" w:rsidRPr="00607524">
              <w:rPr>
                <w:rFonts w:ascii="Bookman Old Style" w:hAnsi="Bookman Old Style" w:cstheme="minorHAnsi"/>
                <w:sz w:val="20"/>
                <w:szCs w:val="20"/>
              </w:rPr>
              <w:t xml:space="preserve"> Pasal</w:t>
            </w:r>
            <w:r w:rsidRPr="00607524">
              <w:rPr>
                <w:rFonts w:ascii="Bookman Old Style" w:hAnsi="Bookman Old Style" w:cstheme="minorHAnsi"/>
                <w:sz w:val="20"/>
                <w:szCs w:val="20"/>
              </w:rPr>
              <w:t xml:space="preserve"> </w:t>
            </w:r>
            <w:r w:rsidR="0046299E" w:rsidRPr="00607524">
              <w:rPr>
                <w:rFonts w:ascii="Bookman Old Style" w:hAnsi="Bookman Old Style" w:cstheme="minorHAnsi"/>
                <w:sz w:val="20"/>
                <w:szCs w:val="20"/>
              </w:rPr>
              <w:t>19</w:t>
            </w:r>
            <w:r w:rsidRPr="00607524">
              <w:rPr>
                <w:rFonts w:ascii="Bookman Old Style" w:hAnsi="Bookman Old Style" w:cstheme="minorHAnsi"/>
                <w:sz w:val="20"/>
                <w:szCs w:val="20"/>
              </w:rPr>
              <w:t xml:space="preserve"> ayat (2), </w:t>
            </w:r>
            <w:r w:rsidR="0046299E" w:rsidRPr="00607524">
              <w:rPr>
                <w:rFonts w:ascii="Bookman Old Style" w:hAnsi="Bookman Old Style" w:cstheme="minorHAnsi"/>
                <w:sz w:val="20"/>
                <w:szCs w:val="20"/>
              </w:rPr>
              <w:t>Pasal 20</w:t>
            </w:r>
            <w:r w:rsidRPr="00607524">
              <w:rPr>
                <w:rFonts w:ascii="Bookman Old Style" w:hAnsi="Bookman Old Style" w:cstheme="minorHAnsi"/>
                <w:sz w:val="20"/>
                <w:szCs w:val="20"/>
              </w:rPr>
              <w:t xml:space="preserve"> ayat (3)</w:t>
            </w:r>
            <w:r w:rsidR="00114ECE" w:rsidRPr="00607524">
              <w:rPr>
                <w:rFonts w:ascii="Bookman Old Style" w:hAnsi="Bookman Old Style" w:cstheme="minorHAnsi"/>
                <w:sz w:val="20"/>
                <w:szCs w:val="20"/>
              </w:rPr>
              <w:t>,</w:t>
            </w:r>
            <w:r w:rsidRPr="00607524">
              <w:rPr>
                <w:rFonts w:ascii="Bookman Old Style" w:hAnsi="Bookman Old Style" w:cstheme="minorHAnsi"/>
                <w:sz w:val="20"/>
                <w:szCs w:val="20"/>
              </w:rPr>
              <w:t xml:space="preserve"> dan Pasal 2</w:t>
            </w:r>
            <w:r w:rsidR="0046299E" w:rsidRPr="00607524">
              <w:rPr>
                <w:rFonts w:ascii="Bookman Old Style" w:hAnsi="Bookman Old Style" w:cstheme="minorHAnsi"/>
                <w:sz w:val="20"/>
                <w:szCs w:val="20"/>
              </w:rPr>
              <w:t>1</w:t>
            </w:r>
            <w:r w:rsidRPr="00607524">
              <w:rPr>
                <w:rFonts w:ascii="Bookman Old Style" w:hAnsi="Bookman Old Style" w:cstheme="minorHAnsi"/>
                <w:sz w:val="20"/>
                <w:szCs w:val="20"/>
              </w:rPr>
              <w:t xml:space="preserve"> ayat (1) disampaikan oleh BPR dan BPRS secara daring melalui sistem pelaporan Otoritas Jasa Keuangan.</w:t>
            </w:r>
          </w:p>
        </w:tc>
        <w:tc>
          <w:tcPr>
            <w:tcW w:w="1568" w:type="pct"/>
            <w:shd w:val="clear" w:color="auto" w:fill="auto"/>
          </w:tcPr>
          <w:p w:rsidR="002C40B2" w:rsidRPr="00607524" w:rsidRDefault="002C40B2" w:rsidP="00114ECE">
            <w:pPr>
              <w:tabs>
                <w:tab w:val="left" w:pos="6447"/>
              </w:tabs>
              <w:spacing w:before="60" w:after="60" w:line="276" w:lineRule="auto"/>
              <w:jc w:val="both"/>
            </w:pPr>
            <w:r w:rsidRPr="00607524">
              <w:rPr>
                <w:rFonts w:ascii="Bookman Old Style" w:hAnsi="Bookman Old Style"/>
                <w:sz w:val="20"/>
                <w:szCs w:val="20"/>
              </w:rPr>
              <w:t xml:space="preserve">Penyampaian </w:t>
            </w:r>
            <w:r w:rsidRPr="00607524">
              <w:rPr>
                <w:rFonts w:ascii="Bookman Old Style" w:hAnsi="Bookman Old Style" w:cstheme="minorHAnsi"/>
                <w:sz w:val="20"/>
                <w:szCs w:val="20"/>
              </w:rPr>
              <w:t xml:space="preserve">penyesuaian, dan perubahan Rencana Bisnis, serta Laporan Pelaksanaan dan </w:t>
            </w:r>
            <w:r w:rsidR="00114ECE" w:rsidRPr="00607524">
              <w:rPr>
                <w:rFonts w:ascii="Bookman Old Style" w:hAnsi="Bookman Old Style" w:cstheme="minorHAnsi"/>
                <w:sz w:val="20"/>
                <w:szCs w:val="20"/>
              </w:rPr>
              <w:t>Pengawasan</w:t>
            </w:r>
            <w:r w:rsidRPr="00607524">
              <w:rPr>
                <w:rFonts w:ascii="Bookman Old Style" w:hAnsi="Bookman Old Style" w:cstheme="minorHAnsi"/>
                <w:sz w:val="20"/>
                <w:szCs w:val="20"/>
              </w:rPr>
              <w:t xml:space="preserve"> Rencana Bisnis secara daring sesuai dengan Peraturan Otoritas Jasa Keuangan mengenai </w:t>
            </w:r>
            <w:r w:rsidRPr="00607524">
              <w:rPr>
                <w:rFonts w:ascii="Bookman Old Style" w:eastAsiaTheme="minorEastAsia" w:hAnsi="Bookman Old Style"/>
                <w:sz w:val="20"/>
                <w:szCs w:val="20"/>
              </w:rPr>
              <w:t>pelaporan bank perkreditan rakyat dan bank pembiayaan rakyat syariah melalui sistem pelaporan otoritas jasa keuangan.</w:t>
            </w:r>
          </w:p>
        </w:tc>
      </w:tr>
      <w:tr w:rsidR="002C40B2" w:rsidRPr="00607524" w:rsidTr="00C8049C">
        <w:tc>
          <w:tcPr>
            <w:tcW w:w="571" w:type="pct"/>
          </w:tcPr>
          <w:p w:rsidR="002C40B2" w:rsidRPr="00607524" w:rsidRDefault="002C40B2" w:rsidP="002C40B2">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36"/>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E11CEE">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id-ID"/>
              </w:rPr>
              <w:t xml:space="preserve">BPR </w:t>
            </w:r>
            <w:r w:rsidRPr="00607524">
              <w:rPr>
                <w:rFonts w:ascii="Bookman Old Style" w:hAnsi="Bookman Old Style" w:cstheme="minorHAnsi"/>
                <w:sz w:val="20"/>
                <w:szCs w:val="20"/>
                <w:lang w:val="en-US"/>
              </w:rPr>
              <w:t xml:space="preserve">dan BPRS </w:t>
            </w:r>
            <w:r w:rsidRPr="00607524">
              <w:rPr>
                <w:rFonts w:ascii="Bookman Old Style" w:hAnsi="Bookman Old Style" w:cstheme="minorHAnsi"/>
                <w:sz w:val="20"/>
                <w:szCs w:val="20"/>
                <w:lang w:val="id-ID"/>
              </w:rPr>
              <w:t>yang terlambat menyampaikan Rencana Bisnis</w:t>
            </w:r>
            <w:r w:rsidRPr="00607524">
              <w:rPr>
                <w:rFonts w:ascii="Bookman Old Style" w:hAnsi="Bookman Old Style" w:cstheme="minorHAnsi"/>
                <w:sz w:val="20"/>
                <w:szCs w:val="20"/>
                <w:lang w:val="en-US"/>
              </w:rPr>
              <w:t>,</w:t>
            </w:r>
            <w:r w:rsidRPr="00607524">
              <w:rPr>
                <w:rFonts w:ascii="Bookman Old Style" w:hAnsi="Bookman Old Style" w:cstheme="minorHAnsi"/>
                <w:sz w:val="20"/>
                <w:szCs w:val="20"/>
                <w:lang w:val="id-ID"/>
              </w:rPr>
              <w:t xml:space="preserve"> </w:t>
            </w:r>
            <w:r w:rsidR="00E11CEE">
              <w:rPr>
                <w:rFonts w:ascii="Bookman Old Style" w:hAnsi="Bookman Old Style" w:cstheme="minorHAnsi"/>
                <w:sz w:val="20"/>
                <w:szCs w:val="20"/>
                <w:lang w:val="en-US"/>
              </w:rPr>
              <w:t xml:space="preserve">perubahan Rencana Bisnis, </w:t>
            </w:r>
            <w:r w:rsidRPr="00607524">
              <w:rPr>
                <w:rFonts w:ascii="Bookman Old Style" w:hAnsi="Bookman Old Style" w:cstheme="minorHAnsi"/>
                <w:sz w:val="20"/>
                <w:szCs w:val="20"/>
                <w:lang w:val="id-ID"/>
              </w:rPr>
              <w:lastRenderedPageBreak/>
              <w:t xml:space="preserve">penyesuaian </w:t>
            </w:r>
            <w:r w:rsidRPr="00607524">
              <w:rPr>
                <w:rFonts w:ascii="Bookman Old Style" w:hAnsi="Bookman Old Style" w:cstheme="minorHAnsi"/>
                <w:sz w:val="20"/>
                <w:szCs w:val="20"/>
                <w:lang w:val="en-US"/>
              </w:rPr>
              <w:t>Rencana Bisnis</w:t>
            </w:r>
            <w:r w:rsidR="00E11CEE" w:rsidRPr="00607524">
              <w:rPr>
                <w:rFonts w:ascii="Bookman Old Style" w:hAnsi="Bookman Old Style" w:cstheme="minorHAnsi"/>
                <w:sz w:val="20"/>
                <w:szCs w:val="20"/>
                <w:lang w:val="id-ID"/>
              </w:rPr>
              <w:t xml:space="preserve"> atau Laporan </w:t>
            </w:r>
            <w:r w:rsidR="00E11CEE" w:rsidRPr="00607524">
              <w:rPr>
                <w:rFonts w:ascii="Bookman Old Style" w:hAnsi="Bookman Old Style" w:cstheme="minorHAnsi"/>
                <w:sz w:val="20"/>
                <w:szCs w:val="20"/>
                <w:lang w:val="en-US"/>
              </w:rPr>
              <w:t xml:space="preserve">Pelaksaaan dan Pengawasan </w:t>
            </w:r>
            <w:r w:rsidR="00E11CEE" w:rsidRPr="00607524">
              <w:rPr>
                <w:rFonts w:ascii="Bookman Old Style" w:hAnsi="Bookman Old Style" w:cstheme="minorHAnsi"/>
                <w:sz w:val="20"/>
                <w:szCs w:val="20"/>
                <w:lang w:val="id-ID"/>
              </w:rPr>
              <w:t>Rencana Bisnis</w:t>
            </w:r>
            <w:r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 xml:space="preserve">sebagaimana dimaksud dalam Pasal </w:t>
            </w:r>
            <w:r w:rsidR="0046299E" w:rsidRPr="00607524">
              <w:rPr>
                <w:rFonts w:ascii="Bookman Old Style" w:hAnsi="Bookman Old Style" w:cstheme="minorHAnsi"/>
                <w:sz w:val="20"/>
                <w:szCs w:val="20"/>
                <w:lang w:val="en-US"/>
              </w:rPr>
              <w:t>18</w:t>
            </w:r>
            <w:r w:rsidRPr="00607524">
              <w:rPr>
                <w:rFonts w:ascii="Bookman Old Style" w:hAnsi="Bookman Old Style" w:cstheme="minorHAnsi"/>
                <w:sz w:val="20"/>
                <w:szCs w:val="20"/>
                <w:lang w:val="en-US"/>
              </w:rPr>
              <w:t xml:space="preserve"> ayat (1)</w:t>
            </w:r>
            <w:r w:rsidRPr="00607524">
              <w:rPr>
                <w:rFonts w:ascii="Bookman Old Style" w:hAnsi="Bookman Old Style" w:cstheme="minorHAnsi"/>
                <w:sz w:val="20"/>
                <w:szCs w:val="20"/>
                <w:lang w:val="id-ID"/>
              </w:rPr>
              <w:t xml:space="preserve"> </w:t>
            </w:r>
            <w:r w:rsidRPr="00607524">
              <w:rPr>
                <w:rFonts w:ascii="Bookman Old Style" w:hAnsi="Bookman Old Style" w:cstheme="minorHAnsi"/>
                <w:sz w:val="20"/>
                <w:szCs w:val="20"/>
                <w:lang w:val="en-US"/>
              </w:rPr>
              <w:t xml:space="preserve">Pasal </w:t>
            </w:r>
            <w:r w:rsidR="0046299E" w:rsidRPr="00607524">
              <w:rPr>
                <w:rFonts w:ascii="Bookman Old Style" w:hAnsi="Bookman Old Style" w:cstheme="minorHAnsi"/>
                <w:sz w:val="20"/>
                <w:szCs w:val="20"/>
                <w:lang w:val="en-US"/>
              </w:rPr>
              <w:t>19</w:t>
            </w:r>
            <w:r w:rsidRPr="00607524">
              <w:rPr>
                <w:rFonts w:ascii="Bookman Old Style" w:hAnsi="Bookman Old Style" w:cstheme="minorHAnsi"/>
                <w:sz w:val="20"/>
                <w:szCs w:val="20"/>
                <w:lang w:val="en-US"/>
              </w:rPr>
              <w:t xml:space="preserve"> ayat (2), </w:t>
            </w:r>
            <w:r w:rsidR="002B77C6" w:rsidRPr="00607524">
              <w:rPr>
                <w:rFonts w:ascii="Bookman Old Style" w:hAnsi="Bookman Old Style" w:cstheme="minorHAnsi"/>
                <w:sz w:val="20"/>
                <w:szCs w:val="20"/>
                <w:lang w:val="en-US"/>
              </w:rPr>
              <w:t>Pasal 20 ayat (3)</w:t>
            </w:r>
            <w:r w:rsidR="00E11CEE">
              <w:rPr>
                <w:rFonts w:ascii="Bookman Old Style" w:hAnsi="Bookman Old Style" w:cstheme="minorHAnsi"/>
                <w:sz w:val="20"/>
                <w:szCs w:val="20"/>
                <w:lang w:val="en-US"/>
              </w:rPr>
              <w:t xml:space="preserve">, dan/atau </w:t>
            </w:r>
            <w:r w:rsidRPr="00607524">
              <w:rPr>
                <w:rFonts w:ascii="Bookman Old Style" w:hAnsi="Bookman Old Style" w:cstheme="minorHAnsi"/>
                <w:sz w:val="20"/>
                <w:szCs w:val="20"/>
                <w:lang w:val="id-ID"/>
              </w:rPr>
              <w:t>Pasal 2</w:t>
            </w:r>
            <w:r w:rsidR="0046299E" w:rsidRPr="00607524">
              <w:rPr>
                <w:rFonts w:ascii="Bookman Old Style" w:hAnsi="Bookman Old Style" w:cstheme="minorHAnsi"/>
                <w:sz w:val="20"/>
                <w:szCs w:val="20"/>
                <w:lang w:val="en-US"/>
              </w:rPr>
              <w:t>1</w:t>
            </w:r>
            <w:r w:rsidRPr="00607524">
              <w:rPr>
                <w:rFonts w:ascii="Bookman Old Style" w:hAnsi="Bookman Old Style" w:cstheme="minorHAnsi"/>
                <w:sz w:val="20"/>
                <w:szCs w:val="20"/>
                <w:lang w:val="id-ID"/>
              </w:rPr>
              <w:t xml:space="preserve"> ayat (</w:t>
            </w:r>
            <w:r w:rsidR="003E3CAE">
              <w:rPr>
                <w:rFonts w:ascii="Bookman Old Style" w:hAnsi="Bookman Old Style" w:cstheme="minorHAnsi"/>
                <w:sz w:val="20"/>
                <w:szCs w:val="20"/>
                <w:lang w:val="en-US"/>
              </w:rPr>
              <w:t>3</w:t>
            </w:r>
            <w:bookmarkStart w:id="0" w:name="_GoBack"/>
            <w:bookmarkEnd w:id="0"/>
            <w:r w:rsidRPr="00607524">
              <w:rPr>
                <w:rFonts w:ascii="Bookman Old Style" w:hAnsi="Bookman Old Style" w:cstheme="minorHAnsi"/>
                <w:sz w:val="20"/>
                <w:szCs w:val="20"/>
                <w:lang w:val="id-ID"/>
              </w:rPr>
              <w:t>)</w:t>
            </w:r>
            <w:r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 xml:space="preserve">dikenai sanksi administratif berupa </w:t>
            </w:r>
            <w:r w:rsidRPr="00607524">
              <w:rPr>
                <w:rFonts w:ascii="Bookman Old Style" w:hAnsi="Bookman Old Style" w:cstheme="minorHAnsi"/>
                <w:sz w:val="20"/>
                <w:szCs w:val="20"/>
                <w:lang w:val="en-US"/>
              </w:rPr>
              <w:t xml:space="preserve">teguran tertulis dan </w:t>
            </w:r>
            <w:r w:rsidRPr="00607524">
              <w:rPr>
                <w:rFonts w:ascii="Bookman Old Style" w:hAnsi="Bookman Old Style" w:cstheme="minorHAnsi"/>
                <w:sz w:val="20"/>
                <w:szCs w:val="20"/>
                <w:lang w:val="id-ID"/>
              </w:rPr>
              <w:t>denda sebesar</w:t>
            </w:r>
            <w:r w:rsidRPr="00607524">
              <w:rPr>
                <w:rFonts w:ascii="Bookman Old Style" w:hAnsi="Bookman Old Style" w:cstheme="minorHAnsi"/>
                <w:sz w:val="20"/>
                <w:szCs w:val="20"/>
                <w:lang w:val="en-US"/>
              </w:rPr>
              <w:t>:</w:t>
            </w:r>
          </w:p>
        </w:tc>
        <w:tc>
          <w:tcPr>
            <w:tcW w:w="1568" w:type="pct"/>
          </w:tcPr>
          <w:p w:rsidR="002B77C6" w:rsidRPr="00607524" w:rsidRDefault="002C40B2" w:rsidP="002B77C6">
            <w:pPr>
              <w:spacing w:before="60" w:after="60" w:line="276" w:lineRule="auto"/>
              <w:jc w:val="both"/>
              <w:rPr>
                <w:rFonts w:ascii="Bookman Old Style" w:hAnsi="Bookman Old Style"/>
                <w:sz w:val="20"/>
                <w:szCs w:val="20"/>
              </w:rPr>
            </w:pPr>
            <w:r w:rsidRPr="00607524">
              <w:rPr>
                <w:rFonts w:ascii="Bookman Old Style" w:hAnsi="Bookman Old Style"/>
                <w:sz w:val="20"/>
                <w:szCs w:val="20"/>
              </w:rPr>
              <w:lastRenderedPageBreak/>
              <w:t>Cukup jelas.</w:t>
            </w:r>
          </w:p>
          <w:p w:rsidR="002C40B2" w:rsidRPr="00607524" w:rsidRDefault="002C40B2" w:rsidP="002C40B2">
            <w:pPr>
              <w:spacing w:before="60" w:after="60" w:line="276" w:lineRule="auto"/>
              <w:jc w:val="both"/>
              <w:rPr>
                <w:rFonts w:ascii="Bookman Old Style" w:hAnsi="Bookman Old Style"/>
                <w:i/>
                <w:sz w:val="20"/>
                <w:szCs w:val="20"/>
              </w:rPr>
            </w:pPr>
            <w:r w:rsidRPr="00607524">
              <w:rPr>
                <w:rFonts w:ascii="Bookman Old Style" w:hAnsi="Bookman Old Style"/>
                <w:i/>
                <w:sz w:val="20"/>
                <w:szCs w:val="20"/>
              </w:rPr>
              <w:lastRenderedPageBreak/>
              <w:t xml:space="preserve"> </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79016C">
            <w:pPr>
              <w:pStyle w:val="ListParagraph"/>
              <w:numPr>
                <w:ilvl w:val="0"/>
                <w:numId w:val="37"/>
              </w:numPr>
              <w:tabs>
                <w:tab w:val="left" w:pos="6447"/>
              </w:tabs>
              <w:spacing w:before="60" w:after="60"/>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Rp100.000,00 (seratus ribu rupiah) per hari </w:t>
            </w:r>
            <w:r w:rsidR="0079016C" w:rsidRPr="00607524">
              <w:rPr>
                <w:rFonts w:ascii="Bookman Old Style" w:hAnsi="Bookman Old Style" w:cstheme="minorHAnsi"/>
                <w:sz w:val="20"/>
                <w:szCs w:val="20"/>
                <w:lang w:val="en-US"/>
              </w:rPr>
              <w:t xml:space="preserve">kerja </w:t>
            </w:r>
            <w:r w:rsidRPr="00607524">
              <w:rPr>
                <w:rFonts w:ascii="Bookman Old Style" w:hAnsi="Bookman Old Style" w:cstheme="minorHAnsi"/>
                <w:sz w:val="20"/>
                <w:szCs w:val="20"/>
                <w:lang w:val="id-ID"/>
              </w:rPr>
              <w:t>keterlambat</w:t>
            </w:r>
            <w:r w:rsidR="0079016C" w:rsidRPr="00607524">
              <w:rPr>
                <w:rFonts w:ascii="Bookman Old Style" w:hAnsi="Bookman Old Style" w:cstheme="minorHAnsi"/>
                <w:sz w:val="20"/>
                <w:szCs w:val="20"/>
                <w:lang w:val="id-ID"/>
              </w:rPr>
              <w:t>an dan paling banyak sebesar Rp3</w:t>
            </w:r>
            <w:r w:rsidRPr="00607524">
              <w:rPr>
                <w:rFonts w:ascii="Bookman Old Style" w:hAnsi="Bookman Old Style" w:cstheme="minorHAnsi"/>
                <w:sz w:val="20"/>
                <w:szCs w:val="20"/>
                <w:lang w:val="id-ID"/>
              </w:rPr>
              <w:t>.000.000,00 (</w:t>
            </w:r>
            <w:r w:rsidR="0079016C" w:rsidRPr="00607524">
              <w:rPr>
                <w:rFonts w:ascii="Bookman Old Style" w:hAnsi="Bookman Old Style" w:cstheme="minorHAnsi"/>
                <w:sz w:val="20"/>
                <w:szCs w:val="20"/>
                <w:lang w:val="en-US"/>
              </w:rPr>
              <w:t xml:space="preserve">tiga </w:t>
            </w:r>
            <w:r w:rsidRPr="00607524">
              <w:rPr>
                <w:rFonts w:ascii="Bookman Old Style" w:hAnsi="Bookman Old Style" w:cstheme="minorHAnsi"/>
                <w:sz w:val="20"/>
                <w:szCs w:val="20"/>
                <w:lang w:val="id-ID"/>
              </w:rPr>
              <w:t>juta rupiah) bagi BPR atau BPRS yang memiliki modal inti kurang dari Rp50.000.000.000,00 (lima puluh miliar rupiah); atau</w:t>
            </w:r>
          </w:p>
        </w:tc>
        <w:tc>
          <w:tcPr>
            <w:tcW w:w="1568" w:type="pct"/>
          </w:tcPr>
          <w:p w:rsidR="002C40B2" w:rsidRPr="00607524" w:rsidRDefault="002C40B2" w:rsidP="002C40B2">
            <w:pPr>
              <w:spacing w:before="60" w:after="60" w:line="276" w:lineRule="auto"/>
              <w:jc w:val="both"/>
              <w:rPr>
                <w:rFonts w:ascii="Bookman Old Style" w:hAnsi="Bookman Old Style"/>
                <w:i/>
                <w:sz w:val="20"/>
                <w:szCs w:val="20"/>
              </w:rPr>
            </w:pP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79016C">
            <w:pPr>
              <w:pStyle w:val="ListParagraph"/>
              <w:numPr>
                <w:ilvl w:val="0"/>
                <w:numId w:val="37"/>
              </w:numPr>
              <w:tabs>
                <w:tab w:val="left" w:pos="6447"/>
              </w:tabs>
              <w:spacing w:before="60" w:after="60"/>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Rp300.000,00 (tiga ratus ribu rupiah) per hari </w:t>
            </w:r>
            <w:r w:rsidR="0079016C" w:rsidRPr="00607524">
              <w:rPr>
                <w:rFonts w:ascii="Bookman Old Style" w:hAnsi="Bookman Old Style" w:cstheme="minorHAnsi"/>
                <w:sz w:val="20"/>
                <w:szCs w:val="20"/>
                <w:lang w:val="en-US"/>
              </w:rPr>
              <w:t xml:space="preserve">kerja </w:t>
            </w:r>
            <w:r w:rsidRPr="00607524">
              <w:rPr>
                <w:rFonts w:ascii="Bookman Old Style" w:hAnsi="Bookman Old Style" w:cstheme="minorHAnsi"/>
                <w:sz w:val="20"/>
                <w:szCs w:val="20"/>
                <w:lang w:val="id-ID"/>
              </w:rPr>
              <w:t>keterlambatan dan paling banyak sebesar</w:t>
            </w:r>
            <w:r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Rp</w:t>
            </w:r>
            <w:r w:rsidR="0079016C" w:rsidRPr="00607524">
              <w:rPr>
                <w:rFonts w:ascii="Bookman Old Style" w:hAnsi="Bookman Old Style" w:cstheme="minorHAnsi"/>
                <w:sz w:val="20"/>
                <w:szCs w:val="20"/>
                <w:lang w:val="en-US"/>
              </w:rPr>
              <w:t>9</w:t>
            </w:r>
            <w:r w:rsidRPr="00607524">
              <w:rPr>
                <w:rFonts w:ascii="Bookman Old Style" w:hAnsi="Bookman Old Style" w:cstheme="minorHAnsi"/>
                <w:sz w:val="20"/>
                <w:szCs w:val="20"/>
                <w:lang w:val="id-ID"/>
              </w:rPr>
              <w:t>.000.000,00 (</w:t>
            </w:r>
            <w:r w:rsidR="0079016C" w:rsidRPr="00607524">
              <w:rPr>
                <w:rFonts w:ascii="Bookman Old Style" w:hAnsi="Bookman Old Style" w:cstheme="minorHAnsi"/>
                <w:sz w:val="20"/>
                <w:szCs w:val="20"/>
                <w:lang w:val="en-US"/>
              </w:rPr>
              <w:t>sembilan</w:t>
            </w:r>
            <w:r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juta rupiah) bagi BPR atau BPRS yang memiliki modal inti paling sedikit Rp50.000.000.000,00 (lima puluh miliar rupiah).</w:t>
            </w:r>
          </w:p>
        </w:tc>
        <w:tc>
          <w:tcPr>
            <w:tcW w:w="1568" w:type="pct"/>
          </w:tcPr>
          <w:p w:rsidR="002C40B2" w:rsidRPr="00607524" w:rsidRDefault="002C40B2" w:rsidP="002C40B2">
            <w:pPr>
              <w:spacing w:before="60" w:after="60" w:line="276" w:lineRule="auto"/>
              <w:jc w:val="both"/>
              <w:rPr>
                <w:rFonts w:ascii="Bookman Old Style" w:hAnsi="Bookman Old Style"/>
                <w:i/>
                <w:sz w:val="20"/>
                <w:szCs w:val="20"/>
              </w:rPr>
            </w:pP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36"/>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46299E">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id-ID"/>
              </w:rPr>
              <w:t xml:space="preserve">BPR </w:t>
            </w:r>
            <w:r w:rsidR="00A114B9" w:rsidRPr="00607524">
              <w:rPr>
                <w:rFonts w:ascii="Bookman Old Style" w:hAnsi="Bookman Old Style" w:cstheme="minorHAnsi"/>
                <w:sz w:val="20"/>
                <w:szCs w:val="20"/>
                <w:lang w:val="en-US"/>
              </w:rPr>
              <w:t xml:space="preserve">atau BPRS </w:t>
            </w:r>
            <w:r w:rsidRPr="00607524">
              <w:rPr>
                <w:rFonts w:ascii="Bookman Old Style" w:hAnsi="Bookman Old Style" w:cstheme="minorHAnsi"/>
                <w:sz w:val="20"/>
                <w:szCs w:val="20"/>
                <w:lang w:val="id-ID"/>
              </w:rPr>
              <w:t xml:space="preserve">yang telah dikenai sanksi administratif berupa denda sebagaimana dimaksud pada ayat (1) tetap menyampaikan Rencana Bisnis, </w:t>
            </w:r>
            <w:r w:rsidR="0046299E" w:rsidRPr="00607524">
              <w:rPr>
                <w:rFonts w:ascii="Bookman Old Style" w:hAnsi="Bookman Old Style" w:cstheme="minorHAnsi"/>
                <w:sz w:val="20"/>
                <w:szCs w:val="20"/>
                <w:lang w:val="en-US"/>
              </w:rPr>
              <w:t xml:space="preserve">perubahan Rencana Bisnis, </w:t>
            </w:r>
            <w:r w:rsidRPr="00607524">
              <w:rPr>
                <w:rFonts w:ascii="Bookman Old Style" w:hAnsi="Bookman Old Style" w:cstheme="minorHAnsi"/>
                <w:sz w:val="20"/>
                <w:szCs w:val="20"/>
                <w:lang w:val="id-ID"/>
              </w:rPr>
              <w:t xml:space="preserve">penyesuaian </w:t>
            </w:r>
            <w:r w:rsidRPr="00607524">
              <w:rPr>
                <w:rFonts w:ascii="Bookman Old Style" w:hAnsi="Bookman Old Style" w:cstheme="minorHAnsi"/>
                <w:sz w:val="20"/>
                <w:szCs w:val="20"/>
                <w:lang w:val="en-US"/>
              </w:rPr>
              <w:t>Rencana Bisnis</w:t>
            </w:r>
            <w:r w:rsidRPr="00607524">
              <w:rPr>
                <w:rFonts w:ascii="Bookman Old Style" w:hAnsi="Bookman Old Style" w:cstheme="minorHAnsi"/>
                <w:sz w:val="20"/>
                <w:szCs w:val="20"/>
                <w:lang w:val="id-ID"/>
              </w:rPr>
              <w:t xml:space="preserve">, atau Laporan </w:t>
            </w:r>
            <w:r w:rsidRPr="00607524">
              <w:rPr>
                <w:rFonts w:ascii="Bookman Old Style" w:hAnsi="Bookman Old Style" w:cstheme="minorHAnsi"/>
                <w:sz w:val="20"/>
                <w:szCs w:val="20"/>
                <w:lang w:val="en-US"/>
              </w:rPr>
              <w:t xml:space="preserve">Pelaksaaan dan </w:t>
            </w:r>
            <w:r w:rsidR="0046299E" w:rsidRPr="00607524">
              <w:rPr>
                <w:rFonts w:ascii="Bookman Old Style" w:hAnsi="Bookman Old Style" w:cstheme="minorHAnsi"/>
                <w:sz w:val="20"/>
                <w:szCs w:val="20"/>
                <w:lang w:val="en-US"/>
              </w:rPr>
              <w:t>Pengawasan</w:t>
            </w:r>
            <w:r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Rencana Bisnis</w:t>
            </w:r>
            <w:r w:rsidRPr="00607524">
              <w:rPr>
                <w:rFonts w:ascii="Bookman Old Style" w:hAnsi="Bookman Old Style" w:cstheme="minorHAnsi"/>
                <w:sz w:val="20"/>
                <w:szCs w:val="20"/>
                <w:lang w:val="en-US"/>
              </w:rPr>
              <w:t>.</w:t>
            </w:r>
          </w:p>
        </w:tc>
        <w:tc>
          <w:tcPr>
            <w:tcW w:w="1568" w:type="pct"/>
          </w:tcPr>
          <w:p w:rsidR="002C40B2" w:rsidRPr="00607524" w:rsidRDefault="002C40B2" w:rsidP="002C40B2">
            <w:pPr>
              <w:spacing w:before="60" w:after="60" w:line="276" w:lineRule="auto"/>
              <w:jc w:val="both"/>
              <w:rPr>
                <w:rFonts w:ascii="Bookman Old Style"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38"/>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BPR dan BPRS yang menyampaikan penyesuaian Rencana Bisnis sebagaimana dimaksud dalam Pasal </w:t>
            </w:r>
            <w:r w:rsidRPr="00607524">
              <w:rPr>
                <w:rFonts w:ascii="Bookman Old Style" w:hAnsi="Bookman Old Style" w:cstheme="minorHAnsi"/>
                <w:sz w:val="20"/>
                <w:szCs w:val="20"/>
                <w:lang w:val="en-US"/>
              </w:rPr>
              <w:t>20</w:t>
            </w:r>
            <w:r w:rsidRPr="00607524">
              <w:rPr>
                <w:rFonts w:ascii="Bookman Old Style" w:hAnsi="Bookman Old Style" w:cstheme="minorHAnsi"/>
                <w:sz w:val="20"/>
                <w:szCs w:val="20"/>
                <w:lang w:val="id-ID"/>
              </w:rPr>
              <w:t xml:space="preserve"> ayat (2), namun:</w:t>
            </w:r>
          </w:p>
        </w:tc>
        <w:tc>
          <w:tcPr>
            <w:tcW w:w="1568" w:type="pct"/>
          </w:tcPr>
          <w:p w:rsidR="002C40B2" w:rsidRPr="00607524" w:rsidRDefault="002C40B2" w:rsidP="002C40B2">
            <w:pPr>
              <w:spacing w:before="60" w:after="60" w:line="276" w:lineRule="auto"/>
              <w:jc w:val="both"/>
              <w:rPr>
                <w:rFonts w:ascii="Bookman Old Style" w:eastAsiaTheme="minorEastAsia" w:hAnsi="Bookman Old Style"/>
                <w:sz w:val="20"/>
                <w:szCs w:val="20"/>
              </w:rPr>
            </w:pPr>
            <w:r w:rsidRPr="00607524">
              <w:rPr>
                <w:rFonts w:ascii="Bookman Old Style" w:hAnsi="Bookman Old Style"/>
                <w:sz w:val="20"/>
                <w:szCs w:val="20"/>
              </w:rPr>
              <w:t>Cukup jelas.</w:t>
            </w:r>
          </w:p>
        </w:tc>
      </w:tr>
      <w:tr w:rsidR="00607524"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2C40B2">
            <w:pPr>
              <w:pStyle w:val="ListParagraph"/>
              <w:numPr>
                <w:ilvl w:val="0"/>
                <w:numId w:val="32"/>
              </w:numPr>
              <w:tabs>
                <w:tab w:val="left" w:pos="6447"/>
              </w:tabs>
              <w:spacing w:before="60" w:after="60"/>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dinilai tidak lengkap; dan/atau</w:t>
            </w:r>
          </w:p>
        </w:tc>
        <w:tc>
          <w:tcPr>
            <w:tcW w:w="1568" w:type="pct"/>
          </w:tcPr>
          <w:p w:rsidR="002C40B2" w:rsidRPr="00607524" w:rsidRDefault="002C40B2" w:rsidP="00607524">
            <w:pPr>
              <w:spacing w:before="60" w:after="60" w:line="276" w:lineRule="auto"/>
              <w:jc w:val="both"/>
              <w:rPr>
                <w:rFonts w:ascii="Bookman Old Style" w:eastAsiaTheme="minorEastAsia" w:hAnsi="Bookman Old Style"/>
                <w:sz w:val="20"/>
                <w:szCs w:val="20"/>
              </w:rPr>
            </w:pPr>
            <w:r w:rsidRPr="00607524">
              <w:rPr>
                <w:rFonts w:ascii="Bookman Old Style" w:eastAsiaTheme="minorEastAsia" w:hAnsi="Bookman Old Style"/>
                <w:sz w:val="20"/>
                <w:szCs w:val="20"/>
              </w:rPr>
              <w:t>Yang dimaksud dengan “tidak lengkap” adalah tidak sesuai dengan hal yang</w:t>
            </w:r>
            <w:r w:rsidR="0046299E" w:rsidRPr="00607524">
              <w:rPr>
                <w:rFonts w:ascii="Bookman Old Style" w:eastAsiaTheme="minorEastAsia" w:hAnsi="Bookman Old Style"/>
                <w:sz w:val="20"/>
                <w:szCs w:val="20"/>
              </w:rPr>
              <w:t xml:space="preserve"> harus</w:t>
            </w:r>
            <w:r w:rsidRPr="00607524">
              <w:rPr>
                <w:rFonts w:ascii="Bookman Old Style" w:eastAsiaTheme="minorEastAsia" w:hAnsi="Bookman Old Style"/>
                <w:sz w:val="20"/>
                <w:szCs w:val="20"/>
              </w:rPr>
              <w:t xml:space="preserve"> disesuaikan oleh BPR dan BPRS sebagaimana diminta oleh Otoritas Jasa Keuangan.</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2C40B2">
            <w:pPr>
              <w:pStyle w:val="ListParagraph"/>
              <w:numPr>
                <w:ilvl w:val="0"/>
                <w:numId w:val="32"/>
              </w:numPr>
              <w:tabs>
                <w:tab w:val="left" w:pos="6447"/>
              </w:tabs>
              <w:spacing w:before="60" w:after="60"/>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tidak dilampiri dokumen dan informasi sesuai dengan cakupan yang ditetapkan dalam Peraturan</w:t>
            </w:r>
            <w:r w:rsidRPr="00607524">
              <w:rPr>
                <w:rFonts w:ascii="Bookman Old Style" w:hAnsi="Bookman Old Style" w:cstheme="minorHAnsi"/>
                <w:sz w:val="20"/>
                <w:szCs w:val="20"/>
                <w:lang w:val="en-US"/>
              </w:rPr>
              <w:t xml:space="preserve"> </w:t>
            </w:r>
            <w:r w:rsidRPr="00607524">
              <w:rPr>
                <w:rFonts w:ascii="Bookman Old Style" w:hAnsi="Bookman Old Style" w:cstheme="minorHAnsi"/>
                <w:sz w:val="20"/>
                <w:szCs w:val="20"/>
                <w:lang w:val="id-ID"/>
              </w:rPr>
              <w:t>Otoritas Jasa Keuangan ini dan/atau ketentuan pelaksanaan terkait lainnya,</w:t>
            </w:r>
          </w:p>
        </w:tc>
        <w:tc>
          <w:tcPr>
            <w:tcW w:w="1568" w:type="pct"/>
          </w:tcPr>
          <w:p w:rsidR="002C40B2" w:rsidRPr="00607524" w:rsidRDefault="002C40B2" w:rsidP="002C40B2">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46299E" w:rsidRPr="00607524" w:rsidTr="00C8049C">
        <w:tc>
          <w:tcPr>
            <w:tcW w:w="571" w:type="pct"/>
          </w:tcPr>
          <w:p w:rsidR="0046299E" w:rsidRPr="00607524" w:rsidRDefault="0046299E" w:rsidP="002C40B2">
            <w:pPr>
              <w:tabs>
                <w:tab w:val="left" w:pos="6447"/>
              </w:tabs>
              <w:spacing w:before="60" w:after="60" w:line="276" w:lineRule="auto"/>
              <w:rPr>
                <w:rFonts w:ascii="Bookman Old Style" w:hAnsi="Bookman Old Style" w:cs="Arial"/>
                <w:sz w:val="20"/>
                <w:szCs w:val="20"/>
              </w:rPr>
            </w:pPr>
          </w:p>
        </w:tc>
        <w:tc>
          <w:tcPr>
            <w:tcW w:w="352" w:type="pct"/>
          </w:tcPr>
          <w:p w:rsidR="0046299E" w:rsidRPr="00607524" w:rsidRDefault="0046299E" w:rsidP="002C40B2">
            <w:pPr>
              <w:tabs>
                <w:tab w:val="left" w:pos="6447"/>
              </w:tabs>
              <w:spacing w:before="60" w:after="60"/>
              <w:jc w:val="center"/>
              <w:rPr>
                <w:rFonts w:ascii="Bookman Old Style" w:hAnsi="Bookman Old Style" w:cs="Arial"/>
                <w:sz w:val="20"/>
                <w:szCs w:val="20"/>
              </w:rPr>
            </w:pPr>
          </w:p>
        </w:tc>
        <w:tc>
          <w:tcPr>
            <w:tcW w:w="2509" w:type="pct"/>
          </w:tcPr>
          <w:p w:rsidR="0046299E" w:rsidRPr="00607524" w:rsidRDefault="0046299E" w:rsidP="00607524">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en-US"/>
              </w:rPr>
              <w:t>dikenai</w:t>
            </w:r>
            <w:r w:rsidRPr="00607524">
              <w:rPr>
                <w:rFonts w:ascii="Bookman Old Style" w:hAnsi="Bookman Old Style" w:cstheme="minorHAnsi"/>
                <w:sz w:val="20"/>
                <w:szCs w:val="20"/>
                <w:lang w:val="id-ID"/>
              </w:rPr>
              <w:t xml:space="preserve"> sanksi</w:t>
            </w:r>
            <w:r w:rsidRPr="00607524">
              <w:rPr>
                <w:rFonts w:ascii="Bookman Old Style" w:hAnsi="Bookman Old Style" w:cstheme="minorHAnsi"/>
                <w:sz w:val="20"/>
                <w:szCs w:val="20"/>
                <w:lang w:val="en-US"/>
              </w:rPr>
              <w:t xml:space="preserve"> berupa</w:t>
            </w:r>
            <w:r w:rsidR="00A114B9" w:rsidRPr="00607524">
              <w:rPr>
                <w:rFonts w:ascii="Bookman Old Style" w:hAnsi="Bookman Old Style" w:cstheme="minorHAnsi"/>
                <w:sz w:val="20"/>
                <w:szCs w:val="20"/>
                <w:lang w:val="en-US"/>
              </w:rPr>
              <w:t xml:space="preserve"> </w:t>
            </w:r>
            <w:r w:rsidR="00A114B9" w:rsidRPr="00607524">
              <w:rPr>
                <w:rFonts w:ascii="Bookman Old Style" w:hAnsi="Bookman Old Style" w:cstheme="minorHAnsi"/>
                <w:sz w:val="20"/>
                <w:szCs w:val="20"/>
                <w:lang w:val="id-ID"/>
              </w:rPr>
              <w:t xml:space="preserve">2 (dua) kali surat teguran oleh Otoritas Jasa Keuangan dengan tenggang waktu paling lama </w:t>
            </w:r>
            <w:r w:rsidR="00A114B9" w:rsidRPr="00607524">
              <w:rPr>
                <w:rFonts w:ascii="Bookman Old Style" w:hAnsi="Bookman Old Style" w:cstheme="minorHAnsi"/>
                <w:sz w:val="20"/>
                <w:szCs w:val="20"/>
                <w:lang w:val="en-US"/>
              </w:rPr>
              <w:t xml:space="preserve">10 </w:t>
            </w:r>
            <w:r w:rsidR="00A114B9" w:rsidRPr="00607524">
              <w:rPr>
                <w:rFonts w:ascii="Bookman Old Style" w:hAnsi="Bookman Old Style" w:cstheme="minorHAnsi"/>
                <w:sz w:val="20"/>
                <w:szCs w:val="20"/>
                <w:lang w:val="id-ID"/>
              </w:rPr>
              <w:t>(</w:t>
            </w:r>
            <w:r w:rsidR="00A114B9" w:rsidRPr="00607524">
              <w:rPr>
                <w:rFonts w:ascii="Bookman Old Style" w:hAnsi="Bookman Old Style" w:cstheme="minorHAnsi"/>
                <w:sz w:val="20"/>
                <w:szCs w:val="20"/>
                <w:lang w:val="en-US"/>
              </w:rPr>
              <w:t>sepuluh</w:t>
            </w:r>
            <w:r w:rsidR="00A114B9" w:rsidRPr="00607524">
              <w:rPr>
                <w:rFonts w:ascii="Bookman Old Style" w:hAnsi="Bookman Old Style" w:cstheme="minorHAnsi"/>
                <w:sz w:val="20"/>
                <w:szCs w:val="20"/>
                <w:lang w:val="id-ID"/>
              </w:rPr>
              <w:t xml:space="preserve">) hari </w:t>
            </w:r>
            <w:r w:rsidR="00A114B9" w:rsidRPr="00607524">
              <w:rPr>
                <w:rFonts w:ascii="Bookman Old Style" w:hAnsi="Bookman Old Style" w:cstheme="minorHAnsi"/>
                <w:sz w:val="20"/>
                <w:szCs w:val="20"/>
                <w:lang w:val="en-US"/>
              </w:rPr>
              <w:t xml:space="preserve">kerja </w:t>
            </w:r>
            <w:r w:rsidR="00A114B9" w:rsidRPr="00607524">
              <w:rPr>
                <w:rFonts w:ascii="Bookman Old Style" w:hAnsi="Bookman Old Style" w:cstheme="minorHAnsi"/>
                <w:sz w:val="20"/>
                <w:szCs w:val="20"/>
                <w:lang w:val="id-ID"/>
              </w:rPr>
              <w:t>untuk setiap surat teguran</w:t>
            </w:r>
            <w:r w:rsidR="00A114B9" w:rsidRPr="00607524">
              <w:rPr>
                <w:rFonts w:ascii="Bookman Old Style" w:hAnsi="Bookman Old Style" w:cstheme="minorHAnsi"/>
                <w:sz w:val="20"/>
                <w:szCs w:val="20"/>
                <w:lang w:val="en-US"/>
              </w:rPr>
              <w:t>.</w:t>
            </w:r>
          </w:p>
        </w:tc>
        <w:tc>
          <w:tcPr>
            <w:tcW w:w="1568" w:type="pct"/>
          </w:tcPr>
          <w:p w:rsidR="0046299E" w:rsidRPr="00607524" w:rsidRDefault="0046299E" w:rsidP="002C40B2">
            <w:pPr>
              <w:spacing w:before="60" w:after="60" w:line="276" w:lineRule="auto"/>
              <w:rPr>
                <w:rFonts w:ascii="Bookman Old Style" w:hAnsi="Bookman Old Style"/>
                <w:sz w:val="20"/>
                <w:szCs w:val="20"/>
              </w:rPr>
            </w:pPr>
          </w:p>
        </w:tc>
      </w:tr>
      <w:tr w:rsidR="002C40B2" w:rsidRPr="00607524" w:rsidTr="00C8049C">
        <w:tc>
          <w:tcPr>
            <w:tcW w:w="571" w:type="pct"/>
          </w:tcPr>
          <w:p w:rsidR="002C40B2" w:rsidRPr="00607524" w:rsidRDefault="002C40B2" w:rsidP="002C40B2">
            <w:pPr>
              <w:tabs>
                <w:tab w:val="left" w:pos="6447"/>
              </w:tabs>
              <w:spacing w:before="60" w:after="60" w:line="276" w:lineRule="auto"/>
              <w:rPr>
                <w:rFonts w:ascii="Bookman Old Style" w:hAnsi="Bookman Old Style" w:cs="Arial"/>
                <w:sz w:val="20"/>
                <w:szCs w:val="20"/>
              </w:rPr>
            </w:pPr>
          </w:p>
        </w:tc>
        <w:tc>
          <w:tcPr>
            <w:tcW w:w="352" w:type="pct"/>
          </w:tcPr>
          <w:p w:rsidR="002C40B2" w:rsidRPr="00607524" w:rsidRDefault="002C40B2" w:rsidP="002C40B2">
            <w:pPr>
              <w:pStyle w:val="ListParagraph"/>
              <w:numPr>
                <w:ilvl w:val="0"/>
                <w:numId w:val="38"/>
              </w:numPr>
              <w:tabs>
                <w:tab w:val="left" w:pos="6447"/>
              </w:tabs>
              <w:spacing w:before="60" w:after="60"/>
              <w:contextualSpacing w:val="0"/>
              <w:jc w:val="center"/>
              <w:rPr>
                <w:rFonts w:ascii="Bookman Old Style" w:hAnsi="Bookman Old Style" w:cs="Arial"/>
                <w:sz w:val="20"/>
                <w:szCs w:val="20"/>
              </w:rPr>
            </w:pPr>
          </w:p>
        </w:tc>
        <w:tc>
          <w:tcPr>
            <w:tcW w:w="2509" w:type="pct"/>
          </w:tcPr>
          <w:p w:rsidR="00A114B9" w:rsidRPr="00607524" w:rsidRDefault="00A114B9" w:rsidP="00A114B9">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en-US"/>
              </w:rPr>
              <w:t xml:space="preserve">BPR dan BPRS yang tidak memperbaiki penyesuaian </w:t>
            </w:r>
            <w:r w:rsidRPr="00607524">
              <w:rPr>
                <w:rFonts w:ascii="Bookman Old Style" w:hAnsi="Bookman Old Style" w:cstheme="minorHAnsi"/>
                <w:sz w:val="20"/>
                <w:szCs w:val="20"/>
                <w:lang w:val="id-ID"/>
              </w:rPr>
              <w:t>Rencana</w:t>
            </w:r>
            <w:r w:rsidRPr="00607524">
              <w:rPr>
                <w:rFonts w:ascii="Bookman Old Style" w:hAnsi="Bookman Old Style" w:cstheme="minorHAnsi"/>
                <w:sz w:val="20"/>
                <w:szCs w:val="20"/>
                <w:lang w:val="en-US"/>
              </w:rPr>
              <w:t xml:space="preserve"> Bisnis dalam jangka waktu 5 (lima) hari kerja setelah surat teguran kedua sebagaimana dimaksud pada ayat (1), </w:t>
            </w:r>
            <w:r w:rsidR="002C40B2" w:rsidRPr="00607524">
              <w:rPr>
                <w:rFonts w:ascii="Bookman Old Style" w:hAnsi="Bookman Old Style" w:cstheme="minorHAnsi"/>
                <w:sz w:val="20"/>
                <w:szCs w:val="20"/>
                <w:lang w:val="id-ID"/>
              </w:rPr>
              <w:t xml:space="preserve">BPR dan BPRS </w:t>
            </w:r>
            <w:r w:rsidR="002C40B2" w:rsidRPr="00607524">
              <w:rPr>
                <w:rFonts w:ascii="Bookman Old Style" w:hAnsi="Bookman Old Style" w:cstheme="minorHAnsi"/>
                <w:sz w:val="20"/>
                <w:szCs w:val="20"/>
                <w:lang w:val="en-US"/>
              </w:rPr>
              <w:t>dikenai</w:t>
            </w:r>
            <w:r w:rsidR="002C40B2" w:rsidRPr="00607524">
              <w:rPr>
                <w:rFonts w:ascii="Bookman Old Style" w:hAnsi="Bookman Old Style" w:cstheme="minorHAnsi"/>
                <w:sz w:val="20"/>
                <w:szCs w:val="20"/>
                <w:lang w:val="id-ID"/>
              </w:rPr>
              <w:t xml:space="preserve"> sanksi </w:t>
            </w:r>
            <w:r w:rsidRPr="00607524">
              <w:rPr>
                <w:rFonts w:ascii="Bookman Old Style" w:hAnsi="Bookman Old Style" w:cstheme="minorHAnsi"/>
                <w:sz w:val="20"/>
                <w:szCs w:val="20"/>
                <w:lang w:val="id-ID"/>
              </w:rPr>
              <w:t>administratif berupa denda sebesar</w:t>
            </w:r>
            <w:r w:rsidRPr="00607524">
              <w:rPr>
                <w:rFonts w:ascii="Bookman Old Style" w:hAnsi="Bookman Old Style" w:cstheme="minorHAnsi"/>
                <w:sz w:val="20"/>
                <w:szCs w:val="20"/>
                <w:lang w:val="en-US"/>
              </w:rPr>
              <w:t>:</w:t>
            </w:r>
          </w:p>
          <w:p w:rsidR="00A114B9" w:rsidRPr="00607524" w:rsidRDefault="00A114B9" w:rsidP="00A114B9">
            <w:pPr>
              <w:pStyle w:val="ListParagraph"/>
              <w:numPr>
                <w:ilvl w:val="0"/>
                <w:numId w:val="48"/>
              </w:numPr>
              <w:tabs>
                <w:tab w:val="left" w:pos="6447"/>
              </w:tabs>
              <w:spacing w:before="60" w:after="60"/>
              <w:jc w:val="both"/>
              <w:rPr>
                <w:rFonts w:ascii="Bookman Old Style" w:hAnsi="Bookman Old Style" w:cstheme="minorHAnsi"/>
                <w:sz w:val="20"/>
                <w:szCs w:val="20"/>
                <w:lang w:val="en-US"/>
              </w:rPr>
            </w:pPr>
            <w:r w:rsidRPr="00607524">
              <w:rPr>
                <w:rFonts w:ascii="Bookman Old Style" w:hAnsi="Bookman Old Style" w:cstheme="minorHAnsi"/>
                <w:sz w:val="20"/>
                <w:szCs w:val="20"/>
                <w:lang w:val="id-ID"/>
              </w:rPr>
              <w:t>Rp3.000.000,00 (tiga juta rupiah) bagi BPR atau BPRS yang memiliki modal inti kurang dari Rp50.000.000.000,00 (lima puluh miliar rupiah)</w:t>
            </w:r>
            <w:r w:rsidRPr="00607524">
              <w:rPr>
                <w:rFonts w:ascii="Bookman Old Style" w:hAnsi="Bookman Old Style" w:cstheme="minorHAnsi"/>
                <w:sz w:val="20"/>
                <w:szCs w:val="20"/>
                <w:lang w:val="en-US"/>
              </w:rPr>
              <w:t>;</w:t>
            </w:r>
            <w:r w:rsidRPr="00607524">
              <w:rPr>
                <w:rFonts w:ascii="Bookman Old Style" w:hAnsi="Bookman Old Style" w:cstheme="minorHAnsi"/>
                <w:sz w:val="20"/>
                <w:szCs w:val="20"/>
                <w:lang w:val="id-ID"/>
              </w:rPr>
              <w:t xml:space="preserve"> atau </w:t>
            </w:r>
          </w:p>
          <w:p w:rsidR="002C40B2" w:rsidRPr="00607524" w:rsidRDefault="00A114B9" w:rsidP="00A114B9">
            <w:pPr>
              <w:pStyle w:val="ListParagraph"/>
              <w:numPr>
                <w:ilvl w:val="0"/>
                <w:numId w:val="48"/>
              </w:numPr>
              <w:tabs>
                <w:tab w:val="left" w:pos="6447"/>
              </w:tabs>
              <w:spacing w:before="60" w:after="60"/>
              <w:jc w:val="both"/>
              <w:rPr>
                <w:rFonts w:ascii="Bookman Old Style" w:hAnsi="Bookman Old Style" w:cstheme="minorHAnsi"/>
                <w:sz w:val="20"/>
                <w:szCs w:val="20"/>
                <w:lang w:val="en-US"/>
              </w:rPr>
            </w:pPr>
            <w:r w:rsidRPr="00607524">
              <w:rPr>
                <w:rFonts w:ascii="Bookman Old Style" w:hAnsi="Bookman Old Style" w:cstheme="minorHAnsi"/>
                <w:sz w:val="20"/>
                <w:szCs w:val="20"/>
                <w:lang w:val="id-ID"/>
              </w:rPr>
              <w:t>Rp9.000.000,00 (sembilan juta rupiah) bagi BPR atau BPRS yang memiliki modal inti paling sedikit Rp50.000.000.000,00 (lima puluh miliar rupiah).</w:t>
            </w:r>
          </w:p>
        </w:tc>
        <w:tc>
          <w:tcPr>
            <w:tcW w:w="1568" w:type="pct"/>
          </w:tcPr>
          <w:p w:rsidR="002C40B2" w:rsidRPr="00607524" w:rsidRDefault="002C40B2" w:rsidP="002C40B2">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A114B9" w:rsidRPr="00607524" w:rsidTr="00C8049C">
        <w:tc>
          <w:tcPr>
            <w:tcW w:w="571" w:type="pct"/>
          </w:tcPr>
          <w:p w:rsidR="00A114B9" w:rsidRPr="00607524" w:rsidRDefault="00A114B9" w:rsidP="002C40B2">
            <w:pPr>
              <w:tabs>
                <w:tab w:val="left" w:pos="6447"/>
              </w:tabs>
              <w:spacing w:before="60" w:after="60" w:line="276" w:lineRule="auto"/>
              <w:rPr>
                <w:rFonts w:ascii="Bookman Old Style" w:hAnsi="Bookman Old Style" w:cs="Arial"/>
                <w:sz w:val="20"/>
                <w:szCs w:val="20"/>
              </w:rPr>
            </w:pPr>
          </w:p>
        </w:tc>
        <w:tc>
          <w:tcPr>
            <w:tcW w:w="352" w:type="pct"/>
          </w:tcPr>
          <w:p w:rsidR="00A114B9" w:rsidRPr="00607524" w:rsidRDefault="00A114B9" w:rsidP="002C40B2">
            <w:pPr>
              <w:pStyle w:val="ListParagraph"/>
              <w:numPr>
                <w:ilvl w:val="0"/>
                <w:numId w:val="38"/>
              </w:numPr>
              <w:tabs>
                <w:tab w:val="left" w:pos="6447"/>
              </w:tabs>
              <w:spacing w:before="60" w:after="60"/>
              <w:contextualSpacing w:val="0"/>
              <w:jc w:val="center"/>
              <w:rPr>
                <w:rFonts w:ascii="Bookman Old Style" w:hAnsi="Bookman Old Style" w:cs="Arial"/>
                <w:sz w:val="20"/>
                <w:szCs w:val="20"/>
              </w:rPr>
            </w:pPr>
          </w:p>
        </w:tc>
        <w:tc>
          <w:tcPr>
            <w:tcW w:w="2509" w:type="pct"/>
          </w:tcPr>
          <w:p w:rsidR="00A114B9" w:rsidRPr="00607524" w:rsidRDefault="00A114B9" w:rsidP="00A114B9">
            <w:pPr>
              <w:tabs>
                <w:tab w:val="left" w:pos="6447"/>
              </w:tabs>
              <w:spacing w:before="60" w:after="60" w:line="276" w:lineRule="auto"/>
              <w:jc w:val="both"/>
              <w:rPr>
                <w:rFonts w:ascii="Bookman Old Style" w:hAnsi="Bookman Old Style" w:cstheme="minorHAnsi"/>
                <w:sz w:val="20"/>
                <w:szCs w:val="20"/>
                <w:lang w:val="en-US"/>
              </w:rPr>
            </w:pPr>
            <w:r w:rsidRPr="00607524">
              <w:rPr>
                <w:rFonts w:ascii="Bookman Old Style" w:hAnsi="Bookman Old Style" w:cstheme="minorHAnsi"/>
                <w:sz w:val="20"/>
                <w:szCs w:val="20"/>
                <w:lang w:val="id-ID"/>
              </w:rPr>
              <w:t xml:space="preserve">BPR </w:t>
            </w:r>
            <w:r w:rsidRPr="00607524">
              <w:rPr>
                <w:rFonts w:ascii="Bookman Old Style" w:hAnsi="Bookman Old Style" w:cstheme="minorHAnsi"/>
                <w:sz w:val="20"/>
                <w:szCs w:val="20"/>
                <w:lang w:val="en-US"/>
              </w:rPr>
              <w:t xml:space="preserve">atau BPRS </w:t>
            </w:r>
            <w:r w:rsidRPr="00607524">
              <w:rPr>
                <w:rFonts w:ascii="Bookman Old Style" w:hAnsi="Bookman Old Style" w:cstheme="minorHAnsi"/>
                <w:sz w:val="20"/>
                <w:szCs w:val="20"/>
                <w:lang w:val="id-ID"/>
              </w:rPr>
              <w:t xml:space="preserve">yang telah dikenai sanksi administratif berupa denda sebagaimana dimaksud pada ayat (2) tetap </w:t>
            </w:r>
            <w:r w:rsidRPr="00607524">
              <w:rPr>
                <w:rFonts w:ascii="Bookman Old Style" w:hAnsi="Bookman Old Style" w:cstheme="minorHAnsi"/>
                <w:sz w:val="20"/>
                <w:szCs w:val="20"/>
                <w:lang w:val="en-US"/>
              </w:rPr>
              <w:t>menyampaikan penyesuaian</w:t>
            </w:r>
            <w:r w:rsidRPr="00607524">
              <w:rPr>
                <w:rFonts w:ascii="Bookman Old Style" w:hAnsi="Bookman Old Style" w:cstheme="minorHAnsi"/>
                <w:sz w:val="20"/>
                <w:szCs w:val="20"/>
                <w:lang w:val="id-ID"/>
              </w:rPr>
              <w:t xml:space="preserve"> Rencana Bisnis</w:t>
            </w:r>
            <w:r w:rsidRPr="00607524">
              <w:rPr>
                <w:rFonts w:ascii="Bookman Old Style" w:hAnsi="Bookman Old Style" w:cstheme="minorHAnsi"/>
                <w:sz w:val="20"/>
                <w:szCs w:val="20"/>
                <w:lang w:val="en-US"/>
              </w:rPr>
              <w:t>.</w:t>
            </w:r>
          </w:p>
        </w:tc>
        <w:tc>
          <w:tcPr>
            <w:tcW w:w="1568" w:type="pct"/>
          </w:tcPr>
          <w:p w:rsidR="00A114B9" w:rsidRPr="00607524" w:rsidRDefault="00A114B9" w:rsidP="002C40B2">
            <w:pPr>
              <w:spacing w:before="60" w:after="60" w:line="276" w:lineRule="auto"/>
              <w:rPr>
                <w:rFonts w:ascii="Bookman Old Style" w:hAnsi="Bookman Old Style"/>
                <w:sz w:val="20"/>
                <w:szCs w:val="20"/>
              </w:rPr>
            </w:pPr>
            <w:r w:rsidRPr="00607524">
              <w:rPr>
                <w:rFonts w:ascii="Bookman Old Style" w:hAnsi="Bookman Old Style"/>
                <w:sz w:val="20"/>
                <w:szCs w:val="20"/>
              </w:rPr>
              <w:t>Cukup jelas.</w:t>
            </w:r>
          </w:p>
        </w:tc>
      </w:tr>
      <w:tr w:rsidR="00E35199" w:rsidRPr="00607524" w:rsidTr="00A17BD6">
        <w:tc>
          <w:tcPr>
            <w:tcW w:w="5000" w:type="pct"/>
            <w:gridSpan w:val="4"/>
            <w:shd w:val="clear" w:color="auto" w:fill="EDEDED" w:themeFill="accent3" w:themeFillTint="33"/>
          </w:tcPr>
          <w:p w:rsidR="00E35199" w:rsidRPr="00607524" w:rsidRDefault="00E35199" w:rsidP="002C40B2">
            <w:pPr>
              <w:pStyle w:val="ListParagraph"/>
              <w:numPr>
                <w:ilvl w:val="0"/>
                <w:numId w:val="5"/>
              </w:numPr>
              <w:tabs>
                <w:tab w:val="left" w:pos="823"/>
              </w:tabs>
              <w:spacing w:before="60" w:after="60"/>
              <w:contextualSpacing w:val="0"/>
              <w:jc w:val="center"/>
              <w:rPr>
                <w:rFonts w:ascii="Bookman Old Style" w:hAnsi="Bookman Old Style" w:cstheme="minorHAnsi"/>
                <w:b/>
                <w:sz w:val="20"/>
                <w:szCs w:val="20"/>
              </w:rPr>
            </w:pPr>
            <w:r>
              <w:rPr>
                <w:rFonts w:ascii="Bookman Old Style" w:hAnsi="Bookman Old Style" w:cstheme="minorHAnsi"/>
                <w:b/>
                <w:sz w:val="20"/>
                <w:szCs w:val="20"/>
              </w:rPr>
              <w:t>KETENTUAN PERALIHAN</w:t>
            </w:r>
          </w:p>
        </w:tc>
      </w:tr>
      <w:tr w:rsidR="003A3AAC" w:rsidRPr="003A3AAC" w:rsidTr="00B968EB">
        <w:tc>
          <w:tcPr>
            <w:tcW w:w="571" w:type="pct"/>
          </w:tcPr>
          <w:p w:rsidR="00E35199" w:rsidRPr="00CD5E76" w:rsidRDefault="00E35199" w:rsidP="00E35199">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E35199" w:rsidRPr="00CD5E76" w:rsidRDefault="00E35199" w:rsidP="00B968EB">
            <w:pPr>
              <w:tabs>
                <w:tab w:val="left" w:pos="6447"/>
              </w:tabs>
              <w:spacing w:before="60" w:after="60"/>
              <w:jc w:val="center"/>
              <w:rPr>
                <w:rFonts w:ascii="Bookman Old Style" w:hAnsi="Bookman Old Style" w:cs="Arial"/>
                <w:sz w:val="20"/>
                <w:szCs w:val="20"/>
              </w:rPr>
            </w:pPr>
          </w:p>
        </w:tc>
        <w:tc>
          <w:tcPr>
            <w:tcW w:w="2509" w:type="pct"/>
          </w:tcPr>
          <w:p w:rsidR="00E35199" w:rsidRPr="00CD5E76" w:rsidRDefault="003A3AAC" w:rsidP="0005007A">
            <w:pPr>
              <w:tabs>
                <w:tab w:val="left" w:pos="6447"/>
              </w:tabs>
              <w:spacing w:before="60" w:after="60" w:line="276" w:lineRule="auto"/>
              <w:jc w:val="both"/>
              <w:rPr>
                <w:rFonts w:ascii="Bookman Old Style" w:hAnsi="Bookman Old Style" w:cstheme="minorHAnsi"/>
                <w:sz w:val="20"/>
                <w:szCs w:val="20"/>
                <w:lang w:val="en-US"/>
              </w:rPr>
            </w:pPr>
            <w:r w:rsidRPr="00CD5E76">
              <w:rPr>
                <w:rFonts w:ascii="Bookman Old Style" w:hAnsi="Bookman Old Style" w:cstheme="minorHAnsi"/>
                <w:sz w:val="20"/>
                <w:szCs w:val="20"/>
                <w:lang w:val="en-US"/>
              </w:rPr>
              <w:t>BPR dan BPRS untuk pertama kali menyampaikan Laporan Pelaksanaan dan Pengawasan Rencana Bisnis kepada Otoritas Jasa Keuangan paling lambat 1 (satu</w:t>
            </w:r>
            <w:r w:rsidR="000F00F9" w:rsidRPr="00CD5E76">
              <w:rPr>
                <w:rFonts w:ascii="Bookman Old Style" w:hAnsi="Bookman Old Style" w:cstheme="minorHAnsi"/>
                <w:sz w:val="20"/>
                <w:szCs w:val="20"/>
                <w:lang w:val="en-US"/>
              </w:rPr>
              <w:t>)</w:t>
            </w:r>
            <w:r w:rsidRPr="00CD5E76">
              <w:rPr>
                <w:rFonts w:ascii="Bookman Old Style" w:hAnsi="Bookman Old Style" w:cstheme="minorHAnsi"/>
                <w:sz w:val="20"/>
                <w:szCs w:val="20"/>
                <w:lang w:val="en-US"/>
              </w:rPr>
              <w:t xml:space="preserve"> bulan setelah akhir bulan </w:t>
            </w:r>
            <w:r w:rsidR="0005007A" w:rsidRPr="00CD5E76">
              <w:rPr>
                <w:rFonts w:ascii="Bookman Old Style" w:hAnsi="Bookman Old Style" w:cstheme="minorHAnsi"/>
                <w:sz w:val="20"/>
                <w:szCs w:val="20"/>
                <w:lang w:val="en-US"/>
              </w:rPr>
              <w:t>Desember 2021</w:t>
            </w:r>
            <w:r w:rsidRPr="00CD5E76">
              <w:rPr>
                <w:rFonts w:ascii="Bookman Old Style" w:hAnsi="Bookman Old Style" w:cstheme="minorHAnsi"/>
                <w:sz w:val="20"/>
                <w:szCs w:val="20"/>
                <w:lang w:val="en-US"/>
              </w:rPr>
              <w:t>.</w:t>
            </w:r>
          </w:p>
        </w:tc>
        <w:tc>
          <w:tcPr>
            <w:tcW w:w="1568" w:type="pct"/>
          </w:tcPr>
          <w:p w:rsidR="00E35199" w:rsidRPr="00CD5E76" w:rsidRDefault="00E35199" w:rsidP="00B968EB">
            <w:pPr>
              <w:spacing w:before="60" w:after="60" w:line="276" w:lineRule="auto"/>
              <w:rPr>
                <w:rFonts w:ascii="Bookman Old Style" w:eastAsiaTheme="minorEastAsia" w:hAnsi="Bookman Old Style"/>
                <w:sz w:val="20"/>
                <w:szCs w:val="20"/>
              </w:rPr>
            </w:pPr>
            <w:r w:rsidRPr="00CD5E76">
              <w:rPr>
                <w:rFonts w:ascii="Bookman Old Style" w:hAnsi="Bookman Old Style"/>
                <w:sz w:val="20"/>
                <w:szCs w:val="20"/>
              </w:rPr>
              <w:t>Cukup jelas.</w:t>
            </w:r>
          </w:p>
        </w:tc>
      </w:tr>
      <w:tr w:rsidR="00E35199" w:rsidRPr="00607524" w:rsidTr="00A17BD6">
        <w:tc>
          <w:tcPr>
            <w:tcW w:w="5000" w:type="pct"/>
            <w:gridSpan w:val="4"/>
            <w:shd w:val="clear" w:color="auto" w:fill="EDEDED" w:themeFill="accent3" w:themeFillTint="33"/>
          </w:tcPr>
          <w:p w:rsidR="00E35199" w:rsidRDefault="00E35199" w:rsidP="002C40B2">
            <w:pPr>
              <w:pStyle w:val="ListParagraph"/>
              <w:numPr>
                <w:ilvl w:val="0"/>
                <w:numId w:val="5"/>
              </w:numPr>
              <w:tabs>
                <w:tab w:val="left" w:pos="823"/>
              </w:tabs>
              <w:spacing w:before="60" w:after="60"/>
              <w:contextualSpacing w:val="0"/>
              <w:jc w:val="center"/>
              <w:rPr>
                <w:rFonts w:ascii="Bookman Old Style" w:hAnsi="Bookman Old Style" w:cstheme="minorHAnsi"/>
                <w:b/>
                <w:sz w:val="20"/>
                <w:szCs w:val="20"/>
              </w:rPr>
            </w:pPr>
          </w:p>
        </w:tc>
      </w:tr>
      <w:tr w:rsidR="002C40B2" w:rsidRPr="00607524" w:rsidTr="00A17BD6">
        <w:tc>
          <w:tcPr>
            <w:tcW w:w="5000" w:type="pct"/>
            <w:gridSpan w:val="4"/>
            <w:shd w:val="clear" w:color="auto" w:fill="EDEDED" w:themeFill="accent3" w:themeFillTint="33"/>
          </w:tcPr>
          <w:p w:rsidR="002C40B2" w:rsidRPr="00607524" w:rsidRDefault="002C40B2" w:rsidP="002C40B2">
            <w:pPr>
              <w:pStyle w:val="ListParagraph"/>
              <w:numPr>
                <w:ilvl w:val="0"/>
                <w:numId w:val="5"/>
              </w:numPr>
              <w:tabs>
                <w:tab w:val="left" w:pos="823"/>
              </w:tabs>
              <w:spacing w:before="60" w:after="60"/>
              <w:contextualSpacing w:val="0"/>
              <w:jc w:val="center"/>
              <w:rPr>
                <w:rFonts w:ascii="Bookman Old Style" w:hAnsi="Bookman Old Style"/>
                <w:sz w:val="20"/>
                <w:szCs w:val="20"/>
              </w:rPr>
            </w:pPr>
            <w:r w:rsidRPr="00607524">
              <w:rPr>
                <w:rFonts w:ascii="Bookman Old Style" w:hAnsi="Bookman Old Style" w:cstheme="minorHAnsi"/>
                <w:b/>
                <w:sz w:val="20"/>
                <w:szCs w:val="20"/>
              </w:rPr>
              <w:t>KETENTUAN</w:t>
            </w:r>
            <w:r w:rsidRPr="00607524">
              <w:rPr>
                <w:rFonts w:ascii="Bookman Old Style" w:hAnsi="Bookman Old Style"/>
                <w:b/>
                <w:sz w:val="20"/>
                <w:szCs w:val="20"/>
              </w:rPr>
              <w:t xml:space="preserve"> PENUTUP</w:t>
            </w:r>
          </w:p>
        </w:tc>
      </w:tr>
      <w:tr w:rsidR="002C40B2" w:rsidRPr="00607524" w:rsidTr="00C8049C">
        <w:tc>
          <w:tcPr>
            <w:tcW w:w="571" w:type="pct"/>
          </w:tcPr>
          <w:p w:rsidR="002C40B2" w:rsidRPr="00E35199" w:rsidRDefault="002C40B2" w:rsidP="003A3AAC">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2D07AC">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lang w:val="id-ID"/>
              </w:rPr>
              <w:t xml:space="preserve">Ketentuan lebih lanjut dari Peraturan Otoritas Jasa Keuangan ini </w:t>
            </w:r>
            <w:r w:rsidRPr="00607524">
              <w:rPr>
                <w:rFonts w:ascii="Bookman Old Style" w:hAnsi="Bookman Old Style" w:cstheme="minorHAnsi"/>
                <w:sz w:val="20"/>
                <w:szCs w:val="20"/>
              </w:rPr>
              <w:t>diatur</w:t>
            </w:r>
            <w:r w:rsidRPr="00607524">
              <w:rPr>
                <w:rFonts w:ascii="Bookman Old Style" w:hAnsi="Bookman Old Style" w:cstheme="minorHAnsi"/>
                <w:sz w:val="20"/>
                <w:szCs w:val="20"/>
                <w:lang w:val="id-ID"/>
              </w:rPr>
              <w:t xml:space="preserve"> dalam Surat Edaran Otoritas Jasa Keuangan.</w:t>
            </w:r>
          </w:p>
        </w:tc>
        <w:tc>
          <w:tcPr>
            <w:tcW w:w="1568" w:type="pct"/>
          </w:tcPr>
          <w:p w:rsidR="002C40B2" w:rsidRPr="00607524" w:rsidRDefault="002C40B2" w:rsidP="002C40B2">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2C40B2" w:rsidRPr="00607524" w:rsidTr="003A3AAC">
        <w:trPr>
          <w:trHeight w:val="1213"/>
        </w:trPr>
        <w:tc>
          <w:tcPr>
            <w:tcW w:w="571" w:type="pct"/>
          </w:tcPr>
          <w:p w:rsidR="002C40B2" w:rsidRPr="003A3AAC" w:rsidRDefault="002C40B2" w:rsidP="003A3AAC">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2C40B2" w:rsidRPr="00607524" w:rsidRDefault="002C40B2" w:rsidP="002D07AC">
            <w:pPr>
              <w:pStyle w:val="ListParagraph"/>
              <w:numPr>
                <w:ilvl w:val="0"/>
                <w:numId w:val="49"/>
              </w:numPr>
              <w:tabs>
                <w:tab w:val="left" w:pos="6447"/>
              </w:tabs>
              <w:spacing w:before="60" w:after="60"/>
              <w:contextualSpacing w:val="0"/>
              <w:jc w:val="center"/>
              <w:rPr>
                <w:rFonts w:ascii="Bookman Old Style" w:hAnsi="Bookman Old Style" w:cs="Arial"/>
                <w:sz w:val="20"/>
                <w:szCs w:val="20"/>
              </w:rPr>
            </w:pPr>
          </w:p>
        </w:tc>
        <w:tc>
          <w:tcPr>
            <w:tcW w:w="2509" w:type="pct"/>
          </w:tcPr>
          <w:p w:rsidR="002C40B2" w:rsidRPr="00607524" w:rsidRDefault="002C40B2" w:rsidP="003A3AAC">
            <w:pPr>
              <w:spacing w:after="160" w:line="259" w:lineRule="auto"/>
              <w:jc w:val="both"/>
              <w:rPr>
                <w:rFonts w:ascii="Bookman Old Style" w:hAnsi="Bookman Old Style" w:cstheme="minorHAnsi"/>
                <w:sz w:val="20"/>
                <w:szCs w:val="20"/>
              </w:rPr>
            </w:pPr>
            <w:r w:rsidRPr="00607524">
              <w:rPr>
                <w:rFonts w:ascii="Bookman Old Style" w:hAnsi="Bookman Old Style" w:cstheme="minorHAnsi"/>
                <w:sz w:val="20"/>
                <w:szCs w:val="20"/>
              </w:rPr>
              <w:t xml:space="preserve">Pada saat Peraturan Otoritas Jasa Keuangan ini </w:t>
            </w:r>
            <w:r w:rsidR="002D07AC" w:rsidRPr="00607524">
              <w:rPr>
                <w:rFonts w:ascii="Bookman Old Style" w:hAnsi="Bookman Old Style" w:cstheme="minorHAnsi"/>
                <w:sz w:val="20"/>
                <w:szCs w:val="20"/>
              </w:rPr>
              <w:t xml:space="preserve">mulai berlaku </w:t>
            </w:r>
            <w:r w:rsidRPr="00607524">
              <w:rPr>
                <w:rFonts w:ascii="Bookman Old Style" w:hAnsi="Bookman Old Style" w:cstheme="minorHAnsi"/>
                <w:sz w:val="20"/>
                <w:szCs w:val="20"/>
              </w:rPr>
              <w:t xml:space="preserve">Peraturan Otoritas Jasa Keuangan </w:t>
            </w:r>
            <w:r w:rsidR="00B237B8" w:rsidRPr="00607524">
              <w:rPr>
                <w:rFonts w:ascii="Bookman Old Style" w:hAnsi="Bookman Old Style" w:cstheme="minorHAnsi"/>
                <w:sz w:val="20"/>
                <w:szCs w:val="20"/>
              </w:rPr>
              <w:t xml:space="preserve">Nomor </w:t>
            </w:r>
            <w:r w:rsidRPr="00607524">
              <w:rPr>
                <w:rFonts w:ascii="Bookman Old Style" w:hAnsi="Bookman Old Style" w:cstheme="minorHAnsi"/>
                <w:sz w:val="20"/>
                <w:szCs w:val="20"/>
              </w:rPr>
              <w:t>37/POJK.03/2016 tentang Rencana Bisnis Bank Perkreditan Rakyat dan Bank Pembiayaan Rakyat Syariah</w:t>
            </w:r>
            <w:r w:rsidR="002D07AC" w:rsidRPr="00607524">
              <w:rPr>
                <w:rFonts w:ascii="Bookman Old Style" w:hAnsi="Bookman Old Style" w:cstheme="minorHAnsi"/>
                <w:sz w:val="20"/>
                <w:szCs w:val="20"/>
              </w:rPr>
              <w:t xml:space="preserve"> dicabut dan dinyatakan tidak berlaku.</w:t>
            </w:r>
          </w:p>
        </w:tc>
        <w:tc>
          <w:tcPr>
            <w:tcW w:w="1568" w:type="pct"/>
          </w:tcPr>
          <w:p w:rsidR="002C40B2" w:rsidRPr="00607524" w:rsidRDefault="002C40B2" w:rsidP="002C40B2">
            <w:pPr>
              <w:spacing w:before="60" w:after="60" w:line="276" w:lineRule="auto"/>
              <w:rPr>
                <w:rFonts w:ascii="Bookman Old Style" w:eastAsiaTheme="minorEastAsia" w:hAnsi="Bookman Old Style"/>
                <w:sz w:val="20"/>
                <w:szCs w:val="20"/>
              </w:rPr>
            </w:pPr>
            <w:r w:rsidRPr="00607524">
              <w:rPr>
                <w:rFonts w:ascii="Bookman Old Style" w:hAnsi="Bookman Old Style"/>
                <w:sz w:val="20"/>
                <w:szCs w:val="20"/>
              </w:rPr>
              <w:t>Cukup jelas.</w:t>
            </w:r>
          </w:p>
        </w:tc>
      </w:tr>
      <w:tr w:rsidR="002D07AC" w:rsidRPr="00607524" w:rsidTr="00C8049C">
        <w:tc>
          <w:tcPr>
            <w:tcW w:w="571" w:type="pct"/>
          </w:tcPr>
          <w:p w:rsidR="002D07AC" w:rsidRPr="00607524" w:rsidRDefault="002D07AC" w:rsidP="002D07AC">
            <w:pPr>
              <w:tabs>
                <w:tab w:val="left" w:pos="6447"/>
              </w:tabs>
              <w:spacing w:before="60" w:after="60"/>
              <w:ind w:left="360"/>
              <w:jc w:val="center"/>
              <w:rPr>
                <w:rFonts w:ascii="Bookman Old Style" w:hAnsi="Bookman Old Style" w:cs="Arial"/>
                <w:sz w:val="20"/>
                <w:szCs w:val="20"/>
              </w:rPr>
            </w:pPr>
          </w:p>
        </w:tc>
        <w:tc>
          <w:tcPr>
            <w:tcW w:w="352" w:type="pct"/>
          </w:tcPr>
          <w:p w:rsidR="002D07AC" w:rsidRPr="00607524" w:rsidRDefault="002D07AC" w:rsidP="002D07AC">
            <w:pPr>
              <w:pStyle w:val="ListParagraph"/>
              <w:numPr>
                <w:ilvl w:val="0"/>
                <w:numId w:val="49"/>
              </w:numPr>
              <w:tabs>
                <w:tab w:val="left" w:pos="6447"/>
              </w:tabs>
              <w:spacing w:before="60" w:after="60"/>
              <w:contextualSpacing w:val="0"/>
              <w:jc w:val="center"/>
              <w:rPr>
                <w:rFonts w:ascii="Bookman Old Style" w:hAnsi="Bookman Old Style" w:cs="Arial"/>
                <w:sz w:val="20"/>
                <w:szCs w:val="20"/>
              </w:rPr>
            </w:pPr>
          </w:p>
        </w:tc>
        <w:tc>
          <w:tcPr>
            <w:tcW w:w="2509" w:type="pct"/>
          </w:tcPr>
          <w:p w:rsidR="002D07AC" w:rsidRPr="00607524" w:rsidRDefault="002D07AC" w:rsidP="00B237B8">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Pada saat Peraturan Otoritas Jasa Keuangan ini mulai berlaku, ketentuan mengenai kantor kas dan kegiatan pelayanan kas sebagaimana diatur dalam Peraturan Otoritas Jasa Keuangan No</w:t>
            </w:r>
            <w:r w:rsidR="00B237B8" w:rsidRPr="00607524">
              <w:rPr>
                <w:rFonts w:ascii="Bookman Old Style" w:hAnsi="Bookman Old Style" w:cstheme="minorHAnsi"/>
                <w:sz w:val="20"/>
                <w:szCs w:val="20"/>
              </w:rPr>
              <w:t xml:space="preserve">mor </w:t>
            </w:r>
            <w:r w:rsidRPr="00607524">
              <w:rPr>
                <w:rFonts w:ascii="Bookman Old Style" w:hAnsi="Bookman Old Style" w:cstheme="minorHAnsi"/>
                <w:sz w:val="20"/>
                <w:szCs w:val="20"/>
              </w:rPr>
              <w:t xml:space="preserve">62/POJK.03/2020 tentang Bank Perkreditan </w:t>
            </w:r>
            <w:r w:rsidRPr="00607524">
              <w:rPr>
                <w:rFonts w:ascii="Bookman Old Style" w:hAnsi="Bookman Old Style" w:cstheme="minorHAnsi"/>
                <w:sz w:val="20"/>
                <w:szCs w:val="20"/>
              </w:rPr>
              <w:lastRenderedPageBreak/>
              <w:t xml:space="preserve">Rakyat tetap berlaku sepanjang tidak bertentangan dengan Peraturan Otoritas Jasa Keuangan ini. </w:t>
            </w:r>
          </w:p>
        </w:tc>
        <w:tc>
          <w:tcPr>
            <w:tcW w:w="1568" w:type="pct"/>
          </w:tcPr>
          <w:p w:rsidR="002D07AC" w:rsidRPr="00607524" w:rsidRDefault="002D07AC" w:rsidP="002C40B2">
            <w:pPr>
              <w:spacing w:before="60" w:after="60" w:line="276" w:lineRule="auto"/>
              <w:rPr>
                <w:rFonts w:ascii="Bookman Old Style" w:hAnsi="Bookman Old Style"/>
                <w:sz w:val="20"/>
                <w:szCs w:val="20"/>
              </w:rPr>
            </w:pPr>
            <w:r w:rsidRPr="00607524">
              <w:rPr>
                <w:rFonts w:ascii="Bookman Old Style" w:hAnsi="Bookman Old Style"/>
                <w:sz w:val="20"/>
                <w:szCs w:val="20"/>
              </w:rPr>
              <w:lastRenderedPageBreak/>
              <w:t>Cukup jelas.</w:t>
            </w:r>
          </w:p>
        </w:tc>
      </w:tr>
      <w:tr w:rsidR="00B237B8" w:rsidRPr="00607524" w:rsidTr="00C8049C">
        <w:tc>
          <w:tcPr>
            <w:tcW w:w="571" w:type="pct"/>
          </w:tcPr>
          <w:p w:rsidR="00B237B8" w:rsidRPr="003A3AAC" w:rsidRDefault="00B237B8" w:rsidP="003A3AAC">
            <w:pPr>
              <w:pStyle w:val="ListParagraph"/>
              <w:numPr>
                <w:ilvl w:val="0"/>
                <w:numId w:val="4"/>
              </w:numPr>
              <w:tabs>
                <w:tab w:val="left" w:pos="6447"/>
              </w:tabs>
              <w:spacing w:before="60" w:after="60"/>
              <w:contextualSpacing w:val="0"/>
              <w:jc w:val="center"/>
              <w:rPr>
                <w:rFonts w:ascii="Bookman Old Style" w:hAnsi="Bookman Old Style" w:cs="Arial"/>
                <w:sz w:val="20"/>
                <w:szCs w:val="20"/>
              </w:rPr>
            </w:pPr>
          </w:p>
        </w:tc>
        <w:tc>
          <w:tcPr>
            <w:tcW w:w="352" w:type="pct"/>
          </w:tcPr>
          <w:p w:rsidR="00B237B8" w:rsidRPr="00607524" w:rsidRDefault="00B237B8" w:rsidP="00B237B8">
            <w:pPr>
              <w:tabs>
                <w:tab w:val="left" w:pos="6447"/>
              </w:tabs>
              <w:spacing w:before="60" w:after="60"/>
              <w:jc w:val="center"/>
              <w:rPr>
                <w:rFonts w:ascii="Bookman Old Style" w:hAnsi="Bookman Old Style" w:cs="Arial"/>
                <w:sz w:val="20"/>
                <w:szCs w:val="20"/>
              </w:rPr>
            </w:pPr>
          </w:p>
        </w:tc>
        <w:tc>
          <w:tcPr>
            <w:tcW w:w="2509" w:type="pct"/>
          </w:tcPr>
          <w:p w:rsidR="00B237B8" w:rsidRPr="00607524" w:rsidRDefault="00B237B8" w:rsidP="00B237B8">
            <w:pPr>
              <w:tabs>
                <w:tab w:val="left" w:pos="6447"/>
              </w:tabs>
              <w:spacing w:before="60" w:after="60" w:line="276" w:lineRule="auto"/>
              <w:jc w:val="both"/>
              <w:rPr>
                <w:rFonts w:ascii="Bookman Old Style" w:hAnsi="Bookman Old Style" w:cstheme="minorHAnsi"/>
                <w:sz w:val="20"/>
                <w:szCs w:val="20"/>
              </w:rPr>
            </w:pPr>
            <w:r w:rsidRPr="00607524">
              <w:rPr>
                <w:rFonts w:ascii="Bookman Old Style" w:hAnsi="Bookman Old Style" w:cstheme="minorHAnsi"/>
                <w:sz w:val="20"/>
                <w:szCs w:val="20"/>
              </w:rPr>
              <w:t>Peraturan Otoritas Jasa Keuangan ini mulai berlaku pada tanggal 1 November 2021.</w:t>
            </w:r>
          </w:p>
        </w:tc>
        <w:tc>
          <w:tcPr>
            <w:tcW w:w="1568" w:type="pct"/>
          </w:tcPr>
          <w:p w:rsidR="00B237B8" w:rsidRPr="00607524" w:rsidRDefault="004B2164" w:rsidP="002C40B2">
            <w:pPr>
              <w:spacing w:before="60" w:after="60" w:line="276" w:lineRule="auto"/>
              <w:rPr>
                <w:rFonts w:ascii="Bookman Old Style" w:hAnsi="Bookman Old Style"/>
                <w:sz w:val="20"/>
                <w:szCs w:val="20"/>
              </w:rPr>
            </w:pPr>
            <w:r w:rsidRPr="00607524">
              <w:rPr>
                <w:rFonts w:ascii="Bookman Old Style" w:hAnsi="Bookman Old Style"/>
                <w:sz w:val="20"/>
                <w:szCs w:val="20"/>
              </w:rPr>
              <w:t>Cukup jelas.</w:t>
            </w:r>
          </w:p>
        </w:tc>
      </w:tr>
      <w:tr w:rsidR="002C40B2" w:rsidRPr="00607524" w:rsidTr="00C8049C">
        <w:tc>
          <w:tcPr>
            <w:tcW w:w="571" w:type="pct"/>
          </w:tcPr>
          <w:p w:rsidR="002C40B2" w:rsidRPr="00607524" w:rsidRDefault="002C40B2" w:rsidP="002C40B2">
            <w:pPr>
              <w:tabs>
                <w:tab w:val="left" w:pos="6447"/>
              </w:tabs>
              <w:spacing w:before="60" w:after="60"/>
              <w:ind w:left="360"/>
              <w:jc w:val="center"/>
              <w:rPr>
                <w:rFonts w:ascii="Bookman Old Style" w:hAnsi="Bookman Old Style" w:cs="Arial"/>
                <w:sz w:val="20"/>
                <w:szCs w:val="20"/>
              </w:rPr>
            </w:pPr>
          </w:p>
        </w:tc>
        <w:tc>
          <w:tcPr>
            <w:tcW w:w="352" w:type="pct"/>
          </w:tcPr>
          <w:p w:rsidR="002C40B2" w:rsidRPr="00607524" w:rsidRDefault="002C40B2" w:rsidP="002C40B2">
            <w:pPr>
              <w:tabs>
                <w:tab w:val="left" w:pos="6447"/>
              </w:tabs>
              <w:spacing w:before="60" w:after="60"/>
              <w:jc w:val="center"/>
              <w:rPr>
                <w:rFonts w:ascii="Bookman Old Style" w:hAnsi="Bookman Old Style" w:cs="Arial"/>
                <w:sz w:val="20"/>
                <w:szCs w:val="20"/>
              </w:rPr>
            </w:pPr>
          </w:p>
        </w:tc>
        <w:tc>
          <w:tcPr>
            <w:tcW w:w="2509" w:type="pct"/>
          </w:tcPr>
          <w:p w:rsidR="002C40B2" w:rsidRPr="00607524" w:rsidRDefault="002C40B2" w:rsidP="002C40B2">
            <w:pPr>
              <w:tabs>
                <w:tab w:val="left" w:pos="6447"/>
              </w:tabs>
              <w:spacing w:before="60" w:after="60" w:line="276" w:lineRule="auto"/>
              <w:jc w:val="both"/>
              <w:rPr>
                <w:rFonts w:ascii="Bookman Old Style" w:hAnsi="Bookman Old Style" w:cstheme="minorHAnsi"/>
                <w:sz w:val="20"/>
                <w:szCs w:val="20"/>
                <w:lang w:val="id-ID"/>
              </w:rPr>
            </w:pPr>
            <w:r w:rsidRPr="00607524">
              <w:rPr>
                <w:rFonts w:ascii="Bookman Old Style" w:hAnsi="Bookman Old Style" w:cstheme="minorHAnsi"/>
                <w:sz w:val="20"/>
                <w:szCs w:val="20"/>
              </w:rPr>
              <w:t>Agar setiap orang mengetahuinya, memerintahkan pengundangan Peraturan Otoritas Jasa Keuangan ini dengan penempatannya dalam Lembaran Negara Republik Indonesia.</w:t>
            </w:r>
          </w:p>
        </w:tc>
        <w:tc>
          <w:tcPr>
            <w:tcW w:w="1568" w:type="pct"/>
          </w:tcPr>
          <w:p w:rsidR="002C40B2" w:rsidRPr="00607524" w:rsidRDefault="002C40B2" w:rsidP="002C40B2">
            <w:pPr>
              <w:spacing w:before="60" w:after="60" w:line="276" w:lineRule="auto"/>
              <w:rPr>
                <w:rFonts w:ascii="Bookman Old Style" w:eastAsiaTheme="minorEastAsia" w:hAnsi="Bookman Old Style"/>
                <w:sz w:val="20"/>
                <w:szCs w:val="20"/>
              </w:rPr>
            </w:pPr>
          </w:p>
        </w:tc>
      </w:tr>
    </w:tbl>
    <w:p w:rsidR="002E70B6" w:rsidRPr="003A68BE" w:rsidRDefault="002E70B6" w:rsidP="008230EE">
      <w:pPr>
        <w:rPr>
          <w:sz w:val="20"/>
          <w:szCs w:val="20"/>
        </w:rPr>
      </w:pPr>
    </w:p>
    <w:sectPr w:rsidR="002E70B6" w:rsidRPr="003A68BE" w:rsidSect="00EF5B8F">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68" w:rsidRDefault="00294D68" w:rsidP="003B0BE8">
      <w:pPr>
        <w:spacing w:after="0" w:line="240" w:lineRule="auto"/>
      </w:pPr>
      <w:r>
        <w:separator/>
      </w:r>
    </w:p>
  </w:endnote>
  <w:endnote w:type="continuationSeparator" w:id="0">
    <w:p w:rsidR="00294D68" w:rsidRDefault="00294D68" w:rsidP="003B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64" w:rsidRDefault="004B21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64" w:rsidRDefault="004B21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64" w:rsidRDefault="004B2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68" w:rsidRDefault="00294D68" w:rsidP="003B0BE8">
      <w:pPr>
        <w:spacing w:after="0" w:line="240" w:lineRule="auto"/>
      </w:pPr>
      <w:r>
        <w:separator/>
      </w:r>
    </w:p>
  </w:footnote>
  <w:footnote w:type="continuationSeparator" w:id="0">
    <w:p w:rsidR="00294D68" w:rsidRDefault="00294D68" w:rsidP="003B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64" w:rsidRDefault="004B21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64" w:rsidRPr="00EF5B8F" w:rsidRDefault="00294D68">
    <w:pPr>
      <w:pStyle w:val="Header"/>
      <w:jc w:val="center"/>
      <w:rPr>
        <w:rFonts w:ascii="Bookman Old Style" w:hAnsi="Bookman Old Style"/>
        <w:sz w:val="24"/>
        <w:szCs w:val="24"/>
      </w:rPr>
    </w:pPr>
    <w:sdt>
      <w:sdtPr>
        <w:rPr>
          <w:rFonts w:ascii="Bookman Old Style" w:hAnsi="Bookman Old Style"/>
          <w:sz w:val="24"/>
          <w:szCs w:val="24"/>
          <w:lang w:val="id-ID"/>
        </w:rPr>
        <w:id w:val="-1944751567"/>
        <w:docPartObj>
          <w:docPartGallery w:val="Watermarks"/>
          <w:docPartUnique/>
        </w:docPartObj>
      </w:sdtPr>
      <w:sdtEndPr>
        <w:rPr>
          <w:rFonts w:asciiTheme="minorHAnsi" w:hAnsiTheme="minorHAnsi"/>
          <w:noProof w:val="0"/>
          <w:sz w:val="22"/>
          <w:szCs w:val="22"/>
          <w:lang w:val="en-ID"/>
        </w:r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746189" o:spid="_x0000_s2049" type="#_x0000_t136" style="position:absolute;left:0;text-align:left;margin-left:0;margin-top:0;width:439.35pt;height:263.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noProof w:val="0"/>
        </w:rPr>
        <w:id w:val="-1528938648"/>
        <w:docPartObj>
          <w:docPartGallery w:val="Page Numbers (Top of Page)"/>
          <w:docPartUnique/>
        </w:docPartObj>
      </w:sdtPr>
      <w:sdtEndPr>
        <w:rPr>
          <w:rFonts w:ascii="Bookman Old Style" w:hAnsi="Bookman Old Style"/>
          <w:noProof/>
          <w:sz w:val="24"/>
          <w:szCs w:val="24"/>
        </w:rPr>
      </w:sdtEndPr>
      <w:sdtContent>
        <w:r w:rsidR="004B2164">
          <w:rPr>
            <w:rFonts w:ascii="Bookman Old Style" w:hAnsi="Bookman Old Style"/>
            <w:sz w:val="24"/>
            <w:szCs w:val="24"/>
            <w:lang w:val="id-ID"/>
          </w:rPr>
          <w:t>-</w:t>
        </w:r>
        <w:r w:rsidR="004B2164" w:rsidRPr="00EF5B8F">
          <w:rPr>
            <w:rFonts w:ascii="Bookman Old Style" w:hAnsi="Bookman Old Style"/>
            <w:noProof w:val="0"/>
            <w:sz w:val="24"/>
            <w:szCs w:val="24"/>
          </w:rPr>
          <w:t xml:space="preserve"> </w:t>
        </w:r>
        <w:r w:rsidR="004B2164" w:rsidRPr="00EF5B8F">
          <w:rPr>
            <w:rFonts w:ascii="Bookman Old Style" w:hAnsi="Bookman Old Style"/>
            <w:noProof w:val="0"/>
            <w:sz w:val="24"/>
            <w:szCs w:val="24"/>
          </w:rPr>
          <w:fldChar w:fldCharType="begin"/>
        </w:r>
        <w:r w:rsidR="004B2164" w:rsidRPr="00EF5B8F">
          <w:rPr>
            <w:rFonts w:ascii="Bookman Old Style" w:hAnsi="Bookman Old Style"/>
            <w:sz w:val="24"/>
            <w:szCs w:val="24"/>
          </w:rPr>
          <w:instrText xml:space="preserve"> PAGE   \* MERGEFORMAT </w:instrText>
        </w:r>
        <w:r w:rsidR="004B2164" w:rsidRPr="00EF5B8F">
          <w:rPr>
            <w:rFonts w:ascii="Bookman Old Style" w:hAnsi="Bookman Old Style"/>
            <w:noProof w:val="0"/>
            <w:sz w:val="24"/>
            <w:szCs w:val="24"/>
          </w:rPr>
          <w:fldChar w:fldCharType="separate"/>
        </w:r>
        <w:r w:rsidR="003E3CAE">
          <w:rPr>
            <w:rFonts w:ascii="Bookman Old Style" w:hAnsi="Bookman Old Style"/>
            <w:sz w:val="24"/>
            <w:szCs w:val="24"/>
          </w:rPr>
          <w:t>18</w:t>
        </w:r>
        <w:r w:rsidR="004B2164" w:rsidRPr="00EF5B8F">
          <w:rPr>
            <w:rFonts w:ascii="Bookman Old Style" w:hAnsi="Bookman Old Style"/>
            <w:sz w:val="24"/>
            <w:szCs w:val="24"/>
          </w:rPr>
          <w:fldChar w:fldCharType="end"/>
        </w:r>
        <w:r w:rsidR="004B2164">
          <w:rPr>
            <w:rFonts w:ascii="Bookman Old Style" w:hAnsi="Bookman Old Style"/>
            <w:sz w:val="24"/>
            <w:szCs w:val="24"/>
            <w:lang w:val="id-ID"/>
          </w:rPr>
          <w:t xml:space="preserve"> -</w:t>
        </w:r>
      </w:sdtContent>
    </w:sdt>
  </w:p>
  <w:p w:rsidR="004B2164" w:rsidRDefault="004B21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64" w:rsidRDefault="004B21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A8"/>
    <w:multiLevelType w:val="hybridMultilevel"/>
    <w:tmpl w:val="941A4FFC"/>
    <w:lvl w:ilvl="0" w:tplc="C6AE7AA4">
      <w:start w:val="1"/>
      <w:numFmt w:val="upperRoman"/>
      <w:lvlText w:val="BAB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40F2E"/>
    <w:multiLevelType w:val="hybridMultilevel"/>
    <w:tmpl w:val="F2E4CF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9778B"/>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0B1160D"/>
    <w:multiLevelType w:val="hybridMultilevel"/>
    <w:tmpl w:val="2618B742"/>
    <w:lvl w:ilvl="0" w:tplc="CE16CFF0">
      <w:start w:val="1"/>
      <w:numFmt w:val="decimal"/>
      <w:lvlText w:val="%1."/>
      <w:lvlJc w:val="left"/>
      <w:pPr>
        <w:ind w:left="360" w:hanging="360"/>
      </w:pPr>
      <w:rPr>
        <w:rFonts w:ascii="Bookman Old Style" w:hAnsi="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9056B"/>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31C3AD9"/>
    <w:multiLevelType w:val="hybridMultilevel"/>
    <w:tmpl w:val="0E6CAD08"/>
    <w:lvl w:ilvl="0" w:tplc="B470AE28">
      <w:start w:val="1"/>
      <w:numFmt w:val="lowerLetter"/>
      <w:lvlText w:val="%1."/>
      <w:lvlJc w:val="left"/>
      <w:pPr>
        <w:ind w:left="360" w:hanging="360"/>
      </w:pPr>
      <w:rPr>
        <w:rFonts w:hint="default"/>
        <w:color w:val="auto"/>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65389"/>
    <w:multiLevelType w:val="hybridMultilevel"/>
    <w:tmpl w:val="B610322A"/>
    <w:lvl w:ilvl="0" w:tplc="04090019">
      <w:start w:val="1"/>
      <w:numFmt w:val="lowerLetter"/>
      <w:lvlText w:val="%1."/>
      <w:lvlJc w:val="left"/>
      <w:pPr>
        <w:ind w:left="286" w:hanging="360"/>
      </w:p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7" w15:restartNumberingAfterBreak="0">
    <w:nsid w:val="1DBA2699"/>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2022798F"/>
    <w:multiLevelType w:val="hybridMultilevel"/>
    <w:tmpl w:val="46D4C3CE"/>
    <w:lvl w:ilvl="0" w:tplc="26CA7478">
      <w:start w:val="1"/>
      <w:numFmt w:val="lowerLetter"/>
      <w:lvlText w:val="%1."/>
      <w:lvlJc w:val="left"/>
      <w:pPr>
        <w:ind w:left="360" w:hanging="360"/>
      </w:pPr>
      <w:rPr>
        <w:rFonts w:hint="default"/>
        <w:color w:val="auto"/>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37C5E"/>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2357B10"/>
    <w:multiLevelType w:val="hybridMultilevel"/>
    <w:tmpl w:val="2EC46670"/>
    <w:lvl w:ilvl="0" w:tplc="4BA8CD9E">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22227"/>
    <w:multiLevelType w:val="hybridMultilevel"/>
    <w:tmpl w:val="F07432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5A3D15"/>
    <w:multiLevelType w:val="hybridMultilevel"/>
    <w:tmpl w:val="975050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FC4222"/>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272E5A5F"/>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28767260"/>
    <w:multiLevelType w:val="hybridMultilevel"/>
    <w:tmpl w:val="6E58B02A"/>
    <w:lvl w:ilvl="0" w:tplc="CB701204">
      <w:start w:val="1"/>
      <w:numFmt w:val="lowerLetter"/>
      <w:lvlText w:val="%1."/>
      <w:lvlJc w:val="left"/>
      <w:pPr>
        <w:ind w:left="360" w:hanging="360"/>
      </w:pPr>
      <w:rPr>
        <w:rFonts w:hint="default"/>
        <w:color w:val="auto"/>
        <w:sz w:val="1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A71C70"/>
    <w:multiLevelType w:val="hybridMultilevel"/>
    <w:tmpl w:val="296C7562"/>
    <w:lvl w:ilvl="0" w:tplc="9DE4AB4A">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D4027"/>
    <w:multiLevelType w:val="hybridMultilevel"/>
    <w:tmpl w:val="9A38EE1A"/>
    <w:lvl w:ilvl="0" w:tplc="59AA681E">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2DF60450"/>
    <w:multiLevelType w:val="hybridMultilevel"/>
    <w:tmpl w:val="68B2F8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C768AC"/>
    <w:multiLevelType w:val="hybridMultilevel"/>
    <w:tmpl w:val="A51CACBA"/>
    <w:lvl w:ilvl="0" w:tplc="6BE4AA94">
      <w:start w:val="1"/>
      <w:numFmt w:val="decimal"/>
      <w:lvlText w:val="Pasal %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878E9"/>
    <w:multiLevelType w:val="hybridMultilevel"/>
    <w:tmpl w:val="15EEC2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463593"/>
    <w:multiLevelType w:val="hybridMultilevel"/>
    <w:tmpl w:val="9594E5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332147"/>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3FF55051"/>
    <w:multiLevelType w:val="hybridMultilevel"/>
    <w:tmpl w:val="A82888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107199"/>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4C5773C3"/>
    <w:multiLevelType w:val="hybridMultilevel"/>
    <w:tmpl w:val="B4DC1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2B678A"/>
    <w:multiLevelType w:val="hybridMultilevel"/>
    <w:tmpl w:val="C226E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7700E3"/>
    <w:multiLevelType w:val="hybridMultilevel"/>
    <w:tmpl w:val="F0487F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D8777F"/>
    <w:multiLevelType w:val="hybridMultilevel"/>
    <w:tmpl w:val="A51CACBA"/>
    <w:lvl w:ilvl="0" w:tplc="6BE4AA94">
      <w:start w:val="1"/>
      <w:numFmt w:val="decimal"/>
      <w:lvlText w:val="Pasal %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A6720"/>
    <w:multiLevelType w:val="hybridMultilevel"/>
    <w:tmpl w:val="15EEC2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07E4B"/>
    <w:multiLevelType w:val="hybridMultilevel"/>
    <w:tmpl w:val="C8029D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08444F"/>
    <w:multiLevelType w:val="hybridMultilevel"/>
    <w:tmpl w:val="68B2F8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855D32"/>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5AFB1AB9"/>
    <w:multiLevelType w:val="hybridMultilevel"/>
    <w:tmpl w:val="9FA858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656D3F"/>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5BA510EA"/>
    <w:multiLevelType w:val="hybridMultilevel"/>
    <w:tmpl w:val="A82888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4E336B"/>
    <w:multiLevelType w:val="hybridMultilevel"/>
    <w:tmpl w:val="68B2F8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FE20D1"/>
    <w:multiLevelType w:val="hybridMultilevel"/>
    <w:tmpl w:val="296C7562"/>
    <w:lvl w:ilvl="0" w:tplc="9DE4AB4A">
      <w:start w:val="1"/>
      <w:numFmt w:val="lowerLetter"/>
      <w:lvlText w:val="%1."/>
      <w:lvlJc w:val="left"/>
      <w:pPr>
        <w:ind w:left="36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6604B"/>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9" w15:restartNumberingAfterBreak="0">
    <w:nsid w:val="66866CC9"/>
    <w:multiLevelType w:val="hybridMultilevel"/>
    <w:tmpl w:val="6680C3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1441C3"/>
    <w:multiLevelType w:val="hybridMultilevel"/>
    <w:tmpl w:val="9594E5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3061B8"/>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6DA11169"/>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6E870963"/>
    <w:multiLevelType w:val="hybridMultilevel"/>
    <w:tmpl w:val="76088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56500"/>
    <w:multiLevelType w:val="hybridMultilevel"/>
    <w:tmpl w:val="BF7EE4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9D7C2B"/>
    <w:multiLevelType w:val="hybridMultilevel"/>
    <w:tmpl w:val="0F5E0DB0"/>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15:restartNumberingAfterBreak="0">
    <w:nsid w:val="71367904"/>
    <w:multiLevelType w:val="hybridMultilevel"/>
    <w:tmpl w:val="A6FC9A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3462540"/>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7FAC4856"/>
    <w:multiLevelType w:val="hybridMultilevel"/>
    <w:tmpl w:val="2F148396"/>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7FD97700"/>
    <w:multiLevelType w:val="hybridMultilevel"/>
    <w:tmpl w:val="BAB09B12"/>
    <w:lvl w:ilvl="0" w:tplc="A1FEFA0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6"/>
  </w:num>
  <w:num w:numId="2">
    <w:abstractNumId w:val="8"/>
  </w:num>
  <w:num w:numId="3">
    <w:abstractNumId w:val="10"/>
  </w:num>
  <w:num w:numId="4">
    <w:abstractNumId w:val="19"/>
  </w:num>
  <w:num w:numId="5">
    <w:abstractNumId w:val="0"/>
  </w:num>
  <w:num w:numId="6">
    <w:abstractNumId w:val="17"/>
  </w:num>
  <w:num w:numId="7">
    <w:abstractNumId w:val="45"/>
  </w:num>
  <w:num w:numId="8">
    <w:abstractNumId w:val="22"/>
  </w:num>
  <w:num w:numId="9">
    <w:abstractNumId w:val="37"/>
  </w:num>
  <w:num w:numId="10">
    <w:abstractNumId w:val="14"/>
  </w:num>
  <w:num w:numId="11">
    <w:abstractNumId w:val="13"/>
  </w:num>
  <w:num w:numId="12">
    <w:abstractNumId w:val="34"/>
  </w:num>
  <w:num w:numId="13">
    <w:abstractNumId w:val="38"/>
  </w:num>
  <w:num w:numId="14">
    <w:abstractNumId w:val="15"/>
  </w:num>
  <w:num w:numId="15">
    <w:abstractNumId w:val="24"/>
  </w:num>
  <w:num w:numId="16">
    <w:abstractNumId w:val="9"/>
  </w:num>
  <w:num w:numId="17">
    <w:abstractNumId w:val="47"/>
  </w:num>
  <w:num w:numId="18">
    <w:abstractNumId w:val="33"/>
  </w:num>
  <w:num w:numId="19">
    <w:abstractNumId w:val="11"/>
  </w:num>
  <w:num w:numId="20">
    <w:abstractNumId w:val="18"/>
  </w:num>
  <w:num w:numId="21">
    <w:abstractNumId w:val="49"/>
  </w:num>
  <w:num w:numId="22">
    <w:abstractNumId w:val="31"/>
  </w:num>
  <w:num w:numId="23">
    <w:abstractNumId w:val="29"/>
  </w:num>
  <w:num w:numId="24">
    <w:abstractNumId w:val="12"/>
  </w:num>
  <w:num w:numId="25">
    <w:abstractNumId w:val="35"/>
  </w:num>
  <w:num w:numId="26">
    <w:abstractNumId w:val="32"/>
  </w:num>
  <w:num w:numId="27">
    <w:abstractNumId w:val="5"/>
  </w:num>
  <w:num w:numId="28">
    <w:abstractNumId w:val="23"/>
  </w:num>
  <w:num w:numId="29">
    <w:abstractNumId w:val="4"/>
  </w:num>
  <w:num w:numId="30">
    <w:abstractNumId w:val="27"/>
  </w:num>
  <w:num w:numId="31">
    <w:abstractNumId w:val="6"/>
  </w:num>
  <w:num w:numId="32">
    <w:abstractNumId w:val="40"/>
  </w:num>
  <w:num w:numId="33">
    <w:abstractNumId w:val="25"/>
  </w:num>
  <w:num w:numId="34">
    <w:abstractNumId w:val="39"/>
  </w:num>
  <w:num w:numId="35">
    <w:abstractNumId w:val="41"/>
  </w:num>
  <w:num w:numId="36">
    <w:abstractNumId w:val="7"/>
  </w:num>
  <w:num w:numId="37">
    <w:abstractNumId w:val="46"/>
  </w:num>
  <w:num w:numId="38">
    <w:abstractNumId w:val="48"/>
  </w:num>
  <w:num w:numId="39">
    <w:abstractNumId w:val="20"/>
  </w:num>
  <w:num w:numId="40">
    <w:abstractNumId w:val="1"/>
  </w:num>
  <w:num w:numId="41">
    <w:abstractNumId w:val="26"/>
  </w:num>
  <w:num w:numId="42">
    <w:abstractNumId w:val="3"/>
  </w:num>
  <w:num w:numId="43">
    <w:abstractNumId w:val="2"/>
  </w:num>
  <w:num w:numId="44">
    <w:abstractNumId w:val="30"/>
  </w:num>
  <w:num w:numId="45">
    <w:abstractNumId w:val="36"/>
  </w:num>
  <w:num w:numId="46">
    <w:abstractNumId w:val="43"/>
  </w:num>
  <w:num w:numId="47">
    <w:abstractNumId w:val="44"/>
  </w:num>
  <w:num w:numId="48">
    <w:abstractNumId w:val="21"/>
  </w:num>
  <w:num w:numId="49">
    <w:abstractNumId w:val="42"/>
  </w:num>
  <w:num w:numId="50">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B6"/>
    <w:rsid w:val="00000365"/>
    <w:rsid w:val="000008C2"/>
    <w:rsid w:val="00000D63"/>
    <w:rsid w:val="0000227A"/>
    <w:rsid w:val="00003169"/>
    <w:rsid w:val="00003965"/>
    <w:rsid w:val="00004A99"/>
    <w:rsid w:val="00005658"/>
    <w:rsid w:val="00005C9E"/>
    <w:rsid w:val="000067F6"/>
    <w:rsid w:val="00007283"/>
    <w:rsid w:val="00010058"/>
    <w:rsid w:val="000168A8"/>
    <w:rsid w:val="00016E95"/>
    <w:rsid w:val="00017388"/>
    <w:rsid w:val="00017FAD"/>
    <w:rsid w:val="000216EB"/>
    <w:rsid w:val="00021B15"/>
    <w:rsid w:val="00022341"/>
    <w:rsid w:val="000224A3"/>
    <w:rsid w:val="0002455B"/>
    <w:rsid w:val="00024835"/>
    <w:rsid w:val="000265E6"/>
    <w:rsid w:val="0003057C"/>
    <w:rsid w:val="0003103C"/>
    <w:rsid w:val="00034192"/>
    <w:rsid w:val="0003461D"/>
    <w:rsid w:val="00035C66"/>
    <w:rsid w:val="000409FC"/>
    <w:rsid w:val="000417A0"/>
    <w:rsid w:val="00042309"/>
    <w:rsid w:val="0004264E"/>
    <w:rsid w:val="00042AA6"/>
    <w:rsid w:val="000436E9"/>
    <w:rsid w:val="00044FB6"/>
    <w:rsid w:val="00045B87"/>
    <w:rsid w:val="0004676B"/>
    <w:rsid w:val="0005007A"/>
    <w:rsid w:val="00050572"/>
    <w:rsid w:val="00051972"/>
    <w:rsid w:val="00051CED"/>
    <w:rsid w:val="00051D47"/>
    <w:rsid w:val="000536EA"/>
    <w:rsid w:val="00053B7C"/>
    <w:rsid w:val="0005626B"/>
    <w:rsid w:val="00060629"/>
    <w:rsid w:val="00060911"/>
    <w:rsid w:val="000630E9"/>
    <w:rsid w:val="000652E7"/>
    <w:rsid w:val="00070037"/>
    <w:rsid w:val="000730D4"/>
    <w:rsid w:val="00073709"/>
    <w:rsid w:val="00074351"/>
    <w:rsid w:val="00074508"/>
    <w:rsid w:val="000752B0"/>
    <w:rsid w:val="00075F25"/>
    <w:rsid w:val="00076AB2"/>
    <w:rsid w:val="00076D51"/>
    <w:rsid w:val="00077F84"/>
    <w:rsid w:val="00080013"/>
    <w:rsid w:val="00082584"/>
    <w:rsid w:val="00084440"/>
    <w:rsid w:val="00085DA7"/>
    <w:rsid w:val="00086696"/>
    <w:rsid w:val="00086BC6"/>
    <w:rsid w:val="0009246E"/>
    <w:rsid w:val="00095F4F"/>
    <w:rsid w:val="00097104"/>
    <w:rsid w:val="0009771E"/>
    <w:rsid w:val="000A0B55"/>
    <w:rsid w:val="000A0E6D"/>
    <w:rsid w:val="000A236F"/>
    <w:rsid w:val="000A2FAE"/>
    <w:rsid w:val="000A32D9"/>
    <w:rsid w:val="000A3A1C"/>
    <w:rsid w:val="000A4372"/>
    <w:rsid w:val="000A55EB"/>
    <w:rsid w:val="000A6CCC"/>
    <w:rsid w:val="000B023E"/>
    <w:rsid w:val="000B1424"/>
    <w:rsid w:val="000B217E"/>
    <w:rsid w:val="000B2279"/>
    <w:rsid w:val="000B316D"/>
    <w:rsid w:val="000B6724"/>
    <w:rsid w:val="000B696B"/>
    <w:rsid w:val="000C041D"/>
    <w:rsid w:val="000C3DC5"/>
    <w:rsid w:val="000C4720"/>
    <w:rsid w:val="000C5B66"/>
    <w:rsid w:val="000D0E17"/>
    <w:rsid w:val="000D22A1"/>
    <w:rsid w:val="000D4D8A"/>
    <w:rsid w:val="000D5068"/>
    <w:rsid w:val="000D54CA"/>
    <w:rsid w:val="000D6788"/>
    <w:rsid w:val="000E00E8"/>
    <w:rsid w:val="000E09F9"/>
    <w:rsid w:val="000E0AED"/>
    <w:rsid w:val="000E26BD"/>
    <w:rsid w:val="000E4FF0"/>
    <w:rsid w:val="000E5979"/>
    <w:rsid w:val="000E6F2C"/>
    <w:rsid w:val="000E7256"/>
    <w:rsid w:val="000E7FB6"/>
    <w:rsid w:val="000F00F9"/>
    <w:rsid w:val="000F1951"/>
    <w:rsid w:val="000F5580"/>
    <w:rsid w:val="000F55A6"/>
    <w:rsid w:val="000F7C76"/>
    <w:rsid w:val="00101D2C"/>
    <w:rsid w:val="001024F9"/>
    <w:rsid w:val="00103DD1"/>
    <w:rsid w:val="00104816"/>
    <w:rsid w:val="00105286"/>
    <w:rsid w:val="00107AC8"/>
    <w:rsid w:val="00114ECE"/>
    <w:rsid w:val="00115C9C"/>
    <w:rsid w:val="00116113"/>
    <w:rsid w:val="001177B9"/>
    <w:rsid w:val="0011791D"/>
    <w:rsid w:val="001209B1"/>
    <w:rsid w:val="001225C2"/>
    <w:rsid w:val="00124ADD"/>
    <w:rsid w:val="00125363"/>
    <w:rsid w:val="00125AC9"/>
    <w:rsid w:val="00127856"/>
    <w:rsid w:val="00127F8C"/>
    <w:rsid w:val="00130900"/>
    <w:rsid w:val="00130BFC"/>
    <w:rsid w:val="00131C37"/>
    <w:rsid w:val="001348B0"/>
    <w:rsid w:val="00134A43"/>
    <w:rsid w:val="00134D2A"/>
    <w:rsid w:val="00136A39"/>
    <w:rsid w:val="0014051B"/>
    <w:rsid w:val="00142D3D"/>
    <w:rsid w:val="00143FC5"/>
    <w:rsid w:val="00144091"/>
    <w:rsid w:val="00145C23"/>
    <w:rsid w:val="00146369"/>
    <w:rsid w:val="001477CF"/>
    <w:rsid w:val="00147B62"/>
    <w:rsid w:val="001535D5"/>
    <w:rsid w:val="00156DEF"/>
    <w:rsid w:val="00160632"/>
    <w:rsid w:val="00162667"/>
    <w:rsid w:val="001630D7"/>
    <w:rsid w:val="00163425"/>
    <w:rsid w:val="00163B38"/>
    <w:rsid w:val="00163D33"/>
    <w:rsid w:val="00165478"/>
    <w:rsid w:val="00165EFB"/>
    <w:rsid w:val="00165F2F"/>
    <w:rsid w:val="001668F0"/>
    <w:rsid w:val="00166A0F"/>
    <w:rsid w:val="00166B7C"/>
    <w:rsid w:val="0017232D"/>
    <w:rsid w:val="00172801"/>
    <w:rsid w:val="001730C3"/>
    <w:rsid w:val="00175059"/>
    <w:rsid w:val="0017658A"/>
    <w:rsid w:val="00176999"/>
    <w:rsid w:val="001824D7"/>
    <w:rsid w:val="001831F5"/>
    <w:rsid w:val="0018323A"/>
    <w:rsid w:val="00185A17"/>
    <w:rsid w:val="00186169"/>
    <w:rsid w:val="001900F2"/>
    <w:rsid w:val="00190A3D"/>
    <w:rsid w:val="001914E6"/>
    <w:rsid w:val="001923DD"/>
    <w:rsid w:val="0019320F"/>
    <w:rsid w:val="00193E50"/>
    <w:rsid w:val="001943CF"/>
    <w:rsid w:val="00194A09"/>
    <w:rsid w:val="001952F4"/>
    <w:rsid w:val="00197AF3"/>
    <w:rsid w:val="001A01DA"/>
    <w:rsid w:val="001A0C67"/>
    <w:rsid w:val="001A4DCE"/>
    <w:rsid w:val="001A4F0B"/>
    <w:rsid w:val="001A727A"/>
    <w:rsid w:val="001B0BF0"/>
    <w:rsid w:val="001B27D9"/>
    <w:rsid w:val="001B3FCC"/>
    <w:rsid w:val="001B55EB"/>
    <w:rsid w:val="001B7E89"/>
    <w:rsid w:val="001C0CDF"/>
    <w:rsid w:val="001C1F47"/>
    <w:rsid w:val="001C25AB"/>
    <w:rsid w:val="001C3183"/>
    <w:rsid w:val="001C35BD"/>
    <w:rsid w:val="001C36BB"/>
    <w:rsid w:val="001C540E"/>
    <w:rsid w:val="001C7C7B"/>
    <w:rsid w:val="001C7ED9"/>
    <w:rsid w:val="001D0163"/>
    <w:rsid w:val="001D01A3"/>
    <w:rsid w:val="001D03D3"/>
    <w:rsid w:val="001D0AAA"/>
    <w:rsid w:val="001D0D89"/>
    <w:rsid w:val="001D1CEC"/>
    <w:rsid w:val="001D24E7"/>
    <w:rsid w:val="001D2F8C"/>
    <w:rsid w:val="001D310D"/>
    <w:rsid w:val="001D3C19"/>
    <w:rsid w:val="001D4AE4"/>
    <w:rsid w:val="001D5BC2"/>
    <w:rsid w:val="001D60A9"/>
    <w:rsid w:val="001D611D"/>
    <w:rsid w:val="001D6358"/>
    <w:rsid w:val="001E0842"/>
    <w:rsid w:val="001E1166"/>
    <w:rsid w:val="001E14DC"/>
    <w:rsid w:val="001E1B8C"/>
    <w:rsid w:val="001E215D"/>
    <w:rsid w:val="001E2B5F"/>
    <w:rsid w:val="001E32CE"/>
    <w:rsid w:val="001E3A3F"/>
    <w:rsid w:val="001E5477"/>
    <w:rsid w:val="001E5FD6"/>
    <w:rsid w:val="001E6214"/>
    <w:rsid w:val="001E684D"/>
    <w:rsid w:val="001E6B73"/>
    <w:rsid w:val="001E6C6B"/>
    <w:rsid w:val="001F10AD"/>
    <w:rsid w:val="001F2808"/>
    <w:rsid w:val="001F36D7"/>
    <w:rsid w:val="001F6012"/>
    <w:rsid w:val="001F71AC"/>
    <w:rsid w:val="001F785E"/>
    <w:rsid w:val="00200AFA"/>
    <w:rsid w:val="00200E5F"/>
    <w:rsid w:val="00201B08"/>
    <w:rsid w:val="00202F71"/>
    <w:rsid w:val="00205267"/>
    <w:rsid w:val="00206F00"/>
    <w:rsid w:val="00211296"/>
    <w:rsid w:val="00211A12"/>
    <w:rsid w:val="00211F73"/>
    <w:rsid w:val="0021234B"/>
    <w:rsid w:val="002129B1"/>
    <w:rsid w:val="00213D47"/>
    <w:rsid w:val="002204CB"/>
    <w:rsid w:val="002218AB"/>
    <w:rsid w:val="00221CBD"/>
    <w:rsid w:val="002220AF"/>
    <w:rsid w:val="002220D2"/>
    <w:rsid w:val="002228F9"/>
    <w:rsid w:val="00226B97"/>
    <w:rsid w:val="00226CF9"/>
    <w:rsid w:val="00230433"/>
    <w:rsid w:val="0023119E"/>
    <w:rsid w:val="00232C95"/>
    <w:rsid w:val="00233CEC"/>
    <w:rsid w:val="00233FA3"/>
    <w:rsid w:val="002373B5"/>
    <w:rsid w:val="00242B01"/>
    <w:rsid w:val="00247A4C"/>
    <w:rsid w:val="00250950"/>
    <w:rsid w:val="00251518"/>
    <w:rsid w:val="00252CA3"/>
    <w:rsid w:val="00255208"/>
    <w:rsid w:val="002557B4"/>
    <w:rsid w:val="002557C0"/>
    <w:rsid w:val="0025763B"/>
    <w:rsid w:val="00260374"/>
    <w:rsid w:val="002605DE"/>
    <w:rsid w:val="0026172B"/>
    <w:rsid w:val="00265D73"/>
    <w:rsid w:val="00267154"/>
    <w:rsid w:val="0026773F"/>
    <w:rsid w:val="00270ED1"/>
    <w:rsid w:val="002717F3"/>
    <w:rsid w:val="00271CB5"/>
    <w:rsid w:val="002736A8"/>
    <w:rsid w:val="0027422D"/>
    <w:rsid w:val="0027575C"/>
    <w:rsid w:val="002767D4"/>
    <w:rsid w:val="00276931"/>
    <w:rsid w:val="00277026"/>
    <w:rsid w:val="00277E19"/>
    <w:rsid w:val="00280477"/>
    <w:rsid w:val="0028132F"/>
    <w:rsid w:val="0028212E"/>
    <w:rsid w:val="00282E24"/>
    <w:rsid w:val="00283AD6"/>
    <w:rsid w:val="00283EF5"/>
    <w:rsid w:val="00286F49"/>
    <w:rsid w:val="00290F09"/>
    <w:rsid w:val="00292061"/>
    <w:rsid w:val="002920DA"/>
    <w:rsid w:val="002927D7"/>
    <w:rsid w:val="00292BCA"/>
    <w:rsid w:val="00294D68"/>
    <w:rsid w:val="00295ADC"/>
    <w:rsid w:val="00296A9D"/>
    <w:rsid w:val="00296B26"/>
    <w:rsid w:val="002A20DC"/>
    <w:rsid w:val="002A47AD"/>
    <w:rsid w:val="002A5BDE"/>
    <w:rsid w:val="002A601D"/>
    <w:rsid w:val="002B2843"/>
    <w:rsid w:val="002B3968"/>
    <w:rsid w:val="002B3BE7"/>
    <w:rsid w:val="002B4ACF"/>
    <w:rsid w:val="002B5FF9"/>
    <w:rsid w:val="002B64A6"/>
    <w:rsid w:val="002B757C"/>
    <w:rsid w:val="002B77C6"/>
    <w:rsid w:val="002C040F"/>
    <w:rsid w:val="002C17B7"/>
    <w:rsid w:val="002C20D1"/>
    <w:rsid w:val="002C2C71"/>
    <w:rsid w:val="002C30A1"/>
    <w:rsid w:val="002C40B2"/>
    <w:rsid w:val="002C4624"/>
    <w:rsid w:val="002C4A0E"/>
    <w:rsid w:val="002C5F45"/>
    <w:rsid w:val="002C607A"/>
    <w:rsid w:val="002C6BB6"/>
    <w:rsid w:val="002D07AC"/>
    <w:rsid w:val="002D3612"/>
    <w:rsid w:val="002D3FA5"/>
    <w:rsid w:val="002D657D"/>
    <w:rsid w:val="002D68A7"/>
    <w:rsid w:val="002E13D3"/>
    <w:rsid w:val="002E14E6"/>
    <w:rsid w:val="002E1A85"/>
    <w:rsid w:val="002E25F3"/>
    <w:rsid w:val="002E3763"/>
    <w:rsid w:val="002E4887"/>
    <w:rsid w:val="002E4950"/>
    <w:rsid w:val="002E608D"/>
    <w:rsid w:val="002E61ED"/>
    <w:rsid w:val="002E70B6"/>
    <w:rsid w:val="002E70BA"/>
    <w:rsid w:val="002E7550"/>
    <w:rsid w:val="002F152C"/>
    <w:rsid w:val="002F2270"/>
    <w:rsid w:val="002F23AC"/>
    <w:rsid w:val="002F33C6"/>
    <w:rsid w:val="002F3402"/>
    <w:rsid w:val="002F3BAD"/>
    <w:rsid w:val="002F3C2C"/>
    <w:rsid w:val="002F6553"/>
    <w:rsid w:val="002F6954"/>
    <w:rsid w:val="002F6A9A"/>
    <w:rsid w:val="002F6FFD"/>
    <w:rsid w:val="002F78AA"/>
    <w:rsid w:val="002F7C60"/>
    <w:rsid w:val="002F7F15"/>
    <w:rsid w:val="0030018B"/>
    <w:rsid w:val="00300754"/>
    <w:rsid w:val="00301110"/>
    <w:rsid w:val="00301F12"/>
    <w:rsid w:val="00302E51"/>
    <w:rsid w:val="00303854"/>
    <w:rsid w:val="00304312"/>
    <w:rsid w:val="00304378"/>
    <w:rsid w:val="003045A4"/>
    <w:rsid w:val="00304C48"/>
    <w:rsid w:val="0030644F"/>
    <w:rsid w:val="00306B60"/>
    <w:rsid w:val="003105EC"/>
    <w:rsid w:val="00311042"/>
    <w:rsid w:val="00311333"/>
    <w:rsid w:val="00311F54"/>
    <w:rsid w:val="00312F54"/>
    <w:rsid w:val="00314079"/>
    <w:rsid w:val="00314960"/>
    <w:rsid w:val="0031600D"/>
    <w:rsid w:val="00321EDE"/>
    <w:rsid w:val="003233DC"/>
    <w:rsid w:val="00323A18"/>
    <w:rsid w:val="00323A80"/>
    <w:rsid w:val="00323C90"/>
    <w:rsid w:val="00323D0C"/>
    <w:rsid w:val="003246F4"/>
    <w:rsid w:val="00331086"/>
    <w:rsid w:val="00331B47"/>
    <w:rsid w:val="003331C6"/>
    <w:rsid w:val="0033491B"/>
    <w:rsid w:val="00334FD4"/>
    <w:rsid w:val="00337995"/>
    <w:rsid w:val="003423B1"/>
    <w:rsid w:val="0034463E"/>
    <w:rsid w:val="003452AD"/>
    <w:rsid w:val="00345970"/>
    <w:rsid w:val="003463D9"/>
    <w:rsid w:val="00351750"/>
    <w:rsid w:val="00352DDC"/>
    <w:rsid w:val="003530D9"/>
    <w:rsid w:val="003534E3"/>
    <w:rsid w:val="00357B1E"/>
    <w:rsid w:val="0036023D"/>
    <w:rsid w:val="00360271"/>
    <w:rsid w:val="00362BD4"/>
    <w:rsid w:val="0036327B"/>
    <w:rsid w:val="00365EFF"/>
    <w:rsid w:val="00366C89"/>
    <w:rsid w:val="003677A6"/>
    <w:rsid w:val="003678FF"/>
    <w:rsid w:val="00367B77"/>
    <w:rsid w:val="00367E17"/>
    <w:rsid w:val="00370042"/>
    <w:rsid w:val="00372CD0"/>
    <w:rsid w:val="0037435B"/>
    <w:rsid w:val="0037594E"/>
    <w:rsid w:val="00376839"/>
    <w:rsid w:val="003773AD"/>
    <w:rsid w:val="00377959"/>
    <w:rsid w:val="003800F0"/>
    <w:rsid w:val="00383029"/>
    <w:rsid w:val="00383523"/>
    <w:rsid w:val="00383CE1"/>
    <w:rsid w:val="00384FDC"/>
    <w:rsid w:val="0038514F"/>
    <w:rsid w:val="00387B5D"/>
    <w:rsid w:val="0039186B"/>
    <w:rsid w:val="003959DD"/>
    <w:rsid w:val="00395E33"/>
    <w:rsid w:val="0039660F"/>
    <w:rsid w:val="0039666A"/>
    <w:rsid w:val="00397AD6"/>
    <w:rsid w:val="003A1C35"/>
    <w:rsid w:val="003A2A52"/>
    <w:rsid w:val="003A2BB4"/>
    <w:rsid w:val="003A3AAC"/>
    <w:rsid w:val="003A3BAB"/>
    <w:rsid w:val="003A4953"/>
    <w:rsid w:val="003A4AE6"/>
    <w:rsid w:val="003A506D"/>
    <w:rsid w:val="003A6747"/>
    <w:rsid w:val="003A68BE"/>
    <w:rsid w:val="003A7221"/>
    <w:rsid w:val="003A7C2C"/>
    <w:rsid w:val="003B063A"/>
    <w:rsid w:val="003B0BE8"/>
    <w:rsid w:val="003B1314"/>
    <w:rsid w:val="003B1B13"/>
    <w:rsid w:val="003B1BC2"/>
    <w:rsid w:val="003B214E"/>
    <w:rsid w:val="003B3E6B"/>
    <w:rsid w:val="003B5F23"/>
    <w:rsid w:val="003B7380"/>
    <w:rsid w:val="003B7A7A"/>
    <w:rsid w:val="003C027F"/>
    <w:rsid w:val="003C1913"/>
    <w:rsid w:val="003C736D"/>
    <w:rsid w:val="003C76D6"/>
    <w:rsid w:val="003D0068"/>
    <w:rsid w:val="003D0A6D"/>
    <w:rsid w:val="003D2CBF"/>
    <w:rsid w:val="003D35FA"/>
    <w:rsid w:val="003D428B"/>
    <w:rsid w:val="003D4969"/>
    <w:rsid w:val="003D4A49"/>
    <w:rsid w:val="003D5B73"/>
    <w:rsid w:val="003D64B4"/>
    <w:rsid w:val="003D6749"/>
    <w:rsid w:val="003D7A63"/>
    <w:rsid w:val="003D7E18"/>
    <w:rsid w:val="003E36D4"/>
    <w:rsid w:val="003E3CAE"/>
    <w:rsid w:val="003E6A37"/>
    <w:rsid w:val="003E7361"/>
    <w:rsid w:val="003F0274"/>
    <w:rsid w:val="003F0D06"/>
    <w:rsid w:val="003F272B"/>
    <w:rsid w:val="003F39CD"/>
    <w:rsid w:val="003F5E65"/>
    <w:rsid w:val="003F6F34"/>
    <w:rsid w:val="003F790E"/>
    <w:rsid w:val="0040137E"/>
    <w:rsid w:val="00401E98"/>
    <w:rsid w:val="00402F63"/>
    <w:rsid w:val="00403F3A"/>
    <w:rsid w:val="00404DB2"/>
    <w:rsid w:val="00405573"/>
    <w:rsid w:val="004101D6"/>
    <w:rsid w:val="00410593"/>
    <w:rsid w:val="00411F9D"/>
    <w:rsid w:val="004152B1"/>
    <w:rsid w:val="0041637B"/>
    <w:rsid w:val="00417EEC"/>
    <w:rsid w:val="004209A5"/>
    <w:rsid w:val="0042215B"/>
    <w:rsid w:val="004242C5"/>
    <w:rsid w:val="00424A64"/>
    <w:rsid w:val="00425679"/>
    <w:rsid w:val="004272D6"/>
    <w:rsid w:val="0043048B"/>
    <w:rsid w:val="00431170"/>
    <w:rsid w:val="00431BC8"/>
    <w:rsid w:val="0043345D"/>
    <w:rsid w:val="00433485"/>
    <w:rsid w:val="0043693E"/>
    <w:rsid w:val="00437946"/>
    <w:rsid w:val="004407D3"/>
    <w:rsid w:val="004408E7"/>
    <w:rsid w:val="00442F6C"/>
    <w:rsid w:val="00444E0E"/>
    <w:rsid w:val="00445450"/>
    <w:rsid w:val="004466EE"/>
    <w:rsid w:val="00446F7F"/>
    <w:rsid w:val="0044704C"/>
    <w:rsid w:val="00447A8A"/>
    <w:rsid w:val="00450616"/>
    <w:rsid w:val="00453F5E"/>
    <w:rsid w:val="004543D8"/>
    <w:rsid w:val="00454441"/>
    <w:rsid w:val="00454673"/>
    <w:rsid w:val="00455972"/>
    <w:rsid w:val="00455EDE"/>
    <w:rsid w:val="00457665"/>
    <w:rsid w:val="00457D08"/>
    <w:rsid w:val="00457F9D"/>
    <w:rsid w:val="00460F43"/>
    <w:rsid w:val="004610E6"/>
    <w:rsid w:val="0046299E"/>
    <w:rsid w:val="00463F08"/>
    <w:rsid w:val="00465D6A"/>
    <w:rsid w:val="004664FC"/>
    <w:rsid w:val="00473609"/>
    <w:rsid w:val="0047410D"/>
    <w:rsid w:val="00474E97"/>
    <w:rsid w:val="00476BA5"/>
    <w:rsid w:val="00477672"/>
    <w:rsid w:val="00477E4C"/>
    <w:rsid w:val="00480CEB"/>
    <w:rsid w:val="00481273"/>
    <w:rsid w:val="0048347C"/>
    <w:rsid w:val="00486E5D"/>
    <w:rsid w:val="00487CCA"/>
    <w:rsid w:val="00490F24"/>
    <w:rsid w:val="00491530"/>
    <w:rsid w:val="004918D3"/>
    <w:rsid w:val="00493214"/>
    <w:rsid w:val="00493B82"/>
    <w:rsid w:val="004949BF"/>
    <w:rsid w:val="00494F4A"/>
    <w:rsid w:val="00497218"/>
    <w:rsid w:val="00497B47"/>
    <w:rsid w:val="00497C2D"/>
    <w:rsid w:val="00497F5A"/>
    <w:rsid w:val="004A0DA6"/>
    <w:rsid w:val="004A0E66"/>
    <w:rsid w:val="004A11D8"/>
    <w:rsid w:val="004A1AD9"/>
    <w:rsid w:val="004A2577"/>
    <w:rsid w:val="004A3AB0"/>
    <w:rsid w:val="004A5A86"/>
    <w:rsid w:val="004B01EB"/>
    <w:rsid w:val="004B1348"/>
    <w:rsid w:val="004B2164"/>
    <w:rsid w:val="004B4522"/>
    <w:rsid w:val="004B46F1"/>
    <w:rsid w:val="004B490D"/>
    <w:rsid w:val="004B4DD8"/>
    <w:rsid w:val="004B6D1A"/>
    <w:rsid w:val="004B6D95"/>
    <w:rsid w:val="004B77C2"/>
    <w:rsid w:val="004C0029"/>
    <w:rsid w:val="004C0395"/>
    <w:rsid w:val="004C1338"/>
    <w:rsid w:val="004C1DB4"/>
    <w:rsid w:val="004C252B"/>
    <w:rsid w:val="004C6888"/>
    <w:rsid w:val="004C6EB5"/>
    <w:rsid w:val="004C76E3"/>
    <w:rsid w:val="004C7EC0"/>
    <w:rsid w:val="004D39EA"/>
    <w:rsid w:val="004D5387"/>
    <w:rsid w:val="004E0105"/>
    <w:rsid w:val="004E0C2E"/>
    <w:rsid w:val="004E4C09"/>
    <w:rsid w:val="004E52A5"/>
    <w:rsid w:val="004E546A"/>
    <w:rsid w:val="004E6497"/>
    <w:rsid w:val="004E7673"/>
    <w:rsid w:val="004F18F5"/>
    <w:rsid w:val="004F27B3"/>
    <w:rsid w:val="004F2AEA"/>
    <w:rsid w:val="004F5161"/>
    <w:rsid w:val="004F6505"/>
    <w:rsid w:val="005002C6"/>
    <w:rsid w:val="00501848"/>
    <w:rsid w:val="005020DA"/>
    <w:rsid w:val="005021CF"/>
    <w:rsid w:val="00503130"/>
    <w:rsid w:val="005120CD"/>
    <w:rsid w:val="005127F4"/>
    <w:rsid w:val="0051289C"/>
    <w:rsid w:val="00512F45"/>
    <w:rsid w:val="00513809"/>
    <w:rsid w:val="005151F3"/>
    <w:rsid w:val="00521B72"/>
    <w:rsid w:val="00521F73"/>
    <w:rsid w:val="00522C8C"/>
    <w:rsid w:val="00522D73"/>
    <w:rsid w:val="00523674"/>
    <w:rsid w:val="005239C7"/>
    <w:rsid w:val="005254B6"/>
    <w:rsid w:val="00526D56"/>
    <w:rsid w:val="0052728F"/>
    <w:rsid w:val="00527A33"/>
    <w:rsid w:val="00534100"/>
    <w:rsid w:val="00534A74"/>
    <w:rsid w:val="00534B5B"/>
    <w:rsid w:val="005366EE"/>
    <w:rsid w:val="0054025D"/>
    <w:rsid w:val="0054036F"/>
    <w:rsid w:val="00542D21"/>
    <w:rsid w:val="00543D40"/>
    <w:rsid w:val="0054480E"/>
    <w:rsid w:val="00545549"/>
    <w:rsid w:val="00545EB4"/>
    <w:rsid w:val="00547C0A"/>
    <w:rsid w:val="00547C5F"/>
    <w:rsid w:val="00551D3C"/>
    <w:rsid w:val="00551EE9"/>
    <w:rsid w:val="005529F6"/>
    <w:rsid w:val="00552CDF"/>
    <w:rsid w:val="00553DCE"/>
    <w:rsid w:val="00555B2C"/>
    <w:rsid w:val="005562B3"/>
    <w:rsid w:val="00557E7B"/>
    <w:rsid w:val="00557EE0"/>
    <w:rsid w:val="00557FCB"/>
    <w:rsid w:val="00561F01"/>
    <w:rsid w:val="005633C6"/>
    <w:rsid w:val="00564AF9"/>
    <w:rsid w:val="00565129"/>
    <w:rsid w:val="00566F2B"/>
    <w:rsid w:val="005701D6"/>
    <w:rsid w:val="00570322"/>
    <w:rsid w:val="00571156"/>
    <w:rsid w:val="00571C42"/>
    <w:rsid w:val="0057204B"/>
    <w:rsid w:val="00572BC1"/>
    <w:rsid w:val="00573563"/>
    <w:rsid w:val="005749A3"/>
    <w:rsid w:val="00575B99"/>
    <w:rsid w:val="005763FF"/>
    <w:rsid w:val="00576BD0"/>
    <w:rsid w:val="00576FBA"/>
    <w:rsid w:val="0057715D"/>
    <w:rsid w:val="00580271"/>
    <w:rsid w:val="00581080"/>
    <w:rsid w:val="00581FFE"/>
    <w:rsid w:val="00582D32"/>
    <w:rsid w:val="00582DB2"/>
    <w:rsid w:val="00583012"/>
    <w:rsid w:val="00590C84"/>
    <w:rsid w:val="005920AD"/>
    <w:rsid w:val="0059253B"/>
    <w:rsid w:val="00593851"/>
    <w:rsid w:val="0059653C"/>
    <w:rsid w:val="00597AE8"/>
    <w:rsid w:val="005A1101"/>
    <w:rsid w:val="005A248A"/>
    <w:rsid w:val="005A2941"/>
    <w:rsid w:val="005A30CA"/>
    <w:rsid w:val="005A3701"/>
    <w:rsid w:val="005A3A32"/>
    <w:rsid w:val="005A43C7"/>
    <w:rsid w:val="005A7B6A"/>
    <w:rsid w:val="005B093E"/>
    <w:rsid w:val="005B1881"/>
    <w:rsid w:val="005B2F9E"/>
    <w:rsid w:val="005B3CFD"/>
    <w:rsid w:val="005B47EB"/>
    <w:rsid w:val="005B62D3"/>
    <w:rsid w:val="005C0F04"/>
    <w:rsid w:val="005C1013"/>
    <w:rsid w:val="005C1BAD"/>
    <w:rsid w:val="005C2A5F"/>
    <w:rsid w:val="005C3524"/>
    <w:rsid w:val="005C3B87"/>
    <w:rsid w:val="005C40DA"/>
    <w:rsid w:val="005C7CAA"/>
    <w:rsid w:val="005D0C52"/>
    <w:rsid w:val="005D0ED5"/>
    <w:rsid w:val="005D1D55"/>
    <w:rsid w:val="005D1F98"/>
    <w:rsid w:val="005D2061"/>
    <w:rsid w:val="005D214A"/>
    <w:rsid w:val="005D3659"/>
    <w:rsid w:val="005D3EC2"/>
    <w:rsid w:val="005D7344"/>
    <w:rsid w:val="005D794C"/>
    <w:rsid w:val="005E0989"/>
    <w:rsid w:val="005F3702"/>
    <w:rsid w:val="005F3D82"/>
    <w:rsid w:val="005F487F"/>
    <w:rsid w:val="005F4965"/>
    <w:rsid w:val="005F5135"/>
    <w:rsid w:val="005F5721"/>
    <w:rsid w:val="005F5ECF"/>
    <w:rsid w:val="005F7A7A"/>
    <w:rsid w:val="00603691"/>
    <w:rsid w:val="00603737"/>
    <w:rsid w:val="00603A0A"/>
    <w:rsid w:val="00603BE9"/>
    <w:rsid w:val="00604991"/>
    <w:rsid w:val="0060607B"/>
    <w:rsid w:val="00606E29"/>
    <w:rsid w:val="00607524"/>
    <w:rsid w:val="0061095F"/>
    <w:rsid w:val="00610AD4"/>
    <w:rsid w:val="00611004"/>
    <w:rsid w:val="00613350"/>
    <w:rsid w:val="00613EB5"/>
    <w:rsid w:val="006143E5"/>
    <w:rsid w:val="00617DC4"/>
    <w:rsid w:val="00620C30"/>
    <w:rsid w:val="00620F56"/>
    <w:rsid w:val="00622CBB"/>
    <w:rsid w:val="00622FEE"/>
    <w:rsid w:val="00623520"/>
    <w:rsid w:val="00624D9E"/>
    <w:rsid w:val="00627928"/>
    <w:rsid w:val="006301BD"/>
    <w:rsid w:val="006313B7"/>
    <w:rsid w:val="00631D09"/>
    <w:rsid w:val="00632A50"/>
    <w:rsid w:val="00632ACC"/>
    <w:rsid w:val="00633C40"/>
    <w:rsid w:val="00635D9F"/>
    <w:rsid w:val="00636A4F"/>
    <w:rsid w:val="00636B81"/>
    <w:rsid w:val="00642CF0"/>
    <w:rsid w:val="00642E33"/>
    <w:rsid w:val="00647F8A"/>
    <w:rsid w:val="00650E66"/>
    <w:rsid w:val="00652A7D"/>
    <w:rsid w:val="00654121"/>
    <w:rsid w:val="00656655"/>
    <w:rsid w:val="00661E39"/>
    <w:rsid w:val="00664ACA"/>
    <w:rsid w:val="00667ED3"/>
    <w:rsid w:val="0067017B"/>
    <w:rsid w:val="006705E0"/>
    <w:rsid w:val="00671724"/>
    <w:rsid w:val="00672969"/>
    <w:rsid w:val="00672EF4"/>
    <w:rsid w:val="006733C3"/>
    <w:rsid w:val="00674F23"/>
    <w:rsid w:val="00676EF6"/>
    <w:rsid w:val="006801BE"/>
    <w:rsid w:val="00680326"/>
    <w:rsid w:val="006806E7"/>
    <w:rsid w:val="00684096"/>
    <w:rsid w:val="00684928"/>
    <w:rsid w:val="00684A19"/>
    <w:rsid w:val="00685AE2"/>
    <w:rsid w:val="00686797"/>
    <w:rsid w:val="00687083"/>
    <w:rsid w:val="006871F7"/>
    <w:rsid w:val="00687AB2"/>
    <w:rsid w:val="00687B1C"/>
    <w:rsid w:val="00690F43"/>
    <w:rsid w:val="00691870"/>
    <w:rsid w:val="00691BA4"/>
    <w:rsid w:val="00694013"/>
    <w:rsid w:val="0069410D"/>
    <w:rsid w:val="00695A93"/>
    <w:rsid w:val="006969EC"/>
    <w:rsid w:val="006A3605"/>
    <w:rsid w:val="006A4926"/>
    <w:rsid w:val="006A5DEB"/>
    <w:rsid w:val="006A6FD5"/>
    <w:rsid w:val="006B114F"/>
    <w:rsid w:val="006B17EE"/>
    <w:rsid w:val="006B24A7"/>
    <w:rsid w:val="006B2BB2"/>
    <w:rsid w:val="006B3A22"/>
    <w:rsid w:val="006B4E96"/>
    <w:rsid w:val="006B5A85"/>
    <w:rsid w:val="006B64EF"/>
    <w:rsid w:val="006B778C"/>
    <w:rsid w:val="006C2B1E"/>
    <w:rsid w:val="006C604E"/>
    <w:rsid w:val="006C62A3"/>
    <w:rsid w:val="006C69DE"/>
    <w:rsid w:val="006D1562"/>
    <w:rsid w:val="006D15A6"/>
    <w:rsid w:val="006D1C74"/>
    <w:rsid w:val="006D22F3"/>
    <w:rsid w:val="006D2479"/>
    <w:rsid w:val="006D397A"/>
    <w:rsid w:val="006D3A17"/>
    <w:rsid w:val="006D4F0E"/>
    <w:rsid w:val="006D5847"/>
    <w:rsid w:val="006D5BD1"/>
    <w:rsid w:val="006D5C2F"/>
    <w:rsid w:val="006D694F"/>
    <w:rsid w:val="006D6BB4"/>
    <w:rsid w:val="006D6E94"/>
    <w:rsid w:val="006D7160"/>
    <w:rsid w:val="006E0C0C"/>
    <w:rsid w:val="006E2808"/>
    <w:rsid w:val="006E2878"/>
    <w:rsid w:val="006E33CA"/>
    <w:rsid w:val="006E3B73"/>
    <w:rsid w:val="006E46FA"/>
    <w:rsid w:val="006E4A8E"/>
    <w:rsid w:val="006E552C"/>
    <w:rsid w:val="006F0033"/>
    <w:rsid w:val="006F194A"/>
    <w:rsid w:val="006F2E8B"/>
    <w:rsid w:val="006F49B7"/>
    <w:rsid w:val="006F61CB"/>
    <w:rsid w:val="006F74C9"/>
    <w:rsid w:val="006F7574"/>
    <w:rsid w:val="00701F91"/>
    <w:rsid w:val="00705DD6"/>
    <w:rsid w:val="007061EC"/>
    <w:rsid w:val="00710135"/>
    <w:rsid w:val="007108EB"/>
    <w:rsid w:val="007114B4"/>
    <w:rsid w:val="00711A5C"/>
    <w:rsid w:val="007134B6"/>
    <w:rsid w:val="00715D71"/>
    <w:rsid w:val="00716BA7"/>
    <w:rsid w:val="00720F22"/>
    <w:rsid w:val="0072148A"/>
    <w:rsid w:val="00721604"/>
    <w:rsid w:val="00721A18"/>
    <w:rsid w:val="00722A6D"/>
    <w:rsid w:val="007231EE"/>
    <w:rsid w:val="00723BAD"/>
    <w:rsid w:val="007240DE"/>
    <w:rsid w:val="00724792"/>
    <w:rsid w:val="00724A7F"/>
    <w:rsid w:val="00727052"/>
    <w:rsid w:val="00727D32"/>
    <w:rsid w:val="00727FCE"/>
    <w:rsid w:val="00731D76"/>
    <w:rsid w:val="0073217F"/>
    <w:rsid w:val="00732EF7"/>
    <w:rsid w:val="0073469C"/>
    <w:rsid w:val="007346A1"/>
    <w:rsid w:val="00734D7C"/>
    <w:rsid w:val="00735751"/>
    <w:rsid w:val="00736F8D"/>
    <w:rsid w:val="00737F39"/>
    <w:rsid w:val="00740BF5"/>
    <w:rsid w:val="00743431"/>
    <w:rsid w:val="00744C12"/>
    <w:rsid w:val="00747CA2"/>
    <w:rsid w:val="00750C6C"/>
    <w:rsid w:val="007539DB"/>
    <w:rsid w:val="0075424F"/>
    <w:rsid w:val="00755310"/>
    <w:rsid w:val="00756D1B"/>
    <w:rsid w:val="0075759B"/>
    <w:rsid w:val="00757CAE"/>
    <w:rsid w:val="00760BF0"/>
    <w:rsid w:val="00760ED6"/>
    <w:rsid w:val="00762C04"/>
    <w:rsid w:val="00765834"/>
    <w:rsid w:val="007659C2"/>
    <w:rsid w:val="00767353"/>
    <w:rsid w:val="007704DD"/>
    <w:rsid w:val="00770D0D"/>
    <w:rsid w:val="007754CD"/>
    <w:rsid w:val="0078034D"/>
    <w:rsid w:val="0078049F"/>
    <w:rsid w:val="0078124F"/>
    <w:rsid w:val="00783ED6"/>
    <w:rsid w:val="00784992"/>
    <w:rsid w:val="00785907"/>
    <w:rsid w:val="00787F3D"/>
    <w:rsid w:val="0079016C"/>
    <w:rsid w:val="007907A8"/>
    <w:rsid w:val="0079225F"/>
    <w:rsid w:val="00794E58"/>
    <w:rsid w:val="0079599C"/>
    <w:rsid w:val="007A0519"/>
    <w:rsid w:val="007A1C85"/>
    <w:rsid w:val="007A28E2"/>
    <w:rsid w:val="007A2E82"/>
    <w:rsid w:val="007A3C00"/>
    <w:rsid w:val="007A4D7C"/>
    <w:rsid w:val="007A5174"/>
    <w:rsid w:val="007A591B"/>
    <w:rsid w:val="007A7733"/>
    <w:rsid w:val="007A7F0D"/>
    <w:rsid w:val="007B03C6"/>
    <w:rsid w:val="007B088F"/>
    <w:rsid w:val="007B0BCF"/>
    <w:rsid w:val="007B4431"/>
    <w:rsid w:val="007B5960"/>
    <w:rsid w:val="007B6205"/>
    <w:rsid w:val="007B71F3"/>
    <w:rsid w:val="007B7ED8"/>
    <w:rsid w:val="007C0DAC"/>
    <w:rsid w:val="007C2A39"/>
    <w:rsid w:val="007C3F35"/>
    <w:rsid w:val="007C4F03"/>
    <w:rsid w:val="007C5219"/>
    <w:rsid w:val="007C5393"/>
    <w:rsid w:val="007C560A"/>
    <w:rsid w:val="007C5FCA"/>
    <w:rsid w:val="007C62BC"/>
    <w:rsid w:val="007D0134"/>
    <w:rsid w:val="007D0CBD"/>
    <w:rsid w:val="007D242E"/>
    <w:rsid w:val="007D2FB7"/>
    <w:rsid w:val="007D5300"/>
    <w:rsid w:val="007E1716"/>
    <w:rsid w:val="007E254F"/>
    <w:rsid w:val="007E30E0"/>
    <w:rsid w:val="007E3B01"/>
    <w:rsid w:val="007E4C5E"/>
    <w:rsid w:val="007E7669"/>
    <w:rsid w:val="007F0AFA"/>
    <w:rsid w:val="007F14DC"/>
    <w:rsid w:val="007F3C59"/>
    <w:rsid w:val="007F3D19"/>
    <w:rsid w:val="007F3D1E"/>
    <w:rsid w:val="007F57B3"/>
    <w:rsid w:val="0080065C"/>
    <w:rsid w:val="008009CA"/>
    <w:rsid w:val="008025B7"/>
    <w:rsid w:val="008075EC"/>
    <w:rsid w:val="008102A3"/>
    <w:rsid w:val="0081048F"/>
    <w:rsid w:val="00811023"/>
    <w:rsid w:val="00811A11"/>
    <w:rsid w:val="00813F50"/>
    <w:rsid w:val="00814744"/>
    <w:rsid w:val="008169BD"/>
    <w:rsid w:val="00821F66"/>
    <w:rsid w:val="008226E2"/>
    <w:rsid w:val="008227AE"/>
    <w:rsid w:val="008230EE"/>
    <w:rsid w:val="00823C9A"/>
    <w:rsid w:val="0082663A"/>
    <w:rsid w:val="008271A5"/>
    <w:rsid w:val="008273A1"/>
    <w:rsid w:val="008277C9"/>
    <w:rsid w:val="00827B0E"/>
    <w:rsid w:val="008307B3"/>
    <w:rsid w:val="00830EA0"/>
    <w:rsid w:val="0083278A"/>
    <w:rsid w:val="00834509"/>
    <w:rsid w:val="008419D6"/>
    <w:rsid w:val="00842112"/>
    <w:rsid w:val="00842148"/>
    <w:rsid w:val="00847F7D"/>
    <w:rsid w:val="0085064A"/>
    <w:rsid w:val="00855903"/>
    <w:rsid w:val="008560B9"/>
    <w:rsid w:val="008570FC"/>
    <w:rsid w:val="008606C9"/>
    <w:rsid w:val="00861560"/>
    <w:rsid w:val="00863E92"/>
    <w:rsid w:val="008654C9"/>
    <w:rsid w:val="008678E8"/>
    <w:rsid w:val="00871499"/>
    <w:rsid w:val="00874953"/>
    <w:rsid w:val="008766F9"/>
    <w:rsid w:val="008776BB"/>
    <w:rsid w:val="00877F79"/>
    <w:rsid w:val="00881899"/>
    <w:rsid w:val="00882354"/>
    <w:rsid w:val="00882E2F"/>
    <w:rsid w:val="00883C0D"/>
    <w:rsid w:val="008850F8"/>
    <w:rsid w:val="008853C5"/>
    <w:rsid w:val="00885CA2"/>
    <w:rsid w:val="00885FBF"/>
    <w:rsid w:val="00886321"/>
    <w:rsid w:val="0089352F"/>
    <w:rsid w:val="00894A4A"/>
    <w:rsid w:val="00894BE1"/>
    <w:rsid w:val="00895197"/>
    <w:rsid w:val="0089680A"/>
    <w:rsid w:val="008973B5"/>
    <w:rsid w:val="008A3D01"/>
    <w:rsid w:val="008A5C57"/>
    <w:rsid w:val="008A632C"/>
    <w:rsid w:val="008A66E8"/>
    <w:rsid w:val="008A7D7F"/>
    <w:rsid w:val="008A7EFC"/>
    <w:rsid w:val="008B146B"/>
    <w:rsid w:val="008B185C"/>
    <w:rsid w:val="008B3600"/>
    <w:rsid w:val="008B36BC"/>
    <w:rsid w:val="008B36E2"/>
    <w:rsid w:val="008C385F"/>
    <w:rsid w:val="008C4C5F"/>
    <w:rsid w:val="008C4C64"/>
    <w:rsid w:val="008C55F2"/>
    <w:rsid w:val="008C700C"/>
    <w:rsid w:val="008D26DB"/>
    <w:rsid w:val="008D2BBC"/>
    <w:rsid w:val="008D305A"/>
    <w:rsid w:val="008D4F0C"/>
    <w:rsid w:val="008D5465"/>
    <w:rsid w:val="008D5FCD"/>
    <w:rsid w:val="008D6C6F"/>
    <w:rsid w:val="008D75AC"/>
    <w:rsid w:val="008D7DAD"/>
    <w:rsid w:val="008E4DB1"/>
    <w:rsid w:val="008E5195"/>
    <w:rsid w:val="008E7EC0"/>
    <w:rsid w:val="008E7EE5"/>
    <w:rsid w:val="008F30E7"/>
    <w:rsid w:val="008F33B5"/>
    <w:rsid w:val="008F7B64"/>
    <w:rsid w:val="008F7D82"/>
    <w:rsid w:val="009008A8"/>
    <w:rsid w:val="009014BA"/>
    <w:rsid w:val="009017B8"/>
    <w:rsid w:val="00902795"/>
    <w:rsid w:val="0090472A"/>
    <w:rsid w:val="00910551"/>
    <w:rsid w:val="00914414"/>
    <w:rsid w:val="00914ABE"/>
    <w:rsid w:val="00916AA8"/>
    <w:rsid w:val="00920656"/>
    <w:rsid w:val="00921D3B"/>
    <w:rsid w:val="00923403"/>
    <w:rsid w:val="009245FD"/>
    <w:rsid w:val="00924CC7"/>
    <w:rsid w:val="009259C0"/>
    <w:rsid w:val="009313F0"/>
    <w:rsid w:val="009314B7"/>
    <w:rsid w:val="00931561"/>
    <w:rsid w:val="00931814"/>
    <w:rsid w:val="00931821"/>
    <w:rsid w:val="009336B3"/>
    <w:rsid w:val="00933A16"/>
    <w:rsid w:val="009400FD"/>
    <w:rsid w:val="0094072B"/>
    <w:rsid w:val="00940C8A"/>
    <w:rsid w:val="00943BF9"/>
    <w:rsid w:val="00947522"/>
    <w:rsid w:val="0095441C"/>
    <w:rsid w:val="0095534B"/>
    <w:rsid w:val="00957943"/>
    <w:rsid w:val="00957C59"/>
    <w:rsid w:val="00957C60"/>
    <w:rsid w:val="00962F3B"/>
    <w:rsid w:val="00963128"/>
    <w:rsid w:val="00963DD9"/>
    <w:rsid w:val="00964EF9"/>
    <w:rsid w:val="00966391"/>
    <w:rsid w:val="0096754F"/>
    <w:rsid w:val="00967A93"/>
    <w:rsid w:val="00971E25"/>
    <w:rsid w:val="00974743"/>
    <w:rsid w:val="0097523F"/>
    <w:rsid w:val="00975C5E"/>
    <w:rsid w:val="00975F35"/>
    <w:rsid w:val="00976A26"/>
    <w:rsid w:val="0098223A"/>
    <w:rsid w:val="009830A6"/>
    <w:rsid w:val="009837D1"/>
    <w:rsid w:val="00983FC7"/>
    <w:rsid w:val="0098435D"/>
    <w:rsid w:val="00984585"/>
    <w:rsid w:val="00984688"/>
    <w:rsid w:val="00984A7C"/>
    <w:rsid w:val="009858E4"/>
    <w:rsid w:val="0098647D"/>
    <w:rsid w:val="00987963"/>
    <w:rsid w:val="0099065E"/>
    <w:rsid w:val="00990A7D"/>
    <w:rsid w:val="00991FF3"/>
    <w:rsid w:val="0099271C"/>
    <w:rsid w:val="00993858"/>
    <w:rsid w:val="009967E0"/>
    <w:rsid w:val="009968E2"/>
    <w:rsid w:val="00997C48"/>
    <w:rsid w:val="009A0097"/>
    <w:rsid w:val="009A0184"/>
    <w:rsid w:val="009A15FB"/>
    <w:rsid w:val="009A4521"/>
    <w:rsid w:val="009A676F"/>
    <w:rsid w:val="009A683C"/>
    <w:rsid w:val="009A73C7"/>
    <w:rsid w:val="009B0655"/>
    <w:rsid w:val="009B100A"/>
    <w:rsid w:val="009B300C"/>
    <w:rsid w:val="009B472E"/>
    <w:rsid w:val="009B4C84"/>
    <w:rsid w:val="009B549A"/>
    <w:rsid w:val="009B6739"/>
    <w:rsid w:val="009B69F4"/>
    <w:rsid w:val="009B7105"/>
    <w:rsid w:val="009B75B9"/>
    <w:rsid w:val="009B7C82"/>
    <w:rsid w:val="009C0AA2"/>
    <w:rsid w:val="009C0D42"/>
    <w:rsid w:val="009C17B9"/>
    <w:rsid w:val="009C30C8"/>
    <w:rsid w:val="009C4CDF"/>
    <w:rsid w:val="009D0873"/>
    <w:rsid w:val="009D14F5"/>
    <w:rsid w:val="009D1C89"/>
    <w:rsid w:val="009D3496"/>
    <w:rsid w:val="009D3AAD"/>
    <w:rsid w:val="009D412F"/>
    <w:rsid w:val="009D41DC"/>
    <w:rsid w:val="009D6FBF"/>
    <w:rsid w:val="009D7885"/>
    <w:rsid w:val="009D7CEA"/>
    <w:rsid w:val="009E077B"/>
    <w:rsid w:val="009E1F11"/>
    <w:rsid w:val="009E2E23"/>
    <w:rsid w:val="009E3770"/>
    <w:rsid w:val="009E5734"/>
    <w:rsid w:val="009E621F"/>
    <w:rsid w:val="009E6730"/>
    <w:rsid w:val="009E7097"/>
    <w:rsid w:val="009F18A7"/>
    <w:rsid w:val="009F1D5A"/>
    <w:rsid w:val="009F4EF5"/>
    <w:rsid w:val="00A01750"/>
    <w:rsid w:val="00A01856"/>
    <w:rsid w:val="00A0227B"/>
    <w:rsid w:val="00A023F5"/>
    <w:rsid w:val="00A0398A"/>
    <w:rsid w:val="00A039F5"/>
    <w:rsid w:val="00A03BE4"/>
    <w:rsid w:val="00A03D71"/>
    <w:rsid w:val="00A06637"/>
    <w:rsid w:val="00A10503"/>
    <w:rsid w:val="00A11149"/>
    <w:rsid w:val="00A114B9"/>
    <w:rsid w:val="00A11F37"/>
    <w:rsid w:val="00A12E69"/>
    <w:rsid w:val="00A13C7C"/>
    <w:rsid w:val="00A148AA"/>
    <w:rsid w:val="00A15AF3"/>
    <w:rsid w:val="00A15E0C"/>
    <w:rsid w:val="00A1669F"/>
    <w:rsid w:val="00A17BD6"/>
    <w:rsid w:val="00A221C9"/>
    <w:rsid w:val="00A2446B"/>
    <w:rsid w:val="00A25926"/>
    <w:rsid w:val="00A25FFD"/>
    <w:rsid w:val="00A266C9"/>
    <w:rsid w:val="00A27321"/>
    <w:rsid w:val="00A31852"/>
    <w:rsid w:val="00A321AB"/>
    <w:rsid w:val="00A35DFF"/>
    <w:rsid w:val="00A3692A"/>
    <w:rsid w:val="00A373FC"/>
    <w:rsid w:val="00A407C3"/>
    <w:rsid w:val="00A4082F"/>
    <w:rsid w:val="00A4294A"/>
    <w:rsid w:val="00A42C40"/>
    <w:rsid w:val="00A44D2C"/>
    <w:rsid w:val="00A46885"/>
    <w:rsid w:val="00A50708"/>
    <w:rsid w:val="00A53912"/>
    <w:rsid w:val="00A56274"/>
    <w:rsid w:val="00A56744"/>
    <w:rsid w:val="00A56831"/>
    <w:rsid w:val="00A56D00"/>
    <w:rsid w:val="00A57123"/>
    <w:rsid w:val="00A60111"/>
    <w:rsid w:val="00A60BF6"/>
    <w:rsid w:val="00A61D2F"/>
    <w:rsid w:val="00A64029"/>
    <w:rsid w:val="00A67D8D"/>
    <w:rsid w:val="00A70855"/>
    <w:rsid w:val="00A7130E"/>
    <w:rsid w:val="00A718A0"/>
    <w:rsid w:val="00A71DA5"/>
    <w:rsid w:val="00A73492"/>
    <w:rsid w:val="00A74907"/>
    <w:rsid w:val="00A763F6"/>
    <w:rsid w:val="00A831D5"/>
    <w:rsid w:val="00A832D6"/>
    <w:rsid w:val="00A8337A"/>
    <w:rsid w:val="00A84387"/>
    <w:rsid w:val="00A849F9"/>
    <w:rsid w:val="00A85DFF"/>
    <w:rsid w:val="00A9009E"/>
    <w:rsid w:val="00A91509"/>
    <w:rsid w:val="00A91725"/>
    <w:rsid w:val="00A92C72"/>
    <w:rsid w:val="00A92E08"/>
    <w:rsid w:val="00A932C3"/>
    <w:rsid w:val="00A93845"/>
    <w:rsid w:val="00A93BC7"/>
    <w:rsid w:val="00A954D8"/>
    <w:rsid w:val="00A95A3A"/>
    <w:rsid w:val="00A96A0F"/>
    <w:rsid w:val="00A9700D"/>
    <w:rsid w:val="00AA1DBF"/>
    <w:rsid w:val="00AA1FAA"/>
    <w:rsid w:val="00AA3125"/>
    <w:rsid w:val="00AA44D0"/>
    <w:rsid w:val="00AA64DF"/>
    <w:rsid w:val="00AA77E0"/>
    <w:rsid w:val="00AB3886"/>
    <w:rsid w:val="00AB452A"/>
    <w:rsid w:val="00AB5323"/>
    <w:rsid w:val="00AB556F"/>
    <w:rsid w:val="00AB558F"/>
    <w:rsid w:val="00AB56C8"/>
    <w:rsid w:val="00AB62A2"/>
    <w:rsid w:val="00AB62AE"/>
    <w:rsid w:val="00AC1A7D"/>
    <w:rsid w:val="00AC1F90"/>
    <w:rsid w:val="00AC2136"/>
    <w:rsid w:val="00AC2D00"/>
    <w:rsid w:val="00AC2FEA"/>
    <w:rsid w:val="00AC3106"/>
    <w:rsid w:val="00AC40F3"/>
    <w:rsid w:val="00AC4A3A"/>
    <w:rsid w:val="00AD0772"/>
    <w:rsid w:val="00AD554B"/>
    <w:rsid w:val="00AD73B8"/>
    <w:rsid w:val="00AD7596"/>
    <w:rsid w:val="00AE09A7"/>
    <w:rsid w:val="00AE0F72"/>
    <w:rsid w:val="00AE1677"/>
    <w:rsid w:val="00AE3FFC"/>
    <w:rsid w:val="00AE5D36"/>
    <w:rsid w:val="00AE6E6B"/>
    <w:rsid w:val="00AF15B9"/>
    <w:rsid w:val="00AF2667"/>
    <w:rsid w:val="00AF3CD1"/>
    <w:rsid w:val="00AF3E1F"/>
    <w:rsid w:val="00AF4F5D"/>
    <w:rsid w:val="00AF5566"/>
    <w:rsid w:val="00AF5E22"/>
    <w:rsid w:val="00AF60A5"/>
    <w:rsid w:val="00AF6D8A"/>
    <w:rsid w:val="00AF7972"/>
    <w:rsid w:val="00B0191C"/>
    <w:rsid w:val="00B01F7D"/>
    <w:rsid w:val="00B02FF4"/>
    <w:rsid w:val="00B04E7E"/>
    <w:rsid w:val="00B0664B"/>
    <w:rsid w:val="00B07540"/>
    <w:rsid w:val="00B07734"/>
    <w:rsid w:val="00B10573"/>
    <w:rsid w:val="00B10B33"/>
    <w:rsid w:val="00B1223D"/>
    <w:rsid w:val="00B12608"/>
    <w:rsid w:val="00B12D2E"/>
    <w:rsid w:val="00B13408"/>
    <w:rsid w:val="00B14159"/>
    <w:rsid w:val="00B14E65"/>
    <w:rsid w:val="00B16764"/>
    <w:rsid w:val="00B21B46"/>
    <w:rsid w:val="00B2222E"/>
    <w:rsid w:val="00B237B8"/>
    <w:rsid w:val="00B242C6"/>
    <w:rsid w:val="00B250AF"/>
    <w:rsid w:val="00B3040E"/>
    <w:rsid w:val="00B30A45"/>
    <w:rsid w:val="00B30E70"/>
    <w:rsid w:val="00B31E56"/>
    <w:rsid w:val="00B32F64"/>
    <w:rsid w:val="00B34D48"/>
    <w:rsid w:val="00B34DF9"/>
    <w:rsid w:val="00B3529D"/>
    <w:rsid w:val="00B35A29"/>
    <w:rsid w:val="00B35FA2"/>
    <w:rsid w:val="00B363FF"/>
    <w:rsid w:val="00B37253"/>
    <w:rsid w:val="00B42B2A"/>
    <w:rsid w:val="00B4499F"/>
    <w:rsid w:val="00B44DD0"/>
    <w:rsid w:val="00B50850"/>
    <w:rsid w:val="00B5085D"/>
    <w:rsid w:val="00B53057"/>
    <w:rsid w:val="00B53074"/>
    <w:rsid w:val="00B547FD"/>
    <w:rsid w:val="00B54903"/>
    <w:rsid w:val="00B55E06"/>
    <w:rsid w:val="00B573CF"/>
    <w:rsid w:val="00B57CFA"/>
    <w:rsid w:val="00B57E10"/>
    <w:rsid w:val="00B60CCD"/>
    <w:rsid w:val="00B615EE"/>
    <w:rsid w:val="00B64E2D"/>
    <w:rsid w:val="00B654C0"/>
    <w:rsid w:val="00B6585C"/>
    <w:rsid w:val="00B708D1"/>
    <w:rsid w:val="00B71CA3"/>
    <w:rsid w:val="00B72117"/>
    <w:rsid w:val="00B737ED"/>
    <w:rsid w:val="00B74983"/>
    <w:rsid w:val="00B762E5"/>
    <w:rsid w:val="00B7766B"/>
    <w:rsid w:val="00B80695"/>
    <w:rsid w:val="00B817F7"/>
    <w:rsid w:val="00B81837"/>
    <w:rsid w:val="00B81B05"/>
    <w:rsid w:val="00B81CD9"/>
    <w:rsid w:val="00B82A02"/>
    <w:rsid w:val="00B84DCF"/>
    <w:rsid w:val="00B84EDB"/>
    <w:rsid w:val="00B851D1"/>
    <w:rsid w:val="00B8688C"/>
    <w:rsid w:val="00B915A7"/>
    <w:rsid w:val="00B92AD5"/>
    <w:rsid w:val="00B94F32"/>
    <w:rsid w:val="00B9519E"/>
    <w:rsid w:val="00BA0821"/>
    <w:rsid w:val="00BA0D7B"/>
    <w:rsid w:val="00BA1C79"/>
    <w:rsid w:val="00BA2338"/>
    <w:rsid w:val="00BA2D9B"/>
    <w:rsid w:val="00BA3645"/>
    <w:rsid w:val="00BA3C72"/>
    <w:rsid w:val="00BA3F31"/>
    <w:rsid w:val="00BA4AB1"/>
    <w:rsid w:val="00BA5C05"/>
    <w:rsid w:val="00BA7776"/>
    <w:rsid w:val="00BB099E"/>
    <w:rsid w:val="00BB2D7E"/>
    <w:rsid w:val="00BB2F51"/>
    <w:rsid w:val="00BB3F2B"/>
    <w:rsid w:val="00BB7230"/>
    <w:rsid w:val="00BC1E3C"/>
    <w:rsid w:val="00BC26AF"/>
    <w:rsid w:val="00BC3B3F"/>
    <w:rsid w:val="00BC4631"/>
    <w:rsid w:val="00BC5D16"/>
    <w:rsid w:val="00BC679C"/>
    <w:rsid w:val="00BC6AD2"/>
    <w:rsid w:val="00BC6E32"/>
    <w:rsid w:val="00BC7206"/>
    <w:rsid w:val="00BC7C2A"/>
    <w:rsid w:val="00BD1ECC"/>
    <w:rsid w:val="00BD25D1"/>
    <w:rsid w:val="00BD272E"/>
    <w:rsid w:val="00BD3C72"/>
    <w:rsid w:val="00BD45FF"/>
    <w:rsid w:val="00BD65E3"/>
    <w:rsid w:val="00BD6EB2"/>
    <w:rsid w:val="00BE078B"/>
    <w:rsid w:val="00BE1B66"/>
    <w:rsid w:val="00BE1BBA"/>
    <w:rsid w:val="00BE21C3"/>
    <w:rsid w:val="00BE269A"/>
    <w:rsid w:val="00BE2A0C"/>
    <w:rsid w:val="00BE3938"/>
    <w:rsid w:val="00BE46E3"/>
    <w:rsid w:val="00BE54A4"/>
    <w:rsid w:val="00BE5D4F"/>
    <w:rsid w:val="00BE604F"/>
    <w:rsid w:val="00BE6FC9"/>
    <w:rsid w:val="00BF0518"/>
    <w:rsid w:val="00BF0AD9"/>
    <w:rsid w:val="00BF1D3C"/>
    <w:rsid w:val="00BF4755"/>
    <w:rsid w:val="00BF4E62"/>
    <w:rsid w:val="00BF6B20"/>
    <w:rsid w:val="00BF76F4"/>
    <w:rsid w:val="00BF7A92"/>
    <w:rsid w:val="00C00FF9"/>
    <w:rsid w:val="00C01717"/>
    <w:rsid w:val="00C0348B"/>
    <w:rsid w:val="00C03FA0"/>
    <w:rsid w:val="00C0455D"/>
    <w:rsid w:val="00C0590A"/>
    <w:rsid w:val="00C05D46"/>
    <w:rsid w:val="00C05F18"/>
    <w:rsid w:val="00C06651"/>
    <w:rsid w:val="00C1228D"/>
    <w:rsid w:val="00C13D73"/>
    <w:rsid w:val="00C15EA3"/>
    <w:rsid w:val="00C21FD2"/>
    <w:rsid w:val="00C23254"/>
    <w:rsid w:val="00C2338A"/>
    <w:rsid w:val="00C23DC9"/>
    <w:rsid w:val="00C267DA"/>
    <w:rsid w:val="00C27FE6"/>
    <w:rsid w:val="00C30CA0"/>
    <w:rsid w:val="00C31BC4"/>
    <w:rsid w:val="00C32143"/>
    <w:rsid w:val="00C32AFD"/>
    <w:rsid w:val="00C34864"/>
    <w:rsid w:val="00C37A14"/>
    <w:rsid w:val="00C37DBE"/>
    <w:rsid w:val="00C42671"/>
    <w:rsid w:val="00C42EFF"/>
    <w:rsid w:val="00C43339"/>
    <w:rsid w:val="00C4342D"/>
    <w:rsid w:val="00C51F46"/>
    <w:rsid w:val="00C56448"/>
    <w:rsid w:val="00C569C0"/>
    <w:rsid w:val="00C60EA9"/>
    <w:rsid w:val="00C61742"/>
    <w:rsid w:val="00C63D46"/>
    <w:rsid w:val="00C64E9D"/>
    <w:rsid w:val="00C6613E"/>
    <w:rsid w:val="00C66ACB"/>
    <w:rsid w:val="00C6778E"/>
    <w:rsid w:val="00C67819"/>
    <w:rsid w:val="00C67BA4"/>
    <w:rsid w:val="00C709A8"/>
    <w:rsid w:val="00C71A39"/>
    <w:rsid w:val="00C72179"/>
    <w:rsid w:val="00C7394A"/>
    <w:rsid w:val="00C7607E"/>
    <w:rsid w:val="00C7752A"/>
    <w:rsid w:val="00C80345"/>
    <w:rsid w:val="00C8049C"/>
    <w:rsid w:val="00C8147B"/>
    <w:rsid w:val="00C82816"/>
    <w:rsid w:val="00C83618"/>
    <w:rsid w:val="00C83F5F"/>
    <w:rsid w:val="00C8455D"/>
    <w:rsid w:val="00C84648"/>
    <w:rsid w:val="00C858C5"/>
    <w:rsid w:val="00C874C6"/>
    <w:rsid w:val="00C8758A"/>
    <w:rsid w:val="00C87D47"/>
    <w:rsid w:val="00C910C6"/>
    <w:rsid w:val="00C911F8"/>
    <w:rsid w:val="00C915F6"/>
    <w:rsid w:val="00C921FD"/>
    <w:rsid w:val="00C92B09"/>
    <w:rsid w:val="00C92D65"/>
    <w:rsid w:val="00C93706"/>
    <w:rsid w:val="00C95927"/>
    <w:rsid w:val="00C95E0B"/>
    <w:rsid w:val="00C97CBA"/>
    <w:rsid w:val="00C97CF6"/>
    <w:rsid w:val="00C97DF7"/>
    <w:rsid w:val="00CA1028"/>
    <w:rsid w:val="00CA1F28"/>
    <w:rsid w:val="00CA20EC"/>
    <w:rsid w:val="00CA265D"/>
    <w:rsid w:val="00CA2F0F"/>
    <w:rsid w:val="00CA6258"/>
    <w:rsid w:val="00CA7053"/>
    <w:rsid w:val="00CA75E2"/>
    <w:rsid w:val="00CB0806"/>
    <w:rsid w:val="00CB37B8"/>
    <w:rsid w:val="00CB41BA"/>
    <w:rsid w:val="00CB4EF5"/>
    <w:rsid w:val="00CB5032"/>
    <w:rsid w:val="00CB61DD"/>
    <w:rsid w:val="00CB66F1"/>
    <w:rsid w:val="00CB6711"/>
    <w:rsid w:val="00CC062E"/>
    <w:rsid w:val="00CC0F28"/>
    <w:rsid w:val="00CC1665"/>
    <w:rsid w:val="00CC42EE"/>
    <w:rsid w:val="00CC7DDB"/>
    <w:rsid w:val="00CC7F17"/>
    <w:rsid w:val="00CD1CC4"/>
    <w:rsid w:val="00CD1F46"/>
    <w:rsid w:val="00CD2611"/>
    <w:rsid w:val="00CD2FE0"/>
    <w:rsid w:val="00CD3759"/>
    <w:rsid w:val="00CD3BCC"/>
    <w:rsid w:val="00CD4AEE"/>
    <w:rsid w:val="00CD5E76"/>
    <w:rsid w:val="00CD64C5"/>
    <w:rsid w:val="00CD660A"/>
    <w:rsid w:val="00CD7366"/>
    <w:rsid w:val="00CE0049"/>
    <w:rsid w:val="00CE0DE4"/>
    <w:rsid w:val="00CE2D76"/>
    <w:rsid w:val="00CE3C6D"/>
    <w:rsid w:val="00CE57CD"/>
    <w:rsid w:val="00CE589C"/>
    <w:rsid w:val="00CE5BF3"/>
    <w:rsid w:val="00CE6799"/>
    <w:rsid w:val="00CE6B6C"/>
    <w:rsid w:val="00CE7EF3"/>
    <w:rsid w:val="00CF0571"/>
    <w:rsid w:val="00CF22DF"/>
    <w:rsid w:val="00CF47DE"/>
    <w:rsid w:val="00CF591A"/>
    <w:rsid w:val="00CF71B6"/>
    <w:rsid w:val="00D004C7"/>
    <w:rsid w:val="00D02069"/>
    <w:rsid w:val="00D02343"/>
    <w:rsid w:val="00D0257C"/>
    <w:rsid w:val="00D03899"/>
    <w:rsid w:val="00D079FE"/>
    <w:rsid w:val="00D07CFE"/>
    <w:rsid w:val="00D12608"/>
    <w:rsid w:val="00D14AF0"/>
    <w:rsid w:val="00D1514A"/>
    <w:rsid w:val="00D15BA3"/>
    <w:rsid w:val="00D16927"/>
    <w:rsid w:val="00D17A97"/>
    <w:rsid w:val="00D17C50"/>
    <w:rsid w:val="00D20177"/>
    <w:rsid w:val="00D216C3"/>
    <w:rsid w:val="00D22832"/>
    <w:rsid w:val="00D24640"/>
    <w:rsid w:val="00D26F7B"/>
    <w:rsid w:val="00D27459"/>
    <w:rsid w:val="00D30EA7"/>
    <w:rsid w:val="00D3209F"/>
    <w:rsid w:val="00D3310C"/>
    <w:rsid w:val="00D338A1"/>
    <w:rsid w:val="00D34EB1"/>
    <w:rsid w:val="00D366F4"/>
    <w:rsid w:val="00D41AAC"/>
    <w:rsid w:val="00D43DBC"/>
    <w:rsid w:val="00D44745"/>
    <w:rsid w:val="00D47FCC"/>
    <w:rsid w:val="00D52649"/>
    <w:rsid w:val="00D5300F"/>
    <w:rsid w:val="00D53F49"/>
    <w:rsid w:val="00D543BD"/>
    <w:rsid w:val="00D55ED2"/>
    <w:rsid w:val="00D57604"/>
    <w:rsid w:val="00D57CE6"/>
    <w:rsid w:val="00D60079"/>
    <w:rsid w:val="00D6033F"/>
    <w:rsid w:val="00D61537"/>
    <w:rsid w:val="00D61861"/>
    <w:rsid w:val="00D6233E"/>
    <w:rsid w:val="00D657C7"/>
    <w:rsid w:val="00D65C28"/>
    <w:rsid w:val="00D66332"/>
    <w:rsid w:val="00D66610"/>
    <w:rsid w:val="00D6715C"/>
    <w:rsid w:val="00D67219"/>
    <w:rsid w:val="00D70737"/>
    <w:rsid w:val="00D729F5"/>
    <w:rsid w:val="00D741DB"/>
    <w:rsid w:val="00D76007"/>
    <w:rsid w:val="00D8076A"/>
    <w:rsid w:val="00D80CEA"/>
    <w:rsid w:val="00D810C7"/>
    <w:rsid w:val="00D8206D"/>
    <w:rsid w:val="00D823BF"/>
    <w:rsid w:val="00D82ABE"/>
    <w:rsid w:val="00D83EA0"/>
    <w:rsid w:val="00D84EC1"/>
    <w:rsid w:val="00D856FF"/>
    <w:rsid w:val="00D900C9"/>
    <w:rsid w:val="00D9200D"/>
    <w:rsid w:val="00D9224E"/>
    <w:rsid w:val="00D948BA"/>
    <w:rsid w:val="00D94CF5"/>
    <w:rsid w:val="00D94ECD"/>
    <w:rsid w:val="00D96B0B"/>
    <w:rsid w:val="00D975D2"/>
    <w:rsid w:val="00D978EF"/>
    <w:rsid w:val="00DA06C1"/>
    <w:rsid w:val="00DA2936"/>
    <w:rsid w:val="00DA3A4C"/>
    <w:rsid w:val="00DA54A1"/>
    <w:rsid w:val="00DA6BCE"/>
    <w:rsid w:val="00DA72CB"/>
    <w:rsid w:val="00DB0A6E"/>
    <w:rsid w:val="00DB0CBB"/>
    <w:rsid w:val="00DB3902"/>
    <w:rsid w:val="00DB425F"/>
    <w:rsid w:val="00DB4EDD"/>
    <w:rsid w:val="00DB5DB7"/>
    <w:rsid w:val="00DB5F28"/>
    <w:rsid w:val="00DB64F3"/>
    <w:rsid w:val="00DB698F"/>
    <w:rsid w:val="00DB6F06"/>
    <w:rsid w:val="00DB6F43"/>
    <w:rsid w:val="00DB75D4"/>
    <w:rsid w:val="00DC175E"/>
    <w:rsid w:val="00DC1889"/>
    <w:rsid w:val="00DC1A19"/>
    <w:rsid w:val="00DC1E44"/>
    <w:rsid w:val="00DC56BA"/>
    <w:rsid w:val="00DC5D80"/>
    <w:rsid w:val="00DC6069"/>
    <w:rsid w:val="00DC722F"/>
    <w:rsid w:val="00DC7D54"/>
    <w:rsid w:val="00DC7E99"/>
    <w:rsid w:val="00DD473E"/>
    <w:rsid w:val="00DD5E94"/>
    <w:rsid w:val="00DD6999"/>
    <w:rsid w:val="00DD7531"/>
    <w:rsid w:val="00DD7F1B"/>
    <w:rsid w:val="00DE29C3"/>
    <w:rsid w:val="00DE2D28"/>
    <w:rsid w:val="00DE2E0E"/>
    <w:rsid w:val="00DE456B"/>
    <w:rsid w:val="00DE7388"/>
    <w:rsid w:val="00DE777D"/>
    <w:rsid w:val="00DF0341"/>
    <w:rsid w:val="00DF0E97"/>
    <w:rsid w:val="00DF1105"/>
    <w:rsid w:val="00DF14F2"/>
    <w:rsid w:val="00DF1A11"/>
    <w:rsid w:val="00DF3A4A"/>
    <w:rsid w:val="00DF4047"/>
    <w:rsid w:val="00DF5038"/>
    <w:rsid w:val="00DF6006"/>
    <w:rsid w:val="00DF6318"/>
    <w:rsid w:val="00DF678F"/>
    <w:rsid w:val="00DF7AE0"/>
    <w:rsid w:val="00DF7CBC"/>
    <w:rsid w:val="00E022B6"/>
    <w:rsid w:val="00E0268E"/>
    <w:rsid w:val="00E03422"/>
    <w:rsid w:val="00E04BC8"/>
    <w:rsid w:val="00E05AC9"/>
    <w:rsid w:val="00E05B1A"/>
    <w:rsid w:val="00E06030"/>
    <w:rsid w:val="00E06F12"/>
    <w:rsid w:val="00E070D3"/>
    <w:rsid w:val="00E074FC"/>
    <w:rsid w:val="00E079BD"/>
    <w:rsid w:val="00E11CEE"/>
    <w:rsid w:val="00E12675"/>
    <w:rsid w:val="00E1317E"/>
    <w:rsid w:val="00E13505"/>
    <w:rsid w:val="00E13A0D"/>
    <w:rsid w:val="00E144F7"/>
    <w:rsid w:val="00E1644B"/>
    <w:rsid w:val="00E22768"/>
    <w:rsid w:val="00E24509"/>
    <w:rsid w:val="00E24F31"/>
    <w:rsid w:val="00E25045"/>
    <w:rsid w:val="00E252EB"/>
    <w:rsid w:val="00E25633"/>
    <w:rsid w:val="00E25843"/>
    <w:rsid w:val="00E26214"/>
    <w:rsid w:val="00E26F06"/>
    <w:rsid w:val="00E27150"/>
    <w:rsid w:val="00E304D5"/>
    <w:rsid w:val="00E31196"/>
    <w:rsid w:val="00E3266E"/>
    <w:rsid w:val="00E336D6"/>
    <w:rsid w:val="00E35199"/>
    <w:rsid w:val="00E36A41"/>
    <w:rsid w:val="00E37298"/>
    <w:rsid w:val="00E41D8F"/>
    <w:rsid w:val="00E4298E"/>
    <w:rsid w:val="00E42E4C"/>
    <w:rsid w:val="00E43737"/>
    <w:rsid w:val="00E44403"/>
    <w:rsid w:val="00E44CA2"/>
    <w:rsid w:val="00E462C7"/>
    <w:rsid w:val="00E47E90"/>
    <w:rsid w:val="00E500C1"/>
    <w:rsid w:val="00E50957"/>
    <w:rsid w:val="00E50D20"/>
    <w:rsid w:val="00E518E7"/>
    <w:rsid w:val="00E5207F"/>
    <w:rsid w:val="00E5392F"/>
    <w:rsid w:val="00E54491"/>
    <w:rsid w:val="00E54A67"/>
    <w:rsid w:val="00E54C05"/>
    <w:rsid w:val="00E56916"/>
    <w:rsid w:val="00E5694F"/>
    <w:rsid w:val="00E570BD"/>
    <w:rsid w:val="00E6045E"/>
    <w:rsid w:val="00E60823"/>
    <w:rsid w:val="00E61D7F"/>
    <w:rsid w:val="00E62289"/>
    <w:rsid w:val="00E624AF"/>
    <w:rsid w:val="00E6260C"/>
    <w:rsid w:val="00E62CAE"/>
    <w:rsid w:val="00E6315C"/>
    <w:rsid w:val="00E646A7"/>
    <w:rsid w:val="00E65561"/>
    <w:rsid w:val="00E65704"/>
    <w:rsid w:val="00E662FF"/>
    <w:rsid w:val="00E67A4B"/>
    <w:rsid w:val="00E67DD6"/>
    <w:rsid w:val="00E70A90"/>
    <w:rsid w:val="00E71E4D"/>
    <w:rsid w:val="00E73D62"/>
    <w:rsid w:val="00E73EC2"/>
    <w:rsid w:val="00E752DB"/>
    <w:rsid w:val="00E8013F"/>
    <w:rsid w:val="00E81296"/>
    <w:rsid w:val="00E82614"/>
    <w:rsid w:val="00E82B0F"/>
    <w:rsid w:val="00E853EB"/>
    <w:rsid w:val="00E856D4"/>
    <w:rsid w:val="00E857CB"/>
    <w:rsid w:val="00E85877"/>
    <w:rsid w:val="00E860B8"/>
    <w:rsid w:val="00E865E3"/>
    <w:rsid w:val="00E8678D"/>
    <w:rsid w:val="00E87D3F"/>
    <w:rsid w:val="00E90912"/>
    <w:rsid w:val="00E924DC"/>
    <w:rsid w:val="00E9289F"/>
    <w:rsid w:val="00E95F5C"/>
    <w:rsid w:val="00EA1680"/>
    <w:rsid w:val="00EA1E56"/>
    <w:rsid w:val="00EA1E96"/>
    <w:rsid w:val="00EA2A30"/>
    <w:rsid w:val="00EA350C"/>
    <w:rsid w:val="00EA5130"/>
    <w:rsid w:val="00EA517D"/>
    <w:rsid w:val="00EB0669"/>
    <w:rsid w:val="00EB12E3"/>
    <w:rsid w:val="00EB27E7"/>
    <w:rsid w:val="00EB29EF"/>
    <w:rsid w:val="00EB307E"/>
    <w:rsid w:val="00EB3560"/>
    <w:rsid w:val="00EB4445"/>
    <w:rsid w:val="00EB4B40"/>
    <w:rsid w:val="00EB6222"/>
    <w:rsid w:val="00EB74FC"/>
    <w:rsid w:val="00EB7587"/>
    <w:rsid w:val="00EC02F4"/>
    <w:rsid w:val="00EC100B"/>
    <w:rsid w:val="00EC1AF0"/>
    <w:rsid w:val="00EC2D48"/>
    <w:rsid w:val="00EC3524"/>
    <w:rsid w:val="00EC43B3"/>
    <w:rsid w:val="00EC6843"/>
    <w:rsid w:val="00EC7BA0"/>
    <w:rsid w:val="00EC7DF5"/>
    <w:rsid w:val="00ED0937"/>
    <w:rsid w:val="00ED1272"/>
    <w:rsid w:val="00ED26E6"/>
    <w:rsid w:val="00ED5CD6"/>
    <w:rsid w:val="00ED729E"/>
    <w:rsid w:val="00EE0160"/>
    <w:rsid w:val="00EE051F"/>
    <w:rsid w:val="00EE06C4"/>
    <w:rsid w:val="00EE2389"/>
    <w:rsid w:val="00EE4065"/>
    <w:rsid w:val="00EE42A6"/>
    <w:rsid w:val="00EE444C"/>
    <w:rsid w:val="00EE453B"/>
    <w:rsid w:val="00EE4680"/>
    <w:rsid w:val="00EE65D9"/>
    <w:rsid w:val="00EE6791"/>
    <w:rsid w:val="00EF0527"/>
    <w:rsid w:val="00EF1AC7"/>
    <w:rsid w:val="00EF3F2F"/>
    <w:rsid w:val="00EF4F81"/>
    <w:rsid w:val="00EF5B8F"/>
    <w:rsid w:val="00F00844"/>
    <w:rsid w:val="00F0203C"/>
    <w:rsid w:val="00F03510"/>
    <w:rsid w:val="00F050D8"/>
    <w:rsid w:val="00F05693"/>
    <w:rsid w:val="00F05BC5"/>
    <w:rsid w:val="00F05D65"/>
    <w:rsid w:val="00F10816"/>
    <w:rsid w:val="00F10860"/>
    <w:rsid w:val="00F116F4"/>
    <w:rsid w:val="00F12A28"/>
    <w:rsid w:val="00F13533"/>
    <w:rsid w:val="00F13772"/>
    <w:rsid w:val="00F13AA3"/>
    <w:rsid w:val="00F13FC9"/>
    <w:rsid w:val="00F1422C"/>
    <w:rsid w:val="00F14EFD"/>
    <w:rsid w:val="00F151F7"/>
    <w:rsid w:val="00F15470"/>
    <w:rsid w:val="00F169BB"/>
    <w:rsid w:val="00F1784A"/>
    <w:rsid w:val="00F22A6C"/>
    <w:rsid w:val="00F23C61"/>
    <w:rsid w:val="00F23DCF"/>
    <w:rsid w:val="00F24CA6"/>
    <w:rsid w:val="00F26D0D"/>
    <w:rsid w:val="00F273C9"/>
    <w:rsid w:val="00F274D1"/>
    <w:rsid w:val="00F2782F"/>
    <w:rsid w:val="00F2799D"/>
    <w:rsid w:val="00F309E7"/>
    <w:rsid w:val="00F31E07"/>
    <w:rsid w:val="00F31E7F"/>
    <w:rsid w:val="00F32183"/>
    <w:rsid w:val="00F34032"/>
    <w:rsid w:val="00F40A06"/>
    <w:rsid w:val="00F40EC3"/>
    <w:rsid w:val="00F43EF7"/>
    <w:rsid w:val="00F4442F"/>
    <w:rsid w:val="00F444AA"/>
    <w:rsid w:val="00F464A1"/>
    <w:rsid w:val="00F46E3F"/>
    <w:rsid w:val="00F47B5C"/>
    <w:rsid w:val="00F5338D"/>
    <w:rsid w:val="00F55F3F"/>
    <w:rsid w:val="00F56868"/>
    <w:rsid w:val="00F57C66"/>
    <w:rsid w:val="00F62501"/>
    <w:rsid w:val="00F66445"/>
    <w:rsid w:val="00F666F2"/>
    <w:rsid w:val="00F66C7A"/>
    <w:rsid w:val="00F67006"/>
    <w:rsid w:val="00F67249"/>
    <w:rsid w:val="00F67CB3"/>
    <w:rsid w:val="00F70959"/>
    <w:rsid w:val="00F72A7E"/>
    <w:rsid w:val="00F72CD6"/>
    <w:rsid w:val="00F74B3A"/>
    <w:rsid w:val="00F7774E"/>
    <w:rsid w:val="00F805CC"/>
    <w:rsid w:val="00F81230"/>
    <w:rsid w:val="00F8624D"/>
    <w:rsid w:val="00F8626C"/>
    <w:rsid w:val="00F866F8"/>
    <w:rsid w:val="00F86C63"/>
    <w:rsid w:val="00F879B3"/>
    <w:rsid w:val="00F87E35"/>
    <w:rsid w:val="00F93A87"/>
    <w:rsid w:val="00F955A1"/>
    <w:rsid w:val="00F97C02"/>
    <w:rsid w:val="00FA1AF7"/>
    <w:rsid w:val="00FA226E"/>
    <w:rsid w:val="00FA23F8"/>
    <w:rsid w:val="00FA3009"/>
    <w:rsid w:val="00FA49F1"/>
    <w:rsid w:val="00FA4C6D"/>
    <w:rsid w:val="00FA53A5"/>
    <w:rsid w:val="00FA7C85"/>
    <w:rsid w:val="00FB1B38"/>
    <w:rsid w:val="00FB1E39"/>
    <w:rsid w:val="00FB271E"/>
    <w:rsid w:val="00FB4EE1"/>
    <w:rsid w:val="00FB6D9A"/>
    <w:rsid w:val="00FB7637"/>
    <w:rsid w:val="00FC04DA"/>
    <w:rsid w:val="00FC1669"/>
    <w:rsid w:val="00FC2947"/>
    <w:rsid w:val="00FC2B84"/>
    <w:rsid w:val="00FC3F6E"/>
    <w:rsid w:val="00FC55B3"/>
    <w:rsid w:val="00FC7C3F"/>
    <w:rsid w:val="00FD3289"/>
    <w:rsid w:val="00FD4298"/>
    <w:rsid w:val="00FD531F"/>
    <w:rsid w:val="00FD5A9A"/>
    <w:rsid w:val="00FD6185"/>
    <w:rsid w:val="00FD73EA"/>
    <w:rsid w:val="00FD7588"/>
    <w:rsid w:val="00FD7985"/>
    <w:rsid w:val="00FE042A"/>
    <w:rsid w:val="00FE12D2"/>
    <w:rsid w:val="00FE1718"/>
    <w:rsid w:val="00FE1D39"/>
    <w:rsid w:val="00FE2D32"/>
    <w:rsid w:val="00FE33E2"/>
    <w:rsid w:val="00FE3EB6"/>
    <w:rsid w:val="00FE4F39"/>
    <w:rsid w:val="00FE6163"/>
    <w:rsid w:val="00FE7714"/>
    <w:rsid w:val="00FE7EEF"/>
    <w:rsid w:val="00FF05BB"/>
    <w:rsid w:val="00FF05EC"/>
    <w:rsid w:val="00FF53A5"/>
    <w:rsid w:val="00FF5FF6"/>
    <w:rsid w:val="00FF6315"/>
    <w:rsid w:val="00FF6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3EAABF"/>
  <w15:chartTrackingRefBased/>
  <w15:docId w15:val="{A4A28BA0-EEA4-489A-879B-6AAFA339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B6"/>
    <w:rPr>
      <w:sz w:val="16"/>
      <w:szCs w:val="16"/>
    </w:rPr>
  </w:style>
  <w:style w:type="paragraph" w:styleId="CommentText">
    <w:name w:val="annotation text"/>
    <w:basedOn w:val="Normal"/>
    <w:link w:val="CommentTextChar"/>
    <w:uiPriority w:val="99"/>
    <w:unhideWhenUsed/>
    <w:rsid w:val="002E70B6"/>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2E70B6"/>
    <w:rPr>
      <w:rFonts w:eastAsiaTheme="minorEastAsia"/>
      <w:sz w:val="20"/>
      <w:szCs w:val="20"/>
    </w:rPr>
  </w:style>
  <w:style w:type="paragraph" w:styleId="ListParagraph">
    <w:name w:val="List Paragraph"/>
    <w:basedOn w:val="Normal"/>
    <w:link w:val="ListParagraphChar"/>
    <w:uiPriority w:val="34"/>
    <w:qFormat/>
    <w:rsid w:val="002E70B6"/>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rsid w:val="002E70B6"/>
    <w:rPr>
      <w:rFonts w:eastAsiaTheme="minorEastAsia"/>
    </w:rPr>
  </w:style>
  <w:style w:type="paragraph" w:styleId="BalloonText">
    <w:name w:val="Balloon Text"/>
    <w:basedOn w:val="Normal"/>
    <w:link w:val="BalloonTextChar"/>
    <w:uiPriority w:val="99"/>
    <w:semiHidden/>
    <w:unhideWhenUsed/>
    <w:rsid w:val="00992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F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701F91"/>
    <w:rPr>
      <w:rFonts w:eastAsiaTheme="minorEastAsia"/>
      <w:b/>
      <w:bCs/>
      <w:sz w:val="20"/>
      <w:szCs w:val="20"/>
    </w:rPr>
  </w:style>
  <w:style w:type="character" w:styleId="Strong">
    <w:name w:val="Strong"/>
    <w:basedOn w:val="DefaultParagraphFont"/>
    <w:uiPriority w:val="22"/>
    <w:qFormat/>
    <w:rsid w:val="0089352F"/>
    <w:rPr>
      <w:b/>
      <w:bCs/>
    </w:rPr>
  </w:style>
  <w:style w:type="paragraph" w:styleId="Header">
    <w:name w:val="header"/>
    <w:basedOn w:val="Normal"/>
    <w:link w:val="HeaderChar"/>
    <w:uiPriority w:val="99"/>
    <w:unhideWhenUsed/>
    <w:rsid w:val="003B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E8"/>
  </w:style>
  <w:style w:type="paragraph" w:styleId="Footer">
    <w:name w:val="footer"/>
    <w:basedOn w:val="Normal"/>
    <w:link w:val="FooterChar"/>
    <w:uiPriority w:val="99"/>
    <w:unhideWhenUsed/>
    <w:rsid w:val="003B0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E8"/>
  </w:style>
  <w:style w:type="paragraph" w:styleId="NormalWeb">
    <w:name w:val="Normal (Web)"/>
    <w:basedOn w:val="Normal"/>
    <w:uiPriority w:val="99"/>
    <w:semiHidden/>
    <w:unhideWhenUsed/>
    <w:rsid w:val="00EC1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076A"/>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001">
      <w:bodyDiv w:val="1"/>
      <w:marLeft w:val="0"/>
      <w:marRight w:val="0"/>
      <w:marTop w:val="0"/>
      <w:marBottom w:val="0"/>
      <w:divBdr>
        <w:top w:val="none" w:sz="0" w:space="0" w:color="auto"/>
        <w:left w:val="none" w:sz="0" w:space="0" w:color="auto"/>
        <w:bottom w:val="none" w:sz="0" w:space="0" w:color="auto"/>
        <w:right w:val="none" w:sz="0" w:space="0" w:color="auto"/>
      </w:divBdr>
      <w:divsChild>
        <w:div w:id="841506419">
          <w:marLeft w:val="0"/>
          <w:marRight w:val="0"/>
          <w:marTop w:val="0"/>
          <w:marBottom w:val="0"/>
          <w:divBdr>
            <w:top w:val="none" w:sz="0" w:space="0" w:color="auto"/>
            <w:left w:val="none" w:sz="0" w:space="0" w:color="auto"/>
            <w:bottom w:val="none" w:sz="0" w:space="0" w:color="auto"/>
            <w:right w:val="none" w:sz="0" w:space="0" w:color="auto"/>
          </w:divBdr>
          <w:divsChild>
            <w:div w:id="1783918935">
              <w:marLeft w:val="0"/>
              <w:marRight w:val="0"/>
              <w:marTop w:val="0"/>
              <w:marBottom w:val="0"/>
              <w:divBdr>
                <w:top w:val="none" w:sz="0" w:space="0" w:color="auto"/>
                <w:left w:val="none" w:sz="0" w:space="0" w:color="auto"/>
                <w:bottom w:val="none" w:sz="0" w:space="0" w:color="auto"/>
                <w:right w:val="none" w:sz="0" w:space="0" w:color="auto"/>
              </w:divBdr>
              <w:divsChild>
                <w:div w:id="17618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991">
      <w:bodyDiv w:val="1"/>
      <w:marLeft w:val="0"/>
      <w:marRight w:val="0"/>
      <w:marTop w:val="0"/>
      <w:marBottom w:val="0"/>
      <w:divBdr>
        <w:top w:val="none" w:sz="0" w:space="0" w:color="auto"/>
        <w:left w:val="none" w:sz="0" w:space="0" w:color="auto"/>
        <w:bottom w:val="none" w:sz="0" w:space="0" w:color="auto"/>
        <w:right w:val="none" w:sz="0" w:space="0" w:color="auto"/>
      </w:divBdr>
      <w:divsChild>
        <w:div w:id="386226566">
          <w:marLeft w:val="0"/>
          <w:marRight w:val="0"/>
          <w:marTop w:val="0"/>
          <w:marBottom w:val="0"/>
          <w:divBdr>
            <w:top w:val="none" w:sz="0" w:space="0" w:color="auto"/>
            <w:left w:val="none" w:sz="0" w:space="0" w:color="auto"/>
            <w:bottom w:val="none" w:sz="0" w:space="0" w:color="auto"/>
            <w:right w:val="none" w:sz="0" w:space="0" w:color="auto"/>
          </w:divBdr>
          <w:divsChild>
            <w:div w:id="1951739527">
              <w:marLeft w:val="0"/>
              <w:marRight w:val="0"/>
              <w:marTop w:val="0"/>
              <w:marBottom w:val="0"/>
              <w:divBdr>
                <w:top w:val="none" w:sz="0" w:space="0" w:color="auto"/>
                <w:left w:val="none" w:sz="0" w:space="0" w:color="auto"/>
                <w:bottom w:val="none" w:sz="0" w:space="0" w:color="auto"/>
                <w:right w:val="none" w:sz="0" w:space="0" w:color="auto"/>
              </w:divBdr>
              <w:divsChild>
                <w:div w:id="7802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1469">
      <w:bodyDiv w:val="1"/>
      <w:marLeft w:val="0"/>
      <w:marRight w:val="0"/>
      <w:marTop w:val="0"/>
      <w:marBottom w:val="0"/>
      <w:divBdr>
        <w:top w:val="none" w:sz="0" w:space="0" w:color="auto"/>
        <w:left w:val="none" w:sz="0" w:space="0" w:color="auto"/>
        <w:bottom w:val="none" w:sz="0" w:space="0" w:color="auto"/>
        <w:right w:val="none" w:sz="0" w:space="0" w:color="auto"/>
      </w:divBdr>
      <w:divsChild>
        <w:div w:id="365376149">
          <w:marLeft w:val="547"/>
          <w:marRight w:val="0"/>
          <w:marTop w:val="0"/>
          <w:marBottom w:val="0"/>
          <w:divBdr>
            <w:top w:val="none" w:sz="0" w:space="0" w:color="auto"/>
            <w:left w:val="none" w:sz="0" w:space="0" w:color="auto"/>
            <w:bottom w:val="none" w:sz="0" w:space="0" w:color="auto"/>
            <w:right w:val="none" w:sz="0" w:space="0" w:color="auto"/>
          </w:divBdr>
        </w:div>
      </w:divsChild>
    </w:div>
    <w:div w:id="73939354">
      <w:bodyDiv w:val="1"/>
      <w:marLeft w:val="0"/>
      <w:marRight w:val="0"/>
      <w:marTop w:val="0"/>
      <w:marBottom w:val="0"/>
      <w:divBdr>
        <w:top w:val="none" w:sz="0" w:space="0" w:color="auto"/>
        <w:left w:val="none" w:sz="0" w:space="0" w:color="auto"/>
        <w:bottom w:val="none" w:sz="0" w:space="0" w:color="auto"/>
        <w:right w:val="none" w:sz="0" w:space="0" w:color="auto"/>
      </w:divBdr>
      <w:divsChild>
        <w:div w:id="1520773276">
          <w:marLeft w:val="0"/>
          <w:marRight w:val="0"/>
          <w:marTop w:val="0"/>
          <w:marBottom w:val="0"/>
          <w:divBdr>
            <w:top w:val="none" w:sz="0" w:space="0" w:color="auto"/>
            <w:left w:val="none" w:sz="0" w:space="0" w:color="auto"/>
            <w:bottom w:val="none" w:sz="0" w:space="0" w:color="auto"/>
            <w:right w:val="none" w:sz="0" w:space="0" w:color="auto"/>
          </w:divBdr>
          <w:divsChild>
            <w:div w:id="1842309366">
              <w:marLeft w:val="0"/>
              <w:marRight w:val="0"/>
              <w:marTop w:val="0"/>
              <w:marBottom w:val="0"/>
              <w:divBdr>
                <w:top w:val="none" w:sz="0" w:space="0" w:color="auto"/>
                <w:left w:val="none" w:sz="0" w:space="0" w:color="auto"/>
                <w:bottom w:val="none" w:sz="0" w:space="0" w:color="auto"/>
                <w:right w:val="none" w:sz="0" w:space="0" w:color="auto"/>
              </w:divBdr>
              <w:divsChild>
                <w:div w:id="5937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6035">
      <w:bodyDiv w:val="1"/>
      <w:marLeft w:val="0"/>
      <w:marRight w:val="0"/>
      <w:marTop w:val="0"/>
      <w:marBottom w:val="0"/>
      <w:divBdr>
        <w:top w:val="none" w:sz="0" w:space="0" w:color="auto"/>
        <w:left w:val="none" w:sz="0" w:space="0" w:color="auto"/>
        <w:bottom w:val="none" w:sz="0" w:space="0" w:color="auto"/>
        <w:right w:val="none" w:sz="0" w:space="0" w:color="auto"/>
      </w:divBdr>
      <w:divsChild>
        <w:div w:id="711922800">
          <w:marLeft w:val="0"/>
          <w:marRight w:val="0"/>
          <w:marTop w:val="0"/>
          <w:marBottom w:val="0"/>
          <w:divBdr>
            <w:top w:val="none" w:sz="0" w:space="0" w:color="auto"/>
            <w:left w:val="none" w:sz="0" w:space="0" w:color="auto"/>
            <w:bottom w:val="none" w:sz="0" w:space="0" w:color="auto"/>
            <w:right w:val="none" w:sz="0" w:space="0" w:color="auto"/>
          </w:divBdr>
          <w:divsChild>
            <w:div w:id="13070705">
              <w:marLeft w:val="0"/>
              <w:marRight w:val="0"/>
              <w:marTop w:val="0"/>
              <w:marBottom w:val="0"/>
              <w:divBdr>
                <w:top w:val="none" w:sz="0" w:space="0" w:color="auto"/>
                <w:left w:val="none" w:sz="0" w:space="0" w:color="auto"/>
                <w:bottom w:val="none" w:sz="0" w:space="0" w:color="auto"/>
                <w:right w:val="none" w:sz="0" w:space="0" w:color="auto"/>
              </w:divBdr>
              <w:divsChild>
                <w:div w:id="1299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8681">
      <w:bodyDiv w:val="1"/>
      <w:marLeft w:val="0"/>
      <w:marRight w:val="0"/>
      <w:marTop w:val="0"/>
      <w:marBottom w:val="0"/>
      <w:divBdr>
        <w:top w:val="none" w:sz="0" w:space="0" w:color="auto"/>
        <w:left w:val="none" w:sz="0" w:space="0" w:color="auto"/>
        <w:bottom w:val="none" w:sz="0" w:space="0" w:color="auto"/>
        <w:right w:val="none" w:sz="0" w:space="0" w:color="auto"/>
      </w:divBdr>
      <w:divsChild>
        <w:div w:id="542206787">
          <w:marLeft w:val="0"/>
          <w:marRight w:val="0"/>
          <w:marTop w:val="0"/>
          <w:marBottom w:val="0"/>
          <w:divBdr>
            <w:top w:val="none" w:sz="0" w:space="0" w:color="auto"/>
            <w:left w:val="none" w:sz="0" w:space="0" w:color="auto"/>
            <w:bottom w:val="none" w:sz="0" w:space="0" w:color="auto"/>
            <w:right w:val="none" w:sz="0" w:space="0" w:color="auto"/>
          </w:divBdr>
          <w:divsChild>
            <w:div w:id="1900436547">
              <w:marLeft w:val="0"/>
              <w:marRight w:val="0"/>
              <w:marTop w:val="0"/>
              <w:marBottom w:val="0"/>
              <w:divBdr>
                <w:top w:val="none" w:sz="0" w:space="0" w:color="auto"/>
                <w:left w:val="none" w:sz="0" w:space="0" w:color="auto"/>
                <w:bottom w:val="none" w:sz="0" w:space="0" w:color="auto"/>
                <w:right w:val="none" w:sz="0" w:space="0" w:color="auto"/>
              </w:divBdr>
              <w:divsChild>
                <w:div w:id="145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1357">
      <w:bodyDiv w:val="1"/>
      <w:marLeft w:val="0"/>
      <w:marRight w:val="0"/>
      <w:marTop w:val="0"/>
      <w:marBottom w:val="0"/>
      <w:divBdr>
        <w:top w:val="none" w:sz="0" w:space="0" w:color="auto"/>
        <w:left w:val="none" w:sz="0" w:space="0" w:color="auto"/>
        <w:bottom w:val="none" w:sz="0" w:space="0" w:color="auto"/>
        <w:right w:val="none" w:sz="0" w:space="0" w:color="auto"/>
      </w:divBdr>
      <w:divsChild>
        <w:div w:id="2112771145">
          <w:marLeft w:val="0"/>
          <w:marRight w:val="0"/>
          <w:marTop w:val="0"/>
          <w:marBottom w:val="0"/>
          <w:divBdr>
            <w:top w:val="none" w:sz="0" w:space="0" w:color="auto"/>
            <w:left w:val="none" w:sz="0" w:space="0" w:color="auto"/>
            <w:bottom w:val="none" w:sz="0" w:space="0" w:color="auto"/>
            <w:right w:val="none" w:sz="0" w:space="0" w:color="auto"/>
          </w:divBdr>
          <w:divsChild>
            <w:div w:id="1243760608">
              <w:marLeft w:val="0"/>
              <w:marRight w:val="0"/>
              <w:marTop w:val="0"/>
              <w:marBottom w:val="0"/>
              <w:divBdr>
                <w:top w:val="none" w:sz="0" w:space="0" w:color="auto"/>
                <w:left w:val="none" w:sz="0" w:space="0" w:color="auto"/>
                <w:bottom w:val="none" w:sz="0" w:space="0" w:color="auto"/>
                <w:right w:val="none" w:sz="0" w:space="0" w:color="auto"/>
              </w:divBdr>
              <w:divsChild>
                <w:div w:id="13897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0316">
      <w:bodyDiv w:val="1"/>
      <w:marLeft w:val="0"/>
      <w:marRight w:val="0"/>
      <w:marTop w:val="0"/>
      <w:marBottom w:val="0"/>
      <w:divBdr>
        <w:top w:val="none" w:sz="0" w:space="0" w:color="auto"/>
        <w:left w:val="none" w:sz="0" w:space="0" w:color="auto"/>
        <w:bottom w:val="none" w:sz="0" w:space="0" w:color="auto"/>
        <w:right w:val="none" w:sz="0" w:space="0" w:color="auto"/>
      </w:divBdr>
      <w:divsChild>
        <w:div w:id="1359089669">
          <w:marLeft w:val="0"/>
          <w:marRight w:val="0"/>
          <w:marTop w:val="0"/>
          <w:marBottom w:val="0"/>
          <w:divBdr>
            <w:top w:val="none" w:sz="0" w:space="0" w:color="auto"/>
            <w:left w:val="none" w:sz="0" w:space="0" w:color="auto"/>
            <w:bottom w:val="none" w:sz="0" w:space="0" w:color="auto"/>
            <w:right w:val="none" w:sz="0" w:space="0" w:color="auto"/>
          </w:divBdr>
          <w:divsChild>
            <w:div w:id="534582412">
              <w:marLeft w:val="0"/>
              <w:marRight w:val="0"/>
              <w:marTop w:val="0"/>
              <w:marBottom w:val="0"/>
              <w:divBdr>
                <w:top w:val="none" w:sz="0" w:space="0" w:color="auto"/>
                <w:left w:val="none" w:sz="0" w:space="0" w:color="auto"/>
                <w:bottom w:val="none" w:sz="0" w:space="0" w:color="auto"/>
                <w:right w:val="none" w:sz="0" w:space="0" w:color="auto"/>
              </w:divBdr>
              <w:divsChild>
                <w:div w:id="3293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7096">
      <w:bodyDiv w:val="1"/>
      <w:marLeft w:val="0"/>
      <w:marRight w:val="0"/>
      <w:marTop w:val="0"/>
      <w:marBottom w:val="0"/>
      <w:divBdr>
        <w:top w:val="none" w:sz="0" w:space="0" w:color="auto"/>
        <w:left w:val="none" w:sz="0" w:space="0" w:color="auto"/>
        <w:bottom w:val="none" w:sz="0" w:space="0" w:color="auto"/>
        <w:right w:val="none" w:sz="0" w:space="0" w:color="auto"/>
      </w:divBdr>
      <w:divsChild>
        <w:div w:id="268977161">
          <w:marLeft w:val="0"/>
          <w:marRight w:val="0"/>
          <w:marTop w:val="0"/>
          <w:marBottom w:val="0"/>
          <w:divBdr>
            <w:top w:val="none" w:sz="0" w:space="0" w:color="auto"/>
            <w:left w:val="none" w:sz="0" w:space="0" w:color="auto"/>
            <w:bottom w:val="none" w:sz="0" w:space="0" w:color="auto"/>
            <w:right w:val="none" w:sz="0" w:space="0" w:color="auto"/>
          </w:divBdr>
          <w:divsChild>
            <w:div w:id="199711984">
              <w:marLeft w:val="0"/>
              <w:marRight w:val="0"/>
              <w:marTop w:val="0"/>
              <w:marBottom w:val="0"/>
              <w:divBdr>
                <w:top w:val="none" w:sz="0" w:space="0" w:color="auto"/>
                <w:left w:val="none" w:sz="0" w:space="0" w:color="auto"/>
                <w:bottom w:val="none" w:sz="0" w:space="0" w:color="auto"/>
                <w:right w:val="none" w:sz="0" w:space="0" w:color="auto"/>
              </w:divBdr>
              <w:divsChild>
                <w:div w:id="257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8108">
      <w:bodyDiv w:val="1"/>
      <w:marLeft w:val="0"/>
      <w:marRight w:val="0"/>
      <w:marTop w:val="0"/>
      <w:marBottom w:val="0"/>
      <w:divBdr>
        <w:top w:val="none" w:sz="0" w:space="0" w:color="auto"/>
        <w:left w:val="none" w:sz="0" w:space="0" w:color="auto"/>
        <w:bottom w:val="none" w:sz="0" w:space="0" w:color="auto"/>
        <w:right w:val="none" w:sz="0" w:space="0" w:color="auto"/>
      </w:divBdr>
      <w:divsChild>
        <w:div w:id="1199977012">
          <w:marLeft w:val="0"/>
          <w:marRight w:val="0"/>
          <w:marTop w:val="0"/>
          <w:marBottom w:val="0"/>
          <w:divBdr>
            <w:top w:val="none" w:sz="0" w:space="0" w:color="auto"/>
            <w:left w:val="none" w:sz="0" w:space="0" w:color="auto"/>
            <w:bottom w:val="none" w:sz="0" w:space="0" w:color="auto"/>
            <w:right w:val="none" w:sz="0" w:space="0" w:color="auto"/>
          </w:divBdr>
          <w:divsChild>
            <w:div w:id="667751217">
              <w:marLeft w:val="0"/>
              <w:marRight w:val="0"/>
              <w:marTop w:val="0"/>
              <w:marBottom w:val="0"/>
              <w:divBdr>
                <w:top w:val="none" w:sz="0" w:space="0" w:color="auto"/>
                <w:left w:val="none" w:sz="0" w:space="0" w:color="auto"/>
                <w:bottom w:val="none" w:sz="0" w:space="0" w:color="auto"/>
                <w:right w:val="none" w:sz="0" w:space="0" w:color="auto"/>
              </w:divBdr>
              <w:divsChild>
                <w:div w:id="13321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6565">
      <w:bodyDiv w:val="1"/>
      <w:marLeft w:val="0"/>
      <w:marRight w:val="0"/>
      <w:marTop w:val="0"/>
      <w:marBottom w:val="0"/>
      <w:divBdr>
        <w:top w:val="none" w:sz="0" w:space="0" w:color="auto"/>
        <w:left w:val="none" w:sz="0" w:space="0" w:color="auto"/>
        <w:bottom w:val="none" w:sz="0" w:space="0" w:color="auto"/>
        <w:right w:val="none" w:sz="0" w:space="0" w:color="auto"/>
      </w:divBdr>
      <w:divsChild>
        <w:div w:id="1149126896">
          <w:marLeft w:val="0"/>
          <w:marRight w:val="0"/>
          <w:marTop w:val="0"/>
          <w:marBottom w:val="0"/>
          <w:divBdr>
            <w:top w:val="none" w:sz="0" w:space="0" w:color="auto"/>
            <w:left w:val="none" w:sz="0" w:space="0" w:color="auto"/>
            <w:bottom w:val="none" w:sz="0" w:space="0" w:color="auto"/>
            <w:right w:val="none" w:sz="0" w:space="0" w:color="auto"/>
          </w:divBdr>
          <w:divsChild>
            <w:div w:id="539708566">
              <w:marLeft w:val="0"/>
              <w:marRight w:val="0"/>
              <w:marTop w:val="0"/>
              <w:marBottom w:val="0"/>
              <w:divBdr>
                <w:top w:val="none" w:sz="0" w:space="0" w:color="auto"/>
                <w:left w:val="none" w:sz="0" w:space="0" w:color="auto"/>
                <w:bottom w:val="none" w:sz="0" w:space="0" w:color="auto"/>
                <w:right w:val="none" w:sz="0" w:space="0" w:color="auto"/>
              </w:divBdr>
              <w:divsChild>
                <w:div w:id="2622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5679">
      <w:bodyDiv w:val="1"/>
      <w:marLeft w:val="0"/>
      <w:marRight w:val="0"/>
      <w:marTop w:val="0"/>
      <w:marBottom w:val="0"/>
      <w:divBdr>
        <w:top w:val="none" w:sz="0" w:space="0" w:color="auto"/>
        <w:left w:val="none" w:sz="0" w:space="0" w:color="auto"/>
        <w:bottom w:val="none" w:sz="0" w:space="0" w:color="auto"/>
        <w:right w:val="none" w:sz="0" w:space="0" w:color="auto"/>
      </w:divBdr>
      <w:divsChild>
        <w:div w:id="2145536630">
          <w:marLeft w:val="0"/>
          <w:marRight w:val="0"/>
          <w:marTop w:val="0"/>
          <w:marBottom w:val="0"/>
          <w:divBdr>
            <w:top w:val="none" w:sz="0" w:space="0" w:color="auto"/>
            <w:left w:val="none" w:sz="0" w:space="0" w:color="auto"/>
            <w:bottom w:val="none" w:sz="0" w:space="0" w:color="auto"/>
            <w:right w:val="none" w:sz="0" w:space="0" w:color="auto"/>
          </w:divBdr>
          <w:divsChild>
            <w:div w:id="1700349843">
              <w:marLeft w:val="0"/>
              <w:marRight w:val="0"/>
              <w:marTop w:val="0"/>
              <w:marBottom w:val="0"/>
              <w:divBdr>
                <w:top w:val="none" w:sz="0" w:space="0" w:color="auto"/>
                <w:left w:val="none" w:sz="0" w:space="0" w:color="auto"/>
                <w:bottom w:val="none" w:sz="0" w:space="0" w:color="auto"/>
                <w:right w:val="none" w:sz="0" w:space="0" w:color="auto"/>
              </w:divBdr>
              <w:divsChild>
                <w:div w:id="10529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0629">
      <w:bodyDiv w:val="1"/>
      <w:marLeft w:val="0"/>
      <w:marRight w:val="0"/>
      <w:marTop w:val="0"/>
      <w:marBottom w:val="0"/>
      <w:divBdr>
        <w:top w:val="none" w:sz="0" w:space="0" w:color="auto"/>
        <w:left w:val="none" w:sz="0" w:space="0" w:color="auto"/>
        <w:bottom w:val="none" w:sz="0" w:space="0" w:color="auto"/>
        <w:right w:val="none" w:sz="0" w:space="0" w:color="auto"/>
      </w:divBdr>
      <w:divsChild>
        <w:div w:id="972902977">
          <w:marLeft w:val="0"/>
          <w:marRight w:val="0"/>
          <w:marTop w:val="0"/>
          <w:marBottom w:val="0"/>
          <w:divBdr>
            <w:top w:val="none" w:sz="0" w:space="0" w:color="auto"/>
            <w:left w:val="none" w:sz="0" w:space="0" w:color="auto"/>
            <w:bottom w:val="none" w:sz="0" w:space="0" w:color="auto"/>
            <w:right w:val="none" w:sz="0" w:space="0" w:color="auto"/>
          </w:divBdr>
          <w:divsChild>
            <w:div w:id="1268735221">
              <w:marLeft w:val="0"/>
              <w:marRight w:val="0"/>
              <w:marTop w:val="0"/>
              <w:marBottom w:val="0"/>
              <w:divBdr>
                <w:top w:val="none" w:sz="0" w:space="0" w:color="auto"/>
                <w:left w:val="none" w:sz="0" w:space="0" w:color="auto"/>
                <w:bottom w:val="none" w:sz="0" w:space="0" w:color="auto"/>
                <w:right w:val="none" w:sz="0" w:space="0" w:color="auto"/>
              </w:divBdr>
              <w:divsChild>
                <w:div w:id="1023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9320">
      <w:bodyDiv w:val="1"/>
      <w:marLeft w:val="0"/>
      <w:marRight w:val="0"/>
      <w:marTop w:val="0"/>
      <w:marBottom w:val="0"/>
      <w:divBdr>
        <w:top w:val="none" w:sz="0" w:space="0" w:color="auto"/>
        <w:left w:val="none" w:sz="0" w:space="0" w:color="auto"/>
        <w:bottom w:val="none" w:sz="0" w:space="0" w:color="auto"/>
        <w:right w:val="none" w:sz="0" w:space="0" w:color="auto"/>
      </w:divBdr>
      <w:divsChild>
        <w:div w:id="557206604">
          <w:marLeft w:val="0"/>
          <w:marRight w:val="0"/>
          <w:marTop w:val="0"/>
          <w:marBottom w:val="0"/>
          <w:divBdr>
            <w:top w:val="none" w:sz="0" w:space="0" w:color="auto"/>
            <w:left w:val="none" w:sz="0" w:space="0" w:color="auto"/>
            <w:bottom w:val="none" w:sz="0" w:space="0" w:color="auto"/>
            <w:right w:val="none" w:sz="0" w:space="0" w:color="auto"/>
          </w:divBdr>
          <w:divsChild>
            <w:div w:id="134225089">
              <w:marLeft w:val="0"/>
              <w:marRight w:val="0"/>
              <w:marTop w:val="0"/>
              <w:marBottom w:val="0"/>
              <w:divBdr>
                <w:top w:val="none" w:sz="0" w:space="0" w:color="auto"/>
                <w:left w:val="none" w:sz="0" w:space="0" w:color="auto"/>
                <w:bottom w:val="none" w:sz="0" w:space="0" w:color="auto"/>
                <w:right w:val="none" w:sz="0" w:space="0" w:color="auto"/>
              </w:divBdr>
              <w:divsChild>
                <w:div w:id="13829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9356">
      <w:bodyDiv w:val="1"/>
      <w:marLeft w:val="0"/>
      <w:marRight w:val="0"/>
      <w:marTop w:val="0"/>
      <w:marBottom w:val="0"/>
      <w:divBdr>
        <w:top w:val="none" w:sz="0" w:space="0" w:color="auto"/>
        <w:left w:val="none" w:sz="0" w:space="0" w:color="auto"/>
        <w:bottom w:val="none" w:sz="0" w:space="0" w:color="auto"/>
        <w:right w:val="none" w:sz="0" w:space="0" w:color="auto"/>
      </w:divBdr>
      <w:divsChild>
        <w:div w:id="1904296112">
          <w:marLeft w:val="0"/>
          <w:marRight w:val="0"/>
          <w:marTop w:val="0"/>
          <w:marBottom w:val="0"/>
          <w:divBdr>
            <w:top w:val="none" w:sz="0" w:space="0" w:color="auto"/>
            <w:left w:val="none" w:sz="0" w:space="0" w:color="auto"/>
            <w:bottom w:val="none" w:sz="0" w:space="0" w:color="auto"/>
            <w:right w:val="none" w:sz="0" w:space="0" w:color="auto"/>
          </w:divBdr>
          <w:divsChild>
            <w:div w:id="1434857151">
              <w:marLeft w:val="0"/>
              <w:marRight w:val="0"/>
              <w:marTop w:val="0"/>
              <w:marBottom w:val="0"/>
              <w:divBdr>
                <w:top w:val="none" w:sz="0" w:space="0" w:color="auto"/>
                <w:left w:val="none" w:sz="0" w:space="0" w:color="auto"/>
                <w:bottom w:val="none" w:sz="0" w:space="0" w:color="auto"/>
                <w:right w:val="none" w:sz="0" w:space="0" w:color="auto"/>
              </w:divBdr>
              <w:divsChild>
                <w:div w:id="12458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17523">
      <w:bodyDiv w:val="1"/>
      <w:marLeft w:val="0"/>
      <w:marRight w:val="0"/>
      <w:marTop w:val="0"/>
      <w:marBottom w:val="0"/>
      <w:divBdr>
        <w:top w:val="none" w:sz="0" w:space="0" w:color="auto"/>
        <w:left w:val="none" w:sz="0" w:space="0" w:color="auto"/>
        <w:bottom w:val="none" w:sz="0" w:space="0" w:color="auto"/>
        <w:right w:val="none" w:sz="0" w:space="0" w:color="auto"/>
      </w:divBdr>
      <w:divsChild>
        <w:div w:id="274406747">
          <w:marLeft w:val="0"/>
          <w:marRight w:val="0"/>
          <w:marTop w:val="0"/>
          <w:marBottom w:val="0"/>
          <w:divBdr>
            <w:top w:val="none" w:sz="0" w:space="0" w:color="auto"/>
            <w:left w:val="none" w:sz="0" w:space="0" w:color="auto"/>
            <w:bottom w:val="none" w:sz="0" w:space="0" w:color="auto"/>
            <w:right w:val="none" w:sz="0" w:space="0" w:color="auto"/>
          </w:divBdr>
          <w:divsChild>
            <w:div w:id="2133622246">
              <w:marLeft w:val="0"/>
              <w:marRight w:val="0"/>
              <w:marTop w:val="0"/>
              <w:marBottom w:val="0"/>
              <w:divBdr>
                <w:top w:val="none" w:sz="0" w:space="0" w:color="auto"/>
                <w:left w:val="none" w:sz="0" w:space="0" w:color="auto"/>
                <w:bottom w:val="none" w:sz="0" w:space="0" w:color="auto"/>
                <w:right w:val="none" w:sz="0" w:space="0" w:color="auto"/>
              </w:divBdr>
              <w:divsChild>
                <w:div w:id="138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669">
      <w:bodyDiv w:val="1"/>
      <w:marLeft w:val="0"/>
      <w:marRight w:val="0"/>
      <w:marTop w:val="0"/>
      <w:marBottom w:val="0"/>
      <w:divBdr>
        <w:top w:val="none" w:sz="0" w:space="0" w:color="auto"/>
        <w:left w:val="none" w:sz="0" w:space="0" w:color="auto"/>
        <w:bottom w:val="none" w:sz="0" w:space="0" w:color="auto"/>
        <w:right w:val="none" w:sz="0" w:space="0" w:color="auto"/>
      </w:divBdr>
      <w:divsChild>
        <w:div w:id="1069960285">
          <w:marLeft w:val="0"/>
          <w:marRight w:val="0"/>
          <w:marTop w:val="0"/>
          <w:marBottom w:val="0"/>
          <w:divBdr>
            <w:top w:val="none" w:sz="0" w:space="0" w:color="auto"/>
            <w:left w:val="none" w:sz="0" w:space="0" w:color="auto"/>
            <w:bottom w:val="none" w:sz="0" w:space="0" w:color="auto"/>
            <w:right w:val="none" w:sz="0" w:space="0" w:color="auto"/>
          </w:divBdr>
          <w:divsChild>
            <w:div w:id="1224950700">
              <w:marLeft w:val="0"/>
              <w:marRight w:val="0"/>
              <w:marTop w:val="0"/>
              <w:marBottom w:val="0"/>
              <w:divBdr>
                <w:top w:val="none" w:sz="0" w:space="0" w:color="auto"/>
                <w:left w:val="none" w:sz="0" w:space="0" w:color="auto"/>
                <w:bottom w:val="none" w:sz="0" w:space="0" w:color="auto"/>
                <w:right w:val="none" w:sz="0" w:space="0" w:color="auto"/>
              </w:divBdr>
              <w:divsChild>
                <w:div w:id="1264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7562">
      <w:bodyDiv w:val="1"/>
      <w:marLeft w:val="0"/>
      <w:marRight w:val="0"/>
      <w:marTop w:val="0"/>
      <w:marBottom w:val="0"/>
      <w:divBdr>
        <w:top w:val="none" w:sz="0" w:space="0" w:color="auto"/>
        <w:left w:val="none" w:sz="0" w:space="0" w:color="auto"/>
        <w:bottom w:val="none" w:sz="0" w:space="0" w:color="auto"/>
        <w:right w:val="none" w:sz="0" w:space="0" w:color="auto"/>
      </w:divBdr>
      <w:divsChild>
        <w:div w:id="546529028">
          <w:marLeft w:val="0"/>
          <w:marRight w:val="0"/>
          <w:marTop w:val="0"/>
          <w:marBottom w:val="0"/>
          <w:divBdr>
            <w:top w:val="none" w:sz="0" w:space="0" w:color="auto"/>
            <w:left w:val="none" w:sz="0" w:space="0" w:color="auto"/>
            <w:bottom w:val="none" w:sz="0" w:space="0" w:color="auto"/>
            <w:right w:val="none" w:sz="0" w:space="0" w:color="auto"/>
          </w:divBdr>
          <w:divsChild>
            <w:div w:id="326057939">
              <w:marLeft w:val="0"/>
              <w:marRight w:val="0"/>
              <w:marTop w:val="0"/>
              <w:marBottom w:val="0"/>
              <w:divBdr>
                <w:top w:val="none" w:sz="0" w:space="0" w:color="auto"/>
                <w:left w:val="none" w:sz="0" w:space="0" w:color="auto"/>
                <w:bottom w:val="none" w:sz="0" w:space="0" w:color="auto"/>
                <w:right w:val="none" w:sz="0" w:space="0" w:color="auto"/>
              </w:divBdr>
              <w:divsChild>
                <w:div w:id="18098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7540">
      <w:bodyDiv w:val="1"/>
      <w:marLeft w:val="0"/>
      <w:marRight w:val="0"/>
      <w:marTop w:val="0"/>
      <w:marBottom w:val="0"/>
      <w:divBdr>
        <w:top w:val="none" w:sz="0" w:space="0" w:color="auto"/>
        <w:left w:val="none" w:sz="0" w:space="0" w:color="auto"/>
        <w:bottom w:val="none" w:sz="0" w:space="0" w:color="auto"/>
        <w:right w:val="none" w:sz="0" w:space="0" w:color="auto"/>
      </w:divBdr>
      <w:divsChild>
        <w:div w:id="2129733286">
          <w:marLeft w:val="0"/>
          <w:marRight w:val="0"/>
          <w:marTop w:val="0"/>
          <w:marBottom w:val="0"/>
          <w:divBdr>
            <w:top w:val="none" w:sz="0" w:space="0" w:color="auto"/>
            <w:left w:val="none" w:sz="0" w:space="0" w:color="auto"/>
            <w:bottom w:val="none" w:sz="0" w:space="0" w:color="auto"/>
            <w:right w:val="none" w:sz="0" w:space="0" w:color="auto"/>
          </w:divBdr>
          <w:divsChild>
            <w:div w:id="433550801">
              <w:marLeft w:val="0"/>
              <w:marRight w:val="0"/>
              <w:marTop w:val="0"/>
              <w:marBottom w:val="0"/>
              <w:divBdr>
                <w:top w:val="none" w:sz="0" w:space="0" w:color="auto"/>
                <w:left w:val="none" w:sz="0" w:space="0" w:color="auto"/>
                <w:bottom w:val="none" w:sz="0" w:space="0" w:color="auto"/>
                <w:right w:val="none" w:sz="0" w:space="0" w:color="auto"/>
              </w:divBdr>
              <w:divsChild>
                <w:div w:id="9162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188">
      <w:bodyDiv w:val="1"/>
      <w:marLeft w:val="0"/>
      <w:marRight w:val="0"/>
      <w:marTop w:val="0"/>
      <w:marBottom w:val="0"/>
      <w:divBdr>
        <w:top w:val="none" w:sz="0" w:space="0" w:color="auto"/>
        <w:left w:val="none" w:sz="0" w:space="0" w:color="auto"/>
        <w:bottom w:val="none" w:sz="0" w:space="0" w:color="auto"/>
        <w:right w:val="none" w:sz="0" w:space="0" w:color="auto"/>
      </w:divBdr>
      <w:divsChild>
        <w:div w:id="1698238450">
          <w:marLeft w:val="547"/>
          <w:marRight w:val="0"/>
          <w:marTop w:val="0"/>
          <w:marBottom w:val="0"/>
          <w:divBdr>
            <w:top w:val="none" w:sz="0" w:space="0" w:color="auto"/>
            <w:left w:val="none" w:sz="0" w:space="0" w:color="auto"/>
            <w:bottom w:val="none" w:sz="0" w:space="0" w:color="auto"/>
            <w:right w:val="none" w:sz="0" w:space="0" w:color="auto"/>
          </w:divBdr>
        </w:div>
      </w:divsChild>
    </w:div>
    <w:div w:id="993876129">
      <w:bodyDiv w:val="1"/>
      <w:marLeft w:val="0"/>
      <w:marRight w:val="0"/>
      <w:marTop w:val="0"/>
      <w:marBottom w:val="0"/>
      <w:divBdr>
        <w:top w:val="none" w:sz="0" w:space="0" w:color="auto"/>
        <w:left w:val="none" w:sz="0" w:space="0" w:color="auto"/>
        <w:bottom w:val="none" w:sz="0" w:space="0" w:color="auto"/>
        <w:right w:val="none" w:sz="0" w:space="0" w:color="auto"/>
      </w:divBdr>
      <w:divsChild>
        <w:div w:id="1503398757">
          <w:marLeft w:val="0"/>
          <w:marRight w:val="0"/>
          <w:marTop w:val="0"/>
          <w:marBottom w:val="0"/>
          <w:divBdr>
            <w:top w:val="none" w:sz="0" w:space="0" w:color="auto"/>
            <w:left w:val="none" w:sz="0" w:space="0" w:color="auto"/>
            <w:bottom w:val="none" w:sz="0" w:space="0" w:color="auto"/>
            <w:right w:val="none" w:sz="0" w:space="0" w:color="auto"/>
          </w:divBdr>
          <w:divsChild>
            <w:div w:id="1508519518">
              <w:marLeft w:val="0"/>
              <w:marRight w:val="0"/>
              <w:marTop w:val="0"/>
              <w:marBottom w:val="0"/>
              <w:divBdr>
                <w:top w:val="none" w:sz="0" w:space="0" w:color="auto"/>
                <w:left w:val="none" w:sz="0" w:space="0" w:color="auto"/>
                <w:bottom w:val="none" w:sz="0" w:space="0" w:color="auto"/>
                <w:right w:val="none" w:sz="0" w:space="0" w:color="auto"/>
              </w:divBdr>
              <w:divsChild>
                <w:div w:id="1971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5602">
      <w:bodyDiv w:val="1"/>
      <w:marLeft w:val="0"/>
      <w:marRight w:val="0"/>
      <w:marTop w:val="0"/>
      <w:marBottom w:val="0"/>
      <w:divBdr>
        <w:top w:val="none" w:sz="0" w:space="0" w:color="auto"/>
        <w:left w:val="none" w:sz="0" w:space="0" w:color="auto"/>
        <w:bottom w:val="none" w:sz="0" w:space="0" w:color="auto"/>
        <w:right w:val="none" w:sz="0" w:space="0" w:color="auto"/>
      </w:divBdr>
      <w:divsChild>
        <w:div w:id="390421365">
          <w:marLeft w:val="0"/>
          <w:marRight w:val="0"/>
          <w:marTop w:val="0"/>
          <w:marBottom w:val="0"/>
          <w:divBdr>
            <w:top w:val="none" w:sz="0" w:space="0" w:color="auto"/>
            <w:left w:val="none" w:sz="0" w:space="0" w:color="auto"/>
            <w:bottom w:val="none" w:sz="0" w:space="0" w:color="auto"/>
            <w:right w:val="none" w:sz="0" w:space="0" w:color="auto"/>
          </w:divBdr>
          <w:divsChild>
            <w:div w:id="1995377151">
              <w:marLeft w:val="0"/>
              <w:marRight w:val="0"/>
              <w:marTop w:val="0"/>
              <w:marBottom w:val="0"/>
              <w:divBdr>
                <w:top w:val="none" w:sz="0" w:space="0" w:color="auto"/>
                <w:left w:val="none" w:sz="0" w:space="0" w:color="auto"/>
                <w:bottom w:val="none" w:sz="0" w:space="0" w:color="auto"/>
                <w:right w:val="none" w:sz="0" w:space="0" w:color="auto"/>
              </w:divBdr>
              <w:divsChild>
                <w:div w:id="8838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1513">
      <w:bodyDiv w:val="1"/>
      <w:marLeft w:val="0"/>
      <w:marRight w:val="0"/>
      <w:marTop w:val="0"/>
      <w:marBottom w:val="0"/>
      <w:divBdr>
        <w:top w:val="none" w:sz="0" w:space="0" w:color="auto"/>
        <w:left w:val="none" w:sz="0" w:space="0" w:color="auto"/>
        <w:bottom w:val="none" w:sz="0" w:space="0" w:color="auto"/>
        <w:right w:val="none" w:sz="0" w:space="0" w:color="auto"/>
      </w:divBdr>
    </w:div>
    <w:div w:id="1064109519">
      <w:bodyDiv w:val="1"/>
      <w:marLeft w:val="0"/>
      <w:marRight w:val="0"/>
      <w:marTop w:val="0"/>
      <w:marBottom w:val="0"/>
      <w:divBdr>
        <w:top w:val="none" w:sz="0" w:space="0" w:color="auto"/>
        <w:left w:val="none" w:sz="0" w:space="0" w:color="auto"/>
        <w:bottom w:val="none" w:sz="0" w:space="0" w:color="auto"/>
        <w:right w:val="none" w:sz="0" w:space="0" w:color="auto"/>
      </w:divBdr>
    </w:div>
    <w:div w:id="1136557957">
      <w:bodyDiv w:val="1"/>
      <w:marLeft w:val="0"/>
      <w:marRight w:val="0"/>
      <w:marTop w:val="0"/>
      <w:marBottom w:val="0"/>
      <w:divBdr>
        <w:top w:val="none" w:sz="0" w:space="0" w:color="auto"/>
        <w:left w:val="none" w:sz="0" w:space="0" w:color="auto"/>
        <w:bottom w:val="none" w:sz="0" w:space="0" w:color="auto"/>
        <w:right w:val="none" w:sz="0" w:space="0" w:color="auto"/>
      </w:divBdr>
      <w:divsChild>
        <w:div w:id="938761384">
          <w:marLeft w:val="0"/>
          <w:marRight w:val="0"/>
          <w:marTop w:val="0"/>
          <w:marBottom w:val="0"/>
          <w:divBdr>
            <w:top w:val="none" w:sz="0" w:space="0" w:color="auto"/>
            <w:left w:val="none" w:sz="0" w:space="0" w:color="auto"/>
            <w:bottom w:val="none" w:sz="0" w:space="0" w:color="auto"/>
            <w:right w:val="none" w:sz="0" w:space="0" w:color="auto"/>
          </w:divBdr>
          <w:divsChild>
            <w:div w:id="717360794">
              <w:marLeft w:val="0"/>
              <w:marRight w:val="0"/>
              <w:marTop w:val="0"/>
              <w:marBottom w:val="0"/>
              <w:divBdr>
                <w:top w:val="none" w:sz="0" w:space="0" w:color="auto"/>
                <w:left w:val="none" w:sz="0" w:space="0" w:color="auto"/>
                <w:bottom w:val="none" w:sz="0" w:space="0" w:color="auto"/>
                <w:right w:val="none" w:sz="0" w:space="0" w:color="auto"/>
              </w:divBdr>
              <w:divsChild>
                <w:div w:id="6692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4466">
      <w:bodyDiv w:val="1"/>
      <w:marLeft w:val="0"/>
      <w:marRight w:val="0"/>
      <w:marTop w:val="0"/>
      <w:marBottom w:val="0"/>
      <w:divBdr>
        <w:top w:val="none" w:sz="0" w:space="0" w:color="auto"/>
        <w:left w:val="none" w:sz="0" w:space="0" w:color="auto"/>
        <w:bottom w:val="none" w:sz="0" w:space="0" w:color="auto"/>
        <w:right w:val="none" w:sz="0" w:space="0" w:color="auto"/>
      </w:divBdr>
      <w:divsChild>
        <w:div w:id="363747092">
          <w:marLeft w:val="0"/>
          <w:marRight w:val="0"/>
          <w:marTop w:val="0"/>
          <w:marBottom w:val="0"/>
          <w:divBdr>
            <w:top w:val="none" w:sz="0" w:space="0" w:color="auto"/>
            <w:left w:val="none" w:sz="0" w:space="0" w:color="auto"/>
            <w:bottom w:val="none" w:sz="0" w:space="0" w:color="auto"/>
            <w:right w:val="none" w:sz="0" w:space="0" w:color="auto"/>
          </w:divBdr>
          <w:divsChild>
            <w:div w:id="1473213962">
              <w:marLeft w:val="0"/>
              <w:marRight w:val="0"/>
              <w:marTop w:val="0"/>
              <w:marBottom w:val="0"/>
              <w:divBdr>
                <w:top w:val="none" w:sz="0" w:space="0" w:color="auto"/>
                <w:left w:val="none" w:sz="0" w:space="0" w:color="auto"/>
                <w:bottom w:val="none" w:sz="0" w:space="0" w:color="auto"/>
                <w:right w:val="none" w:sz="0" w:space="0" w:color="auto"/>
              </w:divBdr>
              <w:divsChild>
                <w:div w:id="6602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4298">
      <w:bodyDiv w:val="1"/>
      <w:marLeft w:val="0"/>
      <w:marRight w:val="0"/>
      <w:marTop w:val="0"/>
      <w:marBottom w:val="0"/>
      <w:divBdr>
        <w:top w:val="none" w:sz="0" w:space="0" w:color="auto"/>
        <w:left w:val="none" w:sz="0" w:space="0" w:color="auto"/>
        <w:bottom w:val="none" w:sz="0" w:space="0" w:color="auto"/>
        <w:right w:val="none" w:sz="0" w:space="0" w:color="auto"/>
      </w:divBdr>
      <w:divsChild>
        <w:div w:id="933395356">
          <w:marLeft w:val="0"/>
          <w:marRight w:val="0"/>
          <w:marTop w:val="0"/>
          <w:marBottom w:val="0"/>
          <w:divBdr>
            <w:top w:val="none" w:sz="0" w:space="0" w:color="auto"/>
            <w:left w:val="none" w:sz="0" w:space="0" w:color="auto"/>
            <w:bottom w:val="none" w:sz="0" w:space="0" w:color="auto"/>
            <w:right w:val="none" w:sz="0" w:space="0" w:color="auto"/>
          </w:divBdr>
          <w:divsChild>
            <w:div w:id="2070154476">
              <w:marLeft w:val="0"/>
              <w:marRight w:val="0"/>
              <w:marTop w:val="0"/>
              <w:marBottom w:val="0"/>
              <w:divBdr>
                <w:top w:val="none" w:sz="0" w:space="0" w:color="auto"/>
                <w:left w:val="none" w:sz="0" w:space="0" w:color="auto"/>
                <w:bottom w:val="none" w:sz="0" w:space="0" w:color="auto"/>
                <w:right w:val="none" w:sz="0" w:space="0" w:color="auto"/>
              </w:divBdr>
              <w:divsChild>
                <w:div w:id="12006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2616">
      <w:bodyDiv w:val="1"/>
      <w:marLeft w:val="0"/>
      <w:marRight w:val="0"/>
      <w:marTop w:val="0"/>
      <w:marBottom w:val="0"/>
      <w:divBdr>
        <w:top w:val="none" w:sz="0" w:space="0" w:color="auto"/>
        <w:left w:val="none" w:sz="0" w:space="0" w:color="auto"/>
        <w:bottom w:val="none" w:sz="0" w:space="0" w:color="auto"/>
        <w:right w:val="none" w:sz="0" w:space="0" w:color="auto"/>
      </w:divBdr>
      <w:divsChild>
        <w:div w:id="1846439969">
          <w:marLeft w:val="0"/>
          <w:marRight w:val="0"/>
          <w:marTop w:val="0"/>
          <w:marBottom w:val="0"/>
          <w:divBdr>
            <w:top w:val="none" w:sz="0" w:space="0" w:color="auto"/>
            <w:left w:val="none" w:sz="0" w:space="0" w:color="auto"/>
            <w:bottom w:val="none" w:sz="0" w:space="0" w:color="auto"/>
            <w:right w:val="none" w:sz="0" w:space="0" w:color="auto"/>
          </w:divBdr>
          <w:divsChild>
            <w:div w:id="604269004">
              <w:marLeft w:val="0"/>
              <w:marRight w:val="0"/>
              <w:marTop w:val="0"/>
              <w:marBottom w:val="0"/>
              <w:divBdr>
                <w:top w:val="none" w:sz="0" w:space="0" w:color="auto"/>
                <w:left w:val="none" w:sz="0" w:space="0" w:color="auto"/>
                <w:bottom w:val="none" w:sz="0" w:space="0" w:color="auto"/>
                <w:right w:val="none" w:sz="0" w:space="0" w:color="auto"/>
              </w:divBdr>
              <w:divsChild>
                <w:div w:id="2092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7440">
      <w:bodyDiv w:val="1"/>
      <w:marLeft w:val="0"/>
      <w:marRight w:val="0"/>
      <w:marTop w:val="0"/>
      <w:marBottom w:val="0"/>
      <w:divBdr>
        <w:top w:val="none" w:sz="0" w:space="0" w:color="auto"/>
        <w:left w:val="none" w:sz="0" w:space="0" w:color="auto"/>
        <w:bottom w:val="none" w:sz="0" w:space="0" w:color="auto"/>
        <w:right w:val="none" w:sz="0" w:space="0" w:color="auto"/>
      </w:divBdr>
      <w:divsChild>
        <w:div w:id="1391073854">
          <w:marLeft w:val="0"/>
          <w:marRight w:val="0"/>
          <w:marTop w:val="0"/>
          <w:marBottom w:val="0"/>
          <w:divBdr>
            <w:top w:val="none" w:sz="0" w:space="0" w:color="auto"/>
            <w:left w:val="none" w:sz="0" w:space="0" w:color="auto"/>
            <w:bottom w:val="none" w:sz="0" w:space="0" w:color="auto"/>
            <w:right w:val="none" w:sz="0" w:space="0" w:color="auto"/>
          </w:divBdr>
          <w:divsChild>
            <w:div w:id="2075737945">
              <w:marLeft w:val="0"/>
              <w:marRight w:val="0"/>
              <w:marTop w:val="0"/>
              <w:marBottom w:val="0"/>
              <w:divBdr>
                <w:top w:val="none" w:sz="0" w:space="0" w:color="auto"/>
                <w:left w:val="none" w:sz="0" w:space="0" w:color="auto"/>
                <w:bottom w:val="none" w:sz="0" w:space="0" w:color="auto"/>
                <w:right w:val="none" w:sz="0" w:space="0" w:color="auto"/>
              </w:divBdr>
              <w:divsChild>
                <w:div w:id="6461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6967">
      <w:bodyDiv w:val="1"/>
      <w:marLeft w:val="0"/>
      <w:marRight w:val="0"/>
      <w:marTop w:val="0"/>
      <w:marBottom w:val="0"/>
      <w:divBdr>
        <w:top w:val="none" w:sz="0" w:space="0" w:color="auto"/>
        <w:left w:val="none" w:sz="0" w:space="0" w:color="auto"/>
        <w:bottom w:val="none" w:sz="0" w:space="0" w:color="auto"/>
        <w:right w:val="none" w:sz="0" w:space="0" w:color="auto"/>
      </w:divBdr>
      <w:divsChild>
        <w:div w:id="915944674">
          <w:marLeft w:val="0"/>
          <w:marRight w:val="0"/>
          <w:marTop w:val="0"/>
          <w:marBottom w:val="0"/>
          <w:divBdr>
            <w:top w:val="none" w:sz="0" w:space="0" w:color="auto"/>
            <w:left w:val="none" w:sz="0" w:space="0" w:color="auto"/>
            <w:bottom w:val="none" w:sz="0" w:space="0" w:color="auto"/>
            <w:right w:val="none" w:sz="0" w:space="0" w:color="auto"/>
          </w:divBdr>
          <w:divsChild>
            <w:div w:id="732972792">
              <w:marLeft w:val="0"/>
              <w:marRight w:val="0"/>
              <w:marTop w:val="0"/>
              <w:marBottom w:val="0"/>
              <w:divBdr>
                <w:top w:val="none" w:sz="0" w:space="0" w:color="auto"/>
                <w:left w:val="none" w:sz="0" w:space="0" w:color="auto"/>
                <w:bottom w:val="none" w:sz="0" w:space="0" w:color="auto"/>
                <w:right w:val="none" w:sz="0" w:space="0" w:color="auto"/>
              </w:divBdr>
              <w:divsChild>
                <w:div w:id="3257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768">
      <w:bodyDiv w:val="1"/>
      <w:marLeft w:val="0"/>
      <w:marRight w:val="0"/>
      <w:marTop w:val="0"/>
      <w:marBottom w:val="0"/>
      <w:divBdr>
        <w:top w:val="none" w:sz="0" w:space="0" w:color="auto"/>
        <w:left w:val="none" w:sz="0" w:space="0" w:color="auto"/>
        <w:bottom w:val="none" w:sz="0" w:space="0" w:color="auto"/>
        <w:right w:val="none" w:sz="0" w:space="0" w:color="auto"/>
      </w:divBdr>
      <w:divsChild>
        <w:div w:id="1531526237">
          <w:marLeft w:val="0"/>
          <w:marRight w:val="0"/>
          <w:marTop w:val="0"/>
          <w:marBottom w:val="0"/>
          <w:divBdr>
            <w:top w:val="none" w:sz="0" w:space="0" w:color="auto"/>
            <w:left w:val="none" w:sz="0" w:space="0" w:color="auto"/>
            <w:bottom w:val="none" w:sz="0" w:space="0" w:color="auto"/>
            <w:right w:val="none" w:sz="0" w:space="0" w:color="auto"/>
          </w:divBdr>
          <w:divsChild>
            <w:div w:id="17660312">
              <w:marLeft w:val="0"/>
              <w:marRight w:val="0"/>
              <w:marTop w:val="0"/>
              <w:marBottom w:val="0"/>
              <w:divBdr>
                <w:top w:val="none" w:sz="0" w:space="0" w:color="auto"/>
                <w:left w:val="none" w:sz="0" w:space="0" w:color="auto"/>
                <w:bottom w:val="none" w:sz="0" w:space="0" w:color="auto"/>
                <w:right w:val="none" w:sz="0" w:space="0" w:color="auto"/>
              </w:divBdr>
              <w:divsChild>
                <w:div w:id="1278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9561">
      <w:bodyDiv w:val="1"/>
      <w:marLeft w:val="0"/>
      <w:marRight w:val="0"/>
      <w:marTop w:val="0"/>
      <w:marBottom w:val="0"/>
      <w:divBdr>
        <w:top w:val="none" w:sz="0" w:space="0" w:color="auto"/>
        <w:left w:val="none" w:sz="0" w:space="0" w:color="auto"/>
        <w:bottom w:val="none" w:sz="0" w:space="0" w:color="auto"/>
        <w:right w:val="none" w:sz="0" w:space="0" w:color="auto"/>
      </w:divBdr>
      <w:divsChild>
        <w:div w:id="1471283639">
          <w:marLeft w:val="0"/>
          <w:marRight w:val="0"/>
          <w:marTop w:val="0"/>
          <w:marBottom w:val="0"/>
          <w:divBdr>
            <w:top w:val="none" w:sz="0" w:space="0" w:color="auto"/>
            <w:left w:val="none" w:sz="0" w:space="0" w:color="auto"/>
            <w:bottom w:val="none" w:sz="0" w:space="0" w:color="auto"/>
            <w:right w:val="none" w:sz="0" w:space="0" w:color="auto"/>
          </w:divBdr>
          <w:divsChild>
            <w:div w:id="857044555">
              <w:marLeft w:val="0"/>
              <w:marRight w:val="0"/>
              <w:marTop w:val="0"/>
              <w:marBottom w:val="0"/>
              <w:divBdr>
                <w:top w:val="none" w:sz="0" w:space="0" w:color="auto"/>
                <w:left w:val="none" w:sz="0" w:space="0" w:color="auto"/>
                <w:bottom w:val="none" w:sz="0" w:space="0" w:color="auto"/>
                <w:right w:val="none" w:sz="0" w:space="0" w:color="auto"/>
              </w:divBdr>
              <w:divsChild>
                <w:div w:id="1875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2590">
      <w:bodyDiv w:val="1"/>
      <w:marLeft w:val="0"/>
      <w:marRight w:val="0"/>
      <w:marTop w:val="0"/>
      <w:marBottom w:val="0"/>
      <w:divBdr>
        <w:top w:val="none" w:sz="0" w:space="0" w:color="auto"/>
        <w:left w:val="none" w:sz="0" w:space="0" w:color="auto"/>
        <w:bottom w:val="none" w:sz="0" w:space="0" w:color="auto"/>
        <w:right w:val="none" w:sz="0" w:space="0" w:color="auto"/>
      </w:divBdr>
      <w:divsChild>
        <w:div w:id="730621017">
          <w:marLeft w:val="0"/>
          <w:marRight w:val="0"/>
          <w:marTop w:val="0"/>
          <w:marBottom w:val="0"/>
          <w:divBdr>
            <w:top w:val="none" w:sz="0" w:space="0" w:color="auto"/>
            <w:left w:val="none" w:sz="0" w:space="0" w:color="auto"/>
            <w:bottom w:val="none" w:sz="0" w:space="0" w:color="auto"/>
            <w:right w:val="none" w:sz="0" w:space="0" w:color="auto"/>
          </w:divBdr>
          <w:divsChild>
            <w:div w:id="534194894">
              <w:marLeft w:val="0"/>
              <w:marRight w:val="0"/>
              <w:marTop w:val="0"/>
              <w:marBottom w:val="0"/>
              <w:divBdr>
                <w:top w:val="none" w:sz="0" w:space="0" w:color="auto"/>
                <w:left w:val="none" w:sz="0" w:space="0" w:color="auto"/>
                <w:bottom w:val="none" w:sz="0" w:space="0" w:color="auto"/>
                <w:right w:val="none" w:sz="0" w:space="0" w:color="auto"/>
              </w:divBdr>
              <w:divsChild>
                <w:div w:id="13600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9894">
      <w:bodyDiv w:val="1"/>
      <w:marLeft w:val="0"/>
      <w:marRight w:val="0"/>
      <w:marTop w:val="0"/>
      <w:marBottom w:val="0"/>
      <w:divBdr>
        <w:top w:val="none" w:sz="0" w:space="0" w:color="auto"/>
        <w:left w:val="none" w:sz="0" w:space="0" w:color="auto"/>
        <w:bottom w:val="none" w:sz="0" w:space="0" w:color="auto"/>
        <w:right w:val="none" w:sz="0" w:space="0" w:color="auto"/>
      </w:divBdr>
      <w:divsChild>
        <w:div w:id="1938706336">
          <w:marLeft w:val="0"/>
          <w:marRight w:val="0"/>
          <w:marTop w:val="0"/>
          <w:marBottom w:val="0"/>
          <w:divBdr>
            <w:top w:val="none" w:sz="0" w:space="0" w:color="auto"/>
            <w:left w:val="none" w:sz="0" w:space="0" w:color="auto"/>
            <w:bottom w:val="none" w:sz="0" w:space="0" w:color="auto"/>
            <w:right w:val="none" w:sz="0" w:space="0" w:color="auto"/>
          </w:divBdr>
          <w:divsChild>
            <w:div w:id="939682853">
              <w:marLeft w:val="0"/>
              <w:marRight w:val="0"/>
              <w:marTop w:val="0"/>
              <w:marBottom w:val="0"/>
              <w:divBdr>
                <w:top w:val="none" w:sz="0" w:space="0" w:color="auto"/>
                <w:left w:val="none" w:sz="0" w:space="0" w:color="auto"/>
                <w:bottom w:val="none" w:sz="0" w:space="0" w:color="auto"/>
                <w:right w:val="none" w:sz="0" w:space="0" w:color="auto"/>
              </w:divBdr>
              <w:divsChild>
                <w:div w:id="291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9410">
      <w:bodyDiv w:val="1"/>
      <w:marLeft w:val="0"/>
      <w:marRight w:val="0"/>
      <w:marTop w:val="0"/>
      <w:marBottom w:val="0"/>
      <w:divBdr>
        <w:top w:val="none" w:sz="0" w:space="0" w:color="auto"/>
        <w:left w:val="none" w:sz="0" w:space="0" w:color="auto"/>
        <w:bottom w:val="none" w:sz="0" w:space="0" w:color="auto"/>
        <w:right w:val="none" w:sz="0" w:space="0" w:color="auto"/>
      </w:divBdr>
      <w:divsChild>
        <w:div w:id="2022124379">
          <w:marLeft w:val="0"/>
          <w:marRight w:val="0"/>
          <w:marTop w:val="0"/>
          <w:marBottom w:val="0"/>
          <w:divBdr>
            <w:top w:val="none" w:sz="0" w:space="0" w:color="auto"/>
            <w:left w:val="none" w:sz="0" w:space="0" w:color="auto"/>
            <w:bottom w:val="none" w:sz="0" w:space="0" w:color="auto"/>
            <w:right w:val="none" w:sz="0" w:space="0" w:color="auto"/>
          </w:divBdr>
          <w:divsChild>
            <w:div w:id="2051302453">
              <w:marLeft w:val="0"/>
              <w:marRight w:val="0"/>
              <w:marTop w:val="0"/>
              <w:marBottom w:val="0"/>
              <w:divBdr>
                <w:top w:val="none" w:sz="0" w:space="0" w:color="auto"/>
                <w:left w:val="none" w:sz="0" w:space="0" w:color="auto"/>
                <w:bottom w:val="none" w:sz="0" w:space="0" w:color="auto"/>
                <w:right w:val="none" w:sz="0" w:space="0" w:color="auto"/>
              </w:divBdr>
              <w:divsChild>
                <w:div w:id="1930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3942">
      <w:bodyDiv w:val="1"/>
      <w:marLeft w:val="0"/>
      <w:marRight w:val="0"/>
      <w:marTop w:val="0"/>
      <w:marBottom w:val="0"/>
      <w:divBdr>
        <w:top w:val="none" w:sz="0" w:space="0" w:color="auto"/>
        <w:left w:val="none" w:sz="0" w:space="0" w:color="auto"/>
        <w:bottom w:val="none" w:sz="0" w:space="0" w:color="auto"/>
        <w:right w:val="none" w:sz="0" w:space="0" w:color="auto"/>
      </w:divBdr>
      <w:divsChild>
        <w:div w:id="543565295">
          <w:marLeft w:val="0"/>
          <w:marRight w:val="0"/>
          <w:marTop w:val="0"/>
          <w:marBottom w:val="0"/>
          <w:divBdr>
            <w:top w:val="none" w:sz="0" w:space="0" w:color="auto"/>
            <w:left w:val="none" w:sz="0" w:space="0" w:color="auto"/>
            <w:bottom w:val="none" w:sz="0" w:space="0" w:color="auto"/>
            <w:right w:val="none" w:sz="0" w:space="0" w:color="auto"/>
          </w:divBdr>
          <w:divsChild>
            <w:div w:id="1613318827">
              <w:marLeft w:val="0"/>
              <w:marRight w:val="0"/>
              <w:marTop w:val="0"/>
              <w:marBottom w:val="0"/>
              <w:divBdr>
                <w:top w:val="none" w:sz="0" w:space="0" w:color="auto"/>
                <w:left w:val="none" w:sz="0" w:space="0" w:color="auto"/>
                <w:bottom w:val="none" w:sz="0" w:space="0" w:color="auto"/>
                <w:right w:val="none" w:sz="0" w:space="0" w:color="auto"/>
              </w:divBdr>
              <w:divsChild>
                <w:div w:id="21133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5849">
      <w:bodyDiv w:val="1"/>
      <w:marLeft w:val="0"/>
      <w:marRight w:val="0"/>
      <w:marTop w:val="0"/>
      <w:marBottom w:val="0"/>
      <w:divBdr>
        <w:top w:val="none" w:sz="0" w:space="0" w:color="auto"/>
        <w:left w:val="none" w:sz="0" w:space="0" w:color="auto"/>
        <w:bottom w:val="none" w:sz="0" w:space="0" w:color="auto"/>
        <w:right w:val="none" w:sz="0" w:space="0" w:color="auto"/>
      </w:divBdr>
    </w:div>
    <w:div w:id="1714965242">
      <w:bodyDiv w:val="1"/>
      <w:marLeft w:val="0"/>
      <w:marRight w:val="0"/>
      <w:marTop w:val="0"/>
      <w:marBottom w:val="0"/>
      <w:divBdr>
        <w:top w:val="none" w:sz="0" w:space="0" w:color="auto"/>
        <w:left w:val="none" w:sz="0" w:space="0" w:color="auto"/>
        <w:bottom w:val="none" w:sz="0" w:space="0" w:color="auto"/>
        <w:right w:val="none" w:sz="0" w:space="0" w:color="auto"/>
      </w:divBdr>
      <w:divsChild>
        <w:div w:id="1012300801">
          <w:marLeft w:val="0"/>
          <w:marRight w:val="0"/>
          <w:marTop w:val="0"/>
          <w:marBottom w:val="0"/>
          <w:divBdr>
            <w:top w:val="none" w:sz="0" w:space="0" w:color="auto"/>
            <w:left w:val="none" w:sz="0" w:space="0" w:color="auto"/>
            <w:bottom w:val="none" w:sz="0" w:space="0" w:color="auto"/>
            <w:right w:val="none" w:sz="0" w:space="0" w:color="auto"/>
          </w:divBdr>
          <w:divsChild>
            <w:div w:id="2089040525">
              <w:marLeft w:val="0"/>
              <w:marRight w:val="0"/>
              <w:marTop w:val="0"/>
              <w:marBottom w:val="0"/>
              <w:divBdr>
                <w:top w:val="none" w:sz="0" w:space="0" w:color="auto"/>
                <w:left w:val="none" w:sz="0" w:space="0" w:color="auto"/>
                <w:bottom w:val="none" w:sz="0" w:space="0" w:color="auto"/>
                <w:right w:val="none" w:sz="0" w:space="0" w:color="auto"/>
              </w:divBdr>
              <w:divsChild>
                <w:div w:id="9024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1236">
      <w:bodyDiv w:val="1"/>
      <w:marLeft w:val="0"/>
      <w:marRight w:val="0"/>
      <w:marTop w:val="0"/>
      <w:marBottom w:val="0"/>
      <w:divBdr>
        <w:top w:val="none" w:sz="0" w:space="0" w:color="auto"/>
        <w:left w:val="none" w:sz="0" w:space="0" w:color="auto"/>
        <w:bottom w:val="none" w:sz="0" w:space="0" w:color="auto"/>
        <w:right w:val="none" w:sz="0" w:space="0" w:color="auto"/>
      </w:divBdr>
      <w:divsChild>
        <w:div w:id="313949295">
          <w:marLeft w:val="0"/>
          <w:marRight w:val="0"/>
          <w:marTop w:val="0"/>
          <w:marBottom w:val="0"/>
          <w:divBdr>
            <w:top w:val="none" w:sz="0" w:space="0" w:color="auto"/>
            <w:left w:val="none" w:sz="0" w:space="0" w:color="auto"/>
            <w:bottom w:val="none" w:sz="0" w:space="0" w:color="auto"/>
            <w:right w:val="none" w:sz="0" w:space="0" w:color="auto"/>
          </w:divBdr>
          <w:divsChild>
            <w:div w:id="1256792954">
              <w:marLeft w:val="0"/>
              <w:marRight w:val="0"/>
              <w:marTop w:val="0"/>
              <w:marBottom w:val="0"/>
              <w:divBdr>
                <w:top w:val="none" w:sz="0" w:space="0" w:color="auto"/>
                <w:left w:val="none" w:sz="0" w:space="0" w:color="auto"/>
                <w:bottom w:val="none" w:sz="0" w:space="0" w:color="auto"/>
                <w:right w:val="none" w:sz="0" w:space="0" w:color="auto"/>
              </w:divBdr>
              <w:divsChild>
                <w:div w:id="323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3731">
      <w:bodyDiv w:val="1"/>
      <w:marLeft w:val="0"/>
      <w:marRight w:val="0"/>
      <w:marTop w:val="0"/>
      <w:marBottom w:val="0"/>
      <w:divBdr>
        <w:top w:val="none" w:sz="0" w:space="0" w:color="auto"/>
        <w:left w:val="none" w:sz="0" w:space="0" w:color="auto"/>
        <w:bottom w:val="none" w:sz="0" w:space="0" w:color="auto"/>
        <w:right w:val="none" w:sz="0" w:space="0" w:color="auto"/>
      </w:divBdr>
      <w:divsChild>
        <w:div w:id="1800881259">
          <w:marLeft w:val="0"/>
          <w:marRight w:val="0"/>
          <w:marTop w:val="0"/>
          <w:marBottom w:val="0"/>
          <w:divBdr>
            <w:top w:val="none" w:sz="0" w:space="0" w:color="auto"/>
            <w:left w:val="none" w:sz="0" w:space="0" w:color="auto"/>
            <w:bottom w:val="none" w:sz="0" w:space="0" w:color="auto"/>
            <w:right w:val="none" w:sz="0" w:space="0" w:color="auto"/>
          </w:divBdr>
          <w:divsChild>
            <w:div w:id="655032910">
              <w:marLeft w:val="0"/>
              <w:marRight w:val="0"/>
              <w:marTop w:val="0"/>
              <w:marBottom w:val="0"/>
              <w:divBdr>
                <w:top w:val="none" w:sz="0" w:space="0" w:color="auto"/>
                <w:left w:val="none" w:sz="0" w:space="0" w:color="auto"/>
                <w:bottom w:val="none" w:sz="0" w:space="0" w:color="auto"/>
                <w:right w:val="none" w:sz="0" w:space="0" w:color="auto"/>
              </w:divBdr>
              <w:divsChild>
                <w:div w:id="1199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6685">
      <w:bodyDiv w:val="1"/>
      <w:marLeft w:val="0"/>
      <w:marRight w:val="0"/>
      <w:marTop w:val="0"/>
      <w:marBottom w:val="0"/>
      <w:divBdr>
        <w:top w:val="none" w:sz="0" w:space="0" w:color="auto"/>
        <w:left w:val="none" w:sz="0" w:space="0" w:color="auto"/>
        <w:bottom w:val="none" w:sz="0" w:space="0" w:color="auto"/>
        <w:right w:val="none" w:sz="0" w:space="0" w:color="auto"/>
      </w:divBdr>
      <w:divsChild>
        <w:div w:id="1339695242">
          <w:marLeft w:val="0"/>
          <w:marRight w:val="0"/>
          <w:marTop w:val="0"/>
          <w:marBottom w:val="0"/>
          <w:divBdr>
            <w:top w:val="none" w:sz="0" w:space="0" w:color="auto"/>
            <w:left w:val="none" w:sz="0" w:space="0" w:color="auto"/>
            <w:bottom w:val="none" w:sz="0" w:space="0" w:color="auto"/>
            <w:right w:val="none" w:sz="0" w:space="0" w:color="auto"/>
          </w:divBdr>
          <w:divsChild>
            <w:div w:id="1547840250">
              <w:marLeft w:val="0"/>
              <w:marRight w:val="0"/>
              <w:marTop w:val="0"/>
              <w:marBottom w:val="0"/>
              <w:divBdr>
                <w:top w:val="none" w:sz="0" w:space="0" w:color="auto"/>
                <w:left w:val="none" w:sz="0" w:space="0" w:color="auto"/>
                <w:bottom w:val="none" w:sz="0" w:space="0" w:color="auto"/>
                <w:right w:val="none" w:sz="0" w:space="0" w:color="auto"/>
              </w:divBdr>
              <w:divsChild>
                <w:div w:id="363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3325">
      <w:bodyDiv w:val="1"/>
      <w:marLeft w:val="0"/>
      <w:marRight w:val="0"/>
      <w:marTop w:val="0"/>
      <w:marBottom w:val="0"/>
      <w:divBdr>
        <w:top w:val="none" w:sz="0" w:space="0" w:color="auto"/>
        <w:left w:val="none" w:sz="0" w:space="0" w:color="auto"/>
        <w:bottom w:val="none" w:sz="0" w:space="0" w:color="auto"/>
        <w:right w:val="none" w:sz="0" w:space="0" w:color="auto"/>
      </w:divBdr>
      <w:divsChild>
        <w:div w:id="1051273055">
          <w:marLeft w:val="0"/>
          <w:marRight w:val="0"/>
          <w:marTop w:val="0"/>
          <w:marBottom w:val="0"/>
          <w:divBdr>
            <w:top w:val="none" w:sz="0" w:space="0" w:color="auto"/>
            <w:left w:val="none" w:sz="0" w:space="0" w:color="auto"/>
            <w:bottom w:val="none" w:sz="0" w:space="0" w:color="auto"/>
            <w:right w:val="none" w:sz="0" w:space="0" w:color="auto"/>
          </w:divBdr>
          <w:divsChild>
            <w:div w:id="1501001941">
              <w:marLeft w:val="0"/>
              <w:marRight w:val="0"/>
              <w:marTop w:val="0"/>
              <w:marBottom w:val="0"/>
              <w:divBdr>
                <w:top w:val="none" w:sz="0" w:space="0" w:color="auto"/>
                <w:left w:val="none" w:sz="0" w:space="0" w:color="auto"/>
                <w:bottom w:val="none" w:sz="0" w:space="0" w:color="auto"/>
                <w:right w:val="none" w:sz="0" w:space="0" w:color="auto"/>
              </w:divBdr>
              <w:divsChild>
                <w:div w:id="17932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98256">
      <w:bodyDiv w:val="1"/>
      <w:marLeft w:val="0"/>
      <w:marRight w:val="0"/>
      <w:marTop w:val="0"/>
      <w:marBottom w:val="0"/>
      <w:divBdr>
        <w:top w:val="none" w:sz="0" w:space="0" w:color="auto"/>
        <w:left w:val="none" w:sz="0" w:space="0" w:color="auto"/>
        <w:bottom w:val="none" w:sz="0" w:space="0" w:color="auto"/>
        <w:right w:val="none" w:sz="0" w:space="0" w:color="auto"/>
      </w:divBdr>
      <w:divsChild>
        <w:div w:id="1655715303">
          <w:marLeft w:val="0"/>
          <w:marRight w:val="0"/>
          <w:marTop w:val="0"/>
          <w:marBottom w:val="0"/>
          <w:divBdr>
            <w:top w:val="none" w:sz="0" w:space="0" w:color="auto"/>
            <w:left w:val="none" w:sz="0" w:space="0" w:color="auto"/>
            <w:bottom w:val="none" w:sz="0" w:space="0" w:color="auto"/>
            <w:right w:val="none" w:sz="0" w:space="0" w:color="auto"/>
          </w:divBdr>
          <w:divsChild>
            <w:div w:id="1021396976">
              <w:marLeft w:val="0"/>
              <w:marRight w:val="0"/>
              <w:marTop w:val="0"/>
              <w:marBottom w:val="0"/>
              <w:divBdr>
                <w:top w:val="none" w:sz="0" w:space="0" w:color="auto"/>
                <w:left w:val="none" w:sz="0" w:space="0" w:color="auto"/>
                <w:bottom w:val="none" w:sz="0" w:space="0" w:color="auto"/>
                <w:right w:val="none" w:sz="0" w:space="0" w:color="auto"/>
              </w:divBdr>
              <w:divsChild>
                <w:div w:id="18765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6143">
      <w:bodyDiv w:val="1"/>
      <w:marLeft w:val="0"/>
      <w:marRight w:val="0"/>
      <w:marTop w:val="0"/>
      <w:marBottom w:val="0"/>
      <w:divBdr>
        <w:top w:val="none" w:sz="0" w:space="0" w:color="auto"/>
        <w:left w:val="none" w:sz="0" w:space="0" w:color="auto"/>
        <w:bottom w:val="none" w:sz="0" w:space="0" w:color="auto"/>
        <w:right w:val="none" w:sz="0" w:space="0" w:color="auto"/>
      </w:divBdr>
      <w:divsChild>
        <w:div w:id="2093161880">
          <w:marLeft w:val="0"/>
          <w:marRight w:val="0"/>
          <w:marTop w:val="0"/>
          <w:marBottom w:val="0"/>
          <w:divBdr>
            <w:top w:val="none" w:sz="0" w:space="0" w:color="auto"/>
            <w:left w:val="none" w:sz="0" w:space="0" w:color="auto"/>
            <w:bottom w:val="none" w:sz="0" w:space="0" w:color="auto"/>
            <w:right w:val="none" w:sz="0" w:space="0" w:color="auto"/>
          </w:divBdr>
          <w:divsChild>
            <w:div w:id="1886063563">
              <w:marLeft w:val="0"/>
              <w:marRight w:val="0"/>
              <w:marTop w:val="0"/>
              <w:marBottom w:val="0"/>
              <w:divBdr>
                <w:top w:val="none" w:sz="0" w:space="0" w:color="auto"/>
                <w:left w:val="none" w:sz="0" w:space="0" w:color="auto"/>
                <w:bottom w:val="none" w:sz="0" w:space="0" w:color="auto"/>
                <w:right w:val="none" w:sz="0" w:space="0" w:color="auto"/>
              </w:divBdr>
              <w:divsChild>
                <w:div w:id="10628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1500">
      <w:bodyDiv w:val="1"/>
      <w:marLeft w:val="0"/>
      <w:marRight w:val="0"/>
      <w:marTop w:val="0"/>
      <w:marBottom w:val="0"/>
      <w:divBdr>
        <w:top w:val="none" w:sz="0" w:space="0" w:color="auto"/>
        <w:left w:val="none" w:sz="0" w:space="0" w:color="auto"/>
        <w:bottom w:val="none" w:sz="0" w:space="0" w:color="auto"/>
        <w:right w:val="none" w:sz="0" w:space="0" w:color="auto"/>
      </w:divBdr>
      <w:divsChild>
        <w:div w:id="145050325">
          <w:marLeft w:val="0"/>
          <w:marRight w:val="0"/>
          <w:marTop w:val="0"/>
          <w:marBottom w:val="0"/>
          <w:divBdr>
            <w:top w:val="none" w:sz="0" w:space="0" w:color="auto"/>
            <w:left w:val="none" w:sz="0" w:space="0" w:color="auto"/>
            <w:bottom w:val="none" w:sz="0" w:space="0" w:color="auto"/>
            <w:right w:val="none" w:sz="0" w:space="0" w:color="auto"/>
          </w:divBdr>
          <w:divsChild>
            <w:div w:id="2142841766">
              <w:marLeft w:val="0"/>
              <w:marRight w:val="0"/>
              <w:marTop w:val="0"/>
              <w:marBottom w:val="0"/>
              <w:divBdr>
                <w:top w:val="none" w:sz="0" w:space="0" w:color="auto"/>
                <w:left w:val="none" w:sz="0" w:space="0" w:color="auto"/>
                <w:bottom w:val="none" w:sz="0" w:space="0" w:color="auto"/>
                <w:right w:val="none" w:sz="0" w:space="0" w:color="auto"/>
              </w:divBdr>
              <w:divsChild>
                <w:div w:id="7789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60047">
      <w:bodyDiv w:val="1"/>
      <w:marLeft w:val="0"/>
      <w:marRight w:val="0"/>
      <w:marTop w:val="0"/>
      <w:marBottom w:val="0"/>
      <w:divBdr>
        <w:top w:val="none" w:sz="0" w:space="0" w:color="auto"/>
        <w:left w:val="none" w:sz="0" w:space="0" w:color="auto"/>
        <w:bottom w:val="none" w:sz="0" w:space="0" w:color="auto"/>
        <w:right w:val="none" w:sz="0" w:space="0" w:color="auto"/>
      </w:divBdr>
      <w:divsChild>
        <w:div w:id="1117525296">
          <w:marLeft w:val="0"/>
          <w:marRight w:val="0"/>
          <w:marTop w:val="0"/>
          <w:marBottom w:val="0"/>
          <w:divBdr>
            <w:top w:val="none" w:sz="0" w:space="0" w:color="auto"/>
            <w:left w:val="none" w:sz="0" w:space="0" w:color="auto"/>
            <w:bottom w:val="none" w:sz="0" w:space="0" w:color="auto"/>
            <w:right w:val="none" w:sz="0" w:space="0" w:color="auto"/>
          </w:divBdr>
          <w:divsChild>
            <w:div w:id="1934194161">
              <w:marLeft w:val="0"/>
              <w:marRight w:val="0"/>
              <w:marTop w:val="0"/>
              <w:marBottom w:val="0"/>
              <w:divBdr>
                <w:top w:val="none" w:sz="0" w:space="0" w:color="auto"/>
                <w:left w:val="none" w:sz="0" w:space="0" w:color="auto"/>
                <w:bottom w:val="none" w:sz="0" w:space="0" w:color="auto"/>
                <w:right w:val="none" w:sz="0" w:space="0" w:color="auto"/>
              </w:divBdr>
              <w:divsChild>
                <w:div w:id="1567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49467">
      <w:bodyDiv w:val="1"/>
      <w:marLeft w:val="0"/>
      <w:marRight w:val="0"/>
      <w:marTop w:val="0"/>
      <w:marBottom w:val="0"/>
      <w:divBdr>
        <w:top w:val="none" w:sz="0" w:space="0" w:color="auto"/>
        <w:left w:val="none" w:sz="0" w:space="0" w:color="auto"/>
        <w:bottom w:val="none" w:sz="0" w:space="0" w:color="auto"/>
        <w:right w:val="none" w:sz="0" w:space="0" w:color="auto"/>
      </w:divBdr>
      <w:divsChild>
        <w:div w:id="1059129484">
          <w:marLeft w:val="547"/>
          <w:marRight w:val="0"/>
          <w:marTop w:val="0"/>
          <w:marBottom w:val="60"/>
          <w:divBdr>
            <w:top w:val="none" w:sz="0" w:space="0" w:color="auto"/>
            <w:left w:val="none" w:sz="0" w:space="0" w:color="auto"/>
            <w:bottom w:val="none" w:sz="0" w:space="0" w:color="auto"/>
            <w:right w:val="none" w:sz="0" w:space="0" w:color="auto"/>
          </w:divBdr>
        </w:div>
      </w:divsChild>
    </w:div>
    <w:div w:id="2036538310">
      <w:bodyDiv w:val="1"/>
      <w:marLeft w:val="0"/>
      <w:marRight w:val="0"/>
      <w:marTop w:val="0"/>
      <w:marBottom w:val="0"/>
      <w:divBdr>
        <w:top w:val="none" w:sz="0" w:space="0" w:color="auto"/>
        <w:left w:val="none" w:sz="0" w:space="0" w:color="auto"/>
        <w:bottom w:val="none" w:sz="0" w:space="0" w:color="auto"/>
        <w:right w:val="none" w:sz="0" w:space="0" w:color="auto"/>
      </w:divBdr>
      <w:divsChild>
        <w:div w:id="61950494">
          <w:marLeft w:val="0"/>
          <w:marRight w:val="0"/>
          <w:marTop w:val="0"/>
          <w:marBottom w:val="0"/>
          <w:divBdr>
            <w:top w:val="none" w:sz="0" w:space="0" w:color="auto"/>
            <w:left w:val="none" w:sz="0" w:space="0" w:color="auto"/>
            <w:bottom w:val="none" w:sz="0" w:space="0" w:color="auto"/>
            <w:right w:val="none" w:sz="0" w:space="0" w:color="auto"/>
          </w:divBdr>
          <w:divsChild>
            <w:div w:id="148402257">
              <w:marLeft w:val="0"/>
              <w:marRight w:val="0"/>
              <w:marTop w:val="0"/>
              <w:marBottom w:val="0"/>
              <w:divBdr>
                <w:top w:val="none" w:sz="0" w:space="0" w:color="auto"/>
                <w:left w:val="none" w:sz="0" w:space="0" w:color="auto"/>
                <w:bottom w:val="none" w:sz="0" w:space="0" w:color="auto"/>
                <w:right w:val="none" w:sz="0" w:space="0" w:color="auto"/>
              </w:divBdr>
              <w:divsChild>
                <w:div w:id="2505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3661">
      <w:bodyDiv w:val="1"/>
      <w:marLeft w:val="0"/>
      <w:marRight w:val="0"/>
      <w:marTop w:val="0"/>
      <w:marBottom w:val="0"/>
      <w:divBdr>
        <w:top w:val="none" w:sz="0" w:space="0" w:color="auto"/>
        <w:left w:val="none" w:sz="0" w:space="0" w:color="auto"/>
        <w:bottom w:val="none" w:sz="0" w:space="0" w:color="auto"/>
        <w:right w:val="none" w:sz="0" w:space="0" w:color="auto"/>
      </w:divBdr>
      <w:divsChild>
        <w:div w:id="265626413">
          <w:marLeft w:val="0"/>
          <w:marRight w:val="0"/>
          <w:marTop w:val="0"/>
          <w:marBottom w:val="0"/>
          <w:divBdr>
            <w:top w:val="none" w:sz="0" w:space="0" w:color="auto"/>
            <w:left w:val="none" w:sz="0" w:space="0" w:color="auto"/>
            <w:bottom w:val="none" w:sz="0" w:space="0" w:color="auto"/>
            <w:right w:val="none" w:sz="0" w:space="0" w:color="auto"/>
          </w:divBdr>
          <w:divsChild>
            <w:div w:id="1953240433">
              <w:marLeft w:val="0"/>
              <w:marRight w:val="0"/>
              <w:marTop w:val="0"/>
              <w:marBottom w:val="0"/>
              <w:divBdr>
                <w:top w:val="none" w:sz="0" w:space="0" w:color="auto"/>
                <w:left w:val="none" w:sz="0" w:space="0" w:color="auto"/>
                <w:bottom w:val="none" w:sz="0" w:space="0" w:color="auto"/>
                <w:right w:val="none" w:sz="0" w:space="0" w:color="auto"/>
              </w:divBdr>
              <w:divsChild>
                <w:div w:id="21263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1987">
      <w:bodyDiv w:val="1"/>
      <w:marLeft w:val="0"/>
      <w:marRight w:val="0"/>
      <w:marTop w:val="0"/>
      <w:marBottom w:val="0"/>
      <w:divBdr>
        <w:top w:val="none" w:sz="0" w:space="0" w:color="auto"/>
        <w:left w:val="none" w:sz="0" w:space="0" w:color="auto"/>
        <w:bottom w:val="none" w:sz="0" w:space="0" w:color="auto"/>
        <w:right w:val="none" w:sz="0" w:space="0" w:color="auto"/>
      </w:divBdr>
      <w:divsChild>
        <w:div w:id="2018576931">
          <w:marLeft w:val="0"/>
          <w:marRight w:val="0"/>
          <w:marTop w:val="0"/>
          <w:marBottom w:val="0"/>
          <w:divBdr>
            <w:top w:val="none" w:sz="0" w:space="0" w:color="auto"/>
            <w:left w:val="none" w:sz="0" w:space="0" w:color="auto"/>
            <w:bottom w:val="none" w:sz="0" w:space="0" w:color="auto"/>
            <w:right w:val="none" w:sz="0" w:space="0" w:color="auto"/>
          </w:divBdr>
          <w:divsChild>
            <w:div w:id="1299453897">
              <w:marLeft w:val="0"/>
              <w:marRight w:val="0"/>
              <w:marTop w:val="0"/>
              <w:marBottom w:val="0"/>
              <w:divBdr>
                <w:top w:val="none" w:sz="0" w:space="0" w:color="auto"/>
                <w:left w:val="none" w:sz="0" w:space="0" w:color="auto"/>
                <w:bottom w:val="none" w:sz="0" w:space="0" w:color="auto"/>
                <w:right w:val="none" w:sz="0" w:space="0" w:color="auto"/>
              </w:divBdr>
              <w:divsChild>
                <w:div w:id="14964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4270">
      <w:bodyDiv w:val="1"/>
      <w:marLeft w:val="0"/>
      <w:marRight w:val="0"/>
      <w:marTop w:val="0"/>
      <w:marBottom w:val="0"/>
      <w:divBdr>
        <w:top w:val="none" w:sz="0" w:space="0" w:color="auto"/>
        <w:left w:val="none" w:sz="0" w:space="0" w:color="auto"/>
        <w:bottom w:val="none" w:sz="0" w:space="0" w:color="auto"/>
        <w:right w:val="none" w:sz="0" w:space="0" w:color="auto"/>
      </w:divBdr>
      <w:divsChild>
        <w:div w:id="126318624">
          <w:marLeft w:val="0"/>
          <w:marRight w:val="0"/>
          <w:marTop w:val="0"/>
          <w:marBottom w:val="0"/>
          <w:divBdr>
            <w:top w:val="none" w:sz="0" w:space="0" w:color="auto"/>
            <w:left w:val="none" w:sz="0" w:space="0" w:color="auto"/>
            <w:bottom w:val="none" w:sz="0" w:space="0" w:color="auto"/>
            <w:right w:val="none" w:sz="0" w:space="0" w:color="auto"/>
          </w:divBdr>
          <w:divsChild>
            <w:div w:id="2038458495">
              <w:marLeft w:val="0"/>
              <w:marRight w:val="0"/>
              <w:marTop w:val="0"/>
              <w:marBottom w:val="0"/>
              <w:divBdr>
                <w:top w:val="none" w:sz="0" w:space="0" w:color="auto"/>
                <w:left w:val="none" w:sz="0" w:space="0" w:color="auto"/>
                <w:bottom w:val="none" w:sz="0" w:space="0" w:color="auto"/>
                <w:right w:val="none" w:sz="0" w:space="0" w:color="auto"/>
              </w:divBdr>
              <w:divsChild>
                <w:div w:id="289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7979">
      <w:bodyDiv w:val="1"/>
      <w:marLeft w:val="0"/>
      <w:marRight w:val="0"/>
      <w:marTop w:val="0"/>
      <w:marBottom w:val="0"/>
      <w:divBdr>
        <w:top w:val="none" w:sz="0" w:space="0" w:color="auto"/>
        <w:left w:val="none" w:sz="0" w:space="0" w:color="auto"/>
        <w:bottom w:val="none" w:sz="0" w:space="0" w:color="auto"/>
        <w:right w:val="none" w:sz="0" w:space="0" w:color="auto"/>
      </w:divBdr>
      <w:divsChild>
        <w:div w:id="881866008">
          <w:marLeft w:val="0"/>
          <w:marRight w:val="0"/>
          <w:marTop w:val="0"/>
          <w:marBottom w:val="0"/>
          <w:divBdr>
            <w:top w:val="none" w:sz="0" w:space="0" w:color="auto"/>
            <w:left w:val="none" w:sz="0" w:space="0" w:color="auto"/>
            <w:bottom w:val="none" w:sz="0" w:space="0" w:color="auto"/>
            <w:right w:val="none" w:sz="0" w:space="0" w:color="auto"/>
          </w:divBdr>
          <w:divsChild>
            <w:div w:id="993601657">
              <w:marLeft w:val="0"/>
              <w:marRight w:val="0"/>
              <w:marTop w:val="0"/>
              <w:marBottom w:val="0"/>
              <w:divBdr>
                <w:top w:val="none" w:sz="0" w:space="0" w:color="auto"/>
                <w:left w:val="none" w:sz="0" w:space="0" w:color="auto"/>
                <w:bottom w:val="none" w:sz="0" w:space="0" w:color="auto"/>
                <w:right w:val="none" w:sz="0" w:space="0" w:color="auto"/>
              </w:divBdr>
              <w:divsChild>
                <w:div w:id="192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91372C-A594-4506-A3B8-C21B14A52650}">
  <ds:schemaRefs>
    <ds:schemaRef ds:uri="http://schemas.openxmlformats.org/officeDocument/2006/bibliography"/>
  </ds:schemaRefs>
</ds:datastoreItem>
</file>

<file path=customXml/itemProps2.xml><?xml version="1.0" encoding="utf-8"?>
<ds:datastoreItem xmlns:ds="http://schemas.openxmlformats.org/officeDocument/2006/customXml" ds:itemID="{A880182E-E321-4E78-98BF-3ABDA920D653}"/>
</file>

<file path=customXml/itemProps3.xml><?xml version="1.0" encoding="utf-8"?>
<ds:datastoreItem xmlns:ds="http://schemas.openxmlformats.org/officeDocument/2006/customXml" ds:itemID="{735DA0A0-14D8-4B72-B830-DF1541A6ADF7}"/>
</file>

<file path=customXml/itemProps4.xml><?xml version="1.0" encoding="utf-8"?>
<ds:datastoreItem xmlns:ds="http://schemas.openxmlformats.org/officeDocument/2006/customXml" ds:itemID="{1031FED2-D29A-4FA7-9A79-83438FDB72B5}"/>
</file>

<file path=docProps/app.xml><?xml version="1.0" encoding="utf-8"?>
<Properties xmlns="http://schemas.openxmlformats.org/officeDocument/2006/extended-properties" xmlns:vt="http://schemas.openxmlformats.org/officeDocument/2006/docPropsVTypes">
  <Template>Normal</Template>
  <TotalTime>8</TotalTime>
  <Pages>18</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dc:creator>
  <cp:keywords/>
  <dc:description/>
  <cp:lastModifiedBy>Aulia Isnaini Putri</cp:lastModifiedBy>
  <cp:revision>4</cp:revision>
  <cp:lastPrinted>2018-08-09T07:49:00Z</cp:lastPrinted>
  <dcterms:created xsi:type="dcterms:W3CDTF">2021-02-23T04:45:00Z</dcterms:created>
  <dcterms:modified xsi:type="dcterms:W3CDTF">2021-02-25T01:43:00Z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