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FBC0B" w14:textId="1A2C660F" w:rsidR="00DC69A8" w:rsidRPr="00D27763" w:rsidRDefault="00781F72" w:rsidP="00781F72">
      <w:pPr>
        <w:jc w:val="center"/>
        <w:rPr>
          <w:rFonts w:ascii="Bookman Old Style" w:hAnsi="Bookman Old Style"/>
          <w:sz w:val="20"/>
          <w:szCs w:val="20"/>
        </w:rPr>
      </w:pPr>
      <w:bookmarkStart w:id="0" w:name="_GoBack"/>
      <w:bookmarkEnd w:id="0"/>
      <w:r w:rsidRPr="00D27763">
        <w:rPr>
          <w:rFonts w:ascii="Bookman Old Style" w:hAnsi="Bookman Old Style"/>
          <w:sz w:val="20"/>
          <w:szCs w:val="20"/>
        </w:rPr>
        <w:t>MATRIKS TANGGAPAN</w:t>
      </w:r>
    </w:p>
    <w:p w14:paraId="422AA489" w14:textId="77777777" w:rsidR="007112F1" w:rsidRPr="00D27763" w:rsidRDefault="00A041A1" w:rsidP="007112F1">
      <w:pPr>
        <w:spacing w:line="360" w:lineRule="auto"/>
        <w:jc w:val="center"/>
        <w:rPr>
          <w:rFonts w:ascii="Bookman Old Style" w:hAnsi="Bookman Old Style"/>
          <w:sz w:val="20"/>
          <w:szCs w:val="20"/>
        </w:rPr>
      </w:pPr>
      <w:bookmarkStart w:id="1" w:name="_Hlk78277036"/>
      <w:r w:rsidRPr="00D27763">
        <w:rPr>
          <w:rFonts w:ascii="Bookman Old Style" w:hAnsi="Bookman Old Style"/>
          <w:bCs/>
          <w:sz w:val="20"/>
          <w:szCs w:val="20"/>
        </w:rPr>
        <w:t xml:space="preserve">RANCANGAN </w:t>
      </w:r>
      <w:bookmarkEnd w:id="1"/>
      <w:r w:rsidR="007112F1" w:rsidRPr="00D27763">
        <w:rPr>
          <w:rFonts w:ascii="Bookman Old Style" w:hAnsi="Bookman Old Style"/>
          <w:sz w:val="20"/>
          <w:szCs w:val="20"/>
        </w:rPr>
        <w:t>SURAT EDARAN OTORITAS JASA KEUANGAN</w:t>
      </w:r>
    </w:p>
    <w:p w14:paraId="4BB8ECD6" w14:textId="196B59FE" w:rsidR="00205885" w:rsidRPr="007112F1" w:rsidRDefault="007112F1" w:rsidP="007112F1">
      <w:pPr>
        <w:spacing w:after="0" w:line="276" w:lineRule="auto"/>
        <w:contextualSpacing/>
        <w:jc w:val="center"/>
        <w:rPr>
          <w:rFonts w:ascii="Bookman Old Style" w:hAnsi="Bookman Old Style"/>
          <w:sz w:val="20"/>
          <w:szCs w:val="20"/>
        </w:rPr>
      </w:pPr>
      <w:r w:rsidRPr="007112F1">
        <w:rPr>
          <w:rFonts w:ascii="Bookman Old Style" w:hAnsi="Bookman Old Style"/>
          <w:sz w:val="20"/>
          <w:szCs w:val="20"/>
        </w:rPr>
        <w:t>PEMBELIAN KEMBALI SAHAM PERUSAHAAN TERBUKA DALAM RANGKA PERUBAHAN STATUS PERUSAHAAN TERBUKA MENJADI PERSEROAN YANG TERTUTUP AKIBAT DIBATALKANNYA PENCATATAN EFEK OLEH BURSA EFEK INDONESIA KARENA PERUSAHAAN TERBUKA MENGALAMI SUATU KONDISI ATAU PERISTIWA YANG SIGNIFIKAN BERPENGARUH NEGATIF TERHADAP KELANGSUNGAN USAHA PERUSAHAAN TERBUKA</w:t>
      </w:r>
    </w:p>
    <w:p w14:paraId="34541E00" w14:textId="372E0B18" w:rsidR="00903AFF" w:rsidRPr="00D27763" w:rsidRDefault="00903AFF" w:rsidP="00205885">
      <w:pPr>
        <w:rPr>
          <w:rFonts w:ascii="Bookman Old Style" w:hAnsi="Bookman Old Style"/>
          <w:sz w:val="20"/>
          <w:szCs w:val="20"/>
        </w:rPr>
      </w:pPr>
    </w:p>
    <w:tbl>
      <w:tblPr>
        <w:tblStyle w:val="TableGrid"/>
        <w:tblW w:w="0" w:type="auto"/>
        <w:tblLook w:val="04A0" w:firstRow="1" w:lastRow="0" w:firstColumn="1" w:lastColumn="0" w:noHBand="0" w:noVBand="1"/>
      </w:tblPr>
      <w:tblGrid>
        <w:gridCol w:w="6091"/>
        <w:gridCol w:w="4536"/>
        <w:gridCol w:w="4394"/>
      </w:tblGrid>
      <w:tr w:rsidR="003B4C8D" w:rsidRPr="00D27763" w14:paraId="7AC5BB76" w14:textId="77777777" w:rsidTr="005564B8">
        <w:tc>
          <w:tcPr>
            <w:tcW w:w="6091" w:type="dxa"/>
          </w:tcPr>
          <w:p w14:paraId="357623C7" w14:textId="4F0AAAFA" w:rsidR="003B4C8D" w:rsidRPr="00D27763" w:rsidRDefault="000B58A8" w:rsidP="000F2051">
            <w:pPr>
              <w:spacing w:line="276" w:lineRule="auto"/>
              <w:contextualSpacing/>
              <w:jc w:val="center"/>
              <w:rPr>
                <w:rFonts w:ascii="Bookman Old Style" w:hAnsi="Bookman Old Style"/>
                <w:b/>
                <w:bCs/>
                <w:sz w:val="20"/>
                <w:szCs w:val="20"/>
              </w:rPr>
            </w:pPr>
            <w:r w:rsidRPr="00D27763">
              <w:rPr>
                <w:rFonts w:ascii="Bookman Old Style" w:hAnsi="Bookman Old Style"/>
                <w:b/>
                <w:bCs/>
                <w:sz w:val="20"/>
                <w:szCs w:val="20"/>
              </w:rPr>
              <w:t>Draft R</w:t>
            </w:r>
            <w:r w:rsidR="00205885" w:rsidRPr="00D27763">
              <w:rPr>
                <w:rFonts w:ascii="Bookman Old Style" w:hAnsi="Bookman Old Style"/>
                <w:b/>
                <w:bCs/>
                <w:sz w:val="20"/>
                <w:szCs w:val="20"/>
              </w:rPr>
              <w:t>SE</w:t>
            </w:r>
            <w:r w:rsidRPr="00D27763">
              <w:rPr>
                <w:rFonts w:ascii="Bookman Old Style" w:hAnsi="Bookman Old Style"/>
                <w:b/>
                <w:bCs/>
                <w:sz w:val="20"/>
                <w:szCs w:val="20"/>
              </w:rPr>
              <w:t>OJK</w:t>
            </w:r>
          </w:p>
        </w:tc>
        <w:tc>
          <w:tcPr>
            <w:tcW w:w="4536" w:type="dxa"/>
          </w:tcPr>
          <w:p w14:paraId="104750B4" w14:textId="7EE1CF8D" w:rsidR="003B4C8D" w:rsidRPr="00D27763" w:rsidRDefault="009266A7" w:rsidP="000F2051">
            <w:pPr>
              <w:spacing w:line="276" w:lineRule="auto"/>
              <w:contextualSpacing/>
              <w:jc w:val="center"/>
              <w:rPr>
                <w:rFonts w:ascii="Bookman Old Style" w:hAnsi="Bookman Old Style"/>
                <w:b/>
                <w:bCs/>
                <w:sz w:val="20"/>
                <w:szCs w:val="20"/>
              </w:rPr>
            </w:pPr>
            <w:r w:rsidRPr="00D27763">
              <w:rPr>
                <w:rFonts w:ascii="Bookman Old Style" w:hAnsi="Bookman Old Style"/>
                <w:b/>
                <w:bCs/>
                <w:sz w:val="20"/>
                <w:szCs w:val="20"/>
              </w:rPr>
              <w:t>Tanggapan</w:t>
            </w:r>
          </w:p>
        </w:tc>
        <w:tc>
          <w:tcPr>
            <w:tcW w:w="4394" w:type="dxa"/>
          </w:tcPr>
          <w:p w14:paraId="1AEFC0D7" w14:textId="38E4A28D" w:rsidR="003B4C8D" w:rsidRPr="00D27763" w:rsidRDefault="009266A7" w:rsidP="000F2051">
            <w:pPr>
              <w:spacing w:line="276" w:lineRule="auto"/>
              <w:contextualSpacing/>
              <w:jc w:val="center"/>
              <w:rPr>
                <w:rFonts w:ascii="Bookman Old Style" w:hAnsi="Bookman Old Style"/>
                <w:b/>
                <w:bCs/>
                <w:sz w:val="20"/>
                <w:szCs w:val="20"/>
              </w:rPr>
            </w:pPr>
            <w:r w:rsidRPr="00D27763">
              <w:rPr>
                <w:rFonts w:ascii="Bookman Old Style" w:hAnsi="Bookman Old Style"/>
                <w:b/>
                <w:bCs/>
                <w:sz w:val="20"/>
                <w:szCs w:val="20"/>
              </w:rPr>
              <w:t xml:space="preserve">Usulan Perubahan </w:t>
            </w:r>
          </w:p>
        </w:tc>
      </w:tr>
      <w:tr w:rsidR="003B4C8D" w:rsidRPr="00D27763" w14:paraId="729D8459" w14:textId="77777777" w:rsidTr="005564B8">
        <w:tc>
          <w:tcPr>
            <w:tcW w:w="6091" w:type="dxa"/>
          </w:tcPr>
          <w:p w14:paraId="39B64DCE" w14:textId="77777777" w:rsidR="00577542" w:rsidRPr="00D27763" w:rsidRDefault="00577542" w:rsidP="000F2051">
            <w:pPr>
              <w:spacing w:line="276" w:lineRule="auto"/>
              <w:contextualSpacing/>
              <w:jc w:val="center"/>
              <w:rPr>
                <w:rFonts w:ascii="Bookman Old Style" w:hAnsi="Bookman Old Style"/>
                <w:sz w:val="20"/>
                <w:szCs w:val="20"/>
              </w:rPr>
            </w:pPr>
            <w:r w:rsidRPr="00D27763">
              <w:rPr>
                <w:rFonts w:ascii="Bookman Old Style" w:hAnsi="Bookman Old Style"/>
                <w:noProof/>
                <w:sz w:val="20"/>
                <w:szCs w:val="20"/>
                <w:lang w:val="en-US"/>
              </w:rPr>
              <w:drawing>
                <wp:inline distT="0" distB="0" distL="0" distR="0" wp14:anchorId="7AE60897" wp14:editId="65E49485">
                  <wp:extent cx="831273" cy="819397"/>
                  <wp:effectExtent l="0" t="0" r="6985" b="0"/>
                  <wp:docPr id="1" name="Picture 1" descr="Description: garuda"/>
                  <wp:cNvGraphicFramePr/>
                  <a:graphic xmlns:a="http://schemas.openxmlformats.org/drawingml/2006/main">
                    <a:graphicData uri="http://schemas.openxmlformats.org/drawingml/2006/picture">
                      <pic:pic xmlns:pic="http://schemas.openxmlformats.org/drawingml/2006/picture">
                        <pic:nvPicPr>
                          <pic:cNvPr id="1" name="Picture 1" descr="Description: garuda"/>
                          <pic:cNvPicPr/>
                        </pic:nvPicPr>
                        <pic:blipFill>
                          <a:blip r:embed="rId6" cstate="print"/>
                          <a:srcRect/>
                          <a:stretch>
                            <a:fillRect/>
                          </a:stretch>
                        </pic:blipFill>
                        <pic:spPr bwMode="auto">
                          <a:xfrm>
                            <a:off x="0" y="0"/>
                            <a:ext cx="835213" cy="823281"/>
                          </a:xfrm>
                          <a:prstGeom prst="rect">
                            <a:avLst/>
                          </a:prstGeom>
                          <a:noFill/>
                          <a:ln w="9525">
                            <a:noFill/>
                            <a:miter lim="800000"/>
                            <a:headEnd/>
                            <a:tailEnd/>
                          </a:ln>
                        </pic:spPr>
                      </pic:pic>
                    </a:graphicData>
                  </a:graphic>
                </wp:inline>
              </w:drawing>
            </w:r>
          </w:p>
          <w:p w14:paraId="21D3B0C7" w14:textId="77777777" w:rsidR="00577542" w:rsidRPr="00D27763" w:rsidRDefault="00577542" w:rsidP="000F2051">
            <w:pPr>
              <w:keepNext/>
              <w:keepLines/>
              <w:autoSpaceDE w:val="0"/>
              <w:autoSpaceDN w:val="0"/>
              <w:spacing w:line="276" w:lineRule="auto"/>
              <w:contextualSpacing/>
              <w:jc w:val="center"/>
              <w:rPr>
                <w:rFonts w:ascii="Bookman Old Style" w:eastAsia="Times New Roman" w:hAnsi="Bookman Old Style" w:cs="Times New Roman"/>
                <w:sz w:val="20"/>
                <w:szCs w:val="20"/>
              </w:rPr>
            </w:pPr>
            <w:r w:rsidRPr="00D27763">
              <w:rPr>
                <w:rFonts w:ascii="Bookman Old Style" w:eastAsia="Times New Roman" w:hAnsi="Bookman Old Style" w:cs="Times New Roman"/>
                <w:sz w:val="20"/>
                <w:szCs w:val="20"/>
                <w:lang w:val="en-US"/>
              </w:rPr>
              <w:t xml:space="preserve">OTORITAS JASA KEUANGAN </w:t>
            </w:r>
          </w:p>
          <w:p w14:paraId="51318D12" w14:textId="77777777" w:rsidR="00577542" w:rsidRPr="00D27763" w:rsidRDefault="00577542" w:rsidP="000F2051">
            <w:pPr>
              <w:keepNext/>
              <w:keepLines/>
              <w:autoSpaceDE w:val="0"/>
              <w:autoSpaceDN w:val="0"/>
              <w:spacing w:line="276" w:lineRule="auto"/>
              <w:contextualSpacing/>
              <w:jc w:val="center"/>
              <w:rPr>
                <w:rFonts w:ascii="Bookman Old Style" w:eastAsia="Times New Roman" w:hAnsi="Bookman Old Style" w:cs="Times New Roman"/>
                <w:noProof/>
                <w:sz w:val="20"/>
                <w:szCs w:val="20"/>
              </w:rPr>
            </w:pPr>
            <w:r w:rsidRPr="00D27763">
              <w:rPr>
                <w:rFonts w:ascii="Bookman Old Style" w:eastAsia="Times New Roman" w:hAnsi="Bookman Old Style" w:cs="Times New Roman"/>
                <w:sz w:val="20"/>
                <w:szCs w:val="20"/>
                <w:lang w:val="en-US"/>
              </w:rPr>
              <w:t>REPUBLIK INDONESIA</w:t>
            </w:r>
          </w:p>
          <w:p w14:paraId="74FDD004" w14:textId="77777777" w:rsidR="00577542" w:rsidRPr="00D27763" w:rsidRDefault="00577542" w:rsidP="000F2051">
            <w:pPr>
              <w:spacing w:line="276" w:lineRule="auto"/>
              <w:contextualSpacing/>
              <w:jc w:val="center"/>
              <w:rPr>
                <w:rFonts w:ascii="Bookman Old Style" w:hAnsi="Bookman Old Style"/>
                <w:sz w:val="20"/>
                <w:szCs w:val="20"/>
              </w:rPr>
            </w:pPr>
          </w:p>
          <w:p w14:paraId="343F2E20" w14:textId="77777777" w:rsidR="00205885" w:rsidRPr="00D27763" w:rsidRDefault="00205885" w:rsidP="00205885">
            <w:pPr>
              <w:spacing w:line="360" w:lineRule="auto"/>
              <w:jc w:val="center"/>
              <w:rPr>
                <w:rFonts w:ascii="Bookman Old Style" w:hAnsi="Bookman Old Style"/>
                <w:sz w:val="20"/>
                <w:szCs w:val="20"/>
              </w:rPr>
            </w:pPr>
            <w:r w:rsidRPr="00D27763">
              <w:rPr>
                <w:rFonts w:ascii="Bookman Old Style" w:hAnsi="Bookman Old Style"/>
                <w:sz w:val="20"/>
                <w:szCs w:val="20"/>
              </w:rPr>
              <w:t>SURAT EDARAN OTORITAS JASA KEUANGAN</w:t>
            </w:r>
          </w:p>
          <w:p w14:paraId="76D95C6F" w14:textId="77777777" w:rsidR="00205885" w:rsidRPr="00D27763" w:rsidRDefault="00205885" w:rsidP="00205885">
            <w:pPr>
              <w:spacing w:line="360" w:lineRule="auto"/>
              <w:jc w:val="center"/>
              <w:rPr>
                <w:rFonts w:ascii="Bookman Old Style" w:hAnsi="Bookman Old Style"/>
                <w:sz w:val="20"/>
                <w:szCs w:val="20"/>
              </w:rPr>
            </w:pPr>
            <w:r w:rsidRPr="00D27763">
              <w:rPr>
                <w:rFonts w:ascii="Bookman Old Style" w:hAnsi="Bookman Old Style"/>
                <w:sz w:val="20"/>
                <w:szCs w:val="20"/>
              </w:rPr>
              <w:t>NOMOR: ….. /SEOJK.04/2022</w:t>
            </w:r>
          </w:p>
          <w:p w14:paraId="0BBC1439" w14:textId="77777777" w:rsidR="00205885" w:rsidRPr="00D27763" w:rsidRDefault="00205885" w:rsidP="00205885">
            <w:pPr>
              <w:spacing w:line="360" w:lineRule="auto"/>
              <w:jc w:val="center"/>
              <w:rPr>
                <w:rFonts w:ascii="Bookman Old Style" w:hAnsi="Bookman Old Style"/>
                <w:sz w:val="20"/>
                <w:szCs w:val="20"/>
              </w:rPr>
            </w:pPr>
          </w:p>
          <w:p w14:paraId="496098F6" w14:textId="77777777" w:rsidR="00205885" w:rsidRPr="00D27763" w:rsidRDefault="00205885" w:rsidP="00205885">
            <w:pPr>
              <w:spacing w:line="360" w:lineRule="auto"/>
              <w:jc w:val="center"/>
              <w:rPr>
                <w:rFonts w:ascii="Bookman Old Style" w:hAnsi="Bookman Old Style"/>
                <w:sz w:val="20"/>
                <w:szCs w:val="20"/>
              </w:rPr>
            </w:pPr>
            <w:r w:rsidRPr="00D27763">
              <w:rPr>
                <w:rFonts w:ascii="Bookman Old Style" w:hAnsi="Bookman Old Style"/>
                <w:sz w:val="20"/>
                <w:szCs w:val="20"/>
              </w:rPr>
              <w:t>TENTANG</w:t>
            </w:r>
          </w:p>
          <w:p w14:paraId="0EB5A963" w14:textId="33A06FBA" w:rsidR="003B4C8D" w:rsidRPr="00D27763" w:rsidRDefault="00205885" w:rsidP="007112F1">
            <w:pPr>
              <w:spacing w:line="276" w:lineRule="auto"/>
              <w:contextualSpacing/>
              <w:jc w:val="center"/>
              <w:rPr>
                <w:rFonts w:ascii="Bookman Old Style" w:hAnsi="Bookman Old Style"/>
                <w:sz w:val="20"/>
                <w:szCs w:val="20"/>
              </w:rPr>
            </w:pPr>
            <w:r w:rsidRPr="00D27763">
              <w:rPr>
                <w:rFonts w:ascii="Bookman Old Style" w:hAnsi="Bookman Old Style"/>
                <w:sz w:val="20"/>
                <w:szCs w:val="20"/>
              </w:rPr>
              <w:t xml:space="preserve">PEMBELIAN KEMBALI SAHAM PERUSAHAAN TERBUKA DALAM RANGKA PERUBAHAN STATUS PERUSAHAAN TERBUKA MENJADI </w:t>
            </w:r>
            <w:r w:rsidR="007112F1">
              <w:rPr>
                <w:rFonts w:ascii="Bookman Old Style" w:hAnsi="Bookman Old Style"/>
                <w:sz w:val="20"/>
                <w:szCs w:val="20"/>
              </w:rPr>
              <w:t>PERSEROAN YANG</w:t>
            </w:r>
            <w:r w:rsidRPr="00D27763">
              <w:rPr>
                <w:rFonts w:ascii="Bookman Old Style" w:hAnsi="Bookman Old Style"/>
                <w:sz w:val="20"/>
                <w:szCs w:val="20"/>
              </w:rPr>
              <w:t xml:space="preserve"> TERTUTUP AKIBAT </w:t>
            </w:r>
            <w:r w:rsidRPr="00D27763">
              <w:rPr>
                <w:rFonts w:ascii="Bookman Old Style" w:hAnsi="Bookman Old Style"/>
                <w:bCs/>
                <w:sz w:val="20"/>
                <w:szCs w:val="20"/>
                <w:lang w:val="en-US"/>
              </w:rPr>
              <w:t xml:space="preserve">DIBATALKANNYA PENCATATAN EFEK OLEH BURSA EFEK INDONESIA KARENA </w:t>
            </w:r>
            <w:r w:rsidRPr="00D27763">
              <w:rPr>
                <w:rFonts w:ascii="Bookman Old Style" w:hAnsi="Bookman Old Style"/>
                <w:bCs/>
                <w:iCs/>
                <w:sz w:val="20"/>
                <w:szCs w:val="20"/>
              </w:rPr>
              <w:t>PERUSAHAAN TERBUKA MENGALAMI SUATU KONDISI ATAU PERISTIWA YANG SIGNIFIKAN BERPENGARUH NEGATIF TERHADAP KELANGSUNGAN USAHA PERUSAHAAN TERBUKA</w:t>
            </w:r>
          </w:p>
        </w:tc>
        <w:tc>
          <w:tcPr>
            <w:tcW w:w="4536" w:type="dxa"/>
          </w:tcPr>
          <w:p w14:paraId="6A2FF6D5" w14:textId="363CD344" w:rsidR="003B4C8D" w:rsidRPr="00D27763" w:rsidRDefault="003B4C8D" w:rsidP="000F2051">
            <w:pPr>
              <w:keepNext/>
              <w:keepLines/>
              <w:autoSpaceDE w:val="0"/>
              <w:autoSpaceDN w:val="0"/>
              <w:spacing w:line="276" w:lineRule="auto"/>
              <w:contextualSpacing/>
              <w:jc w:val="center"/>
              <w:rPr>
                <w:rFonts w:ascii="Bookman Old Style" w:hAnsi="Bookman Old Style"/>
                <w:sz w:val="20"/>
                <w:szCs w:val="20"/>
              </w:rPr>
            </w:pPr>
          </w:p>
        </w:tc>
        <w:tc>
          <w:tcPr>
            <w:tcW w:w="4394" w:type="dxa"/>
          </w:tcPr>
          <w:p w14:paraId="4D1D283D" w14:textId="77777777" w:rsidR="003B4C8D" w:rsidRPr="00D27763" w:rsidRDefault="003B4C8D" w:rsidP="000F2051">
            <w:pPr>
              <w:spacing w:line="276" w:lineRule="auto"/>
              <w:contextualSpacing/>
              <w:jc w:val="center"/>
              <w:rPr>
                <w:rFonts w:ascii="Bookman Old Style" w:hAnsi="Bookman Old Style"/>
                <w:sz w:val="20"/>
                <w:szCs w:val="20"/>
              </w:rPr>
            </w:pPr>
          </w:p>
        </w:tc>
      </w:tr>
      <w:tr w:rsidR="003B4C8D" w:rsidRPr="00D27763" w14:paraId="42063295" w14:textId="77777777" w:rsidTr="005564B8">
        <w:tc>
          <w:tcPr>
            <w:tcW w:w="6091" w:type="dxa"/>
          </w:tcPr>
          <w:p w14:paraId="1FEB4285" w14:textId="77777777" w:rsidR="003B4C8D" w:rsidRPr="00D27763" w:rsidRDefault="003B4C8D" w:rsidP="000F2051">
            <w:pPr>
              <w:spacing w:line="276" w:lineRule="auto"/>
              <w:contextualSpacing/>
              <w:jc w:val="center"/>
              <w:rPr>
                <w:rFonts w:ascii="Bookman Old Style" w:hAnsi="Bookman Old Style"/>
                <w:sz w:val="20"/>
                <w:szCs w:val="20"/>
              </w:rPr>
            </w:pPr>
          </w:p>
        </w:tc>
        <w:tc>
          <w:tcPr>
            <w:tcW w:w="4536" w:type="dxa"/>
          </w:tcPr>
          <w:p w14:paraId="1F63A948" w14:textId="77777777" w:rsidR="003B4C8D" w:rsidRPr="00D27763" w:rsidRDefault="003B4C8D" w:rsidP="000F2051">
            <w:pPr>
              <w:spacing w:line="276" w:lineRule="auto"/>
              <w:contextualSpacing/>
              <w:jc w:val="center"/>
              <w:rPr>
                <w:rFonts w:ascii="Bookman Old Style" w:hAnsi="Bookman Old Style"/>
                <w:sz w:val="20"/>
                <w:szCs w:val="20"/>
              </w:rPr>
            </w:pPr>
          </w:p>
        </w:tc>
        <w:tc>
          <w:tcPr>
            <w:tcW w:w="4394" w:type="dxa"/>
          </w:tcPr>
          <w:p w14:paraId="4D61F524" w14:textId="77777777" w:rsidR="003B4C8D" w:rsidRPr="00D27763" w:rsidRDefault="003B4C8D" w:rsidP="000F2051">
            <w:pPr>
              <w:spacing w:line="276" w:lineRule="auto"/>
              <w:contextualSpacing/>
              <w:jc w:val="center"/>
              <w:rPr>
                <w:rFonts w:ascii="Bookman Old Style" w:hAnsi="Bookman Old Style"/>
                <w:sz w:val="20"/>
                <w:szCs w:val="20"/>
              </w:rPr>
            </w:pPr>
          </w:p>
        </w:tc>
      </w:tr>
      <w:tr w:rsidR="003B4C8D" w:rsidRPr="00D27763" w14:paraId="51D8A69C" w14:textId="77777777" w:rsidTr="005564B8">
        <w:tc>
          <w:tcPr>
            <w:tcW w:w="6091" w:type="dxa"/>
          </w:tcPr>
          <w:p w14:paraId="07462214" w14:textId="77777777" w:rsidR="003B4C8D" w:rsidRPr="00D27763" w:rsidRDefault="003B4C8D" w:rsidP="000F2051">
            <w:pPr>
              <w:spacing w:line="276" w:lineRule="auto"/>
              <w:contextualSpacing/>
              <w:jc w:val="center"/>
              <w:rPr>
                <w:rFonts w:ascii="Bookman Old Style" w:hAnsi="Bookman Old Style"/>
                <w:sz w:val="20"/>
                <w:szCs w:val="20"/>
              </w:rPr>
            </w:pPr>
          </w:p>
        </w:tc>
        <w:tc>
          <w:tcPr>
            <w:tcW w:w="4536" w:type="dxa"/>
          </w:tcPr>
          <w:p w14:paraId="28961F8D" w14:textId="77777777" w:rsidR="003B4C8D" w:rsidRPr="00D27763" w:rsidRDefault="003B4C8D" w:rsidP="000F2051">
            <w:pPr>
              <w:spacing w:line="276" w:lineRule="auto"/>
              <w:contextualSpacing/>
              <w:jc w:val="center"/>
              <w:rPr>
                <w:rFonts w:ascii="Bookman Old Style" w:hAnsi="Bookman Old Style"/>
                <w:sz w:val="20"/>
                <w:szCs w:val="20"/>
              </w:rPr>
            </w:pPr>
          </w:p>
        </w:tc>
        <w:tc>
          <w:tcPr>
            <w:tcW w:w="4394" w:type="dxa"/>
          </w:tcPr>
          <w:p w14:paraId="2245263D" w14:textId="77777777" w:rsidR="003B4C8D" w:rsidRPr="00D27763" w:rsidRDefault="003B4C8D" w:rsidP="000F2051">
            <w:pPr>
              <w:spacing w:line="276" w:lineRule="auto"/>
              <w:contextualSpacing/>
              <w:jc w:val="center"/>
              <w:rPr>
                <w:rFonts w:ascii="Bookman Old Style" w:hAnsi="Bookman Old Style"/>
                <w:sz w:val="20"/>
                <w:szCs w:val="20"/>
              </w:rPr>
            </w:pPr>
          </w:p>
        </w:tc>
      </w:tr>
      <w:tr w:rsidR="003B4C8D" w:rsidRPr="00CF6DF0" w14:paraId="40E8CD50" w14:textId="77777777" w:rsidTr="005564B8">
        <w:tc>
          <w:tcPr>
            <w:tcW w:w="6091" w:type="dxa"/>
          </w:tcPr>
          <w:p w14:paraId="7F7C8E34" w14:textId="50B2DF7B" w:rsidR="003B4C8D" w:rsidRPr="007112F1" w:rsidRDefault="007112F1" w:rsidP="000F2051">
            <w:pPr>
              <w:spacing w:line="276" w:lineRule="auto"/>
              <w:contextualSpacing/>
              <w:jc w:val="both"/>
              <w:rPr>
                <w:rFonts w:ascii="Bookman Old Style" w:hAnsi="Bookman Old Style"/>
                <w:sz w:val="20"/>
                <w:szCs w:val="20"/>
              </w:rPr>
            </w:pPr>
            <w:r w:rsidRPr="007112F1">
              <w:rPr>
                <w:rFonts w:ascii="Bookman Old Style" w:hAnsi="Bookman Old Style"/>
                <w:sz w:val="20"/>
                <w:szCs w:val="20"/>
              </w:rPr>
              <w:t xml:space="preserve">Sehubungan dengan berlakunya Peraturan Otoritas Jasa Keuangan Nomor 3/POJK.04/2021 tentang Penyelenggaraan Kegiatan di Bidang Pasar Modal, serta dalam rangka tindak lanjut penerapannya terutama terkait </w:t>
            </w:r>
            <w:r w:rsidRPr="007112F1">
              <w:rPr>
                <w:rFonts w:ascii="Bookman Old Style" w:hAnsi="Bookman Old Style"/>
                <w:bCs/>
                <w:iCs/>
                <w:sz w:val="20"/>
                <w:szCs w:val="20"/>
              </w:rPr>
              <w:t>pembelian kembali atas seluruh saham Perusahaan Terbuka yang dimiliki oleh pemegang saham publik</w:t>
            </w:r>
            <w:r w:rsidRPr="007112F1">
              <w:rPr>
                <w:rFonts w:ascii="Bookman Old Style" w:hAnsi="Bookman Old Style"/>
                <w:sz w:val="20"/>
                <w:szCs w:val="20"/>
              </w:rPr>
              <w:t xml:space="preserve"> (selanjutnya disebut pembelian kembali saham) dalam </w:t>
            </w:r>
            <w:r w:rsidRPr="007112F1">
              <w:rPr>
                <w:rFonts w:ascii="Bookman Old Style" w:hAnsi="Bookman Old Style"/>
                <w:sz w:val="20"/>
                <w:szCs w:val="20"/>
              </w:rPr>
              <w:lastRenderedPageBreak/>
              <w:t xml:space="preserve">rangka </w:t>
            </w:r>
            <w:r w:rsidRPr="007112F1">
              <w:rPr>
                <w:rFonts w:ascii="Bookman Old Style" w:hAnsi="Bookman Old Style"/>
                <w:bCs/>
                <w:sz w:val="20"/>
                <w:szCs w:val="20"/>
                <w:lang w:val="en-US"/>
              </w:rPr>
              <w:t xml:space="preserve">perubahan </w:t>
            </w:r>
            <w:r w:rsidRPr="007112F1">
              <w:rPr>
                <w:rFonts w:ascii="Bookman Old Style" w:hAnsi="Bookman Old Style"/>
                <w:bCs/>
                <w:iCs/>
                <w:sz w:val="20"/>
                <w:szCs w:val="20"/>
                <w:lang w:val="id-ID"/>
              </w:rPr>
              <w:t>status dari Perusahaan Terbuka menjadi Perseroan yang tertutup</w:t>
            </w:r>
            <w:r w:rsidRPr="007112F1">
              <w:rPr>
                <w:rFonts w:ascii="Bookman Old Style" w:hAnsi="Bookman Old Style"/>
                <w:bCs/>
                <w:i/>
                <w:iCs/>
                <w:sz w:val="20"/>
                <w:szCs w:val="20"/>
                <w:lang w:val="id-ID"/>
              </w:rPr>
              <w:t xml:space="preserve"> </w:t>
            </w:r>
            <w:r w:rsidRPr="007112F1">
              <w:rPr>
                <w:rFonts w:ascii="Bookman Old Style" w:hAnsi="Bookman Old Style"/>
                <w:bCs/>
                <w:sz w:val="20"/>
                <w:szCs w:val="20"/>
                <w:lang w:val="en-US"/>
              </w:rPr>
              <w:t xml:space="preserve">setelah dibatalkannya pencatatan efek oleh Bursa Efek Indonesia karena </w:t>
            </w:r>
            <w:r w:rsidRPr="007112F1">
              <w:rPr>
                <w:rFonts w:ascii="Bookman Old Style" w:hAnsi="Bookman Old Style"/>
                <w:bCs/>
                <w:iCs/>
                <w:sz w:val="20"/>
                <w:szCs w:val="20"/>
              </w:rPr>
              <w:t>Perusahaan Terbuka mengalami suatu kondisi atau peristiwa yang signifikan berpengaruh negatif terhadap kelangsungan usaha Perusahaan Terbuka</w:t>
            </w:r>
            <w:r w:rsidRPr="007112F1">
              <w:rPr>
                <w:rFonts w:ascii="Bookman Old Style" w:hAnsi="Bookman Old Style"/>
                <w:iCs/>
                <w:sz w:val="20"/>
                <w:szCs w:val="20"/>
              </w:rPr>
              <w:t>,</w:t>
            </w:r>
            <w:r w:rsidRPr="007112F1">
              <w:rPr>
                <w:rFonts w:ascii="Bookman Old Style" w:hAnsi="Bookman Old Style"/>
                <w:sz w:val="20"/>
                <w:szCs w:val="20"/>
              </w:rPr>
              <w:t xml:space="preserve"> maka perlu diatur ketentuan mengenai Pembelian Kembali Saham Perusahaan Terbuka dalam rangka Perubahan Status Perusahaan Terbuka Menjadi Perseroan yang Tertutup Akibat </w:t>
            </w:r>
            <w:r w:rsidRPr="007112F1">
              <w:rPr>
                <w:rFonts w:ascii="Bookman Old Style" w:hAnsi="Bookman Old Style"/>
                <w:bCs/>
                <w:sz w:val="20"/>
                <w:szCs w:val="20"/>
                <w:lang w:val="en-US"/>
              </w:rPr>
              <w:t xml:space="preserve">Dibatalkannya Pencatatan Efek Oleh Bursa Efek Indonesia Karena </w:t>
            </w:r>
            <w:r w:rsidRPr="007112F1">
              <w:rPr>
                <w:rFonts w:ascii="Bookman Old Style" w:hAnsi="Bookman Old Style"/>
                <w:bCs/>
                <w:iCs/>
                <w:sz w:val="20"/>
                <w:szCs w:val="20"/>
              </w:rPr>
              <w:t>Perusahaan Terbuka Mengalami Suatu Kondisi Atau Peristiwa Yang Signifikan Berpengaruh Negatif Terhadap Kelangsungan Usaha Perusahaan Terbuka dalam suatu Surat Edaran Dewan Komisioner Otoritas Jasa Keuangan sebagai berikut:</w:t>
            </w:r>
          </w:p>
        </w:tc>
        <w:tc>
          <w:tcPr>
            <w:tcW w:w="4536" w:type="dxa"/>
          </w:tcPr>
          <w:p w14:paraId="6868516E" w14:textId="0F7EAB54" w:rsidR="003B4C8D" w:rsidRPr="00CF6DF0" w:rsidRDefault="003B4C8D" w:rsidP="000F2051">
            <w:pPr>
              <w:spacing w:line="276" w:lineRule="auto"/>
              <w:contextualSpacing/>
              <w:jc w:val="both"/>
              <w:rPr>
                <w:rFonts w:ascii="Bookman Old Style" w:hAnsi="Bookman Old Style"/>
                <w:sz w:val="20"/>
                <w:szCs w:val="20"/>
              </w:rPr>
            </w:pPr>
          </w:p>
        </w:tc>
        <w:tc>
          <w:tcPr>
            <w:tcW w:w="4394" w:type="dxa"/>
          </w:tcPr>
          <w:p w14:paraId="0508E293" w14:textId="77777777" w:rsidR="003B4C8D" w:rsidRPr="00CF6DF0" w:rsidRDefault="003B4C8D" w:rsidP="000F2051">
            <w:pPr>
              <w:spacing w:line="276" w:lineRule="auto"/>
              <w:contextualSpacing/>
              <w:jc w:val="center"/>
              <w:rPr>
                <w:rFonts w:ascii="Bookman Old Style" w:hAnsi="Bookman Old Style"/>
                <w:sz w:val="20"/>
                <w:szCs w:val="20"/>
              </w:rPr>
            </w:pPr>
          </w:p>
        </w:tc>
      </w:tr>
      <w:tr w:rsidR="001D1457" w:rsidRPr="00CF6DF0" w14:paraId="613BFB10" w14:textId="77777777" w:rsidTr="005564B8">
        <w:tc>
          <w:tcPr>
            <w:tcW w:w="6091" w:type="dxa"/>
          </w:tcPr>
          <w:p w14:paraId="617FD39F" w14:textId="5F4C69DB" w:rsidR="001D1457" w:rsidRPr="00CF6DF0" w:rsidRDefault="003D2920" w:rsidP="0004319F">
            <w:pPr>
              <w:pStyle w:val="ListParagraph"/>
              <w:numPr>
                <w:ilvl w:val="0"/>
                <w:numId w:val="2"/>
              </w:numPr>
              <w:spacing w:line="276" w:lineRule="auto"/>
              <w:ind w:left="451" w:hanging="283"/>
              <w:rPr>
                <w:rFonts w:ascii="Bookman Old Style" w:hAnsi="Bookman Old Style"/>
                <w:sz w:val="20"/>
                <w:szCs w:val="20"/>
              </w:rPr>
            </w:pPr>
            <w:r w:rsidRPr="00CF6DF0">
              <w:rPr>
                <w:rFonts w:ascii="Bookman Old Style" w:hAnsi="Bookman Old Style"/>
                <w:sz w:val="20"/>
                <w:szCs w:val="20"/>
              </w:rPr>
              <w:t>KETENTUAN UMUM</w:t>
            </w:r>
          </w:p>
        </w:tc>
        <w:tc>
          <w:tcPr>
            <w:tcW w:w="4536" w:type="dxa"/>
          </w:tcPr>
          <w:p w14:paraId="7FE65532" w14:textId="097F7270" w:rsidR="001D1457" w:rsidRPr="00CF6DF0" w:rsidRDefault="001D1457" w:rsidP="000F2051">
            <w:pPr>
              <w:spacing w:line="276" w:lineRule="auto"/>
              <w:contextualSpacing/>
              <w:rPr>
                <w:rFonts w:ascii="Bookman Old Style" w:hAnsi="Bookman Old Style"/>
                <w:sz w:val="20"/>
                <w:szCs w:val="20"/>
              </w:rPr>
            </w:pPr>
          </w:p>
        </w:tc>
        <w:tc>
          <w:tcPr>
            <w:tcW w:w="4394" w:type="dxa"/>
          </w:tcPr>
          <w:p w14:paraId="425F6895" w14:textId="77777777" w:rsidR="001D1457" w:rsidRPr="00CF6DF0" w:rsidRDefault="001D1457" w:rsidP="000F2051">
            <w:pPr>
              <w:spacing w:line="276" w:lineRule="auto"/>
              <w:contextualSpacing/>
              <w:jc w:val="center"/>
              <w:rPr>
                <w:rFonts w:ascii="Bookman Old Style" w:hAnsi="Bookman Old Style"/>
                <w:sz w:val="20"/>
                <w:szCs w:val="20"/>
              </w:rPr>
            </w:pPr>
          </w:p>
        </w:tc>
      </w:tr>
      <w:tr w:rsidR="001D1457" w:rsidRPr="00CF6DF0" w14:paraId="691A91AE" w14:textId="77777777" w:rsidTr="005564B8">
        <w:tc>
          <w:tcPr>
            <w:tcW w:w="6091" w:type="dxa"/>
          </w:tcPr>
          <w:p w14:paraId="30984BA9" w14:textId="4B3AC087" w:rsidR="001D1457" w:rsidRPr="00CF6DF0" w:rsidRDefault="001F7ABF" w:rsidP="001F7ABF">
            <w:pPr>
              <w:pStyle w:val="ListParagraph"/>
              <w:spacing w:line="276" w:lineRule="auto"/>
              <w:ind w:left="451"/>
              <w:rPr>
                <w:rFonts w:ascii="Bookman Old Style" w:hAnsi="Bookman Old Style"/>
                <w:sz w:val="20"/>
                <w:szCs w:val="20"/>
              </w:rPr>
            </w:pPr>
            <w:r w:rsidRPr="00CF6DF0">
              <w:rPr>
                <w:rFonts w:ascii="Bookman Old Style" w:hAnsi="Bookman Old Style"/>
                <w:sz w:val="20"/>
                <w:szCs w:val="20"/>
              </w:rPr>
              <w:t>Dalam Surat Edaran Dewan Komisioner Otoritas Jasa Keuangan ini yang dimaksud dengan</w:t>
            </w:r>
          </w:p>
        </w:tc>
        <w:tc>
          <w:tcPr>
            <w:tcW w:w="4536" w:type="dxa"/>
          </w:tcPr>
          <w:p w14:paraId="5D9B6437" w14:textId="7955D9A6" w:rsidR="001D1457" w:rsidRPr="00CF6DF0" w:rsidRDefault="001D1457" w:rsidP="000F2051">
            <w:pPr>
              <w:spacing w:line="276" w:lineRule="auto"/>
              <w:contextualSpacing/>
              <w:rPr>
                <w:rFonts w:ascii="Bookman Old Style" w:hAnsi="Bookman Old Style"/>
                <w:sz w:val="20"/>
                <w:szCs w:val="20"/>
              </w:rPr>
            </w:pPr>
          </w:p>
        </w:tc>
        <w:tc>
          <w:tcPr>
            <w:tcW w:w="4394" w:type="dxa"/>
          </w:tcPr>
          <w:p w14:paraId="2D60794F" w14:textId="77777777" w:rsidR="001D1457" w:rsidRPr="00CF6DF0" w:rsidRDefault="001D1457" w:rsidP="000F2051">
            <w:pPr>
              <w:spacing w:line="276" w:lineRule="auto"/>
              <w:contextualSpacing/>
              <w:jc w:val="center"/>
              <w:rPr>
                <w:rFonts w:ascii="Bookman Old Style" w:hAnsi="Bookman Old Style"/>
                <w:sz w:val="20"/>
                <w:szCs w:val="20"/>
              </w:rPr>
            </w:pPr>
          </w:p>
        </w:tc>
      </w:tr>
      <w:tr w:rsidR="001D1457" w:rsidRPr="00CF6DF0" w14:paraId="5DFB571A" w14:textId="77777777" w:rsidTr="005564B8">
        <w:tc>
          <w:tcPr>
            <w:tcW w:w="6091" w:type="dxa"/>
          </w:tcPr>
          <w:p w14:paraId="31710994" w14:textId="7B5867AC" w:rsidR="001D1457" w:rsidRPr="00CF6DF0" w:rsidRDefault="001F7ABF" w:rsidP="0004319F">
            <w:pPr>
              <w:pStyle w:val="ListParagraph"/>
              <w:numPr>
                <w:ilvl w:val="0"/>
                <w:numId w:val="1"/>
              </w:numPr>
              <w:spacing w:line="276" w:lineRule="auto"/>
              <w:ind w:left="735" w:hanging="306"/>
              <w:jc w:val="both"/>
              <w:rPr>
                <w:rFonts w:ascii="Bookman Old Style" w:hAnsi="Bookman Old Style"/>
                <w:sz w:val="20"/>
                <w:szCs w:val="20"/>
              </w:rPr>
            </w:pPr>
            <w:r w:rsidRPr="00CF6DF0">
              <w:rPr>
                <w:rFonts w:ascii="Bookman Old Style" w:hAnsi="Bookman Old Style"/>
                <w:sz w:val="20"/>
                <w:szCs w:val="20"/>
              </w:rPr>
              <w:t>Efek adalah surat berharga, yaitu surat pengakuan utang, surat berharga komersial, saham, obligasi, tanda bukti utang, Unit Penyertaan kontrak investasi kolektif, kontrak berjangka atas Efek, dan setiap derivatif dari Efek</w:t>
            </w:r>
            <w:r w:rsidR="00855E23" w:rsidRPr="00CF6DF0">
              <w:rPr>
                <w:rFonts w:ascii="Bookman Old Style" w:hAnsi="Bookman Old Style"/>
                <w:sz w:val="20"/>
                <w:szCs w:val="20"/>
              </w:rPr>
              <w:t>.</w:t>
            </w:r>
          </w:p>
        </w:tc>
        <w:tc>
          <w:tcPr>
            <w:tcW w:w="4536" w:type="dxa"/>
          </w:tcPr>
          <w:p w14:paraId="58894B8E" w14:textId="77777777" w:rsidR="001D1457" w:rsidRPr="00CF6DF0" w:rsidRDefault="001D1457" w:rsidP="000F2051">
            <w:pPr>
              <w:spacing w:line="276" w:lineRule="auto"/>
              <w:contextualSpacing/>
              <w:jc w:val="center"/>
              <w:rPr>
                <w:rFonts w:ascii="Bookman Old Style" w:hAnsi="Bookman Old Style"/>
                <w:sz w:val="20"/>
                <w:szCs w:val="20"/>
              </w:rPr>
            </w:pPr>
          </w:p>
        </w:tc>
        <w:tc>
          <w:tcPr>
            <w:tcW w:w="4394" w:type="dxa"/>
          </w:tcPr>
          <w:p w14:paraId="262469CB" w14:textId="77777777" w:rsidR="001D1457" w:rsidRPr="00CF6DF0" w:rsidRDefault="001D1457" w:rsidP="000F2051">
            <w:pPr>
              <w:spacing w:line="276" w:lineRule="auto"/>
              <w:contextualSpacing/>
              <w:jc w:val="center"/>
              <w:rPr>
                <w:rFonts w:ascii="Bookman Old Style" w:hAnsi="Bookman Old Style"/>
                <w:sz w:val="20"/>
                <w:szCs w:val="20"/>
              </w:rPr>
            </w:pPr>
          </w:p>
        </w:tc>
      </w:tr>
      <w:tr w:rsidR="001D1457" w:rsidRPr="00CF6DF0" w14:paraId="3A8E5572" w14:textId="77777777" w:rsidTr="005564B8">
        <w:tc>
          <w:tcPr>
            <w:tcW w:w="6091" w:type="dxa"/>
          </w:tcPr>
          <w:p w14:paraId="74DDF138" w14:textId="5ABF0F5D" w:rsidR="001D1457" w:rsidRPr="00CF6DF0" w:rsidRDefault="001F7ABF" w:rsidP="0004319F">
            <w:pPr>
              <w:pStyle w:val="ListParagraph"/>
              <w:numPr>
                <w:ilvl w:val="0"/>
                <w:numId w:val="1"/>
              </w:numPr>
              <w:spacing w:line="276" w:lineRule="auto"/>
              <w:ind w:left="735" w:hanging="306"/>
              <w:jc w:val="both"/>
              <w:rPr>
                <w:rFonts w:ascii="Bookman Old Style" w:hAnsi="Bookman Old Style"/>
                <w:sz w:val="20"/>
                <w:szCs w:val="20"/>
              </w:rPr>
            </w:pPr>
            <w:r w:rsidRPr="00CF6DF0">
              <w:rPr>
                <w:rFonts w:ascii="Bookman Old Style" w:hAnsi="Bookman Old Style"/>
                <w:sz w:val="20"/>
                <w:szCs w:val="20"/>
              </w:rPr>
              <w:t>Pihak adalah orang perseorangan, perusahaan, usaha bersama, asosiasi, atau kelompok yang terorganisasi</w:t>
            </w:r>
            <w:r w:rsidR="001A7801" w:rsidRPr="00CF6DF0">
              <w:rPr>
                <w:rFonts w:ascii="Bookman Old Style" w:hAnsi="Bookman Old Style"/>
                <w:sz w:val="20"/>
                <w:szCs w:val="20"/>
              </w:rPr>
              <w:t>.</w:t>
            </w:r>
          </w:p>
        </w:tc>
        <w:tc>
          <w:tcPr>
            <w:tcW w:w="4536" w:type="dxa"/>
          </w:tcPr>
          <w:p w14:paraId="017BD634" w14:textId="77777777" w:rsidR="001D1457" w:rsidRPr="00CF6DF0" w:rsidRDefault="001D1457" w:rsidP="000F2051">
            <w:pPr>
              <w:spacing w:line="276" w:lineRule="auto"/>
              <w:contextualSpacing/>
              <w:jc w:val="center"/>
              <w:rPr>
                <w:rFonts w:ascii="Bookman Old Style" w:hAnsi="Bookman Old Style"/>
                <w:sz w:val="20"/>
                <w:szCs w:val="20"/>
              </w:rPr>
            </w:pPr>
          </w:p>
        </w:tc>
        <w:tc>
          <w:tcPr>
            <w:tcW w:w="4394" w:type="dxa"/>
          </w:tcPr>
          <w:p w14:paraId="06D528E4" w14:textId="77777777" w:rsidR="001D1457" w:rsidRPr="00CF6DF0" w:rsidRDefault="001D1457" w:rsidP="000F2051">
            <w:pPr>
              <w:spacing w:line="276" w:lineRule="auto"/>
              <w:contextualSpacing/>
              <w:jc w:val="center"/>
              <w:rPr>
                <w:rFonts w:ascii="Bookman Old Style" w:hAnsi="Bookman Old Style"/>
                <w:sz w:val="20"/>
                <w:szCs w:val="20"/>
              </w:rPr>
            </w:pPr>
          </w:p>
        </w:tc>
      </w:tr>
      <w:tr w:rsidR="001A7801" w:rsidRPr="00CF6DF0" w14:paraId="524A7182" w14:textId="77777777" w:rsidTr="005564B8">
        <w:tc>
          <w:tcPr>
            <w:tcW w:w="6091" w:type="dxa"/>
          </w:tcPr>
          <w:p w14:paraId="1A6D189C" w14:textId="0045F5D2" w:rsidR="001A7801" w:rsidRPr="00CF6DF0" w:rsidRDefault="001F7ABF" w:rsidP="0004319F">
            <w:pPr>
              <w:pStyle w:val="ListParagraph"/>
              <w:numPr>
                <w:ilvl w:val="0"/>
                <w:numId w:val="1"/>
              </w:numPr>
              <w:spacing w:line="276" w:lineRule="auto"/>
              <w:ind w:left="735" w:hanging="306"/>
              <w:jc w:val="both"/>
              <w:rPr>
                <w:rFonts w:ascii="Bookman Old Style" w:hAnsi="Bookman Old Style"/>
                <w:sz w:val="20"/>
                <w:szCs w:val="20"/>
              </w:rPr>
            </w:pPr>
            <w:r w:rsidRPr="00CF6DF0">
              <w:rPr>
                <w:rFonts w:ascii="Bookman Old Style" w:hAnsi="Bookman Old Style"/>
                <w:sz w:val="20"/>
                <w:szCs w:val="20"/>
              </w:rPr>
              <w:t>Bursa Efek adalah Pihak yang menyelenggarakan dan menyediakan sistem dan/atau sarana untuk mempertemukan penawaran jual dan beli Efek Pihak lain dengan tujuan memperdagangkan Efek di antara mereka</w:t>
            </w:r>
            <w:r w:rsidR="001A7801" w:rsidRPr="00CF6DF0">
              <w:rPr>
                <w:rFonts w:ascii="Bookman Old Style" w:hAnsi="Bookman Old Style"/>
                <w:sz w:val="20"/>
                <w:szCs w:val="20"/>
              </w:rPr>
              <w:t>.</w:t>
            </w:r>
          </w:p>
        </w:tc>
        <w:tc>
          <w:tcPr>
            <w:tcW w:w="4536" w:type="dxa"/>
          </w:tcPr>
          <w:p w14:paraId="6655CCF8" w14:textId="77777777" w:rsidR="001A7801" w:rsidRPr="00CF6DF0" w:rsidRDefault="001A7801" w:rsidP="000F2051">
            <w:pPr>
              <w:spacing w:line="276" w:lineRule="auto"/>
              <w:contextualSpacing/>
              <w:jc w:val="center"/>
              <w:rPr>
                <w:rFonts w:ascii="Bookman Old Style" w:hAnsi="Bookman Old Style"/>
                <w:sz w:val="20"/>
                <w:szCs w:val="20"/>
              </w:rPr>
            </w:pPr>
          </w:p>
        </w:tc>
        <w:tc>
          <w:tcPr>
            <w:tcW w:w="4394" w:type="dxa"/>
          </w:tcPr>
          <w:p w14:paraId="04A53E0F" w14:textId="77777777" w:rsidR="001A7801" w:rsidRPr="00CF6DF0" w:rsidRDefault="001A7801" w:rsidP="000F2051">
            <w:pPr>
              <w:spacing w:line="276" w:lineRule="auto"/>
              <w:contextualSpacing/>
              <w:jc w:val="center"/>
              <w:rPr>
                <w:rFonts w:ascii="Bookman Old Style" w:hAnsi="Bookman Old Style"/>
                <w:sz w:val="20"/>
                <w:szCs w:val="20"/>
              </w:rPr>
            </w:pPr>
          </w:p>
        </w:tc>
      </w:tr>
      <w:tr w:rsidR="001A7801" w:rsidRPr="00CF6DF0" w14:paraId="79CD7376" w14:textId="77777777" w:rsidTr="005564B8">
        <w:tc>
          <w:tcPr>
            <w:tcW w:w="6091" w:type="dxa"/>
          </w:tcPr>
          <w:p w14:paraId="01B519A9" w14:textId="2A1F720C" w:rsidR="001A7801" w:rsidRPr="00CF6DF0" w:rsidRDefault="001F7ABF" w:rsidP="0004319F">
            <w:pPr>
              <w:pStyle w:val="ListParagraph"/>
              <w:numPr>
                <w:ilvl w:val="0"/>
                <w:numId w:val="1"/>
              </w:numPr>
              <w:spacing w:line="276" w:lineRule="auto"/>
              <w:ind w:left="735" w:hanging="306"/>
              <w:jc w:val="both"/>
              <w:rPr>
                <w:rFonts w:ascii="Bookman Old Style" w:hAnsi="Bookman Old Style"/>
                <w:sz w:val="20"/>
                <w:szCs w:val="20"/>
              </w:rPr>
            </w:pPr>
            <w:r w:rsidRPr="00CF6DF0">
              <w:rPr>
                <w:rFonts w:ascii="Bookman Old Style" w:hAnsi="Bookman Old Style"/>
                <w:sz w:val="20"/>
                <w:szCs w:val="20"/>
              </w:rPr>
              <w:t>Perusahaan Terbuka adalah Emiten yang telah melakukan Penawaran Umum Efek bersifat ekuitas atau Perusahaan Publik</w:t>
            </w:r>
            <w:r w:rsidR="001A7801" w:rsidRPr="00CF6DF0">
              <w:rPr>
                <w:rFonts w:ascii="Bookman Old Style" w:hAnsi="Bookman Old Style"/>
                <w:sz w:val="20"/>
                <w:szCs w:val="20"/>
              </w:rPr>
              <w:t>.</w:t>
            </w:r>
          </w:p>
        </w:tc>
        <w:tc>
          <w:tcPr>
            <w:tcW w:w="4536" w:type="dxa"/>
          </w:tcPr>
          <w:p w14:paraId="1BA614AE" w14:textId="77777777" w:rsidR="001A7801" w:rsidRPr="00CF6DF0" w:rsidRDefault="001A7801" w:rsidP="000F2051">
            <w:pPr>
              <w:spacing w:line="276" w:lineRule="auto"/>
              <w:contextualSpacing/>
              <w:jc w:val="center"/>
              <w:rPr>
                <w:rFonts w:ascii="Bookman Old Style" w:hAnsi="Bookman Old Style"/>
                <w:sz w:val="20"/>
                <w:szCs w:val="20"/>
              </w:rPr>
            </w:pPr>
          </w:p>
        </w:tc>
        <w:tc>
          <w:tcPr>
            <w:tcW w:w="4394" w:type="dxa"/>
          </w:tcPr>
          <w:p w14:paraId="4D74181A" w14:textId="77777777" w:rsidR="001A7801" w:rsidRPr="00CF6DF0" w:rsidRDefault="001A7801" w:rsidP="000F2051">
            <w:pPr>
              <w:spacing w:line="276" w:lineRule="auto"/>
              <w:contextualSpacing/>
              <w:jc w:val="center"/>
              <w:rPr>
                <w:rFonts w:ascii="Bookman Old Style" w:hAnsi="Bookman Old Style"/>
                <w:sz w:val="20"/>
                <w:szCs w:val="20"/>
              </w:rPr>
            </w:pPr>
          </w:p>
        </w:tc>
      </w:tr>
      <w:tr w:rsidR="001A7801" w:rsidRPr="00CF6DF0" w14:paraId="69614D38" w14:textId="77777777" w:rsidTr="005564B8">
        <w:tc>
          <w:tcPr>
            <w:tcW w:w="6091" w:type="dxa"/>
          </w:tcPr>
          <w:p w14:paraId="3DEC925E" w14:textId="02A134F6" w:rsidR="001A7801" w:rsidRPr="00CF6DF0" w:rsidRDefault="002C0C28" w:rsidP="0004319F">
            <w:pPr>
              <w:pStyle w:val="ListParagraph"/>
              <w:numPr>
                <w:ilvl w:val="0"/>
                <w:numId w:val="1"/>
              </w:numPr>
              <w:spacing w:line="276" w:lineRule="auto"/>
              <w:ind w:left="735" w:hanging="306"/>
              <w:jc w:val="both"/>
              <w:rPr>
                <w:rFonts w:ascii="Bookman Old Style" w:hAnsi="Bookman Old Style"/>
                <w:sz w:val="20"/>
                <w:szCs w:val="20"/>
              </w:rPr>
            </w:pPr>
            <w:r w:rsidRPr="00CF6DF0">
              <w:rPr>
                <w:rFonts w:ascii="Bookman Old Style" w:hAnsi="Bookman Old Style"/>
                <w:sz w:val="20"/>
                <w:szCs w:val="20"/>
              </w:rPr>
              <w:t>Perseroan adalah perseroan terbatas sebagaimana dimaksud dalam Undang-Undang mengenai Perseroan Terbatas</w:t>
            </w:r>
            <w:r w:rsidR="001A7801" w:rsidRPr="00CF6DF0">
              <w:rPr>
                <w:rFonts w:ascii="Bookman Old Style" w:hAnsi="Bookman Old Style"/>
                <w:sz w:val="20"/>
                <w:szCs w:val="20"/>
              </w:rPr>
              <w:t xml:space="preserve">.  </w:t>
            </w:r>
          </w:p>
        </w:tc>
        <w:tc>
          <w:tcPr>
            <w:tcW w:w="4536" w:type="dxa"/>
          </w:tcPr>
          <w:p w14:paraId="37B7FB90" w14:textId="77777777" w:rsidR="001A7801" w:rsidRPr="00CF6DF0" w:rsidRDefault="001A7801" w:rsidP="000F2051">
            <w:pPr>
              <w:spacing w:line="276" w:lineRule="auto"/>
              <w:contextualSpacing/>
              <w:jc w:val="center"/>
              <w:rPr>
                <w:rFonts w:ascii="Bookman Old Style" w:hAnsi="Bookman Old Style"/>
                <w:sz w:val="20"/>
                <w:szCs w:val="20"/>
              </w:rPr>
            </w:pPr>
          </w:p>
        </w:tc>
        <w:tc>
          <w:tcPr>
            <w:tcW w:w="4394" w:type="dxa"/>
          </w:tcPr>
          <w:p w14:paraId="283A8DDE" w14:textId="77777777" w:rsidR="001A7801" w:rsidRPr="00CF6DF0" w:rsidRDefault="001A7801" w:rsidP="000F2051">
            <w:pPr>
              <w:spacing w:line="276" w:lineRule="auto"/>
              <w:contextualSpacing/>
              <w:jc w:val="center"/>
              <w:rPr>
                <w:rFonts w:ascii="Bookman Old Style" w:hAnsi="Bookman Old Style"/>
                <w:sz w:val="20"/>
                <w:szCs w:val="20"/>
              </w:rPr>
            </w:pPr>
          </w:p>
        </w:tc>
      </w:tr>
      <w:tr w:rsidR="001A7801" w:rsidRPr="00CF6DF0" w14:paraId="21086332" w14:textId="77777777" w:rsidTr="005564B8">
        <w:tc>
          <w:tcPr>
            <w:tcW w:w="6091" w:type="dxa"/>
          </w:tcPr>
          <w:p w14:paraId="2D0CC533" w14:textId="2BB575FE" w:rsidR="001A7801" w:rsidRPr="007112F1" w:rsidRDefault="007112F1" w:rsidP="0004319F">
            <w:pPr>
              <w:pStyle w:val="ListParagraph"/>
              <w:numPr>
                <w:ilvl w:val="0"/>
                <w:numId w:val="2"/>
              </w:numPr>
              <w:spacing w:line="276" w:lineRule="auto"/>
              <w:ind w:left="451" w:hanging="283"/>
              <w:jc w:val="both"/>
              <w:rPr>
                <w:rFonts w:ascii="Bookman Old Style" w:hAnsi="Bookman Old Style"/>
                <w:sz w:val="20"/>
                <w:szCs w:val="20"/>
              </w:rPr>
            </w:pPr>
            <w:r w:rsidRPr="007112F1">
              <w:rPr>
                <w:rFonts w:ascii="Bookman Old Style" w:hAnsi="Bookman Old Style"/>
                <w:sz w:val="20"/>
                <w:szCs w:val="20"/>
              </w:rPr>
              <w:t xml:space="preserve">PELAKSANAAN PEMBELIAN KEMBALI SAHAM PERUSAHAAN TERBUKA DALAM RANGKA PERUBAHAN STATUS PERUSAHAAN TERBUKA </w:t>
            </w:r>
            <w:r w:rsidRPr="007112F1">
              <w:rPr>
                <w:rFonts w:ascii="Bookman Old Style" w:hAnsi="Bookman Old Style"/>
                <w:sz w:val="20"/>
                <w:szCs w:val="20"/>
              </w:rPr>
              <w:lastRenderedPageBreak/>
              <w:t xml:space="preserve">MENJADI PERSEROAN YANG TERTUTUP AKIBAT </w:t>
            </w:r>
            <w:r w:rsidRPr="007112F1">
              <w:rPr>
                <w:rFonts w:ascii="Bookman Old Style" w:hAnsi="Bookman Old Style"/>
                <w:bCs/>
                <w:sz w:val="20"/>
                <w:szCs w:val="20"/>
                <w:lang w:val="en-US"/>
              </w:rPr>
              <w:t xml:space="preserve">DIBATALKANNYA PENCATATAN EFEK OLEH BURSA EFEK INDONESIA KARENA </w:t>
            </w:r>
            <w:r w:rsidRPr="007112F1">
              <w:rPr>
                <w:rFonts w:ascii="Bookman Old Style" w:hAnsi="Bookman Old Style"/>
                <w:bCs/>
                <w:iCs/>
                <w:sz w:val="20"/>
                <w:szCs w:val="20"/>
              </w:rPr>
              <w:t>PERUSAHAAN TERBUKA MENGALAMI SUATU KONDISI ATAU PERISTIWA YANG SIGNIFIKAN BERPENGARUH NEGATIF TERHADAP KELANGSUNGAN USAHA PERUSAHAAN TERBUKA</w:t>
            </w:r>
          </w:p>
        </w:tc>
        <w:tc>
          <w:tcPr>
            <w:tcW w:w="4536" w:type="dxa"/>
          </w:tcPr>
          <w:p w14:paraId="5DF5F18B" w14:textId="77777777" w:rsidR="001A7801" w:rsidRPr="00CF6DF0" w:rsidRDefault="001A7801" w:rsidP="000F2051">
            <w:pPr>
              <w:spacing w:line="276" w:lineRule="auto"/>
              <w:contextualSpacing/>
              <w:jc w:val="center"/>
              <w:rPr>
                <w:rFonts w:ascii="Bookman Old Style" w:hAnsi="Bookman Old Style"/>
                <w:sz w:val="20"/>
                <w:szCs w:val="20"/>
              </w:rPr>
            </w:pPr>
          </w:p>
        </w:tc>
        <w:tc>
          <w:tcPr>
            <w:tcW w:w="4394" w:type="dxa"/>
          </w:tcPr>
          <w:p w14:paraId="3F404E4B" w14:textId="77777777" w:rsidR="001A7801" w:rsidRPr="00CF6DF0" w:rsidRDefault="001A7801" w:rsidP="000F2051">
            <w:pPr>
              <w:spacing w:line="276" w:lineRule="auto"/>
              <w:contextualSpacing/>
              <w:jc w:val="center"/>
              <w:rPr>
                <w:rFonts w:ascii="Bookman Old Style" w:hAnsi="Bookman Old Style"/>
                <w:sz w:val="20"/>
                <w:szCs w:val="20"/>
              </w:rPr>
            </w:pPr>
          </w:p>
        </w:tc>
      </w:tr>
      <w:tr w:rsidR="001A7801" w:rsidRPr="00CF6DF0" w14:paraId="0635C05D" w14:textId="77777777" w:rsidTr="005564B8">
        <w:tc>
          <w:tcPr>
            <w:tcW w:w="6091" w:type="dxa"/>
          </w:tcPr>
          <w:p w14:paraId="4EEA2AF3" w14:textId="378A5B6B" w:rsidR="001A7801" w:rsidRPr="00CF6DF0" w:rsidRDefault="002C0C28" w:rsidP="002C0C28">
            <w:pPr>
              <w:pStyle w:val="ListParagraph"/>
              <w:spacing w:line="276" w:lineRule="auto"/>
              <w:ind w:left="451"/>
              <w:jc w:val="both"/>
              <w:rPr>
                <w:rFonts w:ascii="Bookman Old Style" w:hAnsi="Bookman Old Style"/>
                <w:sz w:val="20"/>
                <w:szCs w:val="20"/>
              </w:rPr>
            </w:pPr>
            <w:r w:rsidRPr="00CF6DF0">
              <w:rPr>
                <w:rFonts w:ascii="Bookman Old Style" w:hAnsi="Bookman Old Style"/>
                <w:bCs/>
                <w:sz w:val="20"/>
                <w:szCs w:val="20"/>
                <w:lang w:val="en-US"/>
              </w:rPr>
              <w:t>Pelaksanaan</w:t>
            </w:r>
            <w:r w:rsidRPr="00CF6DF0">
              <w:rPr>
                <w:rFonts w:ascii="Bookman Old Style" w:hAnsi="Bookman Old Style"/>
                <w:bCs/>
                <w:iCs/>
                <w:sz w:val="20"/>
                <w:szCs w:val="20"/>
              </w:rPr>
              <w:t xml:space="preserve"> perubahan status dari Perusahaan Terbuka menjadi Perusahaan Tertutup sebagaimana dimaksud dalam Pasal 69 ayat (2) Peraturan Otoritas Jasa Keuangan Nomor 3/POJK.04/2021 adalah sebagai berikut:</w:t>
            </w:r>
          </w:p>
        </w:tc>
        <w:tc>
          <w:tcPr>
            <w:tcW w:w="4536" w:type="dxa"/>
          </w:tcPr>
          <w:p w14:paraId="087E9ABA" w14:textId="77777777" w:rsidR="001A7801" w:rsidRPr="00CF6DF0" w:rsidRDefault="001A7801" w:rsidP="000F2051">
            <w:pPr>
              <w:spacing w:line="276" w:lineRule="auto"/>
              <w:contextualSpacing/>
              <w:jc w:val="center"/>
              <w:rPr>
                <w:rFonts w:ascii="Bookman Old Style" w:hAnsi="Bookman Old Style"/>
                <w:sz w:val="20"/>
                <w:szCs w:val="20"/>
              </w:rPr>
            </w:pPr>
          </w:p>
        </w:tc>
        <w:tc>
          <w:tcPr>
            <w:tcW w:w="4394" w:type="dxa"/>
          </w:tcPr>
          <w:p w14:paraId="7C027B01" w14:textId="77777777" w:rsidR="001A7801" w:rsidRPr="00CF6DF0" w:rsidRDefault="001A7801" w:rsidP="000F2051">
            <w:pPr>
              <w:spacing w:line="276" w:lineRule="auto"/>
              <w:contextualSpacing/>
              <w:jc w:val="center"/>
              <w:rPr>
                <w:rFonts w:ascii="Bookman Old Style" w:hAnsi="Bookman Old Style"/>
                <w:sz w:val="20"/>
                <w:szCs w:val="20"/>
              </w:rPr>
            </w:pPr>
          </w:p>
        </w:tc>
      </w:tr>
      <w:tr w:rsidR="001A7801" w:rsidRPr="00CF6DF0" w14:paraId="006E4811" w14:textId="77777777" w:rsidTr="005564B8">
        <w:tc>
          <w:tcPr>
            <w:tcW w:w="6091" w:type="dxa"/>
          </w:tcPr>
          <w:p w14:paraId="1A06EBA7" w14:textId="5979FCC0" w:rsidR="001A7801" w:rsidRPr="00CF6DF0" w:rsidRDefault="007112F1" w:rsidP="0004319F">
            <w:pPr>
              <w:pStyle w:val="ListParagraph"/>
              <w:numPr>
                <w:ilvl w:val="0"/>
                <w:numId w:val="3"/>
              </w:numPr>
              <w:spacing w:line="276" w:lineRule="auto"/>
              <w:ind w:left="877" w:hanging="426"/>
              <w:jc w:val="both"/>
              <w:rPr>
                <w:rFonts w:ascii="Bookman Old Style" w:hAnsi="Bookman Old Style" w:cs="BookAntiqua"/>
                <w:sz w:val="20"/>
                <w:szCs w:val="20"/>
              </w:rPr>
            </w:pPr>
            <w:r w:rsidRPr="007112F1">
              <w:rPr>
                <w:rFonts w:ascii="Bookman Old Style" w:hAnsi="Bookman Old Style"/>
                <w:bCs/>
                <w:iCs/>
                <w:sz w:val="20"/>
                <w:szCs w:val="20"/>
              </w:rPr>
              <w:t>Perusahaan Terbuka wajib melaksanakan keterbukaan informasi mengenai rencana pembelian kembali saham, dan mulai melaksanakan pembelian kembali saham paling lambat 1 (satu) bulan setelah surat keputusan delisting oleh Bursa Efek Indonesia.</w:t>
            </w:r>
          </w:p>
        </w:tc>
        <w:tc>
          <w:tcPr>
            <w:tcW w:w="4536" w:type="dxa"/>
          </w:tcPr>
          <w:p w14:paraId="168B31B9" w14:textId="77777777" w:rsidR="001A7801" w:rsidRPr="00CF6DF0" w:rsidRDefault="001A7801" w:rsidP="000F2051">
            <w:pPr>
              <w:spacing w:line="276" w:lineRule="auto"/>
              <w:contextualSpacing/>
              <w:jc w:val="center"/>
              <w:rPr>
                <w:rFonts w:ascii="Bookman Old Style" w:hAnsi="Bookman Old Style"/>
                <w:sz w:val="20"/>
                <w:szCs w:val="20"/>
              </w:rPr>
            </w:pPr>
          </w:p>
        </w:tc>
        <w:tc>
          <w:tcPr>
            <w:tcW w:w="4394" w:type="dxa"/>
          </w:tcPr>
          <w:p w14:paraId="74FF47B1" w14:textId="77777777" w:rsidR="001A7801" w:rsidRPr="00CF6DF0" w:rsidRDefault="001A7801" w:rsidP="000F2051">
            <w:pPr>
              <w:spacing w:line="276" w:lineRule="auto"/>
              <w:contextualSpacing/>
              <w:jc w:val="center"/>
              <w:rPr>
                <w:rFonts w:ascii="Bookman Old Style" w:hAnsi="Bookman Old Style"/>
                <w:sz w:val="20"/>
                <w:szCs w:val="20"/>
              </w:rPr>
            </w:pPr>
          </w:p>
        </w:tc>
      </w:tr>
      <w:tr w:rsidR="002C0C28" w:rsidRPr="00CF6DF0" w14:paraId="13C6694D" w14:textId="77777777" w:rsidTr="005564B8">
        <w:tc>
          <w:tcPr>
            <w:tcW w:w="6091" w:type="dxa"/>
          </w:tcPr>
          <w:p w14:paraId="605C485D" w14:textId="0E9AE6DC" w:rsidR="002C0C28" w:rsidRPr="007112F1" w:rsidRDefault="007112F1" w:rsidP="007112F1">
            <w:pPr>
              <w:pStyle w:val="ListParagraph"/>
              <w:numPr>
                <w:ilvl w:val="0"/>
                <w:numId w:val="3"/>
              </w:numPr>
              <w:spacing w:line="276" w:lineRule="auto"/>
              <w:ind w:left="877" w:hanging="426"/>
              <w:jc w:val="both"/>
              <w:rPr>
                <w:rFonts w:ascii="Bookman Old Style" w:hAnsi="Bookman Old Style"/>
                <w:bCs/>
                <w:iCs/>
              </w:rPr>
            </w:pPr>
            <w:r w:rsidRPr="007112F1">
              <w:rPr>
                <w:rFonts w:ascii="Bookman Old Style" w:hAnsi="Bookman Old Style"/>
                <w:bCs/>
                <w:iCs/>
                <w:sz w:val="20"/>
                <w:szCs w:val="20"/>
              </w:rPr>
              <w:t>Pembelian kembali saham dilaksanakan sehingga jumlah pemegang saham menjadi kurang dari 50 (lima puluh) Pihak atau jumlah lain yang ditetapkan oleh Otoritas Jasa Keuangan.</w:t>
            </w:r>
          </w:p>
        </w:tc>
        <w:tc>
          <w:tcPr>
            <w:tcW w:w="4536" w:type="dxa"/>
          </w:tcPr>
          <w:p w14:paraId="4F50F73E" w14:textId="77777777" w:rsidR="002C0C28" w:rsidRPr="00CF6DF0" w:rsidRDefault="002C0C28" w:rsidP="000F2051">
            <w:pPr>
              <w:spacing w:line="276" w:lineRule="auto"/>
              <w:contextualSpacing/>
              <w:jc w:val="center"/>
              <w:rPr>
                <w:rFonts w:ascii="Bookman Old Style" w:hAnsi="Bookman Old Style"/>
                <w:sz w:val="20"/>
                <w:szCs w:val="20"/>
              </w:rPr>
            </w:pPr>
          </w:p>
        </w:tc>
        <w:tc>
          <w:tcPr>
            <w:tcW w:w="4394" w:type="dxa"/>
          </w:tcPr>
          <w:p w14:paraId="7029EF18" w14:textId="77777777" w:rsidR="002C0C28" w:rsidRPr="00CF6DF0" w:rsidRDefault="002C0C28" w:rsidP="000F2051">
            <w:pPr>
              <w:spacing w:line="276" w:lineRule="auto"/>
              <w:contextualSpacing/>
              <w:jc w:val="center"/>
              <w:rPr>
                <w:rFonts w:ascii="Bookman Old Style" w:hAnsi="Bookman Old Style"/>
                <w:sz w:val="20"/>
                <w:szCs w:val="20"/>
              </w:rPr>
            </w:pPr>
          </w:p>
        </w:tc>
      </w:tr>
      <w:tr w:rsidR="002C0C28" w:rsidRPr="00CF6DF0" w14:paraId="6DDD51D5" w14:textId="77777777" w:rsidTr="005564B8">
        <w:tc>
          <w:tcPr>
            <w:tcW w:w="6091" w:type="dxa"/>
          </w:tcPr>
          <w:p w14:paraId="402B9894" w14:textId="4AFD14EA" w:rsidR="002C0C28" w:rsidRPr="007112F1" w:rsidRDefault="007112F1" w:rsidP="007112F1">
            <w:pPr>
              <w:pStyle w:val="ListParagraph"/>
              <w:numPr>
                <w:ilvl w:val="0"/>
                <w:numId w:val="3"/>
              </w:numPr>
              <w:spacing w:line="276" w:lineRule="auto"/>
              <w:ind w:left="877" w:hanging="426"/>
              <w:jc w:val="both"/>
              <w:rPr>
                <w:rFonts w:ascii="Bookman Old Style" w:hAnsi="Bookman Old Style"/>
                <w:bCs/>
                <w:iCs/>
                <w:sz w:val="20"/>
                <w:szCs w:val="20"/>
              </w:rPr>
            </w:pPr>
            <w:r w:rsidRPr="007112F1">
              <w:rPr>
                <w:rFonts w:ascii="Bookman Old Style" w:hAnsi="Bookman Old Style"/>
                <w:bCs/>
                <w:iCs/>
                <w:sz w:val="20"/>
                <w:szCs w:val="20"/>
              </w:rPr>
              <w:t>Pelaksanaan pembelian kembali saham hingga mencapai jumlah sebagaimana dimaksud angka 2 diselesaikan dalam jangka waktu 6 (enam) bulan sejak pelaksanaan keterbukaan informasi mengenai rencana pembelian kembali saham dan dapat diperpanjang dengan persetujuan Otoritas Jasa Keuangan.</w:t>
            </w:r>
          </w:p>
        </w:tc>
        <w:tc>
          <w:tcPr>
            <w:tcW w:w="4536" w:type="dxa"/>
          </w:tcPr>
          <w:p w14:paraId="638937E3" w14:textId="77777777" w:rsidR="002C0C28" w:rsidRPr="00CF6DF0" w:rsidRDefault="002C0C28" w:rsidP="000F2051">
            <w:pPr>
              <w:spacing w:line="276" w:lineRule="auto"/>
              <w:contextualSpacing/>
              <w:jc w:val="center"/>
              <w:rPr>
                <w:rFonts w:ascii="Bookman Old Style" w:hAnsi="Bookman Old Style"/>
                <w:sz w:val="20"/>
                <w:szCs w:val="20"/>
              </w:rPr>
            </w:pPr>
          </w:p>
        </w:tc>
        <w:tc>
          <w:tcPr>
            <w:tcW w:w="4394" w:type="dxa"/>
          </w:tcPr>
          <w:p w14:paraId="2231DC4E" w14:textId="77777777" w:rsidR="002C0C28" w:rsidRPr="00CF6DF0" w:rsidRDefault="002C0C28" w:rsidP="000F2051">
            <w:pPr>
              <w:spacing w:line="276" w:lineRule="auto"/>
              <w:contextualSpacing/>
              <w:jc w:val="center"/>
              <w:rPr>
                <w:rFonts w:ascii="Bookman Old Style" w:hAnsi="Bookman Old Style"/>
                <w:sz w:val="20"/>
                <w:szCs w:val="20"/>
              </w:rPr>
            </w:pPr>
          </w:p>
        </w:tc>
      </w:tr>
      <w:tr w:rsidR="007112F1" w:rsidRPr="00CF6DF0" w14:paraId="6BA1FCD1" w14:textId="77777777" w:rsidTr="005564B8">
        <w:tc>
          <w:tcPr>
            <w:tcW w:w="6091" w:type="dxa"/>
          </w:tcPr>
          <w:p w14:paraId="2FACD424" w14:textId="406CC76D" w:rsidR="007112F1" w:rsidRPr="007112F1" w:rsidRDefault="007112F1" w:rsidP="007112F1">
            <w:pPr>
              <w:pStyle w:val="ListParagraph"/>
              <w:numPr>
                <w:ilvl w:val="0"/>
                <w:numId w:val="3"/>
              </w:numPr>
              <w:spacing w:line="276" w:lineRule="auto"/>
              <w:ind w:left="877" w:hanging="426"/>
              <w:jc w:val="both"/>
              <w:rPr>
                <w:rFonts w:ascii="Bookman Old Style" w:hAnsi="Bookman Old Style"/>
                <w:bCs/>
                <w:iCs/>
                <w:sz w:val="20"/>
                <w:szCs w:val="20"/>
              </w:rPr>
            </w:pPr>
            <w:r w:rsidRPr="007112F1">
              <w:rPr>
                <w:rFonts w:ascii="Bookman Old Style" w:hAnsi="Bookman Old Style"/>
                <w:bCs/>
                <w:iCs/>
                <w:sz w:val="20"/>
                <w:szCs w:val="20"/>
              </w:rPr>
              <w:t>Pelaksanaan pembelian kembali saham wajib dilaksanakan sesuai dengan peraturan Otoritas Jasa Keuangan mengenai pembelian kembali saham yang dikeluarkan oleh Perusahaan Terbuka, kecuali diatur lain dalam Surat Edaran Otoritas Jasa Keuangan ini.</w:t>
            </w:r>
          </w:p>
        </w:tc>
        <w:tc>
          <w:tcPr>
            <w:tcW w:w="4536" w:type="dxa"/>
          </w:tcPr>
          <w:p w14:paraId="14533908" w14:textId="77777777" w:rsidR="007112F1" w:rsidRPr="00CF6DF0" w:rsidRDefault="007112F1" w:rsidP="000F2051">
            <w:pPr>
              <w:spacing w:line="276" w:lineRule="auto"/>
              <w:contextualSpacing/>
              <w:jc w:val="center"/>
              <w:rPr>
                <w:rFonts w:ascii="Bookman Old Style" w:hAnsi="Bookman Old Style"/>
                <w:sz w:val="20"/>
                <w:szCs w:val="20"/>
              </w:rPr>
            </w:pPr>
          </w:p>
        </w:tc>
        <w:tc>
          <w:tcPr>
            <w:tcW w:w="4394" w:type="dxa"/>
          </w:tcPr>
          <w:p w14:paraId="57BF941D" w14:textId="77777777" w:rsidR="007112F1" w:rsidRPr="00CF6DF0" w:rsidRDefault="007112F1" w:rsidP="000F2051">
            <w:pPr>
              <w:spacing w:line="276" w:lineRule="auto"/>
              <w:contextualSpacing/>
              <w:jc w:val="center"/>
              <w:rPr>
                <w:rFonts w:ascii="Bookman Old Style" w:hAnsi="Bookman Old Style"/>
                <w:sz w:val="20"/>
                <w:szCs w:val="20"/>
              </w:rPr>
            </w:pPr>
          </w:p>
        </w:tc>
      </w:tr>
      <w:tr w:rsidR="002C0C28" w:rsidRPr="00CF6DF0" w14:paraId="3873BC2F" w14:textId="77777777" w:rsidTr="005564B8">
        <w:tc>
          <w:tcPr>
            <w:tcW w:w="6091" w:type="dxa"/>
          </w:tcPr>
          <w:p w14:paraId="613B9BB4" w14:textId="1AD605D6" w:rsidR="002C0C28" w:rsidRPr="00CF6DF0" w:rsidRDefault="007112F1" w:rsidP="0004319F">
            <w:pPr>
              <w:pStyle w:val="ListParagraph"/>
              <w:numPr>
                <w:ilvl w:val="0"/>
                <w:numId w:val="3"/>
              </w:numPr>
              <w:spacing w:line="276" w:lineRule="auto"/>
              <w:ind w:left="877" w:hanging="426"/>
              <w:jc w:val="both"/>
              <w:rPr>
                <w:rFonts w:ascii="Bookman Old Style" w:hAnsi="Bookman Old Style"/>
                <w:bCs/>
                <w:iCs/>
                <w:sz w:val="20"/>
                <w:szCs w:val="20"/>
              </w:rPr>
            </w:pPr>
            <w:r w:rsidRPr="007112F1">
              <w:rPr>
                <w:rFonts w:ascii="Bookman Old Style" w:hAnsi="Bookman Old Style"/>
                <w:bCs/>
                <w:iCs/>
                <w:sz w:val="20"/>
                <w:szCs w:val="20"/>
              </w:rPr>
              <w:t>Pelaksanaan pembelian kembali saham dianggap dipenuhi dalam hal terdapat Pihak lain yang melaksanakan penawaran tender terhadap seluruh saham yang dimiliki publik sehingga jumlah pemegang saham mencapai jumlah sebagaimana dimaksud angka 2</w:t>
            </w:r>
            <w:r w:rsidR="0004319F" w:rsidRPr="00CF6DF0">
              <w:rPr>
                <w:rFonts w:ascii="Bookman Old Style" w:hAnsi="Bookman Old Style"/>
                <w:bCs/>
                <w:iCs/>
                <w:sz w:val="20"/>
                <w:szCs w:val="20"/>
              </w:rPr>
              <w:t>.</w:t>
            </w:r>
          </w:p>
        </w:tc>
        <w:tc>
          <w:tcPr>
            <w:tcW w:w="4536" w:type="dxa"/>
          </w:tcPr>
          <w:p w14:paraId="46D1265A" w14:textId="77777777" w:rsidR="002C0C28" w:rsidRPr="00CF6DF0" w:rsidRDefault="002C0C28" w:rsidP="000F2051">
            <w:pPr>
              <w:spacing w:line="276" w:lineRule="auto"/>
              <w:contextualSpacing/>
              <w:jc w:val="center"/>
              <w:rPr>
                <w:rFonts w:ascii="Bookman Old Style" w:hAnsi="Bookman Old Style"/>
                <w:sz w:val="20"/>
                <w:szCs w:val="20"/>
              </w:rPr>
            </w:pPr>
          </w:p>
        </w:tc>
        <w:tc>
          <w:tcPr>
            <w:tcW w:w="4394" w:type="dxa"/>
          </w:tcPr>
          <w:p w14:paraId="60B91BFE" w14:textId="77777777" w:rsidR="002C0C28" w:rsidRPr="00CF6DF0" w:rsidRDefault="002C0C28" w:rsidP="000F2051">
            <w:pPr>
              <w:spacing w:line="276" w:lineRule="auto"/>
              <w:contextualSpacing/>
              <w:jc w:val="center"/>
              <w:rPr>
                <w:rFonts w:ascii="Bookman Old Style" w:hAnsi="Bookman Old Style"/>
                <w:sz w:val="20"/>
                <w:szCs w:val="20"/>
              </w:rPr>
            </w:pPr>
          </w:p>
        </w:tc>
      </w:tr>
      <w:tr w:rsidR="001A7801" w:rsidRPr="00CF6DF0" w14:paraId="5A727302" w14:textId="77777777" w:rsidTr="005564B8">
        <w:tc>
          <w:tcPr>
            <w:tcW w:w="6091" w:type="dxa"/>
          </w:tcPr>
          <w:p w14:paraId="27AB4BE0" w14:textId="30735283" w:rsidR="001A7801" w:rsidRPr="00CF6DF0" w:rsidRDefault="007112F1" w:rsidP="0004319F">
            <w:pPr>
              <w:pStyle w:val="ListParagraph"/>
              <w:numPr>
                <w:ilvl w:val="0"/>
                <w:numId w:val="3"/>
              </w:numPr>
              <w:spacing w:line="276" w:lineRule="auto"/>
              <w:ind w:left="877" w:hanging="426"/>
              <w:jc w:val="both"/>
              <w:rPr>
                <w:rFonts w:ascii="Bookman Old Style" w:hAnsi="Bookman Old Style"/>
                <w:bCs/>
                <w:iCs/>
                <w:sz w:val="20"/>
                <w:szCs w:val="20"/>
              </w:rPr>
            </w:pPr>
            <w:r w:rsidRPr="007112F1">
              <w:rPr>
                <w:rFonts w:ascii="Bookman Old Style" w:hAnsi="Bookman Old Style"/>
                <w:bCs/>
                <w:iCs/>
                <w:sz w:val="20"/>
                <w:szCs w:val="20"/>
              </w:rPr>
              <w:lastRenderedPageBreak/>
              <w:t>Penawaran tender sebagaimana dimaksud angka 5 wajib dilaksanakan sesuai dengan peraturan Otoritas Jasa Keuangan mengenai penawaran tender sukarela kecuali ketentuan mengenai harga.</w:t>
            </w:r>
          </w:p>
        </w:tc>
        <w:tc>
          <w:tcPr>
            <w:tcW w:w="4536" w:type="dxa"/>
          </w:tcPr>
          <w:p w14:paraId="718A8CCD" w14:textId="77777777" w:rsidR="001A7801" w:rsidRPr="00CF6DF0" w:rsidRDefault="001A7801" w:rsidP="000F2051">
            <w:pPr>
              <w:spacing w:line="276" w:lineRule="auto"/>
              <w:contextualSpacing/>
              <w:jc w:val="center"/>
              <w:rPr>
                <w:rFonts w:ascii="Bookman Old Style" w:hAnsi="Bookman Old Style"/>
                <w:sz w:val="20"/>
                <w:szCs w:val="20"/>
              </w:rPr>
            </w:pPr>
          </w:p>
        </w:tc>
        <w:tc>
          <w:tcPr>
            <w:tcW w:w="4394" w:type="dxa"/>
          </w:tcPr>
          <w:p w14:paraId="6B489469" w14:textId="77777777" w:rsidR="001A7801" w:rsidRPr="00CF6DF0" w:rsidRDefault="001A7801" w:rsidP="000F2051">
            <w:pPr>
              <w:spacing w:line="276" w:lineRule="auto"/>
              <w:contextualSpacing/>
              <w:jc w:val="center"/>
              <w:rPr>
                <w:rFonts w:ascii="Bookman Old Style" w:hAnsi="Bookman Old Style"/>
                <w:sz w:val="20"/>
                <w:szCs w:val="20"/>
              </w:rPr>
            </w:pPr>
          </w:p>
        </w:tc>
      </w:tr>
      <w:tr w:rsidR="002C0C28" w:rsidRPr="00CF6DF0" w14:paraId="494C0230" w14:textId="77777777" w:rsidTr="005564B8">
        <w:tc>
          <w:tcPr>
            <w:tcW w:w="6091" w:type="dxa"/>
          </w:tcPr>
          <w:p w14:paraId="2B4C2ED5" w14:textId="2699A459" w:rsidR="002C0C28" w:rsidRPr="007112F1" w:rsidRDefault="007112F1" w:rsidP="007112F1">
            <w:pPr>
              <w:pStyle w:val="ListParagraph"/>
              <w:numPr>
                <w:ilvl w:val="0"/>
                <w:numId w:val="3"/>
              </w:numPr>
              <w:spacing w:line="276" w:lineRule="auto"/>
              <w:ind w:left="877" w:hanging="426"/>
              <w:jc w:val="both"/>
              <w:rPr>
                <w:rFonts w:ascii="Bookman Old Style" w:hAnsi="Bookman Old Style"/>
                <w:bCs/>
                <w:iCs/>
              </w:rPr>
            </w:pPr>
            <w:r w:rsidRPr="007112F1">
              <w:rPr>
                <w:rFonts w:ascii="Bookman Old Style" w:hAnsi="Bookman Old Style"/>
                <w:bCs/>
                <w:iCs/>
                <w:sz w:val="20"/>
                <w:szCs w:val="20"/>
              </w:rPr>
              <w:t>Harga pembelian kembali saham / harga penawaran tender atas seluruh saham yang dimiliki oleh pemegang saham publik wajib sesuai dengan Pasal 78 Peraturan Otoritas Jasa Keuangan Nomor 3/POJK.04/2021:</w:t>
            </w:r>
          </w:p>
        </w:tc>
        <w:tc>
          <w:tcPr>
            <w:tcW w:w="4536" w:type="dxa"/>
          </w:tcPr>
          <w:p w14:paraId="24AD5F92" w14:textId="77777777" w:rsidR="002C0C28" w:rsidRPr="00CF6DF0" w:rsidRDefault="002C0C28" w:rsidP="000F2051">
            <w:pPr>
              <w:spacing w:line="276" w:lineRule="auto"/>
              <w:contextualSpacing/>
              <w:jc w:val="center"/>
              <w:rPr>
                <w:rFonts w:ascii="Bookman Old Style" w:hAnsi="Bookman Old Style"/>
                <w:sz w:val="20"/>
                <w:szCs w:val="20"/>
              </w:rPr>
            </w:pPr>
          </w:p>
        </w:tc>
        <w:tc>
          <w:tcPr>
            <w:tcW w:w="4394" w:type="dxa"/>
          </w:tcPr>
          <w:p w14:paraId="2A3834BD" w14:textId="77777777" w:rsidR="002C0C28" w:rsidRPr="00CF6DF0" w:rsidRDefault="002C0C28" w:rsidP="000F2051">
            <w:pPr>
              <w:spacing w:line="276" w:lineRule="auto"/>
              <w:contextualSpacing/>
              <w:jc w:val="center"/>
              <w:rPr>
                <w:rFonts w:ascii="Bookman Old Style" w:hAnsi="Bookman Old Style"/>
                <w:sz w:val="20"/>
                <w:szCs w:val="20"/>
              </w:rPr>
            </w:pPr>
          </w:p>
        </w:tc>
      </w:tr>
      <w:tr w:rsidR="002C0C28" w:rsidRPr="00CF6DF0" w14:paraId="5092DA04" w14:textId="77777777" w:rsidTr="005564B8">
        <w:tc>
          <w:tcPr>
            <w:tcW w:w="6091" w:type="dxa"/>
          </w:tcPr>
          <w:p w14:paraId="73C18D3B" w14:textId="3F07155A" w:rsidR="002C0C28" w:rsidRPr="007112F1" w:rsidRDefault="007112F1" w:rsidP="0004319F">
            <w:pPr>
              <w:pStyle w:val="ListParagraph"/>
              <w:numPr>
                <w:ilvl w:val="1"/>
                <w:numId w:val="3"/>
              </w:numPr>
              <w:spacing w:line="276" w:lineRule="auto"/>
              <w:ind w:left="1160" w:hanging="283"/>
              <w:jc w:val="both"/>
              <w:rPr>
                <w:rFonts w:ascii="Bookman Old Style" w:hAnsi="Bookman Old Style"/>
                <w:bCs/>
                <w:iCs/>
                <w:sz w:val="20"/>
                <w:szCs w:val="20"/>
              </w:rPr>
            </w:pPr>
            <w:r w:rsidRPr="007112F1">
              <w:rPr>
                <w:rFonts w:ascii="Bookman Old Style" w:hAnsi="Bookman Old Style"/>
                <w:bCs/>
                <w:iCs/>
                <w:sz w:val="20"/>
                <w:szCs w:val="20"/>
              </w:rPr>
              <w:t>harga rata-rata perdagangan saham Perusahaan Terbuka di Bursa Efek dalam jangka waktu 30 (tiga puluh) hari terakhir yang dihitung mundur dari hari perdagangan terakhir atau hari dihentikan sementara perdagangannya, atau</w:t>
            </w:r>
          </w:p>
        </w:tc>
        <w:tc>
          <w:tcPr>
            <w:tcW w:w="4536" w:type="dxa"/>
          </w:tcPr>
          <w:p w14:paraId="63540ADD" w14:textId="77777777" w:rsidR="002C0C28" w:rsidRPr="00CF6DF0" w:rsidRDefault="002C0C28" w:rsidP="000F2051">
            <w:pPr>
              <w:spacing w:line="276" w:lineRule="auto"/>
              <w:contextualSpacing/>
              <w:jc w:val="center"/>
              <w:rPr>
                <w:rFonts w:ascii="Bookman Old Style" w:hAnsi="Bookman Old Style"/>
                <w:sz w:val="20"/>
                <w:szCs w:val="20"/>
              </w:rPr>
            </w:pPr>
          </w:p>
        </w:tc>
        <w:tc>
          <w:tcPr>
            <w:tcW w:w="4394" w:type="dxa"/>
          </w:tcPr>
          <w:p w14:paraId="2A31B8FF" w14:textId="77777777" w:rsidR="002C0C28" w:rsidRPr="00CF6DF0" w:rsidRDefault="002C0C28" w:rsidP="000F2051">
            <w:pPr>
              <w:spacing w:line="276" w:lineRule="auto"/>
              <w:contextualSpacing/>
              <w:jc w:val="center"/>
              <w:rPr>
                <w:rFonts w:ascii="Bookman Old Style" w:hAnsi="Bookman Old Style"/>
                <w:sz w:val="20"/>
                <w:szCs w:val="20"/>
              </w:rPr>
            </w:pPr>
          </w:p>
        </w:tc>
      </w:tr>
      <w:tr w:rsidR="002C0C28" w:rsidRPr="00CF6DF0" w14:paraId="1595E377" w14:textId="77777777" w:rsidTr="005564B8">
        <w:tc>
          <w:tcPr>
            <w:tcW w:w="6091" w:type="dxa"/>
          </w:tcPr>
          <w:p w14:paraId="701097B8" w14:textId="6FC719A9" w:rsidR="00F73BF2" w:rsidRPr="007112F1" w:rsidRDefault="007112F1" w:rsidP="007112F1">
            <w:pPr>
              <w:pStyle w:val="ListParagraph"/>
              <w:numPr>
                <w:ilvl w:val="1"/>
                <w:numId w:val="3"/>
              </w:numPr>
              <w:spacing w:line="276" w:lineRule="auto"/>
              <w:ind w:left="1160" w:hanging="283"/>
              <w:jc w:val="both"/>
              <w:rPr>
                <w:rFonts w:ascii="Bookman Old Style" w:hAnsi="Bookman Old Style"/>
                <w:bCs/>
                <w:iCs/>
                <w:sz w:val="20"/>
                <w:szCs w:val="20"/>
              </w:rPr>
            </w:pPr>
            <w:r w:rsidRPr="007112F1">
              <w:rPr>
                <w:rFonts w:ascii="Bookman Old Style" w:hAnsi="Bookman Old Style"/>
                <w:bCs/>
                <w:iCs/>
                <w:sz w:val="20"/>
                <w:szCs w:val="20"/>
              </w:rPr>
              <w:t>nilai buku per saham berdasarkan laporan keuangan terakhir,</w:t>
            </w:r>
          </w:p>
        </w:tc>
        <w:tc>
          <w:tcPr>
            <w:tcW w:w="4536" w:type="dxa"/>
          </w:tcPr>
          <w:p w14:paraId="47995060" w14:textId="77777777" w:rsidR="002C0C28" w:rsidRPr="00CF6DF0" w:rsidRDefault="002C0C28" w:rsidP="000F2051">
            <w:pPr>
              <w:spacing w:line="276" w:lineRule="auto"/>
              <w:contextualSpacing/>
              <w:jc w:val="center"/>
              <w:rPr>
                <w:rFonts w:ascii="Bookman Old Style" w:hAnsi="Bookman Old Style"/>
                <w:sz w:val="20"/>
                <w:szCs w:val="20"/>
              </w:rPr>
            </w:pPr>
          </w:p>
        </w:tc>
        <w:tc>
          <w:tcPr>
            <w:tcW w:w="4394" w:type="dxa"/>
          </w:tcPr>
          <w:p w14:paraId="5FAD4751" w14:textId="77777777" w:rsidR="002C0C28" w:rsidRPr="00CF6DF0" w:rsidRDefault="002C0C28" w:rsidP="000F2051">
            <w:pPr>
              <w:spacing w:line="276" w:lineRule="auto"/>
              <w:contextualSpacing/>
              <w:jc w:val="center"/>
              <w:rPr>
                <w:rFonts w:ascii="Bookman Old Style" w:hAnsi="Bookman Old Style"/>
                <w:sz w:val="20"/>
                <w:szCs w:val="20"/>
              </w:rPr>
            </w:pPr>
          </w:p>
        </w:tc>
      </w:tr>
      <w:tr w:rsidR="00F73BF2" w:rsidRPr="00CF6DF0" w14:paraId="21AD3545" w14:textId="77777777" w:rsidTr="005564B8">
        <w:tc>
          <w:tcPr>
            <w:tcW w:w="6091" w:type="dxa"/>
          </w:tcPr>
          <w:p w14:paraId="3CF5A868" w14:textId="1E82E072" w:rsidR="00F73BF2" w:rsidRPr="00CF6DF0" w:rsidRDefault="00F73BF2" w:rsidP="00F73BF2">
            <w:pPr>
              <w:pStyle w:val="ListParagraph"/>
              <w:spacing w:line="276" w:lineRule="auto"/>
              <w:ind w:left="877"/>
              <w:jc w:val="both"/>
              <w:rPr>
                <w:rFonts w:ascii="Bookman Old Style" w:hAnsi="Bookman Old Style"/>
                <w:bCs/>
                <w:iCs/>
                <w:sz w:val="20"/>
                <w:szCs w:val="20"/>
              </w:rPr>
            </w:pPr>
            <w:r w:rsidRPr="00CF6DF0">
              <w:rPr>
                <w:rFonts w:ascii="Bookman Old Style" w:hAnsi="Bookman Old Style"/>
                <w:bCs/>
                <w:iCs/>
                <w:sz w:val="20"/>
                <w:szCs w:val="20"/>
              </w:rPr>
              <w:t>digunakan yang lebih tinggi.</w:t>
            </w:r>
          </w:p>
        </w:tc>
        <w:tc>
          <w:tcPr>
            <w:tcW w:w="4536" w:type="dxa"/>
          </w:tcPr>
          <w:p w14:paraId="374A85A2" w14:textId="77777777" w:rsidR="00F73BF2" w:rsidRPr="00CF6DF0" w:rsidRDefault="00F73BF2" w:rsidP="000F2051">
            <w:pPr>
              <w:spacing w:line="276" w:lineRule="auto"/>
              <w:contextualSpacing/>
              <w:jc w:val="center"/>
              <w:rPr>
                <w:rFonts w:ascii="Bookman Old Style" w:hAnsi="Bookman Old Style"/>
                <w:sz w:val="20"/>
                <w:szCs w:val="20"/>
              </w:rPr>
            </w:pPr>
          </w:p>
        </w:tc>
        <w:tc>
          <w:tcPr>
            <w:tcW w:w="4394" w:type="dxa"/>
          </w:tcPr>
          <w:p w14:paraId="40F56840" w14:textId="77777777" w:rsidR="00F73BF2" w:rsidRPr="00CF6DF0" w:rsidRDefault="00F73BF2" w:rsidP="000F2051">
            <w:pPr>
              <w:spacing w:line="276" w:lineRule="auto"/>
              <w:contextualSpacing/>
              <w:jc w:val="center"/>
              <w:rPr>
                <w:rFonts w:ascii="Bookman Old Style" w:hAnsi="Bookman Old Style"/>
                <w:sz w:val="20"/>
                <w:szCs w:val="20"/>
              </w:rPr>
            </w:pPr>
          </w:p>
        </w:tc>
      </w:tr>
      <w:tr w:rsidR="00F73BF2" w:rsidRPr="00CF6DF0" w14:paraId="291762B7" w14:textId="77777777" w:rsidTr="005564B8">
        <w:tc>
          <w:tcPr>
            <w:tcW w:w="6091" w:type="dxa"/>
          </w:tcPr>
          <w:p w14:paraId="3455CE46" w14:textId="7BFD1851" w:rsidR="00F73BF2" w:rsidRPr="007112F1" w:rsidRDefault="007112F1" w:rsidP="007112F1">
            <w:pPr>
              <w:pStyle w:val="ListParagraph"/>
              <w:numPr>
                <w:ilvl w:val="0"/>
                <w:numId w:val="3"/>
              </w:numPr>
              <w:spacing w:line="276" w:lineRule="auto"/>
              <w:ind w:left="877" w:hanging="426"/>
              <w:jc w:val="both"/>
              <w:rPr>
                <w:rFonts w:ascii="Bookman Old Style" w:hAnsi="Bookman Old Style"/>
                <w:bCs/>
                <w:iCs/>
              </w:rPr>
            </w:pPr>
            <w:r w:rsidRPr="007112F1">
              <w:rPr>
                <w:rFonts w:ascii="Bookman Old Style" w:hAnsi="Bookman Old Style"/>
                <w:bCs/>
                <w:iCs/>
                <w:sz w:val="20"/>
                <w:szCs w:val="20"/>
              </w:rPr>
              <w:t>Yang dimaksud dengan laporan keuangan terakhir pada angka 7 huruf b adalah laporan keuangan terakhir yang disampaikan ke Otoritas Jasa Keuangan atau yang dipublikasi.</w:t>
            </w:r>
          </w:p>
        </w:tc>
        <w:tc>
          <w:tcPr>
            <w:tcW w:w="4536" w:type="dxa"/>
          </w:tcPr>
          <w:p w14:paraId="5AD71A4F" w14:textId="77777777" w:rsidR="00F73BF2" w:rsidRPr="00CF6DF0" w:rsidRDefault="00F73BF2" w:rsidP="000F2051">
            <w:pPr>
              <w:spacing w:line="276" w:lineRule="auto"/>
              <w:contextualSpacing/>
              <w:jc w:val="center"/>
              <w:rPr>
                <w:rFonts w:ascii="Bookman Old Style" w:hAnsi="Bookman Old Style"/>
                <w:sz w:val="20"/>
                <w:szCs w:val="20"/>
              </w:rPr>
            </w:pPr>
          </w:p>
        </w:tc>
        <w:tc>
          <w:tcPr>
            <w:tcW w:w="4394" w:type="dxa"/>
          </w:tcPr>
          <w:p w14:paraId="09194276" w14:textId="77777777" w:rsidR="00F73BF2" w:rsidRPr="00CF6DF0" w:rsidRDefault="00F73BF2" w:rsidP="000F2051">
            <w:pPr>
              <w:spacing w:line="276" w:lineRule="auto"/>
              <w:contextualSpacing/>
              <w:jc w:val="center"/>
              <w:rPr>
                <w:rFonts w:ascii="Bookman Old Style" w:hAnsi="Bookman Old Style"/>
                <w:sz w:val="20"/>
                <w:szCs w:val="20"/>
              </w:rPr>
            </w:pPr>
          </w:p>
        </w:tc>
      </w:tr>
      <w:tr w:rsidR="00F73BF2" w:rsidRPr="00CF6DF0" w14:paraId="5FF1E1DB" w14:textId="77777777" w:rsidTr="005564B8">
        <w:tc>
          <w:tcPr>
            <w:tcW w:w="6091" w:type="dxa"/>
          </w:tcPr>
          <w:p w14:paraId="25626698" w14:textId="40F323E0" w:rsidR="00F73BF2" w:rsidRPr="00CF6DF0" w:rsidRDefault="007112F1" w:rsidP="0004319F">
            <w:pPr>
              <w:pStyle w:val="ListParagraph"/>
              <w:numPr>
                <w:ilvl w:val="0"/>
                <w:numId w:val="3"/>
              </w:numPr>
              <w:spacing w:line="276" w:lineRule="auto"/>
              <w:ind w:left="877" w:hanging="426"/>
              <w:jc w:val="both"/>
              <w:rPr>
                <w:rFonts w:ascii="Bookman Old Style" w:hAnsi="Bookman Old Style"/>
                <w:bCs/>
                <w:iCs/>
                <w:sz w:val="20"/>
                <w:szCs w:val="20"/>
              </w:rPr>
            </w:pPr>
            <w:r w:rsidRPr="007112F1">
              <w:rPr>
                <w:rFonts w:ascii="Bookman Old Style" w:hAnsi="Bookman Old Style"/>
                <w:bCs/>
                <w:iCs/>
                <w:sz w:val="20"/>
                <w:szCs w:val="20"/>
              </w:rPr>
              <w:t>Pelaksanaan pembelian kembali saham dapat dilakukan tanpa terlebih dahulu memperoleh persetujuan RUPS</w:t>
            </w:r>
            <w:r w:rsidR="00F73BF2" w:rsidRPr="00CF6DF0">
              <w:rPr>
                <w:rFonts w:ascii="Bookman Old Style" w:hAnsi="Bookman Old Style"/>
                <w:bCs/>
                <w:iCs/>
                <w:sz w:val="20"/>
                <w:szCs w:val="20"/>
              </w:rPr>
              <w:t>.</w:t>
            </w:r>
          </w:p>
        </w:tc>
        <w:tc>
          <w:tcPr>
            <w:tcW w:w="4536" w:type="dxa"/>
          </w:tcPr>
          <w:p w14:paraId="4B0696EE" w14:textId="77777777" w:rsidR="00F73BF2" w:rsidRPr="00CF6DF0" w:rsidRDefault="00F73BF2" w:rsidP="000F2051">
            <w:pPr>
              <w:spacing w:line="276" w:lineRule="auto"/>
              <w:contextualSpacing/>
              <w:jc w:val="center"/>
              <w:rPr>
                <w:rFonts w:ascii="Bookman Old Style" w:hAnsi="Bookman Old Style"/>
                <w:sz w:val="20"/>
                <w:szCs w:val="20"/>
              </w:rPr>
            </w:pPr>
          </w:p>
        </w:tc>
        <w:tc>
          <w:tcPr>
            <w:tcW w:w="4394" w:type="dxa"/>
          </w:tcPr>
          <w:p w14:paraId="56D90DC3" w14:textId="77777777" w:rsidR="00F73BF2" w:rsidRPr="00CF6DF0" w:rsidRDefault="00F73BF2" w:rsidP="000F2051">
            <w:pPr>
              <w:spacing w:line="276" w:lineRule="auto"/>
              <w:contextualSpacing/>
              <w:jc w:val="center"/>
              <w:rPr>
                <w:rFonts w:ascii="Bookman Old Style" w:hAnsi="Bookman Old Style"/>
                <w:sz w:val="20"/>
                <w:szCs w:val="20"/>
              </w:rPr>
            </w:pPr>
          </w:p>
        </w:tc>
      </w:tr>
      <w:tr w:rsidR="00F73BF2" w:rsidRPr="00CF6DF0" w14:paraId="092BA49C" w14:textId="77777777" w:rsidTr="005564B8">
        <w:tc>
          <w:tcPr>
            <w:tcW w:w="6091" w:type="dxa"/>
          </w:tcPr>
          <w:p w14:paraId="4DA5E14F" w14:textId="07DF1296" w:rsidR="00F73BF2" w:rsidRPr="00CF6DF0" w:rsidRDefault="007112F1" w:rsidP="0004319F">
            <w:pPr>
              <w:pStyle w:val="ListParagraph"/>
              <w:numPr>
                <w:ilvl w:val="0"/>
                <w:numId w:val="3"/>
              </w:numPr>
              <w:spacing w:line="276" w:lineRule="auto"/>
              <w:ind w:left="877" w:hanging="426"/>
              <w:jc w:val="both"/>
              <w:rPr>
                <w:rFonts w:ascii="Bookman Old Style" w:hAnsi="Bookman Old Style"/>
                <w:bCs/>
                <w:iCs/>
                <w:sz w:val="20"/>
                <w:szCs w:val="20"/>
              </w:rPr>
            </w:pPr>
            <w:r w:rsidRPr="007112F1">
              <w:rPr>
                <w:rFonts w:ascii="Bookman Old Style" w:hAnsi="Bookman Old Style"/>
                <w:bCs/>
                <w:iCs/>
                <w:sz w:val="20"/>
                <w:szCs w:val="20"/>
              </w:rPr>
              <w:t>Dalam hal pelaksanaan pembelian kembali saham tidak dilaksanakan, Otoritas Jasa Keuangan berwenang memberikan Surat Perintah Tindakan Tertentu sesuai Peraturan Otoritas Jasa Keuangan Nomor 23/POJK.04/2021 tentang Tindak Lanjut Pengawasan di Bidang Pasar Modal</w:t>
            </w:r>
            <w:r w:rsidR="00F73BF2" w:rsidRPr="00CF6DF0">
              <w:rPr>
                <w:rFonts w:ascii="Bookman Old Style" w:hAnsi="Bookman Old Style"/>
                <w:bCs/>
                <w:iCs/>
                <w:sz w:val="20"/>
                <w:szCs w:val="20"/>
              </w:rPr>
              <w:t>.</w:t>
            </w:r>
          </w:p>
        </w:tc>
        <w:tc>
          <w:tcPr>
            <w:tcW w:w="4536" w:type="dxa"/>
          </w:tcPr>
          <w:p w14:paraId="6FC17F25" w14:textId="77777777" w:rsidR="00F73BF2" w:rsidRPr="00CF6DF0" w:rsidRDefault="00F73BF2" w:rsidP="000F2051">
            <w:pPr>
              <w:spacing w:line="276" w:lineRule="auto"/>
              <w:contextualSpacing/>
              <w:jc w:val="center"/>
              <w:rPr>
                <w:rFonts w:ascii="Bookman Old Style" w:hAnsi="Bookman Old Style"/>
                <w:sz w:val="20"/>
                <w:szCs w:val="20"/>
              </w:rPr>
            </w:pPr>
          </w:p>
        </w:tc>
        <w:tc>
          <w:tcPr>
            <w:tcW w:w="4394" w:type="dxa"/>
          </w:tcPr>
          <w:p w14:paraId="6D379A69" w14:textId="77777777" w:rsidR="00F73BF2" w:rsidRPr="00CF6DF0" w:rsidRDefault="00F73BF2" w:rsidP="000F2051">
            <w:pPr>
              <w:spacing w:line="276" w:lineRule="auto"/>
              <w:contextualSpacing/>
              <w:jc w:val="center"/>
              <w:rPr>
                <w:rFonts w:ascii="Bookman Old Style" w:hAnsi="Bookman Old Style"/>
                <w:sz w:val="20"/>
                <w:szCs w:val="20"/>
              </w:rPr>
            </w:pPr>
          </w:p>
        </w:tc>
      </w:tr>
      <w:tr w:rsidR="00F73BF2" w:rsidRPr="00CF6DF0" w14:paraId="54BB0393" w14:textId="77777777" w:rsidTr="005564B8">
        <w:tc>
          <w:tcPr>
            <w:tcW w:w="6091" w:type="dxa"/>
          </w:tcPr>
          <w:p w14:paraId="38EF3434" w14:textId="6ABA450C" w:rsidR="00F73BF2" w:rsidRPr="00CF6DF0" w:rsidRDefault="007112F1" w:rsidP="0004319F">
            <w:pPr>
              <w:pStyle w:val="ListParagraph"/>
              <w:numPr>
                <w:ilvl w:val="0"/>
                <w:numId w:val="3"/>
              </w:numPr>
              <w:spacing w:line="276" w:lineRule="auto"/>
              <w:ind w:left="877" w:hanging="426"/>
              <w:jc w:val="both"/>
              <w:rPr>
                <w:rFonts w:ascii="Bookman Old Style" w:hAnsi="Bookman Old Style"/>
                <w:bCs/>
                <w:iCs/>
                <w:sz w:val="20"/>
                <w:szCs w:val="20"/>
              </w:rPr>
            </w:pPr>
            <w:r w:rsidRPr="007112F1">
              <w:rPr>
                <w:rFonts w:ascii="Bookman Old Style" w:hAnsi="Bookman Old Style"/>
                <w:bCs/>
                <w:iCs/>
                <w:sz w:val="20"/>
                <w:szCs w:val="20"/>
              </w:rPr>
              <w:t>Dalam hal Perintah Tindakan Tertentu pada angka 10 tidak dilaksanakan, Otoritas Jasa Keuangan berwenang memberikan Perintah Tertulis kepada Perusahaan Terbuka untuk melaksanakan perubahan status Perusahaan Terbuka menjadi Perseroan yang Tertutup</w:t>
            </w:r>
            <w:r w:rsidR="0004319F" w:rsidRPr="00CF6DF0">
              <w:rPr>
                <w:rFonts w:ascii="Bookman Old Style" w:hAnsi="Bookman Old Style"/>
                <w:bCs/>
                <w:iCs/>
                <w:sz w:val="20"/>
                <w:szCs w:val="20"/>
              </w:rPr>
              <w:t>.</w:t>
            </w:r>
          </w:p>
        </w:tc>
        <w:tc>
          <w:tcPr>
            <w:tcW w:w="4536" w:type="dxa"/>
          </w:tcPr>
          <w:p w14:paraId="4BB270D4" w14:textId="77777777" w:rsidR="00F73BF2" w:rsidRPr="00CF6DF0" w:rsidRDefault="00F73BF2" w:rsidP="000F2051">
            <w:pPr>
              <w:spacing w:line="276" w:lineRule="auto"/>
              <w:contextualSpacing/>
              <w:jc w:val="center"/>
              <w:rPr>
                <w:rFonts w:ascii="Bookman Old Style" w:hAnsi="Bookman Old Style"/>
                <w:sz w:val="20"/>
                <w:szCs w:val="20"/>
              </w:rPr>
            </w:pPr>
          </w:p>
        </w:tc>
        <w:tc>
          <w:tcPr>
            <w:tcW w:w="4394" w:type="dxa"/>
          </w:tcPr>
          <w:p w14:paraId="179F48DD" w14:textId="77777777" w:rsidR="00F73BF2" w:rsidRPr="00CF6DF0" w:rsidRDefault="00F73BF2" w:rsidP="000F2051">
            <w:pPr>
              <w:spacing w:line="276" w:lineRule="auto"/>
              <w:contextualSpacing/>
              <w:jc w:val="center"/>
              <w:rPr>
                <w:rFonts w:ascii="Bookman Old Style" w:hAnsi="Bookman Old Style"/>
                <w:sz w:val="20"/>
                <w:szCs w:val="20"/>
              </w:rPr>
            </w:pPr>
          </w:p>
        </w:tc>
      </w:tr>
      <w:tr w:rsidR="00F73BF2" w:rsidRPr="00CF6DF0" w14:paraId="0D3D7D5B" w14:textId="77777777" w:rsidTr="005564B8">
        <w:tc>
          <w:tcPr>
            <w:tcW w:w="6091" w:type="dxa"/>
          </w:tcPr>
          <w:p w14:paraId="0F002B7B" w14:textId="7DD8EFCC" w:rsidR="00F73BF2" w:rsidRPr="00CF6DF0" w:rsidRDefault="007112F1" w:rsidP="0004319F">
            <w:pPr>
              <w:pStyle w:val="ListParagraph"/>
              <w:numPr>
                <w:ilvl w:val="0"/>
                <w:numId w:val="3"/>
              </w:numPr>
              <w:spacing w:line="276" w:lineRule="auto"/>
              <w:ind w:left="877" w:hanging="426"/>
              <w:jc w:val="both"/>
              <w:rPr>
                <w:rFonts w:ascii="Bookman Old Style" w:hAnsi="Bookman Old Style"/>
                <w:bCs/>
                <w:iCs/>
                <w:sz w:val="20"/>
                <w:szCs w:val="20"/>
              </w:rPr>
            </w:pPr>
            <w:r w:rsidRPr="007112F1">
              <w:rPr>
                <w:rFonts w:ascii="Bookman Old Style" w:hAnsi="Bookman Old Style"/>
                <w:bCs/>
                <w:iCs/>
                <w:sz w:val="20"/>
                <w:szCs w:val="20"/>
              </w:rPr>
              <w:t xml:space="preserve">Dalam hal perubahan status pada angka 11 tidak dilaksanakan, Otoritas Jasa Keuangan berwenang </w:t>
            </w:r>
            <w:r w:rsidRPr="007112F1">
              <w:rPr>
                <w:rFonts w:ascii="Bookman Old Style" w:hAnsi="Bookman Old Style"/>
                <w:bCs/>
                <w:iCs/>
                <w:sz w:val="20"/>
                <w:szCs w:val="20"/>
              </w:rPr>
              <w:lastRenderedPageBreak/>
              <w:t>untuk memohonkan pembubaran terhadap Perusahaan Terbuka</w:t>
            </w:r>
            <w:r w:rsidR="0004319F" w:rsidRPr="00CF6DF0">
              <w:rPr>
                <w:rFonts w:ascii="Bookman Old Style" w:hAnsi="Bookman Old Style"/>
                <w:bCs/>
                <w:iCs/>
                <w:sz w:val="20"/>
                <w:szCs w:val="20"/>
              </w:rPr>
              <w:t>.</w:t>
            </w:r>
          </w:p>
        </w:tc>
        <w:tc>
          <w:tcPr>
            <w:tcW w:w="4536" w:type="dxa"/>
          </w:tcPr>
          <w:p w14:paraId="1490CD4D" w14:textId="77777777" w:rsidR="00F73BF2" w:rsidRPr="00CF6DF0" w:rsidRDefault="00F73BF2" w:rsidP="000F2051">
            <w:pPr>
              <w:spacing w:line="276" w:lineRule="auto"/>
              <w:contextualSpacing/>
              <w:jc w:val="center"/>
              <w:rPr>
                <w:rFonts w:ascii="Bookman Old Style" w:hAnsi="Bookman Old Style"/>
                <w:sz w:val="20"/>
                <w:szCs w:val="20"/>
              </w:rPr>
            </w:pPr>
          </w:p>
        </w:tc>
        <w:tc>
          <w:tcPr>
            <w:tcW w:w="4394" w:type="dxa"/>
          </w:tcPr>
          <w:p w14:paraId="1220BE9E" w14:textId="77777777" w:rsidR="00F73BF2" w:rsidRPr="00CF6DF0" w:rsidRDefault="00F73BF2" w:rsidP="000F2051">
            <w:pPr>
              <w:spacing w:line="276" w:lineRule="auto"/>
              <w:contextualSpacing/>
              <w:jc w:val="center"/>
              <w:rPr>
                <w:rFonts w:ascii="Bookman Old Style" w:hAnsi="Bookman Old Style"/>
                <w:sz w:val="20"/>
                <w:szCs w:val="20"/>
              </w:rPr>
            </w:pPr>
          </w:p>
        </w:tc>
      </w:tr>
      <w:tr w:rsidR="001A7801" w:rsidRPr="00CF6DF0" w14:paraId="529EBB0D" w14:textId="77777777" w:rsidTr="005564B8">
        <w:tc>
          <w:tcPr>
            <w:tcW w:w="6091" w:type="dxa"/>
          </w:tcPr>
          <w:p w14:paraId="008976E2" w14:textId="4ADC477D" w:rsidR="001A7801" w:rsidRPr="00CF6DF0" w:rsidRDefault="002D283C" w:rsidP="0004319F">
            <w:pPr>
              <w:pStyle w:val="ListParagraph"/>
              <w:numPr>
                <w:ilvl w:val="0"/>
                <w:numId w:val="2"/>
              </w:numPr>
              <w:spacing w:line="276" w:lineRule="auto"/>
              <w:ind w:left="451" w:hanging="283"/>
              <w:rPr>
                <w:rFonts w:ascii="Bookman Old Style" w:hAnsi="Bookman Old Style"/>
                <w:sz w:val="20"/>
                <w:szCs w:val="20"/>
              </w:rPr>
            </w:pPr>
            <w:r w:rsidRPr="00CF6DF0">
              <w:rPr>
                <w:rFonts w:ascii="Bookman Old Style" w:hAnsi="Bookman Old Style"/>
                <w:sz w:val="20"/>
                <w:szCs w:val="20"/>
              </w:rPr>
              <w:t>PENUTUP</w:t>
            </w:r>
          </w:p>
        </w:tc>
        <w:tc>
          <w:tcPr>
            <w:tcW w:w="4536" w:type="dxa"/>
          </w:tcPr>
          <w:p w14:paraId="34A2756C" w14:textId="77777777" w:rsidR="001A7801" w:rsidRPr="00CF6DF0" w:rsidRDefault="001A7801" w:rsidP="000F2051">
            <w:pPr>
              <w:spacing w:line="276" w:lineRule="auto"/>
              <w:contextualSpacing/>
              <w:jc w:val="center"/>
              <w:rPr>
                <w:rFonts w:ascii="Bookman Old Style" w:hAnsi="Bookman Old Style"/>
                <w:sz w:val="20"/>
                <w:szCs w:val="20"/>
              </w:rPr>
            </w:pPr>
          </w:p>
        </w:tc>
        <w:tc>
          <w:tcPr>
            <w:tcW w:w="4394" w:type="dxa"/>
          </w:tcPr>
          <w:p w14:paraId="577F885A" w14:textId="77777777" w:rsidR="001A7801" w:rsidRPr="00CF6DF0" w:rsidRDefault="001A7801" w:rsidP="000F2051">
            <w:pPr>
              <w:spacing w:line="276" w:lineRule="auto"/>
              <w:contextualSpacing/>
              <w:jc w:val="center"/>
              <w:rPr>
                <w:rFonts w:ascii="Bookman Old Style" w:hAnsi="Bookman Old Style"/>
                <w:sz w:val="20"/>
                <w:szCs w:val="20"/>
              </w:rPr>
            </w:pPr>
          </w:p>
        </w:tc>
      </w:tr>
      <w:tr w:rsidR="001A7801" w:rsidRPr="00CF6DF0" w14:paraId="2E794C8A" w14:textId="77777777" w:rsidTr="005564B8">
        <w:tc>
          <w:tcPr>
            <w:tcW w:w="6091" w:type="dxa"/>
          </w:tcPr>
          <w:p w14:paraId="6DA604FC" w14:textId="1B7BF3A1" w:rsidR="001A7801" w:rsidRPr="00CF6DF0" w:rsidRDefault="002D283C" w:rsidP="00A07B34">
            <w:pPr>
              <w:pStyle w:val="ListParagraph"/>
              <w:spacing w:line="276" w:lineRule="auto"/>
              <w:ind w:left="451"/>
              <w:jc w:val="both"/>
              <w:rPr>
                <w:rFonts w:ascii="Bookman Old Style" w:hAnsi="Bookman Old Style"/>
                <w:sz w:val="20"/>
                <w:szCs w:val="20"/>
              </w:rPr>
            </w:pPr>
            <w:r w:rsidRPr="00CF6DF0">
              <w:rPr>
                <w:rFonts w:ascii="Bookman Old Style" w:hAnsi="Bookman Old Style"/>
                <w:sz w:val="20"/>
                <w:szCs w:val="20"/>
              </w:rPr>
              <w:t>Surat Edaran Otoritas Jasa Keuangan ini mulai berlaku untuk Perusahaan Terbuka yang</w:t>
            </w:r>
            <w:r w:rsidRPr="00CF6DF0">
              <w:rPr>
                <w:rFonts w:ascii="Bookman Old Style" w:hAnsi="Bookman Old Style"/>
                <w:bCs/>
                <w:sz w:val="20"/>
                <w:szCs w:val="20"/>
                <w:lang w:val="en-US"/>
              </w:rPr>
              <w:t xml:space="preserve"> pencatatan efeknya dibatalkan oleh Bursa Efek</w:t>
            </w:r>
            <w:r w:rsidRPr="00CF6DF0">
              <w:rPr>
                <w:rFonts w:ascii="Bookman Old Style" w:hAnsi="Bookman Old Style"/>
                <w:sz w:val="20"/>
                <w:szCs w:val="20"/>
              </w:rPr>
              <w:t xml:space="preserve"> Indonesia setelah tanggal ditetapkan SEOJK.</w:t>
            </w:r>
          </w:p>
        </w:tc>
        <w:tc>
          <w:tcPr>
            <w:tcW w:w="4536" w:type="dxa"/>
          </w:tcPr>
          <w:p w14:paraId="151A3A60" w14:textId="6D8BA086" w:rsidR="001A7801" w:rsidRPr="00CF6DF0" w:rsidRDefault="001A7801" w:rsidP="000F2051">
            <w:pPr>
              <w:spacing w:line="276" w:lineRule="auto"/>
              <w:contextualSpacing/>
              <w:jc w:val="center"/>
              <w:rPr>
                <w:rFonts w:ascii="Bookman Old Style" w:hAnsi="Bookman Old Style"/>
                <w:sz w:val="20"/>
                <w:szCs w:val="20"/>
              </w:rPr>
            </w:pPr>
          </w:p>
        </w:tc>
        <w:tc>
          <w:tcPr>
            <w:tcW w:w="4394" w:type="dxa"/>
          </w:tcPr>
          <w:p w14:paraId="2A3E2E0C" w14:textId="77777777" w:rsidR="001A7801" w:rsidRPr="00CF6DF0" w:rsidRDefault="001A7801" w:rsidP="000F2051">
            <w:pPr>
              <w:spacing w:line="276" w:lineRule="auto"/>
              <w:contextualSpacing/>
              <w:jc w:val="center"/>
              <w:rPr>
                <w:rFonts w:ascii="Bookman Old Style" w:hAnsi="Bookman Old Style"/>
                <w:sz w:val="20"/>
                <w:szCs w:val="20"/>
              </w:rPr>
            </w:pPr>
          </w:p>
        </w:tc>
      </w:tr>
      <w:tr w:rsidR="00716167" w:rsidRPr="00CF6DF0" w14:paraId="4B66A84B" w14:textId="77777777" w:rsidTr="005564B8">
        <w:tc>
          <w:tcPr>
            <w:tcW w:w="6091" w:type="dxa"/>
          </w:tcPr>
          <w:p w14:paraId="29F63F69" w14:textId="03518147" w:rsidR="00716167" w:rsidRPr="00CF6DF0" w:rsidRDefault="00A07B34" w:rsidP="00A07B34">
            <w:pPr>
              <w:pStyle w:val="ListParagraph"/>
              <w:spacing w:line="276" w:lineRule="auto"/>
              <w:ind w:left="451"/>
              <w:jc w:val="both"/>
              <w:rPr>
                <w:rFonts w:ascii="Bookman Old Style" w:hAnsi="Bookman Old Style" w:cs="BookAntiqua"/>
                <w:sz w:val="20"/>
                <w:szCs w:val="20"/>
              </w:rPr>
            </w:pPr>
            <w:r w:rsidRPr="00CF6DF0">
              <w:rPr>
                <w:rFonts w:ascii="Bookman Old Style" w:hAnsi="Bookman Old Style"/>
                <w:sz w:val="20"/>
                <w:szCs w:val="20"/>
              </w:rPr>
              <w:t xml:space="preserve">Agar setiap orang mengetahuinya, memerintahkan </w:t>
            </w:r>
            <w:r w:rsidRPr="00CF6DF0">
              <w:rPr>
                <w:rFonts w:ascii="Bookman Old Style" w:hAnsi="Bookman Old Style"/>
                <w:bCs/>
                <w:sz w:val="20"/>
                <w:szCs w:val="20"/>
                <w:lang w:val="en-US"/>
              </w:rPr>
              <w:t>pengumuman</w:t>
            </w:r>
            <w:r w:rsidRPr="00CF6DF0">
              <w:rPr>
                <w:rFonts w:ascii="Bookman Old Style" w:hAnsi="Bookman Old Style"/>
                <w:sz w:val="20"/>
                <w:szCs w:val="20"/>
              </w:rPr>
              <w:t xml:space="preserve"> Surat Edaran Otoritas Jasa Keuangan ini dengan penempatannya dalam Berita Negara Republik Indonesia.</w:t>
            </w:r>
          </w:p>
        </w:tc>
        <w:tc>
          <w:tcPr>
            <w:tcW w:w="4536" w:type="dxa"/>
          </w:tcPr>
          <w:p w14:paraId="66EB5863" w14:textId="77777777" w:rsidR="00716167" w:rsidRPr="00CF6DF0" w:rsidRDefault="00716167" w:rsidP="000F2051">
            <w:pPr>
              <w:spacing w:line="276" w:lineRule="auto"/>
              <w:contextualSpacing/>
              <w:jc w:val="center"/>
              <w:rPr>
                <w:rFonts w:ascii="Bookman Old Style" w:hAnsi="Bookman Old Style"/>
                <w:sz w:val="20"/>
                <w:szCs w:val="20"/>
              </w:rPr>
            </w:pPr>
          </w:p>
        </w:tc>
        <w:tc>
          <w:tcPr>
            <w:tcW w:w="4394" w:type="dxa"/>
          </w:tcPr>
          <w:p w14:paraId="6DAAC579" w14:textId="77777777" w:rsidR="00716167" w:rsidRPr="00CF6DF0" w:rsidRDefault="00716167" w:rsidP="000F2051">
            <w:pPr>
              <w:spacing w:line="276" w:lineRule="auto"/>
              <w:contextualSpacing/>
              <w:jc w:val="center"/>
              <w:rPr>
                <w:rFonts w:ascii="Bookman Old Style" w:hAnsi="Bookman Old Style"/>
                <w:sz w:val="20"/>
                <w:szCs w:val="20"/>
              </w:rPr>
            </w:pPr>
          </w:p>
        </w:tc>
      </w:tr>
      <w:tr w:rsidR="00A07B34" w:rsidRPr="00CF6DF0" w14:paraId="6254EECD" w14:textId="77777777" w:rsidTr="005564B8">
        <w:tc>
          <w:tcPr>
            <w:tcW w:w="6091" w:type="dxa"/>
          </w:tcPr>
          <w:p w14:paraId="19A3D1B0" w14:textId="77777777" w:rsidR="00A07B34" w:rsidRPr="00CF6DF0" w:rsidRDefault="00A07B34" w:rsidP="00A07B34">
            <w:pPr>
              <w:pStyle w:val="ListParagraph"/>
              <w:spacing w:line="276" w:lineRule="auto"/>
              <w:ind w:left="451"/>
              <w:jc w:val="both"/>
              <w:rPr>
                <w:rFonts w:ascii="Bookman Old Style" w:hAnsi="Bookman Old Style"/>
                <w:sz w:val="20"/>
                <w:szCs w:val="20"/>
              </w:rPr>
            </w:pPr>
          </w:p>
        </w:tc>
        <w:tc>
          <w:tcPr>
            <w:tcW w:w="4536" w:type="dxa"/>
          </w:tcPr>
          <w:p w14:paraId="3CB01E16" w14:textId="77777777" w:rsidR="00A07B34" w:rsidRPr="00CF6DF0" w:rsidRDefault="00A07B34" w:rsidP="000F2051">
            <w:pPr>
              <w:spacing w:line="276" w:lineRule="auto"/>
              <w:contextualSpacing/>
              <w:jc w:val="center"/>
              <w:rPr>
                <w:rFonts w:ascii="Bookman Old Style" w:hAnsi="Bookman Old Style"/>
                <w:sz w:val="20"/>
                <w:szCs w:val="20"/>
              </w:rPr>
            </w:pPr>
          </w:p>
        </w:tc>
        <w:tc>
          <w:tcPr>
            <w:tcW w:w="4394" w:type="dxa"/>
          </w:tcPr>
          <w:p w14:paraId="4B7F00F7" w14:textId="77777777" w:rsidR="00A07B34" w:rsidRPr="00CF6DF0" w:rsidRDefault="00A07B34" w:rsidP="000F2051">
            <w:pPr>
              <w:spacing w:line="276" w:lineRule="auto"/>
              <w:contextualSpacing/>
              <w:jc w:val="center"/>
              <w:rPr>
                <w:rFonts w:ascii="Bookman Old Style" w:hAnsi="Bookman Old Style"/>
                <w:sz w:val="20"/>
                <w:szCs w:val="20"/>
              </w:rPr>
            </w:pPr>
          </w:p>
        </w:tc>
      </w:tr>
      <w:tr w:rsidR="00F8032A" w:rsidRPr="00CF6DF0" w14:paraId="665DE7A9" w14:textId="77777777" w:rsidTr="005564B8">
        <w:tc>
          <w:tcPr>
            <w:tcW w:w="6091" w:type="dxa"/>
          </w:tcPr>
          <w:p w14:paraId="25CD6D7D" w14:textId="2B805B33" w:rsidR="00F8032A" w:rsidRPr="00CF6DF0" w:rsidRDefault="0004319F" w:rsidP="00905C66">
            <w:pPr>
              <w:pStyle w:val="nomor-1alinea"/>
              <w:spacing w:before="0" w:after="0" w:line="276" w:lineRule="auto"/>
              <w:ind w:left="3428"/>
              <w:contextualSpacing/>
              <w:rPr>
                <w:rFonts w:cs="BookAntiqua"/>
                <w:color w:val="auto"/>
                <w:sz w:val="20"/>
              </w:rPr>
            </w:pPr>
            <w:r w:rsidRPr="00CF6DF0">
              <w:rPr>
                <w:rFonts w:cs="BookAntiqua"/>
                <w:color w:val="auto"/>
                <w:sz w:val="20"/>
              </w:rPr>
              <w:t>Ditetapkan</w:t>
            </w:r>
            <w:r w:rsidR="00F8032A" w:rsidRPr="00CF6DF0">
              <w:rPr>
                <w:rFonts w:cs="BookAntiqua"/>
                <w:color w:val="auto"/>
                <w:sz w:val="20"/>
              </w:rPr>
              <w:t xml:space="preserve"> di Jakarta</w:t>
            </w:r>
          </w:p>
          <w:p w14:paraId="54EE2C26" w14:textId="3761E6CA" w:rsidR="00F8032A" w:rsidRPr="00CF6DF0" w:rsidRDefault="00F8032A" w:rsidP="00905C66">
            <w:pPr>
              <w:pStyle w:val="nomor-1alinea"/>
              <w:spacing w:before="0" w:after="0" w:line="276" w:lineRule="auto"/>
              <w:ind w:left="3428"/>
              <w:contextualSpacing/>
              <w:rPr>
                <w:rFonts w:cs="BookAntiqua"/>
                <w:color w:val="auto"/>
                <w:sz w:val="20"/>
              </w:rPr>
            </w:pPr>
            <w:r w:rsidRPr="00CF6DF0">
              <w:rPr>
                <w:rFonts w:cs="BookAntiqua"/>
                <w:color w:val="auto"/>
                <w:sz w:val="20"/>
              </w:rPr>
              <w:t xml:space="preserve">Pada tanggal </w:t>
            </w:r>
          </w:p>
          <w:p w14:paraId="41DFB1F1" w14:textId="77777777" w:rsidR="00905C66" w:rsidRPr="00CF6DF0" w:rsidRDefault="00905C66" w:rsidP="00905C66">
            <w:pPr>
              <w:pStyle w:val="nomor-1alinea"/>
              <w:spacing w:before="0" w:after="0" w:line="276" w:lineRule="auto"/>
              <w:ind w:left="3428"/>
              <w:contextualSpacing/>
              <w:rPr>
                <w:rFonts w:cs="BookAntiqua"/>
                <w:color w:val="auto"/>
                <w:sz w:val="20"/>
              </w:rPr>
            </w:pPr>
          </w:p>
          <w:p w14:paraId="353788FE" w14:textId="77777777" w:rsidR="00A07B34" w:rsidRPr="00CF6DF0" w:rsidRDefault="00A07B34" w:rsidP="00905C66">
            <w:pPr>
              <w:ind w:left="2863" w:right="-96"/>
              <w:jc w:val="both"/>
              <w:rPr>
                <w:rFonts w:ascii="Bookman Old Style" w:hAnsi="Bookman Old Style"/>
                <w:sz w:val="20"/>
                <w:szCs w:val="20"/>
              </w:rPr>
            </w:pPr>
            <w:r w:rsidRPr="00CF6DF0">
              <w:rPr>
                <w:rFonts w:ascii="Bookman Old Style" w:hAnsi="Bookman Old Style"/>
                <w:sz w:val="20"/>
                <w:szCs w:val="20"/>
              </w:rPr>
              <w:t xml:space="preserve">KEPALA EKSEKUTIF </w:t>
            </w:r>
          </w:p>
          <w:p w14:paraId="2E8F5629" w14:textId="77777777" w:rsidR="00A07B34" w:rsidRPr="00CF6DF0" w:rsidRDefault="00A07B34" w:rsidP="00905C66">
            <w:pPr>
              <w:ind w:left="2863" w:right="-96"/>
              <w:jc w:val="both"/>
              <w:rPr>
                <w:rFonts w:ascii="Bookman Old Style" w:hAnsi="Bookman Old Style"/>
                <w:sz w:val="20"/>
                <w:szCs w:val="20"/>
                <w:lang w:val="fil-PH"/>
              </w:rPr>
            </w:pPr>
            <w:r w:rsidRPr="00CF6DF0">
              <w:rPr>
                <w:rFonts w:ascii="Bookman Old Style" w:hAnsi="Bookman Old Style"/>
                <w:sz w:val="20"/>
                <w:szCs w:val="20"/>
              </w:rPr>
              <w:t>PENGAWAS PASAR MODAL,</w:t>
            </w:r>
          </w:p>
          <w:p w14:paraId="079DCE44" w14:textId="77777777" w:rsidR="00905C66" w:rsidRPr="00CF6DF0" w:rsidRDefault="00F8032A" w:rsidP="00905C66">
            <w:pPr>
              <w:pStyle w:val="nomor-1alinea"/>
              <w:spacing w:before="0" w:after="0"/>
              <w:ind w:left="2863"/>
              <w:contextualSpacing/>
              <w:jc w:val="left"/>
              <w:rPr>
                <w:rFonts w:cs="BookAntiqua"/>
                <w:color w:val="auto"/>
                <w:sz w:val="20"/>
              </w:rPr>
            </w:pPr>
            <w:r w:rsidRPr="00CF6DF0">
              <w:rPr>
                <w:rFonts w:cs="BookAntiqua"/>
                <w:color w:val="auto"/>
                <w:sz w:val="20"/>
              </w:rPr>
              <w:tab/>
            </w:r>
          </w:p>
          <w:p w14:paraId="555D5D2C" w14:textId="4BFECC29" w:rsidR="00F8032A" w:rsidRPr="00CF6DF0" w:rsidRDefault="00905C66" w:rsidP="00905C66">
            <w:pPr>
              <w:pStyle w:val="nomor-1alinea"/>
              <w:spacing w:before="0" w:after="0"/>
              <w:ind w:left="2863"/>
              <w:contextualSpacing/>
              <w:jc w:val="left"/>
              <w:rPr>
                <w:rFonts w:cs="BookAntiqua"/>
                <w:color w:val="auto"/>
                <w:sz w:val="20"/>
              </w:rPr>
            </w:pPr>
            <w:r w:rsidRPr="00CF6DF0">
              <w:rPr>
                <w:rFonts w:cs="BookAntiqua"/>
                <w:color w:val="auto"/>
                <w:sz w:val="20"/>
              </w:rPr>
              <w:tab/>
              <w:t>ttd</w:t>
            </w:r>
          </w:p>
          <w:p w14:paraId="360FDEC3" w14:textId="77777777" w:rsidR="00905C66" w:rsidRPr="00CF6DF0" w:rsidRDefault="00905C66" w:rsidP="00905C66">
            <w:pPr>
              <w:pStyle w:val="nomor-1alinea"/>
              <w:spacing w:before="0" w:after="0"/>
              <w:ind w:left="2863"/>
              <w:contextualSpacing/>
              <w:jc w:val="left"/>
              <w:rPr>
                <w:rFonts w:cs="BookAntiqua"/>
                <w:color w:val="auto"/>
                <w:sz w:val="20"/>
              </w:rPr>
            </w:pPr>
          </w:p>
          <w:p w14:paraId="06D47D69" w14:textId="33B13186" w:rsidR="00F8032A" w:rsidRPr="00CF6DF0" w:rsidRDefault="00A07B34" w:rsidP="00905C66">
            <w:pPr>
              <w:pStyle w:val="nomor-1alinea"/>
              <w:spacing w:before="0" w:after="0"/>
              <w:ind w:left="2863" w:firstLine="0"/>
              <w:contextualSpacing/>
              <w:rPr>
                <w:rFonts w:cs="BookAntiqua"/>
                <w:color w:val="auto"/>
                <w:sz w:val="20"/>
              </w:rPr>
            </w:pPr>
            <w:r w:rsidRPr="00CF6DF0">
              <w:rPr>
                <w:rFonts w:cs="BookAntiqua"/>
                <w:color w:val="auto"/>
                <w:sz w:val="20"/>
              </w:rPr>
              <w:t>INARNO DJAJADI</w:t>
            </w:r>
          </w:p>
        </w:tc>
        <w:tc>
          <w:tcPr>
            <w:tcW w:w="4536" w:type="dxa"/>
          </w:tcPr>
          <w:p w14:paraId="20DBCD02" w14:textId="77777777" w:rsidR="00F8032A" w:rsidRPr="00CF6DF0" w:rsidRDefault="00F8032A" w:rsidP="000F2051">
            <w:pPr>
              <w:spacing w:line="276" w:lineRule="auto"/>
              <w:contextualSpacing/>
              <w:jc w:val="center"/>
              <w:rPr>
                <w:rFonts w:ascii="Bookman Old Style" w:hAnsi="Bookman Old Style"/>
                <w:sz w:val="20"/>
                <w:szCs w:val="20"/>
              </w:rPr>
            </w:pPr>
          </w:p>
        </w:tc>
        <w:tc>
          <w:tcPr>
            <w:tcW w:w="4394" w:type="dxa"/>
          </w:tcPr>
          <w:p w14:paraId="2B54917B" w14:textId="77777777" w:rsidR="00F8032A" w:rsidRPr="00CF6DF0" w:rsidRDefault="00F8032A" w:rsidP="000F2051">
            <w:pPr>
              <w:spacing w:line="276" w:lineRule="auto"/>
              <w:contextualSpacing/>
              <w:jc w:val="center"/>
              <w:rPr>
                <w:rFonts w:ascii="Bookman Old Style" w:hAnsi="Bookman Old Style"/>
                <w:sz w:val="20"/>
                <w:szCs w:val="20"/>
              </w:rPr>
            </w:pPr>
          </w:p>
        </w:tc>
      </w:tr>
    </w:tbl>
    <w:p w14:paraId="7C6C6351" w14:textId="77777777" w:rsidR="00BB5024" w:rsidRPr="00CF6DF0" w:rsidRDefault="00BB5024" w:rsidP="00781F72">
      <w:pPr>
        <w:jc w:val="center"/>
        <w:rPr>
          <w:rFonts w:ascii="Bookman Old Style" w:hAnsi="Bookman Old Style"/>
          <w:sz w:val="20"/>
          <w:szCs w:val="20"/>
        </w:rPr>
      </w:pPr>
    </w:p>
    <w:sectPr w:rsidR="00BB5024" w:rsidRPr="00CF6DF0" w:rsidSect="005564B8">
      <w:pgSz w:w="16838" w:h="11906" w:orient="landscape"/>
      <w:pgMar w:top="720" w:right="96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altName w:val="Tahoma"/>
    <w:panose1 w:val="02050604050505020204"/>
    <w:charset w:val="00"/>
    <w:family w:val="roman"/>
    <w:pitch w:val="variable"/>
    <w:sig w:usb0="00000001" w:usb1="00000000" w:usb2="00000000" w:usb3="00000000" w:csb0="0000009F" w:csb1="00000000"/>
  </w:font>
  <w:font w:name="BookAntiqua">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706FC"/>
    <w:multiLevelType w:val="hybridMultilevel"/>
    <w:tmpl w:val="8EA86F24"/>
    <w:lvl w:ilvl="0" w:tplc="3809000F">
      <w:start w:val="1"/>
      <w:numFmt w:val="decimal"/>
      <w:lvlText w:val="%1."/>
      <w:lvlJc w:val="left"/>
      <w:pPr>
        <w:ind w:left="720" w:hanging="360"/>
      </w:pPr>
      <w:rPr>
        <w:rFonts w:hint="default"/>
      </w:rPr>
    </w:lvl>
    <w:lvl w:ilvl="1" w:tplc="22FC5E70">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54AF7D6C"/>
    <w:multiLevelType w:val="hybridMultilevel"/>
    <w:tmpl w:val="CCEE4DD4"/>
    <w:lvl w:ilvl="0" w:tplc="38090013">
      <w:start w:val="1"/>
      <w:numFmt w:val="upperRoman"/>
      <w:lvlText w:val="%1."/>
      <w:lvlJc w:val="righ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63D10A53"/>
    <w:multiLevelType w:val="hybridMultilevel"/>
    <w:tmpl w:val="8D3E0634"/>
    <w:lvl w:ilvl="0" w:tplc="38090019">
      <w:start w:val="1"/>
      <w:numFmt w:val="lowerLetter"/>
      <w:lvlText w:val="%1."/>
      <w:lvlJc w:val="left"/>
      <w:pPr>
        <w:ind w:left="1854" w:hanging="360"/>
      </w:pPr>
    </w:lvl>
    <w:lvl w:ilvl="1" w:tplc="38090019">
      <w:start w:val="1"/>
      <w:numFmt w:val="lowerLetter"/>
      <w:lvlText w:val="%2."/>
      <w:lvlJc w:val="left"/>
      <w:pPr>
        <w:ind w:left="2574" w:hanging="360"/>
      </w:pPr>
    </w:lvl>
    <w:lvl w:ilvl="2" w:tplc="3809001B" w:tentative="1">
      <w:start w:val="1"/>
      <w:numFmt w:val="lowerRoman"/>
      <w:lvlText w:val="%3."/>
      <w:lvlJc w:val="right"/>
      <w:pPr>
        <w:ind w:left="3294" w:hanging="180"/>
      </w:pPr>
    </w:lvl>
    <w:lvl w:ilvl="3" w:tplc="3809000F" w:tentative="1">
      <w:start w:val="1"/>
      <w:numFmt w:val="decimal"/>
      <w:lvlText w:val="%4."/>
      <w:lvlJc w:val="left"/>
      <w:pPr>
        <w:ind w:left="4014" w:hanging="360"/>
      </w:pPr>
    </w:lvl>
    <w:lvl w:ilvl="4" w:tplc="38090019" w:tentative="1">
      <w:start w:val="1"/>
      <w:numFmt w:val="lowerLetter"/>
      <w:lvlText w:val="%5."/>
      <w:lvlJc w:val="left"/>
      <w:pPr>
        <w:ind w:left="4734" w:hanging="360"/>
      </w:pPr>
    </w:lvl>
    <w:lvl w:ilvl="5" w:tplc="3809001B" w:tentative="1">
      <w:start w:val="1"/>
      <w:numFmt w:val="lowerRoman"/>
      <w:lvlText w:val="%6."/>
      <w:lvlJc w:val="right"/>
      <w:pPr>
        <w:ind w:left="5454" w:hanging="180"/>
      </w:pPr>
    </w:lvl>
    <w:lvl w:ilvl="6" w:tplc="3809000F" w:tentative="1">
      <w:start w:val="1"/>
      <w:numFmt w:val="decimal"/>
      <w:lvlText w:val="%7."/>
      <w:lvlJc w:val="left"/>
      <w:pPr>
        <w:ind w:left="6174" w:hanging="360"/>
      </w:pPr>
    </w:lvl>
    <w:lvl w:ilvl="7" w:tplc="38090019" w:tentative="1">
      <w:start w:val="1"/>
      <w:numFmt w:val="lowerLetter"/>
      <w:lvlText w:val="%8."/>
      <w:lvlJc w:val="left"/>
      <w:pPr>
        <w:ind w:left="6894" w:hanging="360"/>
      </w:pPr>
    </w:lvl>
    <w:lvl w:ilvl="8" w:tplc="3809001B" w:tentative="1">
      <w:start w:val="1"/>
      <w:numFmt w:val="lowerRoman"/>
      <w:lvlText w:val="%9."/>
      <w:lvlJc w:val="right"/>
      <w:pPr>
        <w:ind w:left="7614" w:hanging="180"/>
      </w:pPr>
    </w:lvl>
  </w:abstractNum>
  <w:abstractNum w:abstractNumId="3" w15:restartNumberingAfterBreak="0">
    <w:nsid w:val="6E0D4A96"/>
    <w:multiLevelType w:val="hybridMultilevel"/>
    <w:tmpl w:val="2B98A96C"/>
    <w:lvl w:ilvl="0" w:tplc="FFFFFFFF">
      <w:start w:val="1"/>
      <w:numFmt w:val="decimal"/>
      <w:lvlText w:val="%1."/>
      <w:lvlJc w:val="left"/>
      <w:pPr>
        <w:ind w:left="2466" w:hanging="360"/>
      </w:pPr>
    </w:lvl>
    <w:lvl w:ilvl="1" w:tplc="FFFFFFFF">
      <w:start w:val="1"/>
      <w:numFmt w:val="lowerLetter"/>
      <w:lvlText w:val="%2."/>
      <w:lvlJc w:val="left"/>
      <w:pPr>
        <w:ind w:left="3186" w:hanging="360"/>
      </w:pPr>
    </w:lvl>
    <w:lvl w:ilvl="2" w:tplc="FFFFFFFF" w:tentative="1">
      <w:start w:val="1"/>
      <w:numFmt w:val="lowerRoman"/>
      <w:lvlText w:val="%3."/>
      <w:lvlJc w:val="right"/>
      <w:pPr>
        <w:ind w:left="3906" w:hanging="180"/>
      </w:pPr>
    </w:lvl>
    <w:lvl w:ilvl="3" w:tplc="FFFFFFFF" w:tentative="1">
      <w:start w:val="1"/>
      <w:numFmt w:val="decimal"/>
      <w:lvlText w:val="%4."/>
      <w:lvlJc w:val="left"/>
      <w:pPr>
        <w:ind w:left="4626" w:hanging="360"/>
      </w:pPr>
    </w:lvl>
    <w:lvl w:ilvl="4" w:tplc="FFFFFFFF" w:tentative="1">
      <w:start w:val="1"/>
      <w:numFmt w:val="lowerLetter"/>
      <w:lvlText w:val="%5."/>
      <w:lvlJc w:val="left"/>
      <w:pPr>
        <w:ind w:left="5346" w:hanging="360"/>
      </w:pPr>
    </w:lvl>
    <w:lvl w:ilvl="5" w:tplc="FFFFFFFF" w:tentative="1">
      <w:start w:val="1"/>
      <w:numFmt w:val="lowerRoman"/>
      <w:lvlText w:val="%6."/>
      <w:lvlJc w:val="right"/>
      <w:pPr>
        <w:ind w:left="6066" w:hanging="180"/>
      </w:pPr>
    </w:lvl>
    <w:lvl w:ilvl="6" w:tplc="FFFFFFFF" w:tentative="1">
      <w:start w:val="1"/>
      <w:numFmt w:val="decimal"/>
      <w:lvlText w:val="%7."/>
      <w:lvlJc w:val="left"/>
      <w:pPr>
        <w:ind w:left="6786" w:hanging="360"/>
      </w:pPr>
    </w:lvl>
    <w:lvl w:ilvl="7" w:tplc="FFFFFFFF" w:tentative="1">
      <w:start w:val="1"/>
      <w:numFmt w:val="lowerLetter"/>
      <w:lvlText w:val="%8."/>
      <w:lvlJc w:val="left"/>
      <w:pPr>
        <w:ind w:left="7506" w:hanging="360"/>
      </w:pPr>
    </w:lvl>
    <w:lvl w:ilvl="8" w:tplc="FFFFFFFF" w:tentative="1">
      <w:start w:val="1"/>
      <w:numFmt w:val="lowerRoman"/>
      <w:lvlText w:val="%9."/>
      <w:lvlJc w:val="right"/>
      <w:pPr>
        <w:ind w:left="8226" w:hanging="180"/>
      </w:pPr>
    </w:lvl>
  </w:abstractNum>
  <w:abstractNum w:abstractNumId="4" w15:restartNumberingAfterBreak="0">
    <w:nsid w:val="7185387A"/>
    <w:multiLevelType w:val="hybridMultilevel"/>
    <w:tmpl w:val="2B98A96C"/>
    <w:lvl w:ilvl="0" w:tplc="3809000F">
      <w:start w:val="1"/>
      <w:numFmt w:val="decimal"/>
      <w:lvlText w:val="%1."/>
      <w:lvlJc w:val="left"/>
      <w:pPr>
        <w:ind w:left="2466" w:hanging="360"/>
      </w:pPr>
    </w:lvl>
    <w:lvl w:ilvl="1" w:tplc="38090019" w:tentative="1">
      <w:start w:val="1"/>
      <w:numFmt w:val="lowerLetter"/>
      <w:lvlText w:val="%2."/>
      <w:lvlJc w:val="left"/>
      <w:pPr>
        <w:ind w:left="3186" w:hanging="360"/>
      </w:pPr>
    </w:lvl>
    <w:lvl w:ilvl="2" w:tplc="3809001B" w:tentative="1">
      <w:start w:val="1"/>
      <w:numFmt w:val="lowerRoman"/>
      <w:lvlText w:val="%3."/>
      <w:lvlJc w:val="right"/>
      <w:pPr>
        <w:ind w:left="3906" w:hanging="180"/>
      </w:pPr>
    </w:lvl>
    <w:lvl w:ilvl="3" w:tplc="3809000F" w:tentative="1">
      <w:start w:val="1"/>
      <w:numFmt w:val="decimal"/>
      <w:lvlText w:val="%4."/>
      <w:lvlJc w:val="left"/>
      <w:pPr>
        <w:ind w:left="4626" w:hanging="360"/>
      </w:pPr>
    </w:lvl>
    <w:lvl w:ilvl="4" w:tplc="38090019" w:tentative="1">
      <w:start w:val="1"/>
      <w:numFmt w:val="lowerLetter"/>
      <w:lvlText w:val="%5."/>
      <w:lvlJc w:val="left"/>
      <w:pPr>
        <w:ind w:left="5346" w:hanging="360"/>
      </w:pPr>
    </w:lvl>
    <w:lvl w:ilvl="5" w:tplc="3809001B" w:tentative="1">
      <w:start w:val="1"/>
      <w:numFmt w:val="lowerRoman"/>
      <w:lvlText w:val="%6."/>
      <w:lvlJc w:val="right"/>
      <w:pPr>
        <w:ind w:left="6066" w:hanging="180"/>
      </w:pPr>
    </w:lvl>
    <w:lvl w:ilvl="6" w:tplc="3809000F" w:tentative="1">
      <w:start w:val="1"/>
      <w:numFmt w:val="decimal"/>
      <w:lvlText w:val="%7."/>
      <w:lvlJc w:val="left"/>
      <w:pPr>
        <w:ind w:left="6786" w:hanging="360"/>
      </w:pPr>
    </w:lvl>
    <w:lvl w:ilvl="7" w:tplc="38090019" w:tentative="1">
      <w:start w:val="1"/>
      <w:numFmt w:val="lowerLetter"/>
      <w:lvlText w:val="%8."/>
      <w:lvlJc w:val="left"/>
      <w:pPr>
        <w:ind w:left="7506" w:hanging="360"/>
      </w:pPr>
    </w:lvl>
    <w:lvl w:ilvl="8" w:tplc="3809001B" w:tentative="1">
      <w:start w:val="1"/>
      <w:numFmt w:val="lowerRoman"/>
      <w:lvlText w:val="%9."/>
      <w:lvlJc w:val="right"/>
      <w:pPr>
        <w:ind w:left="8226" w:hanging="180"/>
      </w:pPr>
    </w:lvl>
  </w:abstractNum>
  <w:num w:numId="1">
    <w:abstractNumId w:val="4"/>
  </w:num>
  <w:num w:numId="2">
    <w:abstractNumId w:val="1"/>
  </w:num>
  <w:num w:numId="3">
    <w:abstractNumId w:val="3"/>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F5"/>
    <w:rsid w:val="0004319F"/>
    <w:rsid w:val="000614C8"/>
    <w:rsid w:val="00076AED"/>
    <w:rsid w:val="00092980"/>
    <w:rsid w:val="000B420A"/>
    <w:rsid w:val="000B4830"/>
    <w:rsid w:val="000B58A8"/>
    <w:rsid w:val="000E1BCA"/>
    <w:rsid w:val="000F0A04"/>
    <w:rsid w:val="000F2051"/>
    <w:rsid w:val="00113CDF"/>
    <w:rsid w:val="00153095"/>
    <w:rsid w:val="00171BA9"/>
    <w:rsid w:val="001A675A"/>
    <w:rsid w:val="001A7801"/>
    <w:rsid w:val="001B0E02"/>
    <w:rsid w:val="001B5192"/>
    <w:rsid w:val="001D1457"/>
    <w:rsid w:val="001F7ABF"/>
    <w:rsid w:val="001F7AEA"/>
    <w:rsid w:val="00205885"/>
    <w:rsid w:val="00216688"/>
    <w:rsid w:val="002609FD"/>
    <w:rsid w:val="00267E2B"/>
    <w:rsid w:val="00273F57"/>
    <w:rsid w:val="002C0C28"/>
    <w:rsid w:val="002C3EBB"/>
    <w:rsid w:val="002D283C"/>
    <w:rsid w:val="00336B9B"/>
    <w:rsid w:val="003457F5"/>
    <w:rsid w:val="0038167D"/>
    <w:rsid w:val="003A01C3"/>
    <w:rsid w:val="003A7069"/>
    <w:rsid w:val="003B4C8D"/>
    <w:rsid w:val="003B7F05"/>
    <w:rsid w:val="003C3EF2"/>
    <w:rsid w:val="003C7C00"/>
    <w:rsid w:val="003D2920"/>
    <w:rsid w:val="003E42FC"/>
    <w:rsid w:val="003F0B59"/>
    <w:rsid w:val="003F38C4"/>
    <w:rsid w:val="003F6E87"/>
    <w:rsid w:val="00406255"/>
    <w:rsid w:val="0041519A"/>
    <w:rsid w:val="004305F8"/>
    <w:rsid w:val="00450BE9"/>
    <w:rsid w:val="0049063F"/>
    <w:rsid w:val="004D4372"/>
    <w:rsid w:val="004D7C03"/>
    <w:rsid w:val="004D7F25"/>
    <w:rsid w:val="005239ED"/>
    <w:rsid w:val="00541D38"/>
    <w:rsid w:val="005430CD"/>
    <w:rsid w:val="005564B8"/>
    <w:rsid w:val="005751A3"/>
    <w:rsid w:val="00577542"/>
    <w:rsid w:val="0059151D"/>
    <w:rsid w:val="005D1E2D"/>
    <w:rsid w:val="005F140E"/>
    <w:rsid w:val="00640EB2"/>
    <w:rsid w:val="00646AB7"/>
    <w:rsid w:val="0066396E"/>
    <w:rsid w:val="00677BD1"/>
    <w:rsid w:val="006A24FF"/>
    <w:rsid w:val="006A5FE5"/>
    <w:rsid w:val="006C7875"/>
    <w:rsid w:val="006D79ED"/>
    <w:rsid w:val="006E3256"/>
    <w:rsid w:val="00701CB9"/>
    <w:rsid w:val="00701EAE"/>
    <w:rsid w:val="00704A1E"/>
    <w:rsid w:val="007112F1"/>
    <w:rsid w:val="00716167"/>
    <w:rsid w:val="00717E7F"/>
    <w:rsid w:val="007263C5"/>
    <w:rsid w:val="00727EE5"/>
    <w:rsid w:val="007616FD"/>
    <w:rsid w:val="00761E17"/>
    <w:rsid w:val="007705D9"/>
    <w:rsid w:val="007752CA"/>
    <w:rsid w:val="00781F72"/>
    <w:rsid w:val="007D0EF5"/>
    <w:rsid w:val="007E48D3"/>
    <w:rsid w:val="007F4622"/>
    <w:rsid w:val="00855E23"/>
    <w:rsid w:val="00891595"/>
    <w:rsid w:val="008A684A"/>
    <w:rsid w:val="00903AFF"/>
    <w:rsid w:val="00905C66"/>
    <w:rsid w:val="009266A7"/>
    <w:rsid w:val="00930AA1"/>
    <w:rsid w:val="00934B12"/>
    <w:rsid w:val="009533A7"/>
    <w:rsid w:val="00964598"/>
    <w:rsid w:val="009B131B"/>
    <w:rsid w:val="009C0D4F"/>
    <w:rsid w:val="009D1D20"/>
    <w:rsid w:val="00A019F3"/>
    <w:rsid w:val="00A032C2"/>
    <w:rsid w:val="00A041A1"/>
    <w:rsid w:val="00A07B34"/>
    <w:rsid w:val="00A437DB"/>
    <w:rsid w:val="00A45D70"/>
    <w:rsid w:val="00A461F3"/>
    <w:rsid w:val="00A70F5D"/>
    <w:rsid w:val="00AB0DE6"/>
    <w:rsid w:val="00AC4AF4"/>
    <w:rsid w:val="00AE7BFC"/>
    <w:rsid w:val="00B26761"/>
    <w:rsid w:val="00B33D0B"/>
    <w:rsid w:val="00B626C4"/>
    <w:rsid w:val="00B80040"/>
    <w:rsid w:val="00B962A6"/>
    <w:rsid w:val="00BA40A2"/>
    <w:rsid w:val="00BA68C5"/>
    <w:rsid w:val="00BB5024"/>
    <w:rsid w:val="00BC4F1C"/>
    <w:rsid w:val="00BE10A9"/>
    <w:rsid w:val="00C14559"/>
    <w:rsid w:val="00C270F7"/>
    <w:rsid w:val="00C27A17"/>
    <w:rsid w:val="00C61A06"/>
    <w:rsid w:val="00C64DA6"/>
    <w:rsid w:val="00C82152"/>
    <w:rsid w:val="00C93D6F"/>
    <w:rsid w:val="00CD0DC5"/>
    <w:rsid w:val="00CF1C96"/>
    <w:rsid w:val="00CF6DF0"/>
    <w:rsid w:val="00D0553F"/>
    <w:rsid w:val="00D21186"/>
    <w:rsid w:val="00D26E4C"/>
    <w:rsid w:val="00D27763"/>
    <w:rsid w:val="00D712BB"/>
    <w:rsid w:val="00D82641"/>
    <w:rsid w:val="00D90A4E"/>
    <w:rsid w:val="00DB222E"/>
    <w:rsid w:val="00DB386F"/>
    <w:rsid w:val="00DC2032"/>
    <w:rsid w:val="00DC69A8"/>
    <w:rsid w:val="00DF2EA9"/>
    <w:rsid w:val="00E50CCA"/>
    <w:rsid w:val="00E6436D"/>
    <w:rsid w:val="00E83705"/>
    <w:rsid w:val="00EB4ED4"/>
    <w:rsid w:val="00F0470A"/>
    <w:rsid w:val="00F26FD6"/>
    <w:rsid w:val="00F72347"/>
    <w:rsid w:val="00F73BF2"/>
    <w:rsid w:val="00F773F8"/>
    <w:rsid w:val="00F8032A"/>
    <w:rsid w:val="00FA15E1"/>
    <w:rsid w:val="00FB2388"/>
    <w:rsid w:val="00FE1F8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9DB5B"/>
  <w15:chartTrackingRefBased/>
  <w15:docId w15:val="{66468B5A-EB7E-4630-9286-3A0E0548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86F"/>
    <w:pPr>
      <w:ind w:left="720"/>
      <w:contextualSpacing/>
    </w:pPr>
  </w:style>
  <w:style w:type="paragraph" w:customStyle="1" w:styleId="nomor-1alinea">
    <w:name w:val="nomor-1 alinea"/>
    <w:basedOn w:val="Normal"/>
    <w:rsid w:val="001A7801"/>
    <w:pPr>
      <w:widowControl w:val="0"/>
      <w:spacing w:before="180" w:after="120" w:line="240" w:lineRule="auto"/>
      <w:ind w:left="547" w:right="14" w:hanging="547"/>
      <w:jc w:val="both"/>
    </w:pPr>
    <w:rPr>
      <w:rFonts w:ascii="Bookman Old Style" w:eastAsia="Times New Roman" w:hAnsi="Bookman Old Style" w:cs="Times New Roman"/>
      <w:color w:val="000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5AA119-1E44-7149-A3FD-1F13B772EE42}">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1606D3D2-9CC8-4FA2-9C05-42E992FCD94C}"/>
</file>

<file path=customXml/itemProps3.xml><?xml version="1.0" encoding="utf-8"?>
<ds:datastoreItem xmlns:ds="http://schemas.openxmlformats.org/officeDocument/2006/customXml" ds:itemID="{3FCD7772-0A3B-4263-91C3-16A0851923F2}"/>
</file>

<file path=customXml/itemProps4.xml><?xml version="1.0" encoding="utf-8"?>
<ds:datastoreItem xmlns:ds="http://schemas.openxmlformats.org/officeDocument/2006/customXml" ds:itemID="{F2DE3863-2A3C-4650-9263-F64871ED3F12}"/>
</file>

<file path=docProps/app.xml><?xml version="1.0" encoding="utf-8"?>
<Properties xmlns="http://schemas.openxmlformats.org/officeDocument/2006/extended-properties" xmlns:vt="http://schemas.openxmlformats.org/officeDocument/2006/docPropsVTypes">
  <Template>Normal</Template>
  <TotalTime>0</TotalTime>
  <Pages>5</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DwiAnggoro DwiAnggoro_Sukarsono</dc:creator>
  <cp:keywords/>
  <dc:description/>
  <cp:lastModifiedBy>Muhammad Rafly</cp:lastModifiedBy>
  <cp:revision>2</cp:revision>
  <dcterms:created xsi:type="dcterms:W3CDTF">2022-07-26T05:48:00Z</dcterms:created>
  <dcterms:modified xsi:type="dcterms:W3CDTF">2022-07-26T05:48:00Z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