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3895" w14:textId="2F5F3154" w:rsidR="000E5C2A" w:rsidRPr="00556719" w:rsidRDefault="000E5C2A" w:rsidP="00D50FB5">
      <w:pPr>
        <w:spacing w:after="120" w:line="276" w:lineRule="auto"/>
        <w:jc w:val="center"/>
        <w:rPr>
          <w:rFonts w:ascii="Bookman Old Style" w:hAnsi="Bookman Old Style"/>
          <w:b/>
          <w:bCs/>
        </w:rPr>
      </w:pPr>
      <w:r w:rsidRPr="00556719">
        <w:rPr>
          <w:rFonts w:ascii="Bookman Old Style" w:hAnsi="Bookman Old Style"/>
          <w:b/>
          <w:bCs/>
        </w:rPr>
        <w:t>RPOJK TENTANG BATAS MAKSIMUM PENYALURAN DANA DAN PENYALURAN DA</w:t>
      </w:r>
      <w:r w:rsidR="00D50FB5" w:rsidRPr="00556719">
        <w:rPr>
          <w:rFonts w:ascii="Bookman Old Style" w:hAnsi="Bookman Old Style"/>
          <w:b/>
          <w:bCs/>
        </w:rPr>
        <w:t>NA BESAR BAGI BANK UMUM SYARIAH</w:t>
      </w:r>
    </w:p>
    <w:tbl>
      <w:tblPr>
        <w:tblStyle w:val="TableGrid"/>
        <w:tblW w:w="488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512"/>
        <w:gridCol w:w="7513"/>
      </w:tblGrid>
      <w:tr w:rsidR="00556719" w:rsidRPr="00556719" w14:paraId="55BF6C4C" w14:textId="1EF97FF2" w:rsidTr="00384609">
        <w:trPr>
          <w:trHeight w:val="450"/>
          <w:tblHeader/>
        </w:trPr>
        <w:tc>
          <w:tcPr>
            <w:tcW w:w="2500" w:type="pct"/>
            <w:shd w:val="clear" w:color="auto" w:fill="C5E0B3" w:themeFill="accent6" w:themeFillTint="66"/>
            <w:vAlign w:val="center"/>
          </w:tcPr>
          <w:p w14:paraId="4F172985" w14:textId="53FE43D0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b/>
                <w:sz w:val="20"/>
                <w:szCs w:val="20"/>
              </w:rPr>
              <w:t>Norma</w:t>
            </w:r>
          </w:p>
        </w:tc>
        <w:tc>
          <w:tcPr>
            <w:tcW w:w="2500" w:type="pct"/>
            <w:shd w:val="clear" w:color="auto" w:fill="C5E0B3" w:themeFill="accent6" w:themeFillTint="66"/>
            <w:vAlign w:val="center"/>
          </w:tcPr>
          <w:p w14:paraId="2BDEA15B" w14:textId="26386628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b/>
                <w:sz w:val="20"/>
                <w:szCs w:val="20"/>
              </w:rPr>
              <w:t>Penjelasan</w:t>
            </w:r>
            <w:proofErr w:type="spellEnd"/>
          </w:p>
        </w:tc>
      </w:tr>
      <w:tr w:rsidR="00556719" w:rsidRPr="00556719" w14:paraId="4FFF38E9" w14:textId="77777777" w:rsidTr="00384609">
        <w:trPr>
          <w:trHeight w:val="105"/>
        </w:trPr>
        <w:tc>
          <w:tcPr>
            <w:tcW w:w="2500" w:type="pct"/>
          </w:tcPr>
          <w:p w14:paraId="1DC94193" w14:textId="2E3771DE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Menimbang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:</w:t>
            </w:r>
          </w:p>
        </w:tc>
        <w:tc>
          <w:tcPr>
            <w:tcW w:w="2500" w:type="pct"/>
            <w:vMerge w:val="restart"/>
          </w:tcPr>
          <w:p w14:paraId="0D0AFAB2" w14:textId="77777777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Salah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penyebab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kegagalan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didukung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kemampuan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mengelola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konsentrasi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efektif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lawan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tiba-tiba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membahayakan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solvabilitas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Bank.</w:t>
            </w:r>
          </w:p>
          <w:p w14:paraId="79403CB4" w14:textId="77777777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3065AE84" w14:textId="77777777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mengurangi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potensi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kegagalan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akibat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konsentrasi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Dana,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diwajibkan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penyebaran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diversifikasi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portofolio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terutama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pembatasan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maupun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persentase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Inti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tier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1) Bank,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dikenal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BMPD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Besar.</w:t>
            </w:r>
          </w:p>
          <w:p w14:paraId="47E4D1CC" w14:textId="77777777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305162C4" w14:textId="77777777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Pengalaman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krisis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global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tahun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2008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menunjukkan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bahwa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pengukuran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metode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pengelompokan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konsisten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terutama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Besar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Fasilitas.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demikian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penetapan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disesuaikan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internasional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berlaku</w:t>
            </w:r>
            <w:proofErr w:type="spellEnd"/>
            <w:r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Basel III: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Supervisory framework for measuring and controlling large exposures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  <w:p w14:paraId="3D46C302" w14:textId="77777777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5EB3FA58" w14:textId="77777777" w:rsidR="00556719" w:rsidRPr="00556719" w:rsidRDefault="00556719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Besar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pelengkap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>risk based</w:t>
            </w:r>
            <w:proofErr w:type="gramEnd"/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 xml:space="preserve"> capital standard. 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Hal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karena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>risk based</w:t>
            </w:r>
            <w:proofErr w:type="gramEnd"/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 xml:space="preserve"> capital standard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didesain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spesifik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melindungi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kerugian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minimum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pilar 1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>risk based</w:t>
            </w:r>
            <w:proofErr w:type="gramEnd"/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 xml:space="preserve"> capital standard framework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berasumsi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bahwa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portofolio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granular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konsentrasi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dipertimbangkan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minimum.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Namun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demikian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idiosinkratik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Besar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mungkin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portofolio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Bank.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demikian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 xml:space="preserve">large exposure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diperlukan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melindungi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kerugian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  <w:p w14:paraId="3997DAE9" w14:textId="77777777" w:rsidR="00556719" w:rsidRPr="00556719" w:rsidRDefault="00556719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  <w:p w14:paraId="11B5E76D" w14:textId="77777777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Sementara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meningkatkan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pertumbuhan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ekonomi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Indonesia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saing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nasional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diperlukan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upaya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mendorong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fungsi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intermediasi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perbankan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kelonggaran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pengecualian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penerapan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BMPD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Besar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tetap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memperhatikan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prinsip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kehati-hatian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0A7BFEB8" w14:textId="77777777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51E77C36" w14:textId="77777777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Kelonggaran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pengecualian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meliputi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BUMN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pembangunan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pembangunan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infrastruktur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sektor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prioritas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sektor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pariwisata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meningkatkan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devisa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berorientasi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ekspor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Prime Bank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kemitraan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inti-plasma.</w:t>
            </w:r>
          </w:p>
          <w:p w14:paraId="4FD71E9D" w14:textId="77777777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65A22EA" w14:textId="77777777" w:rsidTr="00384609">
        <w:tc>
          <w:tcPr>
            <w:tcW w:w="2500" w:type="pct"/>
          </w:tcPr>
          <w:p w14:paraId="37F52842" w14:textId="1182AE4B" w:rsidR="00556719" w:rsidRPr="00556719" w:rsidRDefault="00556719" w:rsidP="00976DB7">
            <w:pPr>
              <w:pStyle w:val="ListParagraph"/>
              <w:numPr>
                <w:ilvl w:val="0"/>
                <w:numId w:val="69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bahwa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konsentrasi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fasilitas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fasilitas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salah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penyebab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kegagalan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;</w:t>
            </w:r>
          </w:p>
        </w:tc>
        <w:tc>
          <w:tcPr>
            <w:tcW w:w="2500" w:type="pct"/>
            <w:vMerge/>
          </w:tcPr>
          <w:p w14:paraId="53162BD1" w14:textId="5DD75651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EC4A819" w14:textId="77777777" w:rsidTr="00384609">
        <w:tc>
          <w:tcPr>
            <w:tcW w:w="2500" w:type="pct"/>
          </w:tcPr>
          <w:p w14:paraId="4AAC7E1B" w14:textId="3D63447C" w:rsidR="00556719" w:rsidRPr="00556719" w:rsidRDefault="00556719" w:rsidP="00976DB7">
            <w:pPr>
              <w:pStyle w:val="ListParagraph"/>
              <w:numPr>
                <w:ilvl w:val="0"/>
                <w:numId w:val="69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bahwa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menghindari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kegagalan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akibat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konsentrasi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dana,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perlu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prinsip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kehati-hatian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;</w:t>
            </w:r>
          </w:p>
        </w:tc>
        <w:tc>
          <w:tcPr>
            <w:tcW w:w="2500" w:type="pct"/>
            <w:vMerge/>
          </w:tcPr>
          <w:p w14:paraId="566EAAAD" w14:textId="4D44E1CF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FD3171C" w14:textId="77777777" w:rsidTr="00384609">
        <w:tc>
          <w:tcPr>
            <w:tcW w:w="2500" w:type="pct"/>
          </w:tcPr>
          <w:p w14:paraId="26EDFC96" w14:textId="46D7BC7D" w:rsidR="00556719" w:rsidRPr="00556719" w:rsidRDefault="00556719" w:rsidP="00976DB7">
            <w:pPr>
              <w:pStyle w:val="ListParagraph"/>
              <w:numPr>
                <w:ilvl w:val="0"/>
                <w:numId w:val="69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bahwa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prinsip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kehati-hatian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diperlukan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penyebaran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diversifikasi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portofolio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penetapan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besar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;</w:t>
            </w:r>
          </w:p>
        </w:tc>
        <w:tc>
          <w:tcPr>
            <w:tcW w:w="2500" w:type="pct"/>
            <w:vMerge/>
          </w:tcPr>
          <w:p w14:paraId="12FFC1D7" w14:textId="77777777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65E478A" w14:textId="77777777" w:rsidTr="00384609">
        <w:tc>
          <w:tcPr>
            <w:tcW w:w="2500" w:type="pct"/>
          </w:tcPr>
          <w:p w14:paraId="17FBA134" w14:textId="0D92C93D" w:rsidR="00556719" w:rsidRPr="00556719" w:rsidRDefault="00556719" w:rsidP="00976DB7">
            <w:pPr>
              <w:pStyle w:val="ListParagraph"/>
              <w:numPr>
                <w:ilvl w:val="0"/>
                <w:numId w:val="69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bahwa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mendukung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pertumbuhan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ekonomi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optimal,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mendukung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pembiayaan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sektor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riil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tetap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memperhatikan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prinsip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kehati-hatian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;</w:t>
            </w:r>
          </w:p>
        </w:tc>
        <w:tc>
          <w:tcPr>
            <w:tcW w:w="2500" w:type="pct"/>
            <w:vMerge/>
          </w:tcPr>
          <w:p w14:paraId="2B63FA18" w14:textId="77777777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5E3AD08" w14:textId="0908BF8B" w:rsidTr="00384609">
        <w:tc>
          <w:tcPr>
            <w:tcW w:w="2500" w:type="pct"/>
          </w:tcPr>
          <w:p w14:paraId="0E14E58F" w14:textId="77777777" w:rsidR="00556719" w:rsidRPr="00556719" w:rsidRDefault="00556719" w:rsidP="00976DB7">
            <w:pPr>
              <w:pStyle w:val="ListParagraph"/>
              <w:numPr>
                <w:ilvl w:val="0"/>
                <w:numId w:val="69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bahwa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pertimbangan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perlu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Maksimum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Besar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Umum Syariah;</w:t>
            </w:r>
          </w:p>
          <w:p w14:paraId="5F7CFEC6" w14:textId="77777777" w:rsidR="00556719" w:rsidRPr="00556719" w:rsidRDefault="00556719" w:rsidP="00556719"/>
          <w:p w14:paraId="0F9ECCBA" w14:textId="77777777" w:rsidR="00556719" w:rsidRPr="00556719" w:rsidRDefault="00556719" w:rsidP="00556719"/>
          <w:p w14:paraId="35D0AF89" w14:textId="77777777" w:rsidR="00556719" w:rsidRPr="00556719" w:rsidRDefault="00556719" w:rsidP="00556719"/>
          <w:p w14:paraId="4EAB2B5A" w14:textId="77777777" w:rsidR="00556719" w:rsidRPr="00556719" w:rsidRDefault="00556719" w:rsidP="00556719"/>
          <w:p w14:paraId="13C883E3" w14:textId="77777777" w:rsidR="00556719" w:rsidRPr="00556719" w:rsidRDefault="00556719" w:rsidP="00556719"/>
          <w:p w14:paraId="377F307A" w14:textId="77777777" w:rsidR="00556719" w:rsidRPr="00556719" w:rsidRDefault="00556719" w:rsidP="00556719"/>
          <w:p w14:paraId="59E6CCAA" w14:textId="77777777" w:rsidR="00556719" w:rsidRPr="00556719" w:rsidRDefault="00556719" w:rsidP="00556719"/>
          <w:p w14:paraId="5AC34942" w14:textId="77777777" w:rsidR="00556719" w:rsidRPr="00556719" w:rsidRDefault="00556719" w:rsidP="00556719"/>
          <w:p w14:paraId="395741DE" w14:textId="77777777" w:rsidR="00556719" w:rsidRPr="00556719" w:rsidRDefault="00556719" w:rsidP="00556719"/>
          <w:p w14:paraId="40247AFE" w14:textId="77777777" w:rsidR="00556719" w:rsidRPr="00556719" w:rsidRDefault="00556719" w:rsidP="00556719">
            <w:pPr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5A10AC94" w14:textId="77777777" w:rsidR="00556719" w:rsidRPr="00556719" w:rsidRDefault="00556719" w:rsidP="00556719"/>
          <w:p w14:paraId="0744DD17" w14:textId="77777777" w:rsidR="00556719" w:rsidRPr="00556719" w:rsidRDefault="00556719" w:rsidP="00556719"/>
          <w:p w14:paraId="47B6B10A" w14:textId="77777777" w:rsidR="00556719" w:rsidRPr="00556719" w:rsidRDefault="00556719" w:rsidP="00556719"/>
          <w:p w14:paraId="4D2812F5" w14:textId="77777777" w:rsidR="00556719" w:rsidRPr="00556719" w:rsidRDefault="00556719" w:rsidP="00556719">
            <w:pPr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718208CA" w14:textId="77777777" w:rsidR="00556719" w:rsidRPr="00556719" w:rsidRDefault="00556719" w:rsidP="00556719">
            <w:pPr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19265959" w14:textId="24982B0A" w:rsidR="00556719" w:rsidRPr="00556719" w:rsidRDefault="00556719" w:rsidP="00556719">
            <w:pPr>
              <w:tabs>
                <w:tab w:val="left" w:pos="4692"/>
              </w:tabs>
            </w:pPr>
            <w:r w:rsidRPr="00556719">
              <w:tab/>
            </w:r>
          </w:p>
        </w:tc>
        <w:tc>
          <w:tcPr>
            <w:tcW w:w="2500" w:type="pct"/>
            <w:vMerge/>
          </w:tcPr>
          <w:p w14:paraId="427ADC7C" w14:textId="6B268F32" w:rsidR="00556719" w:rsidRPr="00556719" w:rsidRDefault="0055671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C464192" w14:textId="77777777" w:rsidTr="00384609">
        <w:tc>
          <w:tcPr>
            <w:tcW w:w="2500" w:type="pct"/>
          </w:tcPr>
          <w:p w14:paraId="7A3BA68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D7067A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0A6B163" w14:textId="77777777" w:rsidTr="00384609">
        <w:tc>
          <w:tcPr>
            <w:tcW w:w="2500" w:type="pct"/>
          </w:tcPr>
          <w:p w14:paraId="48070E84" w14:textId="31FE72A6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Mengingat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2A496E37" w14:textId="4C8C0090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72F14CF" w14:textId="77777777" w:rsidTr="00384609">
        <w:tc>
          <w:tcPr>
            <w:tcW w:w="2500" w:type="pct"/>
          </w:tcPr>
          <w:p w14:paraId="3E856DD2" w14:textId="45B7553B" w:rsidR="000E5C2A" w:rsidRPr="00556719" w:rsidRDefault="000E5C2A" w:rsidP="0084288F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Undang-Undang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21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Tahun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2011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Tahun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2011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111,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Tambahan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5253);</w:t>
            </w:r>
          </w:p>
        </w:tc>
        <w:tc>
          <w:tcPr>
            <w:tcW w:w="2500" w:type="pct"/>
          </w:tcPr>
          <w:p w14:paraId="1FD2D94C" w14:textId="4A780380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7587B4EF" w14:textId="77777777" w:rsidTr="00384609">
        <w:tc>
          <w:tcPr>
            <w:tcW w:w="2500" w:type="pct"/>
          </w:tcPr>
          <w:p w14:paraId="434E61A2" w14:textId="2A7D854B" w:rsidR="000E5C2A" w:rsidRPr="00556719" w:rsidRDefault="000E5C2A" w:rsidP="0084288F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Undang-Undang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21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Tahun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2008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Perbankan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Tahun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2008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94,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Tambahan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4867)</w:t>
            </w:r>
            <w:r w:rsidR="00384609"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104535A" w14:textId="792B3178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1D767A91" w14:textId="77777777" w:rsidTr="00384609">
        <w:tc>
          <w:tcPr>
            <w:tcW w:w="2500" w:type="pct"/>
          </w:tcPr>
          <w:p w14:paraId="29FBD1F0" w14:textId="153618E1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CB1AA05" w14:textId="77777777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2AEFD1F7" w14:textId="77777777" w:rsidTr="00384609">
        <w:tc>
          <w:tcPr>
            <w:tcW w:w="2500" w:type="pct"/>
          </w:tcPr>
          <w:p w14:paraId="3FE8B65D" w14:textId="251C517E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I</w:t>
            </w:r>
          </w:p>
          <w:p w14:paraId="0F0F1177" w14:textId="5DA8EC7E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KETENTUAN UMUM</w:t>
            </w:r>
          </w:p>
        </w:tc>
        <w:tc>
          <w:tcPr>
            <w:tcW w:w="2500" w:type="pct"/>
          </w:tcPr>
          <w:p w14:paraId="6573D4C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C00C52B" w14:textId="77777777" w:rsidTr="00384609">
        <w:tc>
          <w:tcPr>
            <w:tcW w:w="2500" w:type="pct"/>
          </w:tcPr>
          <w:p w14:paraId="1F745D12" w14:textId="2B4D7530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</w:t>
            </w:r>
          </w:p>
        </w:tc>
        <w:tc>
          <w:tcPr>
            <w:tcW w:w="2500" w:type="pct"/>
          </w:tcPr>
          <w:p w14:paraId="08A6328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9E98778" w14:textId="77777777" w:rsidTr="00384609">
        <w:tc>
          <w:tcPr>
            <w:tcW w:w="2500" w:type="pct"/>
          </w:tcPr>
          <w:p w14:paraId="40082D3B" w14:textId="41A972E3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3937665D" w14:textId="08779298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Umum Syariah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selanjutnya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melaksanakan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jasa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lalu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lintas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pembayaran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D5ED64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29551F5" w14:textId="77777777" w:rsidTr="00384609">
        <w:tc>
          <w:tcPr>
            <w:tcW w:w="2500" w:type="pct"/>
          </w:tcPr>
          <w:p w14:paraId="3C8FBED2" w14:textId="5D117F65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Maksimum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selanjutnya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disingkat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persentase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maksimum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719862C4" w14:textId="77777777" w:rsidR="000E5C2A" w:rsidRPr="00556719" w:rsidRDefault="000E5C2A" w:rsidP="0084288F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modal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  <w:p w14:paraId="2BFF18B0" w14:textId="31747091" w:rsidR="000E5C2A" w:rsidRPr="00556719" w:rsidRDefault="000E5C2A" w:rsidP="0084288F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tier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1)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7462E91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CB89093" w14:textId="77777777" w:rsidTr="00384609">
        <w:tc>
          <w:tcPr>
            <w:tcW w:w="2500" w:type="pct"/>
          </w:tcPr>
          <w:p w14:paraId="27969D75" w14:textId="2E355607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Besar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nominal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fasilitas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fasilitas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tier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1) Bank.</w:t>
            </w:r>
          </w:p>
        </w:tc>
        <w:tc>
          <w:tcPr>
            <w:tcW w:w="2500" w:type="pct"/>
          </w:tcPr>
          <w:p w14:paraId="582347F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39F1A90" w14:textId="77777777" w:rsidTr="00384609">
        <w:tc>
          <w:tcPr>
            <w:tcW w:w="2500" w:type="pct"/>
          </w:tcPr>
          <w:p w14:paraId="4184830E" w14:textId="422F1BFA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penanaman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13A476AC" w14:textId="77777777" w:rsidR="000E5C2A" w:rsidRPr="00556719" w:rsidRDefault="000E5C2A" w:rsidP="0084288F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penempatan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27695C02" w14:textId="77777777" w:rsidR="000E5C2A" w:rsidRPr="00556719" w:rsidRDefault="000E5C2A" w:rsidP="0084288F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lindung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0FFB830F" w14:textId="77777777" w:rsidR="000E5C2A" w:rsidRPr="00556719" w:rsidRDefault="000E5C2A" w:rsidP="0084288F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surat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1F668676" w14:textId="77777777" w:rsidR="000E5C2A" w:rsidRPr="00556719" w:rsidRDefault="000E5C2A" w:rsidP="0084288F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akseptasi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3B4128B2" w14:textId="77777777" w:rsidR="000E5C2A" w:rsidRPr="00556719" w:rsidRDefault="000E5C2A" w:rsidP="0084288F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pembiayaan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4DC3079C" w14:textId="77777777" w:rsidR="000E5C2A" w:rsidRPr="00556719" w:rsidRDefault="000E5C2A" w:rsidP="0084288F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modal;</w:t>
            </w:r>
          </w:p>
          <w:p w14:paraId="4E07C86F" w14:textId="77777777" w:rsidR="000E5C2A" w:rsidRPr="00556719" w:rsidRDefault="000E5C2A" w:rsidP="0084288F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sementara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1BA11F38" w14:textId="77777777" w:rsidR="000E5C2A" w:rsidRPr="00556719" w:rsidRDefault="000E5C2A" w:rsidP="0084288F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rekening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administratif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  <w:p w14:paraId="581C2C1F" w14:textId="5146147B" w:rsidR="000E5C2A" w:rsidRPr="00556719" w:rsidRDefault="000E5C2A" w:rsidP="0084288F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lain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dipersamakan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j.</w:t>
            </w:r>
          </w:p>
        </w:tc>
        <w:tc>
          <w:tcPr>
            <w:tcW w:w="2500" w:type="pct"/>
          </w:tcPr>
          <w:p w14:paraId="4BD594F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425CEC4" w14:textId="77777777" w:rsidTr="00384609">
        <w:tc>
          <w:tcPr>
            <w:tcW w:w="2500" w:type="pct"/>
          </w:tcPr>
          <w:p w14:paraId="448D9FF7" w14:textId="725FDCF3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dan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pelengkap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memperhitungkan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pengurang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minimum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083E98D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691E515" w14:textId="77777777" w:rsidTr="00384609">
        <w:tc>
          <w:tcPr>
            <w:tcW w:w="2500" w:type="pct"/>
          </w:tcPr>
          <w:p w14:paraId="393D8B50" w14:textId="0E669645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 xml:space="preserve">tier 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tier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minimum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091640C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4CB6327" w14:textId="77777777" w:rsidTr="00384609">
        <w:tc>
          <w:tcPr>
            <w:tcW w:w="2500" w:type="pct"/>
          </w:tcPr>
          <w:p w14:paraId="7673C5C9" w14:textId="463C1FCA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perorangan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maupun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kepengurusan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277AFC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5B1540C" w14:textId="77777777" w:rsidTr="00384609">
        <w:tc>
          <w:tcPr>
            <w:tcW w:w="2500" w:type="pct"/>
          </w:tcPr>
          <w:p w14:paraId="1D585887" w14:textId="3C2D64BC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selisih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persentase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persentase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6148F80D" w14:textId="77777777" w:rsidR="000E5C2A" w:rsidRPr="00556719" w:rsidRDefault="000E5C2A" w:rsidP="0084288F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Modal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  <w:p w14:paraId="4760EFBA" w14:textId="77777777" w:rsidR="000E5C2A" w:rsidRPr="00556719" w:rsidRDefault="000E5C2A" w:rsidP="0084288F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tier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1)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</w:t>
            </w:r>
          </w:p>
          <w:p w14:paraId="03A322D6" w14:textId="7011F3A4" w:rsidR="000E5C2A" w:rsidRPr="00556719" w:rsidRDefault="000E5C2A" w:rsidP="000E5C2A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menggunakan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tier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sebelum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realisasi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Dana.</w:t>
            </w:r>
          </w:p>
        </w:tc>
        <w:tc>
          <w:tcPr>
            <w:tcW w:w="2500" w:type="pct"/>
          </w:tcPr>
          <w:p w14:paraId="247C233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0152450" w14:textId="77777777" w:rsidTr="00384609">
        <w:tc>
          <w:tcPr>
            <w:tcW w:w="2500" w:type="pct"/>
          </w:tcPr>
          <w:p w14:paraId="0E597E45" w14:textId="357B08D8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selisih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persentase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persentase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1A4DCCF3" w14:textId="77777777" w:rsidR="000E5C2A" w:rsidRPr="00556719" w:rsidRDefault="000E5C2A" w:rsidP="0084288F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Modal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  <w:p w14:paraId="35BC3C60" w14:textId="77777777" w:rsidR="000E5C2A" w:rsidRPr="00556719" w:rsidRDefault="000E5C2A" w:rsidP="0084288F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 xml:space="preserve">tier 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1)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</w:t>
            </w:r>
          </w:p>
          <w:p w14:paraId="713915B5" w14:textId="11650E43" w:rsidR="000E5C2A" w:rsidRPr="00556719" w:rsidRDefault="000E5C2A" w:rsidP="000E5C2A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tanggal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BMPD.</w:t>
            </w:r>
          </w:p>
        </w:tc>
        <w:tc>
          <w:tcPr>
            <w:tcW w:w="2500" w:type="pct"/>
          </w:tcPr>
          <w:p w14:paraId="3602A40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91B6566" w14:textId="77777777" w:rsidTr="00384609">
        <w:tc>
          <w:tcPr>
            <w:tcW w:w="2500" w:type="pct"/>
          </w:tcPr>
          <w:p w14:paraId="1F52697B" w14:textId="628C403E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Perusahaan Anak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maupun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luar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negeri,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kriteria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konsolidasi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7A5508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B6872B4" w14:textId="77777777" w:rsidTr="00384609">
        <w:tc>
          <w:tcPr>
            <w:tcW w:w="2500" w:type="pct"/>
          </w:tcPr>
          <w:p w14:paraId="7423DEB2" w14:textId="6EE42375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Teknik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Mitigasi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Risiko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selanjutnya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Teknik MRK,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metode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pengakuan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garansi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asuransi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pembiayaan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UMKM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tertimbang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menurut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pendekatan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F233BB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9A9C598" w14:textId="77777777" w:rsidTr="00384609">
        <w:tc>
          <w:tcPr>
            <w:tcW w:w="2500" w:type="pct"/>
          </w:tcPr>
          <w:p w14:paraId="69853791" w14:textId="16A1F0BE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Penempatan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penanaman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Bank pada bank lain,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giro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deposito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sertifikat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deposito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penanaman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lainnya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sejenis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Penempatan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di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Pasar Uang Antar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Prinsip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(PUAS)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likuiditas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6B197A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2F6A4C2" w14:textId="77777777" w:rsidTr="00384609">
        <w:tc>
          <w:tcPr>
            <w:tcW w:w="2500" w:type="pct"/>
          </w:tcPr>
          <w:p w14:paraId="64979D9F" w14:textId="45E94C96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Lindung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Nilai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prinsip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memitigasi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di pasar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786BA0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8733A47" w14:textId="77777777" w:rsidTr="00384609">
        <w:tc>
          <w:tcPr>
            <w:tcW w:w="2500" w:type="pct"/>
          </w:tcPr>
          <w:p w14:paraId="20145663" w14:textId="296D17AB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surat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prinsip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Bank Indonesia,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korporasi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bukti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SBS,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uang rupiah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maupun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valuta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4742D60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4C929FB" w14:textId="77777777" w:rsidTr="00384609">
        <w:tc>
          <w:tcPr>
            <w:tcW w:w="2500" w:type="pct"/>
          </w:tcPr>
          <w:p w14:paraId="2715F758" w14:textId="6E89A37F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Akseptasi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timbul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akibat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akseptasi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wesel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0BEA9B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88FFDC7" w14:textId="77777777" w:rsidTr="00384609">
        <w:tc>
          <w:tcPr>
            <w:tcW w:w="2500" w:type="pct"/>
          </w:tcPr>
          <w:p w14:paraId="2A58F33A" w14:textId="652C2BA1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dipersamakan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sewa-menyewa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sewa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menyewa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jasa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jual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pinjam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meminjam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persetujuan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kesepakatan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mewajibkan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dibiayai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fasilitas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mengembalikan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imbalan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ujrah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imbalan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margin,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177C6F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D0F3402" w14:textId="77777777" w:rsidTr="00384609">
        <w:tc>
          <w:tcPr>
            <w:tcW w:w="2500" w:type="pct"/>
          </w:tcPr>
          <w:p w14:paraId="5E7AB4D4" w14:textId="271AA147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penanaman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bergerak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bidang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penanaman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surat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investasi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konversi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(mandatory 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convertible sukuk)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jenis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berakibat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bergerak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bidang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478015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8928E4E" w14:textId="77777777" w:rsidTr="00384609">
        <w:tc>
          <w:tcPr>
            <w:tcW w:w="2500" w:type="pct"/>
          </w:tcPr>
          <w:p w14:paraId="0DE5EC26" w14:textId="12A37AD6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Sementara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oleh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akibat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kegagalan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pembiayaan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48A113A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F94D4A3" w14:textId="77777777" w:rsidTr="00384609">
        <w:tc>
          <w:tcPr>
            <w:tcW w:w="2500" w:type="pct"/>
          </w:tcPr>
          <w:p w14:paraId="2D8DA869" w14:textId="14ADC878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Rekening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Administratif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komitmen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kontinjensi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meliputi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letter of credit (L/C), standby letter of credit (SBLC)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komitmen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kontinjensi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E82952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A21C584" w14:textId="77777777" w:rsidTr="00384609">
        <w:tc>
          <w:tcPr>
            <w:tcW w:w="2500" w:type="pct"/>
          </w:tcPr>
          <w:p w14:paraId="6CF01B3F" w14:textId="0AD82BFC" w:rsidR="00384609" w:rsidRPr="00556719" w:rsidRDefault="000E5C2A" w:rsidP="00384609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perorangan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memperoleh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52522A5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0DE4452" w14:textId="77777777" w:rsidTr="00384609">
        <w:tc>
          <w:tcPr>
            <w:tcW w:w="2500" w:type="pct"/>
          </w:tcPr>
          <w:p w14:paraId="34A4873D" w14:textId="437A7198" w:rsidR="000E5C2A" w:rsidRPr="00556719" w:rsidRDefault="000E5C2A" w:rsidP="00976DB7">
            <w:pPr>
              <w:pStyle w:val="Default"/>
              <w:numPr>
                <w:ilvl w:val="0"/>
                <w:numId w:val="7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lawan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Penempatan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Lindung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Nilai Syariah;</w:t>
            </w:r>
          </w:p>
        </w:tc>
        <w:tc>
          <w:tcPr>
            <w:tcW w:w="2500" w:type="pct"/>
          </w:tcPr>
          <w:p w14:paraId="26E4FAF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19D1ED1" w14:textId="77777777" w:rsidTr="00384609">
        <w:tc>
          <w:tcPr>
            <w:tcW w:w="2500" w:type="pct"/>
          </w:tcPr>
          <w:p w14:paraId="3976A681" w14:textId="516228B6" w:rsidR="000E5C2A" w:rsidRPr="00556719" w:rsidRDefault="000E5C2A" w:rsidP="00976DB7">
            <w:pPr>
              <w:pStyle w:val="Default"/>
              <w:numPr>
                <w:ilvl w:val="0"/>
                <w:numId w:val="7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menjual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manajer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investasi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kontrak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investasi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kolektif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entitas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referensi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Syariah;</w:t>
            </w:r>
          </w:p>
        </w:tc>
        <w:tc>
          <w:tcPr>
            <w:tcW w:w="2500" w:type="pct"/>
          </w:tcPr>
          <w:p w14:paraId="17DE889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54D89EB" w14:textId="77777777" w:rsidTr="00384609">
        <w:tc>
          <w:tcPr>
            <w:tcW w:w="2500" w:type="pct"/>
          </w:tcPr>
          <w:p w14:paraId="67640511" w14:textId="1CC54763" w:rsidR="000E5C2A" w:rsidRPr="00556719" w:rsidRDefault="000E5C2A" w:rsidP="00976DB7">
            <w:pPr>
              <w:pStyle w:val="Default"/>
              <w:numPr>
                <w:ilvl w:val="0"/>
                <w:numId w:val="7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Akseptasi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03233C8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FBFAE71" w14:textId="77777777" w:rsidTr="00384609">
        <w:tc>
          <w:tcPr>
            <w:tcW w:w="2500" w:type="pct"/>
          </w:tcPr>
          <w:p w14:paraId="673F71AE" w14:textId="63814441" w:rsidR="000E5C2A" w:rsidRPr="00556719" w:rsidRDefault="000E5C2A" w:rsidP="00976DB7">
            <w:pPr>
              <w:pStyle w:val="Default"/>
              <w:numPr>
                <w:ilvl w:val="0"/>
                <w:numId w:val="7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Pembiayaan;</w:t>
            </w:r>
          </w:p>
        </w:tc>
        <w:tc>
          <w:tcPr>
            <w:tcW w:w="2500" w:type="pct"/>
          </w:tcPr>
          <w:p w14:paraId="07F8FB2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E5889EC" w14:textId="77777777" w:rsidTr="00384609">
        <w:tc>
          <w:tcPr>
            <w:tcW w:w="2500" w:type="pct"/>
          </w:tcPr>
          <w:p w14:paraId="6F3A35A4" w14:textId="2DB64645" w:rsidR="000E5C2A" w:rsidRPr="00556719" w:rsidRDefault="000E5C2A" w:rsidP="00976DB7">
            <w:pPr>
              <w:pStyle w:val="Default"/>
              <w:numPr>
                <w:ilvl w:val="0"/>
                <w:numId w:val="7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tempat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Modal;</w:t>
            </w:r>
          </w:p>
        </w:tc>
        <w:tc>
          <w:tcPr>
            <w:tcW w:w="2500" w:type="pct"/>
          </w:tcPr>
          <w:p w14:paraId="2728BEC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195E4FC" w14:textId="77777777" w:rsidTr="00384609">
        <w:tc>
          <w:tcPr>
            <w:tcW w:w="2500" w:type="pct"/>
          </w:tcPr>
          <w:p w14:paraId="11291F35" w14:textId="317097F8" w:rsidR="000E5C2A" w:rsidRPr="00556719" w:rsidRDefault="000E5C2A" w:rsidP="00976DB7">
            <w:pPr>
              <w:pStyle w:val="Default"/>
              <w:numPr>
                <w:ilvl w:val="0"/>
                <w:numId w:val="7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pemohon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letter of credit (L/C), standby letter of credit (SBLC)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instrumen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2500" w:type="pct"/>
          </w:tcPr>
          <w:p w14:paraId="719EFA1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05AB777" w14:textId="77777777" w:rsidTr="00384609">
        <w:tc>
          <w:tcPr>
            <w:tcW w:w="2500" w:type="pct"/>
          </w:tcPr>
          <w:p w14:paraId="2B64305B" w14:textId="50EE073D" w:rsidR="000E5C2A" w:rsidRPr="00556719" w:rsidRDefault="000E5C2A" w:rsidP="00976DB7">
            <w:pPr>
              <w:pStyle w:val="Default"/>
              <w:numPr>
                <w:ilvl w:val="0"/>
                <w:numId w:val="7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melunasi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Bank.</w:t>
            </w:r>
          </w:p>
        </w:tc>
        <w:tc>
          <w:tcPr>
            <w:tcW w:w="2500" w:type="pct"/>
          </w:tcPr>
          <w:p w14:paraId="3D9FD59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5A75650" w14:textId="77777777" w:rsidTr="00384609">
        <w:tc>
          <w:tcPr>
            <w:tcW w:w="2500" w:type="pct"/>
          </w:tcPr>
          <w:p w14:paraId="3AEF4377" w14:textId="13AF51A4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Entitas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Referensi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fasilitas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membayar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(underlying asset),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(underlying asset).</w:t>
            </w:r>
          </w:p>
        </w:tc>
        <w:tc>
          <w:tcPr>
            <w:tcW w:w="2500" w:type="pct"/>
          </w:tcPr>
          <w:p w14:paraId="07FC12E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885608F" w14:textId="77777777" w:rsidTr="00384609">
        <w:tc>
          <w:tcPr>
            <w:tcW w:w="2500" w:type="pct"/>
          </w:tcPr>
          <w:p w14:paraId="3DAC292A" w14:textId="50E0ECF1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10B41603" w14:textId="77777777" w:rsidR="000E5C2A" w:rsidRPr="00556719" w:rsidRDefault="000E5C2A" w:rsidP="0084288F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  <w:p w14:paraId="1BE0A391" w14:textId="7411FF19" w:rsidR="000E5C2A" w:rsidRPr="00556719" w:rsidRDefault="000E5C2A" w:rsidP="0084288F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daerah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3EFACA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7CF27E8" w14:textId="77777777" w:rsidTr="00384609">
        <w:tc>
          <w:tcPr>
            <w:tcW w:w="2500" w:type="pct"/>
          </w:tcPr>
          <w:p w14:paraId="17C67149" w14:textId="32583CBB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Badan Usaha Milik Negara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selanjutnya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disingkat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BUMN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modalnya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negara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kekayaan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dipisahkan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holding company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BUMN.</w:t>
            </w:r>
          </w:p>
        </w:tc>
        <w:tc>
          <w:tcPr>
            <w:tcW w:w="2500" w:type="pct"/>
          </w:tcPr>
          <w:p w14:paraId="32F4BDA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30F1880" w14:textId="77777777" w:rsidTr="00384609">
        <w:tc>
          <w:tcPr>
            <w:tcW w:w="2500" w:type="pct"/>
          </w:tcPr>
          <w:p w14:paraId="29238E4E" w14:textId="63E25015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Prime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541703A0" w14:textId="77777777" w:rsidR="000E5C2A" w:rsidRPr="00556719" w:rsidRDefault="000E5C2A" w:rsidP="0084288F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peringkat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investasi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rendah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11F3014C" w14:textId="77777777" w:rsidR="000E5C2A" w:rsidRPr="00556719" w:rsidRDefault="000E5C2A" w:rsidP="0084288F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BBB-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Standard and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Poors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328570DD" w14:textId="77777777" w:rsidR="000E5C2A" w:rsidRPr="00556719" w:rsidRDefault="000E5C2A" w:rsidP="0084288F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Baa3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Moody's;</w:t>
            </w:r>
          </w:p>
          <w:p w14:paraId="4447A73A" w14:textId="77777777" w:rsidR="000E5C2A" w:rsidRPr="00556719" w:rsidRDefault="000E5C2A" w:rsidP="0084288F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BBB-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Fitch;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  <w:p w14:paraId="0BE726DA" w14:textId="77777777" w:rsidR="000E5C2A" w:rsidRPr="00556719" w:rsidRDefault="000E5C2A" w:rsidP="0084288F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peringkat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investasi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2),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diakui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</w:t>
            </w:r>
          </w:p>
          <w:p w14:paraId="3DCA3750" w14:textId="77777777" w:rsidR="000E5C2A" w:rsidRPr="00556719" w:rsidRDefault="000E5C2A" w:rsidP="000E5C2A">
            <w:pPr>
              <w:pStyle w:val="Default"/>
              <w:spacing w:line="276" w:lineRule="auto"/>
              <w:ind w:left="720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prospek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panjang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  <w:p w14:paraId="4BE55FBC" w14:textId="5A997700" w:rsidR="000E5C2A" w:rsidRPr="00556719" w:rsidRDefault="000E5C2A" w:rsidP="0084288F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total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200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ratus)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dunia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informasi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tercantum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banker's almanac.</w:t>
            </w:r>
          </w:p>
        </w:tc>
        <w:tc>
          <w:tcPr>
            <w:tcW w:w="2500" w:type="pct"/>
          </w:tcPr>
          <w:p w14:paraId="39968A6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EB39A02" w14:textId="77777777" w:rsidTr="00384609">
        <w:tc>
          <w:tcPr>
            <w:tcW w:w="2500" w:type="pct"/>
          </w:tcPr>
          <w:p w14:paraId="12338A65" w14:textId="655E4035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organ 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berwenang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bertanggung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jawab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pengurusan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kepentingan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mewakili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maupun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luar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pengadilan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Bank.</w:t>
            </w:r>
          </w:p>
        </w:tc>
        <w:tc>
          <w:tcPr>
            <w:tcW w:w="2500" w:type="pct"/>
          </w:tcPr>
          <w:p w14:paraId="5E50F52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A5C29BE" w14:textId="77777777" w:rsidTr="00384609">
        <w:tc>
          <w:tcPr>
            <w:tcW w:w="2500" w:type="pct"/>
          </w:tcPr>
          <w:p w14:paraId="27E346E8" w14:textId="4F4F1D1A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  <w:u w:val="single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organ 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bertugas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pengawasan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khusus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nasihat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55240B1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4105C95" w14:textId="3E276D40" w:rsidTr="00384609">
        <w:tc>
          <w:tcPr>
            <w:tcW w:w="2500" w:type="pct"/>
          </w:tcPr>
          <w:p w14:paraId="3792F555" w14:textId="01F8EE7C" w:rsidR="000E5C2A" w:rsidRPr="00556719" w:rsidRDefault="000E5C2A" w:rsidP="008428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  <w:u w:val="single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Eksekutif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bertanggung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jawab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pengaruh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signifikan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kebijakan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operasional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Bank.</w:t>
            </w:r>
          </w:p>
        </w:tc>
        <w:tc>
          <w:tcPr>
            <w:tcW w:w="2500" w:type="pct"/>
          </w:tcPr>
          <w:p w14:paraId="483CA018" w14:textId="20351ABA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  <w:u w:val="single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0AFDE543" w14:textId="77777777" w:rsidTr="00384609">
        <w:tc>
          <w:tcPr>
            <w:tcW w:w="2500" w:type="pct"/>
          </w:tcPr>
          <w:p w14:paraId="3AEB0AB0" w14:textId="77777777" w:rsidR="005A5570" w:rsidRPr="00556719" w:rsidRDefault="005A5570" w:rsidP="005A557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605E3B8" w14:textId="77777777" w:rsidR="005A5570" w:rsidRPr="00556719" w:rsidRDefault="005A557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7F65C59" w14:textId="77777777" w:rsidTr="00384609">
        <w:tc>
          <w:tcPr>
            <w:tcW w:w="2500" w:type="pct"/>
          </w:tcPr>
          <w:p w14:paraId="2A299478" w14:textId="66D6E7F0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2</w:t>
            </w:r>
          </w:p>
        </w:tc>
        <w:tc>
          <w:tcPr>
            <w:tcW w:w="2500" w:type="pct"/>
          </w:tcPr>
          <w:p w14:paraId="3BC9BDB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3417C5B" w14:textId="77777777" w:rsidTr="00384609">
        <w:tc>
          <w:tcPr>
            <w:tcW w:w="2500" w:type="pct"/>
          </w:tcPr>
          <w:p w14:paraId="53FCE97D" w14:textId="59078ED8" w:rsidR="000E5C2A" w:rsidRPr="00556719" w:rsidRDefault="000E5C2A" w:rsidP="00976DB7">
            <w:pPr>
              <w:pStyle w:val="Default"/>
              <w:numPr>
                <w:ilvl w:val="0"/>
                <w:numId w:val="7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Besar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setiap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individu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konsolidasi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34B6F7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70005DD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Besar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juga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large exposure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2896312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C6E0275" w14:textId="77777777" w:rsidTr="00384609">
        <w:tc>
          <w:tcPr>
            <w:tcW w:w="2500" w:type="pct"/>
          </w:tcPr>
          <w:p w14:paraId="53A52E6C" w14:textId="3F3AE7B9" w:rsidR="000E5C2A" w:rsidRPr="00556719" w:rsidRDefault="000E5C2A" w:rsidP="00976DB7">
            <w:pPr>
              <w:pStyle w:val="Default"/>
              <w:numPr>
                <w:ilvl w:val="0"/>
                <w:numId w:val="7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Besar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setiap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konsolidasi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Perusahaan Anak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asuransi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70B091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1D69658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02F2D1C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7B71790" w14:textId="01489318" w:rsidTr="00384609">
        <w:tc>
          <w:tcPr>
            <w:tcW w:w="2500" w:type="pct"/>
          </w:tcPr>
          <w:p w14:paraId="3E573159" w14:textId="1EB9FD5C" w:rsidR="000E5C2A" w:rsidRPr="00556719" w:rsidRDefault="000E5C2A" w:rsidP="00976DB7">
            <w:pPr>
              <w:pStyle w:val="Default"/>
              <w:numPr>
                <w:ilvl w:val="0"/>
                <w:numId w:val="7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Besar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konsolidasi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49A12B9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6427A30C" w14:textId="47133646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1381093" w14:textId="77777777" w:rsidTr="00384609">
        <w:tc>
          <w:tcPr>
            <w:tcW w:w="2500" w:type="pct"/>
          </w:tcPr>
          <w:p w14:paraId="590FCEEC" w14:textId="227E639D" w:rsidR="00384609" w:rsidRPr="00556719" w:rsidRDefault="00384609" w:rsidP="00976DB7">
            <w:pPr>
              <w:pStyle w:val="Default"/>
              <w:numPr>
                <w:ilvl w:val="0"/>
                <w:numId w:val="12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memperhitungkan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Perusahaan Anak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kesatuan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Bank; dan</w:t>
            </w:r>
          </w:p>
        </w:tc>
        <w:tc>
          <w:tcPr>
            <w:tcW w:w="2500" w:type="pct"/>
          </w:tcPr>
          <w:p w14:paraId="4E8220FB" w14:textId="77777777" w:rsidR="00384609" w:rsidRPr="00556719" w:rsidRDefault="0038460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8EB339B" w14:textId="77777777" w:rsidTr="00384609">
        <w:tc>
          <w:tcPr>
            <w:tcW w:w="2500" w:type="pct"/>
          </w:tcPr>
          <w:p w14:paraId="6E09F556" w14:textId="77777777" w:rsidR="00384609" w:rsidRPr="00556719" w:rsidRDefault="00384609" w:rsidP="00976DB7">
            <w:pPr>
              <w:pStyle w:val="Default"/>
              <w:numPr>
                <w:ilvl w:val="0"/>
                <w:numId w:val="12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menggunakan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0F15D4F0" w14:textId="77777777" w:rsidR="00384609" w:rsidRPr="00556719" w:rsidRDefault="00384609" w:rsidP="00976DB7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Modal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  <w:p w14:paraId="5396B5DB" w14:textId="77777777" w:rsidR="00384609" w:rsidRPr="00556719" w:rsidRDefault="00384609" w:rsidP="00976DB7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 xml:space="preserve">tier 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1)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</w:t>
            </w:r>
          </w:p>
          <w:p w14:paraId="04916D49" w14:textId="57CB7503" w:rsidR="00384609" w:rsidRPr="00556719" w:rsidRDefault="00384609" w:rsidP="00384609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konsolidasi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A1A2ADD" w14:textId="77777777" w:rsidR="00384609" w:rsidRPr="00556719" w:rsidRDefault="0038460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DF1BF0E" w14:textId="77777777" w:rsidTr="00384609">
        <w:tc>
          <w:tcPr>
            <w:tcW w:w="2500" w:type="pct"/>
          </w:tcPr>
          <w:p w14:paraId="0982FA48" w14:textId="77777777" w:rsidR="005A5570" w:rsidRPr="00556719" w:rsidRDefault="005A5570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0C84452" w14:textId="77777777" w:rsidR="005A5570" w:rsidRPr="00556719" w:rsidRDefault="005A557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89399B5" w14:textId="77777777" w:rsidTr="00384609">
        <w:tc>
          <w:tcPr>
            <w:tcW w:w="2500" w:type="pct"/>
          </w:tcPr>
          <w:p w14:paraId="347F3382" w14:textId="07D83AB9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3</w:t>
            </w:r>
          </w:p>
        </w:tc>
        <w:tc>
          <w:tcPr>
            <w:tcW w:w="2500" w:type="pct"/>
          </w:tcPr>
          <w:p w14:paraId="2094B2C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5B60B6C" w14:textId="77777777" w:rsidTr="00384609">
        <w:tc>
          <w:tcPr>
            <w:tcW w:w="2500" w:type="pct"/>
          </w:tcPr>
          <w:p w14:paraId="0A693EEF" w14:textId="0BEBF16A" w:rsidR="000E5C2A" w:rsidRPr="00556719" w:rsidRDefault="000E5C2A" w:rsidP="00976DB7">
            <w:pPr>
              <w:pStyle w:val="Default"/>
              <w:numPr>
                <w:ilvl w:val="0"/>
                <w:numId w:val="7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menerapkan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prinsip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kehati-hatian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Besar,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kepentingan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Bank.</w:t>
            </w:r>
          </w:p>
          <w:p w14:paraId="2F038E3D" w14:textId="77777777" w:rsidR="000E5C2A" w:rsidRPr="00556719" w:rsidRDefault="000E5C2A" w:rsidP="000E5C2A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11E5AB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448A9EC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Penerapan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prinsip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kehati-hatian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bertujuan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agar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Besar,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kepentingan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dilaksanakan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wajar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arm’s length basis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disesuaikan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kemampuan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permodalan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terkonsentrasi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signifikan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36747C53" w14:textId="5CC3C3EA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kepentingan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pegawai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beserta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keluarganya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4993DB7F" w14:textId="77777777" w:rsidTr="00384609">
        <w:tc>
          <w:tcPr>
            <w:tcW w:w="2500" w:type="pct"/>
          </w:tcPr>
          <w:p w14:paraId="15E6F50D" w14:textId="24AD0662" w:rsidR="000E5C2A" w:rsidRPr="00556719" w:rsidRDefault="000E5C2A" w:rsidP="00976DB7">
            <w:pPr>
              <w:pStyle w:val="Default"/>
              <w:numPr>
                <w:ilvl w:val="0"/>
                <w:numId w:val="7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prinsip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kehati-hatian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kebijakan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pedoman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prosedur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tertulis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Besar,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kepentingan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Bank.</w:t>
            </w:r>
          </w:p>
        </w:tc>
        <w:tc>
          <w:tcPr>
            <w:tcW w:w="2500" w:type="pct"/>
          </w:tcPr>
          <w:p w14:paraId="066B9A1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6902C92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2AEBDFD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5853A82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373E94D" w14:textId="77777777" w:rsidTr="00384609">
        <w:tc>
          <w:tcPr>
            <w:tcW w:w="2500" w:type="pct"/>
          </w:tcPr>
          <w:p w14:paraId="161B182D" w14:textId="58E5F040" w:rsidR="000E5C2A" w:rsidRPr="00556719" w:rsidRDefault="000E5C2A" w:rsidP="00976DB7">
            <w:pPr>
              <w:pStyle w:val="Default"/>
              <w:numPr>
                <w:ilvl w:val="0"/>
                <w:numId w:val="7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Kebijakan,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pedoman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prosedur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tertulis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sedikit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meliputi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287B409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77B4E54" w14:textId="77777777" w:rsidTr="00384609">
        <w:tc>
          <w:tcPr>
            <w:tcW w:w="2500" w:type="pct"/>
          </w:tcPr>
          <w:p w14:paraId="24C73EE1" w14:textId="389A7741" w:rsidR="000E5C2A" w:rsidRPr="00556719" w:rsidRDefault="000E5C2A" w:rsidP="00976DB7">
            <w:pPr>
              <w:pStyle w:val="Default"/>
              <w:numPr>
                <w:ilvl w:val="0"/>
                <w:numId w:val="7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kriteria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kelayakan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Fasilitas;</w:t>
            </w:r>
          </w:p>
        </w:tc>
        <w:tc>
          <w:tcPr>
            <w:tcW w:w="2500" w:type="pct"/>
          </w:tcPr>
          <w:p w14:paraId="3A26AC7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78B2D02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0AC4017A" w14:textId="5A17EAB5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seleksi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kelayakan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memastikan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tersedianya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informasi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data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informasi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pemegang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kepengurusan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struktur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kondisi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Fasilitas. </w:t>
            </w:r>
          </w:p>
        </w:tc>
      </w:tr>
      <w:tr w:rsidR="00556719" w:rsidRPr="00556719" w14:paraId="524D3A57" w14:textId="77777777" w:rsidTr="00384609">
        <w:tc>
          <w:tcPr>
            <w:tcW w:w="2500" w:type="pct"/>
          </w:tcPr>
          <w:p w14:paraId="7905F25B" w14:textId="3A2D0675" w:rsidR="000E5C2A" w:rsidRPr="00556719" w:rsidRDefault="000E5C2A" w:rsidP="00976DB7">
            <w:pPr>
              <w:pStyle w:val="Default"/>
              <w:numPr>
                <w:ilvl w:val="0"/>
                <w:numId w:val="7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kriteria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penetapan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Dana;</w:t>
            </w:r>
          </w:p>
          <w:p w14:paraId="52A43056" w14:textId="77777777" w:rsidR="000E5C2A" w:rsidRPr="00556719" w:rsidRDefault="000E5C2A" w:rsidP="000E5C2A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369B47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 xml:space="preserve">Huruf b </w:t>
            </w:r>
          </w:p>
          <w:p w14:paraId="693E021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 xml:space="preserve">Batas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0AE30EA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Batas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analisis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dampak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struktur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neraca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profil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Bank. </w:t>
            </w:r>
          </w:p>
          <w:p w14:paraId="7FDF4521" w14:textId="17D19C99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Analisis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dampak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struktur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neraca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profil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mempertimbangkan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besar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jenis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diversifikasi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portofolio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keseluruhan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mencegah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portofolio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terkonsentrasi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</w:t>
            </w:r>
            <w:r w:rsidR="00B07861" w:rsidRPr="00556719">
              <w:rPr>
                <w:rFonts w:ascii="Bookman Old Style" w:hAnsi="Bookman Old Style" w:cstheme="majorHAnsi"/>
                <w:sz w:val="20"/>
                <w:szCs w:val="20"/>
              </w:rPr>
              <w:t>h</w:t>
            </w:r>
            <w:proofErr w:type="spellEnd"/>
            <w:r w:rsidR="00B07861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B07861"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="00B07861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="00B07861" w:rsidRPr="00556719">
              <w:rPr>
                <w:rFonts w:ascii="Bookman Old Style" w:hAnsi="Bookman Old Style" w:cstheme="majorHAnsi"/>
                <w:sz w:val="20"/>
                <w:szCs w:val="20"/>
              </w:rPr>
              <w:t>tertentu</w:t>
            </w:r>
            <w:proofErr w:type="spellEnd"/>
            <w:r w:rsidR="00B07861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1CDDBF8C" w14:textId="77777777" w:rsidTr="00384609">
        <w:tc>
          <w:tcPr>
            <w:tcW w:w="2500" w:type="pct"/>
          </w:tcPr>
          <w:p w14:paraId="5139B4E7" w14:textId="60AA0F7F" w:rsidR="000E5C2A" w:rsidRPr="00556719" w:rsidRDefault="000E5C2A" w:rsidP="00976DB7">
            <w:pPr>
              <w:pStyle w:val="Default"/>
              <w:numPr>
                <w:ilvl w:val="0"/>
                <w:numId w:val="7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sistem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informasi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Dana;</w:t>
            </w:r>
          </w:p>
        </w:tc>
        <w:tc>
          <w:tcPr>
            <w:tcW w:w="2500" w:type="pct"/>
          </w:tcPr>
          <w:p w14:paraId="30F83F2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c </w:t>
            </w:r>
          </w:p>
          <w:p w14:paraId="52A1651D" w14:textId="484A4ECC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Sistem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informasi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memungkinkan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waktu</w:t>
            </w:r>
            <w:proofErr w:type="spellEnd"/>
            <w:r w:rsidR="00B07861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B07861" w:rsidRPr="00556719">
              <w:rPr>
                <w:rFonts w:ascii="Bookman Old Style" w:hAnsi="Bookman Old Style" w:cstheme="majorHAnsi"/>
                <w:sz w:val="20"/>
                <w:szCs w:val="20"/>
              </w:rPr>
              <w:t>mengidentifikasi</w:t>
            </w:r>
            <w:proofErr w:type="spellEnd"/>
            <w:r w:rsidR="00B07861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B07861" w:rsidRPr="00556719">
              <w:rPr>
                <w:rFonts w:ascii="Bookman Old Style" w:hAnsi="Bookman Old Style" w:cstheme="majorHAnsi"/>
                <w:sz w:val="20"/>
                <w:szCs w:val="20"/>
              </w:rPr>
              <w:t>konsentrasi</w:t>
            </w:r>
            <w:proofErr w:type="spellEnd"/>
            <w:r w:rsidR="00B07861"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  <w:p w14:paraId="2DDDE5CC" w14:textId="61BC23C9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khususnya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Besar,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kepentingan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Bank. Selain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sistem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informasi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mencakup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tersedianya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sistem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pelaporan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melampaui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diperkirakan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melampaui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Dana. </w:t>
            </w:r>
          </w:p>
        </w:tc>
      </w:tr>
      <w:tr w:rsidR="00556719" w:rsidRPr="00556719" w14:paraId="41265512" w14:textId="77777777" w:rsidTr="00384609">
        <w:tc>
          <w:tcPr>
            <w:tcW w:w="2500" w:type="pct"/>
          </w:tcPr>
          <w:p w14:paraId="5075A38F" w14:textId="64338DDB" w:rsidR="000E5C2A" w:rsidRPr="00556719" w:rsidRDefault="000E5C2A" w:rsidP="00976DB7">
            <w:pPr>
              <w:pStyle w:val="Default"/>
              <w:numPr>
                <w:ilvl w:val="0"/>
                <w:numId w:val="7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sistem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pemantauan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Dana; dan</w:t>
            </w:r>
          </w:p>
        </w:tc>
        <w:tc>
          <w:tcPr>
            <w:tcW w:w="2500" w:type="pct"/>
          </w:tcPr>
          <w:p w14:paraId="013D734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d </w:t>
            </w:r>
          </w:p>
          <w:p w14:paraId="2D7C20B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Sistem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pemantauan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Besar,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kepentingan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paling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sedikit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meliputi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0E00EA7A" w14:textId="77777777" w:rsidR="000E5C2A" w:rsidRPr="00556719" w:rsidRDefault="000E5C2A" w:rsidP="00976DB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kepatuhan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Dana; </w:t>
            </w:r>
          </w:p>
          <w:p w14:paraId="39A42A2B" w14:textId="77777777" w:rsidR="000E5C2A" w:rsidRPr="00556719" w:rsidRDefault="000E5C2A" w:rsidP="00976DB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kecukupan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dibandingkan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Dana; dan </w:t>
            </w:r>
          </w:p>
          <w:p w14:paraId="4C108070" w14:textId="46D6CDDB" w:rsidR="000E5C2A" w:rsidRPr="00556719" w:rsidRDefault="000E5C2A" w:rsidP="00976DB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identifikasi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kualitas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Dana.</w:t>
            </w:r>
          </w:p>
        </w:tc>
      </w:tr>
      <w:tr w:rsidR="00556719" w:rsidRPr="00556719" w14:paraId="7DD21717" w14:textId="77777777" w:rsidTr="00384609">
        <w:tc>
          <w:tcPr>
            <w:tcW w:w="2500" w:type="pct"/>
          </w:tcPr>
          <w:p w14:paraId="764A46E5" w14:textId="0B7C8ACE" w:rsidR="000E5C2A" w:rsidRPr="00556719" w:rsidRDefault="000E5C2A" w:rsidP="00976DB7">
            <w:pPr>
              <w:pStyle w:val="Default"/>
              <w:numPr>
                <w:ilvl w:val="0"/>
                <w:numId w:val="7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penetapan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langkah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konsentrasi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Dana.</w:t>
            </w:r>
          </w:p>
        </w:tc>
        <w:tc>
          <w:tcPr>
            <w:tcW w:w="2500" w:type="pct"/>
          </w:tcPr>
          <w:p w14:paraId="622110C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e </w:t>
            </w:r>
          </w:p>
          <w:p w14:paraId="298E253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Langkah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meliputi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4D37B222" w14:textId="77777777" w:rsidR="000E5C2A" w:rsidRPr="00556719" w:rsidRDefault="000E5C2A" w:rsidP="00976DB7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penambahan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peningkatan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eksposur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6CB9B0CB" w14:textId="77777777" w:rsidR="000E5C2A" w:rsidRPr="00556719" w:rsidRDefault="000E5C2A" w:rsidP="00976DB7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sindikasi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;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  <w:p w14:paraId="1A8EC6D0" w14:textId="1A82372B" w:rsidR="000E5C2A" w:rsidRPr="00556719" w:rsidRDefault="000E5C2A" w:rsidP="00976DB7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sekuritisasi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5A5595BA" w14:textId="77777777" w:rsidTr="00384609">
        <w:tc>
          <w:tcPr>
            <w:tcW w:w="2500" w:type="pct"/>
          </w:tcPr>
          <w:p w14:paraId="0AFB5ACE" w14:textId="15D885C9" w:rsidR="000E5C2A" w:rsidRPr="00556719" w:rsidRDefault="000E5C2A" w:rsidP="00976DB7">
            <w:pPr>
              <w:pStyle w:val="Default"/>
              <w:numPr>
                <w:ilvl w:val="0"/>
                <w:numId w:val="7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Kebijakan,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pedoman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prosedur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tertulis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sedikit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berhati-hati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dibandingkan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kebijakan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prosedur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pelaksanaan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7C859D9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(4) </w:t>
            </w:r>
          </w:p>
          <w:p w14:paraId="2CFCDDB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67D758D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A2CB189" w14:textId="77777777" w:rsidTr="00384609">
        <w:tc>
          <w:tcPr>
            <w:tcW w:w="2500" w:type="pct"/>
          </w:tcPr>
          <w:p w14:paraId="68C6D61D" w14:textId="0D60C005" w:rsidR="000E5C2A" w:rsidRPr="00556719" w:rsidRDefault="000E5C2A" w:rsidP="00976DB7">
            <w:pPr>
              <w:pStyle w:val="Default"/>
              <w:numPr>
                <w:ilvl w:val="0"/>
                <w:numId w:val="7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Kebijakan,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pedoman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prosedur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tertulis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dikaji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ulang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periodik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sedikit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kali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tahun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frekuensi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signifikan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7FA257C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(5) </w:t>
            </w:r>
          </w:p>
          <w:p w14:paraId="2F10F7B8" w14:textId="44D502D3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Intensitas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frekuensi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kaji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ulang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ditingkatkan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perkembangan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konsentrasi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Dana. </w:t>
            </w:r>
          </w:p>
        </w:tc>
      </w:tr>
      <w:tr w:rsidR="00556719" w:rsidRPr="00556719" w14:paraId="21794F87" w14:textId="77777777" w:rsidTr="00384609">
        <w:tc>
          <w:tcPr>
            <w:tcW w:w="2500" w:type="pct"/>
          </w:tcPr>
          <w:p w14:paraId="13EBC392" w14:textId="750D23D1" w:rsidR="000E5C2A" w:rsidRPr="00556719" w:rsidRDefault="000E5C2A" w:rsidP="00976DB7">
            <w:pPr>
              <w:pStyle w:val="Default"/>
              <w:numPr>
                <w:ilvl w:val="0"/>
                <w:numId w:val="7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Kebijakan,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pedoman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prosedur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terpisahkan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kebijakan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prosedur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penetapan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1B90EC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(6) </w:t>
            </w:r>
          </w:p>
          <w:p w14:paraId="56BA7EB2" w14:textId="0377EED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4F6863D0" w14:textId="77777777" w:rsidTr="00384609">
        <w:tc>
          <w:tcPr>
            <w:tcW w:w="2500" w:type="pct"/>
          </w:tcPr>
          <w:p w14:paraId="6A01B36C" w14:textId="77777777" w:rsidR="005A5570" w:rsidRPr="00556719" w:rsidRDefault="005A5570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E4D1D42" w14:textId="77777777" w:rsidR="005A5570" w:rsidRPr="00556719" w:rsidRDefault="005A557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7B6FBEB" w14:textId="77777777" w:rsidTr="00384609">
        <w:tc>
          <w:tcPr>
            <w:tcW w:w="2500" w:type="pct"/>
          </w:tcPr>
          <w:p w14:paraId="27C04494" w14:textId="57277A0B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4</w:t>
            </w:r>
          </w:p>
        </w:tc>
        <w:tc>
          <w:tcPr>
            <w:tcW w:w="2500" w:type="pct"/>
          </w:tcPr>
          <w:p w14:paraId="674B483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4A2170A" w14:textId="77777777" w:rsidTr="00384609">
        <w:tc>
          <w:tcPr>
            <w:tcW w:w="2500" w:type="pct"/>
          </w:tcPr>
          <w:p w14:paraId="3E8FF7B7" w14:textId="372C25C3" w:rsidR="00384609" w:rsidRPr="00556719" w:rsidRDefault="00384609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dilarang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341F0225" w14:textId="77777777" w:rsidR="00384609" w:rsidRPr="00556719" w:rsidRDefault="0038460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1FC8C71" w14:textId="4D9A96F6" w:rsidTr="00384609">
        <w:tc>
          <w:tcPr>
            <w:tcW w:w="2500" w:type="pct"/>
          </w:tcPr>
          <w:p w14:paraId="38A77BE6" w14:textId="2FAB7319" w:rsidR="000E5C2A" w:rsidRPr="00556719" w:rsidRDefault="000E5C2A" w:rsidP="00976DB7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membuat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suatu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perikatan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perjanjian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mewajibkan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mengakibatkan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terjadinya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  <w:p w14:paraId="0DDD3D50" w14:textId="2E968993" w:rsidR="000E5C2A" w:rsidRPr="00556719" w:rsidRDefault="000E5C2A" w:rsidP="00384609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3D83FF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1EB66082" w14:textId="5707F21A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Perikatan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perjanjian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mencakup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perikatan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perjanjian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neraca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maupun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komitmen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kontijensi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9AE5AE1" w14:textId="77777777" w:rsidTr="00384609">
        <w:tc>
          <w:tcPr>
            <w:tcW w:w="2500" w:type="pct"/>
          </w:tcPr>
          <w:p w14:paraId="6B2D88AD" w14:textId="6028A0FF" w:rsidR="00384609" w:rsidRPr="00556719" w:rsidRDefault="00384609" w:rsidP="00976DB7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mengakibatkan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BMPD.</w:t>
            </w:r>
          </w:p>
        </w:tc>
        <w:tc>
          <w:tcPr>
            <w:tcW w:w="2500" w:type="pct"/>
          </w:tcPr>
          <w:p w14:paraId="4428B42C" w14:textId="77777777" w:rsidR="00384609" w:rsidRPr="00556719" w:rsidRDefault="00384609" w:rsidP="00384609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4CE148B0" w14:textId="6894CA82" w:rsidR="00384609" w:rsidRPr="00556719" w:rsidRDefault="00384609" w:rsidP="00384609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1A8C254A" w14:textId="77777777" w:rsidTr="00384609">
        <w:tc>
          <w:tcPr>
            <w:tcW w:w="2500" w:type="pct"/>
          </w:tcPr>
          <w:p w14:paraId="012A2428" w14:textId="77777777" w:rsidR="005A5570" w:rsidRPr="00556719" w:rsidRDefault="005A5570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8B9CA21" w14:textId="77777777" w:rsidR="005A5570" w:rsidRPr="00556719" w:rsidRDefault="005A557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B953B2D" w14:textId="77777777" w:rsidTr="00384609">
        <w:tc>
          <w:tcPr>
            <w:tcW w:w="2500" w:type="pct"/>
          </w:tcPr>
          <w:p w14:paraId="189FC9C4" w14:textId="5E86A4D1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II</w:t>
            </w:r>
          </w:p>
          <w:p w14:paraId="588459FA" w14:textId="1EC6B5B4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 DANA KEPADA PIHAK TERKAIT</w:t>
            </w:r>
          </w:p>
        </w:tc>
        <w:tc>
          <w:tcPr>
            <w:tcW w:w="2500" w:type="pct"/>
          </w:tcPr>
          <w:p w14:paraId="1F507A7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75E7036" w14:textId="77777777" w:rsidTr="00384609">
        <w:tc>
          <w:tcPr>
            <w:tcW w:w="2500" w:type="pct"/>
          </w:tcPr>
          <w:p w14:paraId="129582EE" w14:textId="07260F76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5</w:t>
            </w:r>
          </w:p>
        </w:tc>
        <w:tc>
          <w:tcPr>
            <w:tcW w:w="2500" w:type="pct"/>
          </w:tcPr>
          <w:p w14:paraId="0C5F1F7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65DF3AB" w14:textId="555DD015" w:rsidTr="00384609">
        <w:tc>
          <w:tcPr>
            <w:tcW w:w="2500" w:type="pct"/>
          </w:tcPr>
          <w:p w14:paraId="2071DDEA" w14:textId="0C773343" w:rsidR="000E5C2A" w:rsidRPr="00556719" w:rsidRDefault="00E55BFD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Portofolio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keseluruhan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 paling </w:t>
            </w: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tinggi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 10% (</w:t>
            </w: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sepuluh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persen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E55BFD">
              <w:rPr>
                <w:rFonts w:ascii="Bookman Old Style" w:hAnsi="Bookman Old Style" w:cstheme="majorHAnsi"/>
                <w:sz w:val="20"/>
                <w:szCs w:val="20"/>
              </w:rPr>
              <w:t xml:space="preserve"> Modal Bank.</w:t>
            </w:r>
          </w:p>
        </w:tc>
        <w:tc>
          <w:tcPr>
            <w:tcW w:w="2500" w:type="pct"/>
          </w:tcPr>
          <w:p w14:paraId="08FCF5C0" w14:textId="2EC113AE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578FE65" w14:textId="77777777" w:rsidTr="00384609">
        <w:tc>
          <w:tcPr>
            <w:tcW w:w="2500" w:type="pct"/>
          </w:tcPr>
          <w:p w14:paraId="048D52E7" w14:textId="77777777" w:rsidR="005A5570" w:rsidRPr="00556719" w:rsidRDefault="005A5570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CB20BBC" w14:textId="77777777" w:rsidR="005A5570" w:rsidRPr="00556719" w:rsidRDefault="005A557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FF04594" w14:textId="77777777" w:rsidTr="00384609">
        <w:tc>
          <w:tcPr>
            <w:tcW w:w="2500" w:type="pct"/>
          </w:tcPr>
          <w:p w14:paraId="7F661C9D" w14:textId="1602ABC3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6</w:t>
            </w:r>
          </w:p>
        </w:tc>
        <w:tc>
          <w:tcPr>
            <w:tcW w:w="2500" w:type="pct"/>
          </w:tcPr>
          <w:p w14:paraId="391BB17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5AD9454" w14:textId="77777777" w:rsidTr="00384609">
        <w:tc>
          <w:tcPr>
            <w:tcW w:w="2500" w:type="pct"/>
          </w:tcPr>
          <w:p w14:paraId="766E19F6" w14:textId="35BC38FB" w:rsidR="000E5C2A" w:rsidRPr="00556719" w:rsidRDefault="000E5C2A" w:rsidP="00976DB7">
            <w:pPr>
              <w:pStyle w:val="Default"/>
              <w:numPr>
                <w:ilvl w:val="0"/>
                <w:numId w:val="7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dilarang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bertentangan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prosedur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Dana.</w:t>
            </w:r>
          </w:p>
          <w:p w14:paraId="1A3E406D" w14:textId="77777777" w:rsidR="000E5C2A" w:rsidRPr="00556719" w:rsidRDefault="000E5C2A" w:rsidP="000E5C2A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8B8D24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2568EA4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Prosedur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prosedur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diterapkan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Bank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berlaku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semua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tetap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keuntungan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wajar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Bank.</w:t>
            </w:r>
          </w:p>
          <w:p w14:paraId="613A566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2AD713E" w14:textId="77777777" w:rsidTr="00384609">
        <w:tc>
          <w:tcPr>
            <w:tcW w:w="2500" w:type="pct"/>
          </w:tcPr>
          <w:p w14:paraId="0572DD6B" w14:textId="7AE67778" w:rsidR="000E5C2A" w:rsidRPr="00556719" w:rsidRDefault="000E5C2A" w:rsidP="00976DB7">
            <w:pPr>
              <w:pStyle w:val="Default"/>
              <w:numPr>
                <w:ilvl w:val="0"/>
                <w:numId w:val="7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dilarang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persetujuan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Bank.</w:t>
            </w:r>
          </w:p>
        </w:tc>
        <w:tc>
          <w:tcPr>
            <w:tcW w:w="2500" w:type="pct"/>
          </w:tcPr>
          <w:p w14:paraId="1CFD807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22A50BDE" w14:textId="44368A42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2EAF8EFB" w14:textId="497F3A93" w:rsidTr="00384609">
        <w:tc>
          <w:tcPr>
            <w:tcW w:w="2500" w:type="pct"/>
          </w:tcPr>
          <w:p w14:paraId="2DD8E3F7" w14:textId="7A4A6E65" w:rsidR="000E5C2A" w:rsidRPr="00556719" w:rsidRDefault="000E5C2A" w:rsidP="00976DB7">
            <w:pPr>
              <w:pStyle w:val="Default"/>
              <w:numPr>
                <w:ilvl w:val="0"/>
                <w:numId w:val="7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dilarang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berkualitas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rendah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4BD3AD00" w14:textId="30484658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12A0A41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Aset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berkualitas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rendah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yang: </w:t>
            </w:r>
          </w:p>
          <w:p w14:paraId="37C36D41" w14:textId="77777777" w:rsidR="000E5C2A" w:rsidRPr="00556719" w:rsidRDefault="000E5C2A" w:rsidP="00976DB7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kualitas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kurang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lancar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diragukan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macet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;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  <w:p w14:paraId="5F433638" w14:textId="77777777" w:rsidR="000E5C2A" w:rsidRPr="00556719" w:rsidRDefault="000E5C2A" w:rsidP="00976DB7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telah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restrukturisasi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</w:p>
          <w:p w14:paraId="486961B8" w14:textId="6F89C336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perundang-undangan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kualitas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0B01E4D5" w14:textId="77777777" w:rsidTr="00384609">
        <w:tc>
          <w:tcPr>
            <w:tcW w:w="2500" w:type="pct"/>
          </w:tcPr>
          <w:p w14:paraId="04927B0A" w14:textId="77777777" w:rsidR="005A5570" w:rsidRPr="00556719" w:rsidRDefault="005A5570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286DE11" w14:textId="77777777" w:rsidR="005A5570" w:rsidRPr="00556719" w:rsidRDefault="005A557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2F0E7D4" w14:textId="77777777" w:rsidTr="00384609">
        <w:tc>
          <w:tcPr>
            <w:tcW w:w="2500" w:type="pct"/>
          </w:tcPr>
          <w:p w14:paraId="5CB33072" w14:textId="17CBEB45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7</w:t>
            </w:r>
          </w:p>
        </w:tc>
        <w:tc>
          <w:tcPr>
            <w:tcW w:w="2500" w:type="pct"/>
          </w:tcPr>
          <w:p w14:paraId="7F4F6F3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9173B2D" w14:textId="0E5F91DE" w:rsidTr="00384609">
        <w:tc>
          <w:tcPr>
            <w:tcW w:w="2500" w:type="pct"/>
          </w:tcPr>
          <w:p w14:paraId="4BAD79F9" w14:textId="3077FE1F" w:rsidR="000E5C2A" w:rsidRPr="00556719" w:rsidRDefault="000E5C2A" w:rsidP="00384609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kualitas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menurun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menjadi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kurang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lancar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diragukan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macet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mengambil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langkah-langkah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penyelesaian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memperbaiki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798EC5B6" w14:textId="63132251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Kualitas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kurang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lancar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diragukan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macet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kualitas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perundang-undangan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kualitas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3516D3FC" w14:textId="77777777" w:rsidTr="00384609">
        <w:tc>
          <w:tcPr>
            <w:tcW w:w="2500" w:type="pct"/>
          </w:tcPr>
          <w:p w14:paraId="2EB9879C" w14:textId="428F6737" w:rsidR="00384609" w:rsidRPr="00556719" w:rsidRDefault="00384609" w:rsidP="00976DB7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pelunasan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60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enam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penurunan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kualitas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2500" w:type="pct"/>
          </w:tcPr>
          <w:p w14:paraId="1E9429DD" w14:textId="77777777" w:rsidR="00384609" w:rsidRPr="00556719" w:rsidRDefault="0038460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8F408DC" w14:textId="77777777" w:rsidTr="00384609">
        <w:tc>
          <w:tcPr>
            <w:tcW w:w="2500" w:type="pct"/>
          </w:tcPr>
          <w:p w14:paraId="6B62547C" w14:textId="26A1387C" w:rsidR="00384609" w:rsidRPr="00556719" w:rsidRDefault="00384609" w:rsidP="00976DB7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restrukturisasi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penurunan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kualitas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Dana.</w:t>
            </w:r>
          </w:p>
        </w:tc>
        <w:tc>
          <w:tcPr>
            <w:tcW w:w="2500" w:type="pct"/>
          </w:tcPr>
          <w:p w14:paraId="365012F5" w14:textId="77777777" w:rsidR="00384609" w:rsidRPr="00556719" w:rsidRDefault="0038460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71464AF" w14:textId="77777777" w:rsidTr="00384609">
        <w:tc>
          <w:tcPr>
            <w:tcW w:w="2500" w:type="pct"/>
          </w:tcPr>
          <w:p w14:paraId="31E5C5FE" w14:textId="61E51C40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71E112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F4A138A" w14:textId="77777777" w:rsidTr="00384609">
        <w:tc>
          <w:tcPr>
            <w:tcW w:w="2500" w:type="pct"/>
          </w:tcPr>
          <w:p w14:paraId="266E0A48" w14:textId="10B5119A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8</w:t>
            </w:r>
          </w:p>
        </w:tc>
        <w:tc>
          <w:tcPr>
            <w:tcW w:w="2500" w:type="pct"/>
          </w:tcPr>
          <w:p w14:paraId="06B38B5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CBB88D8" w14:textId="571466FB" w:rsidTr="00384609">
        <w:tc>
          <w:tcPr>
            <w:tcW w:w="2500" w:type="pct"/>
          </w:tcPr>
          <w:p w14:paraId="54CE98CA" w14:textId="5D5B922B" w:rsidR="000E5C2A" w:rsidRPr="00556719" w:rsidRDefault="000E5C2A" w:rsidP="00384609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mengakibatkan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tempat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menjadi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memastikan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6F2283C6" w14:textId="3BC2636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49D6ED6E" w14:textId="77777777" w:rsidTr="00384609">
        <w:tc>
          <w:tcPr>
            <w:tcW w:w="2500" w:type="pct"/>
          </w:tcPr>
          <w:p w14:paraId="315553EC" w14:textId="1D9E2687" w:rsidR="00384609" w:rsidRPr="00556719" w:rsidRDefault="00384609" w:rsidP="00976DB7">
            <w:pPr>
              <w:pStyle w:val="Default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E55BFD">
              <w:rPr>
                <w:rFonts w:cstheme="majorHAnsi"/>
                <w:color w:val="auto"/>
                <w:sz w:val="20"/>
                <w:szCs w:val="20"/>
              </w:rPr>
              <w:t>1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>0% (</w:t>
            </w:r>
            <w:proofErr w:type="spellStart"/>
            <w:r w:rsidR="00E55BFD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5;</w:t>
            </w:r>
          </w:p>
        </w:tc>
        <w:tc>
          <w:tcPr>
            <w:tcW w:w="2500" w:type="pct"/>
          </w:tcPr>
          <w:p w14:paraId="31815642" w14:textId="77777777" w:rsidR="00384609" w:rsidRPr="00556719" w:rsidRDefault="0038460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6AC6376" w14:textId="77777777" w:rsidTr="00384609">
        <w:tc>
          <w:tcPr>
            <w:tcW w:w="2500" w:type="pct"/>
          </w:tcPr>
          <w:p w14:paraId="1C2247C1" w14:textId="0B834A01" w:rsidR="00384609" w:rsidRPr="00E55BFD" w:rsidRDefault="00E55BFD" w:rsidP="00E55BFD">
            <w:pPr>
              <w:pStyle w:val="Default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akan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telah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diberikan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tempat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ditambah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seluruh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portofolio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tinggi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10% (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Modal Bank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5; dan</w:t>
            </w:r>
          </w:p>
        </w:tc>
        <w:tc>
          <w:tcPr>
            <w:tcW w:w="2500" w:type="pct"/>
          </w:tcPr>
          <w:p w14:paraId="6A27747A" w14:textId="77777777" w:rsidR="00384609" w:rsidRPr="00556719" w:rsidRDefault="0038460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B6D3561" w14:textId="77777777" w:rsidTr="00384609">
        <w:tc>
          <w:tcPr>
            <w:tcW w:w="2500" w:type="pct"/>
          </w:tcPr>
          <w:p w14:paraId="57B421AE" w14:textId="0CB9772A" w:rsidR="00384609" w:rsidRPr="00556719" w:rsidRDefault="00384609" w:rsidP="00976DB7">
            <w:pPr>
              <w:pStyle w:val="Default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6.</w:t>
            </w:r>
          </w:p>
        </w:tc>
        <w:tc>
          <w:tcPr>
            <w:tcW w:w="2500" w:type="pct"/>
          </w:tcPr>
          <w:p w14:paraId="347D0673" w14:textId="77777777" w:rsidR="00384609" w:rsidRPr="00556719" w:rsidRDefault="0038460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F7B002C" w14:textId="77777777" w:rsidTr="00384609">
        <w:tc>
          <w:tcPr>
            <w:tcW w:w="2500" w:type="pct"/>
          </w:tcPr>
          <w:p w14:paraId="0C90A402" w14:textId="77777777" w:rsidR="005A5570" w:rsidRPr="00556719" w:rsidRDefault="005A5570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3F0946E" w14:textId="77777777" w:rsidR="005A5570" w:rsidRPr="00556719" w:rsidRDefault="005A557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23C9974" w14:textId="77777777" w:rsidTr="00384609">
        <w:tc>
          <w:tcPr>
            <w:tcW w:w="2500" w:type="pct"/>
          </w:tcPr>
          <w:p w14:paraId="67FD1264" w14:textId="3BC0C0F5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9</w:t>
            </w:r>
          </w:p>
        </w:tc>
        <w:tc>
          <w:tcPr>
            <w:tcW w:w="2500" w:type="pct"/>
          </w:tcPr>
          <w:p w14:paraId="48016BA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FA5F5E3" w14:textId="77777777" w:rsidTr="00384609">
        <w:tc>
          <w:tcPr>
            <w:tcW w:w="2500" w:type="pct"/>
          </w:tcPr>
          <w:p w14:paraId="59F2A91C" w14:textId="044A422D" w:rsidR="000E5C2A" w:rsidRPr="00556719" w:rsidRDefault="000E5C2A" w:rsidP="00976DB7">
            <w:pPr>
              <w:pStyle w:val="Default"/>
              <w:numPr>
                <w:ilvl w:val="0"/>
                <w:numId w:val="7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meliputi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4D4E7A2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786B1B8" w14:textId="77777777" w:rsidTr="00384609">
        <w:tc>
          <w:tcPr>
            <w:tcW w:w="2500" w:type="pct"/>
          </w:tcPr>
          <w:p w14:paraId="1438C6A0" w14:textId="2F2F30F5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perorangan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Bank;</w:t>
            </w:r>
          </w:p>
        </w:tc>
        <w:tc>
          <w:tcPr>
            <w:tcW w:w="2500" w:type="pct"/>
          </w:tcPr>
          <w:p w14:paraId="3614E91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5B3EF03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6128AB69" w14:textId="7300B26E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7D580F53" w14:textId="77777777" w:rsidTr="00384609">
        <w:tc>
          <w:tcPr>
            <w:tcW w:w="2500" w:type="pct"/>
          </w:tcPr>
          <w:p w14:paraId="7EC7BDF8" w14:textId="375A2786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hukum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7330B9E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4FCFC6EF" w14:textId="1A2E6609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58436955" w14:textId="77777777" w:rsidTr="00384609">
        <w:tc>
          <w:tcPr>
            <w:tcW w:w="2500" w:type="pct"/>
          </w:tcPr>
          <w:p w14:paraId="0EC71B76" w14:textId="3B89EC9A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perorangan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6D8273B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c </w:t>
            </w:r>
          </w:p>
          <w:p w14:paraId="07753C10" w14:textId="409D61E3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24653921" w14:textId="77777777" w:rsidTr="00384609">
        <w:tc>
          <w:tcPr>
            <w:tcW w:w="2500" w:type="pct"/>
          </w:tcPr>
          <w:p w14:paraId="5CED0026" w14:textId="30246C20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Eksekutif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Bank;</w:t>
            </w:r>
          </w:p>
        </w:tc>
        <w:tc>
          <w:tcPr>
            <w:tcW w:w="2500" w:type="pct"/>
          </w:tcPr>
          <w:p w14:paraId="441F3D7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d </w:t>
            </w:r>
          </w:p>
          <w:p w14:paraId="0B2B886D" w14:textId="6F3200A0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Eksekutif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divisi,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wilayah,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cabang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fungsional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kedudukan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rendah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cabang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kepatuhan,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audit intern,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lainnya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68A9D318" w14:textId="77777777" w:rsidTr="00384609">
        <w:tc>
          <w:tcPr>
            <w:tcW w:w="2500" w:type="pct"/>
          </w:tcPr>
          <w:p w14:paraId="1B3F0F9B" w14:textId="77777777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keluarga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horizontal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vertikal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22CA8894" w14:textId="77777777" w:rsidR="000E5C2A" w:rsidRPr="00556719" w:rsidRDefault="000E5C2A" w:rsidP="00976DB7">
            <w:pPr>
              <w:pStyle w:val="Default"/>
              <w:numPr>
                <w:ilvl w:val="0"/>
                <w:numId w:val="1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perorangan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a; dan</w:t>
            </w:r>
          </w:p>
          <w:p w14:paraId="2867EEF5" w14:textId="7026FD26" w:rsidR="000E5C2A" w:rsidRPr="00556719" w:rsidRDefault="000E5C2A" w:rsidP="00976DB7">
            <w:pPr>
              <w:pStyle w:val="Default"/>
              <w:numPr>
                <w:ilvl w:val="0"/>
                <w:numId w:val="1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d;</w:t>
            </w:r>
          </w:p>
        </w:tc>
        <w:tc>
          <w:tcPr>
            <w:tcW w:w="2500" w:type="pct"/>
          </w:tcPr>
          <w:p w14:paraId="1F512EE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e </w:t>
            </w:r>
          </w:p>
          <w:p w14:paraId="0880309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keluarga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horizontal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vertikal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38D45224" w14:textId="77777777" w:rsidR="000E5C2A" w:rsidRPr="00556719" w:rsidRDefault="000E5C2A" w:rsidP="00976DB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orang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kandung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446007A5" w14:textId="77777777" w:rsidR="000E5C2A" w:rsidRPr="00556719" w:rsidRDefault="000E5C2A" w:rsidP="00976DB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saudara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kandung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3312133E" w14:textId="77777777" w:rsidR="000E5C2A" w:rsidRPr="00556719" w:rsidRDefault="000E5C2A" w:rsidP="00976DB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kandung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5779043E" w14:textId="77777777" w:rsidR="000E5C2A" w:rsidRPr="00556719" w:rsidRDefault="000E5C2A" w:rsidP="00976DB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kakek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nenek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kandung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58A4ACBE" w14:textId="77777777" w:rsidR="000E5C2A" w:rsidRPr="00556719" w:rsidRDefault="000E5C2A" w:rsidP="00976DB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cucu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kandung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4083D648" w14:textId="77777777" w:rsidR="000E5C2A" w:rsidRPr="00556719" w:rsidRDefault="000E5C2A" w:rsidP="00976DB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saudara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kandung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orang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1CC05928" w14:textId="77777777" w:rsidR="000E5C2A" w:rsidRPr="00556719" w:rsidRDefault="000E5C2A" w:rsidP="00976DB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istri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1A291492" w14:textId="77777777" w:rsidR="000E5C2A" w:rsidRPr="00556719" w:rsidRDefault="000E5C2A" w:rsidP="00976DB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mertua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3506F1FE" w14:textId="77777777" w:rsidR="000E5C2A" w:rsidRPr="00556719" w:rsidRDefault="000E5C2A" w:rsidP="00976DB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istri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kandung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667E65A7" w14:textId="77777777" w:rsidR="000E5C2A" w:rsidRPr="00556719" w:rsidRDefault="000E5C2A" w:rsidP="00976DB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kakek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nenek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istri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380EAA4D" w14:textId="77777777" w:rsidR="000E5C2A" w:rsidRPr="00556719" w:rsidRDefault="000E5C2A" w:rsidP="00976DB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istri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cucu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kandung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  <w:p w14:paraId="3646EDBE" w14:textId="16899B11" w:rsidR="000E5C2A" w:rsidRPr="00556719" w:rsidRDefault="000E5C2A" w:rsidP="00976DB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saudara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kandung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istri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beserta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istri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saudara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bersangkutan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296F34A6" w14:textId="77777777" w:rsidTr="00384609">
        <w:tc>
          <w:tcPr>
            <w:tcW w:w="2500" w:type="pct"/>
          </w:tcPr>
          <w:p w14:paraId="40C33BF5" w14:textId="2898D646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c;</w:t>
            </w:r>
          </w:p>
        </w:tc>
        <w:tc>
          <w:tcPr>
            <w:tcW w:w="2500" w:type="pct"/>
          </w:tcPr>
          <w:p w14:paraId="685535B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f </w:t>
            </w:r>
          </w:p>
          <w:p w14:paraId="27FB366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1CDFEFF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7F3F9B4" w14:textId="77777777" w:rsidTr="00384609">
        <w:tc>
          <w:tcPr>
            <w:tcW w:w="2500" w:type="pct"/>
          </w:tcPr>
          <w:p w14:paraId="7B92BDEB" w14:textId="208E8A86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Bank;</w:t>
            </w:r>
          </w:p>
        </w:tc>
        <w:tc>
          <w:tcPr>
            <w:tcW w:w="2500" w:type="pct"/>
          </w:tcPr>
          <w:p w14:paraId="484A7FA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g </w:t>
            </w:r>
          </w:p>
          <w:p w14:paraId="478CD269" w14:textId="2AE69149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22ED6607" w14:textId="77777777" w:rsidTr="00384609">
        <w:tc>
          <w:tcPr>
            <w:tcW w:w="2500" w:type="pct"/>
          </w:tcPr>
          <w:p w14:paraId="766B90C7" w14:textId="165FF701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50% (lima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c;</w:t>
            </w:r>
          </w:p>
        </w:tc>
        <w:tc>
          <w:tcPr>
            <w:tcW w:w="2500" w:type="pct"/>
          </w:tcPr>
          <w:p w14:paraId="787B70C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h </w:t>
            </w:r>
          </w:p>
          <w:p w14:paraId="32A2E4E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Jumlah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50% (lima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jumlah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kumulatif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179E279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061431D" w14:textId="77777777" w:rsidTr="00384609">
        <w:tc>
          <w:tcPr>
            <w:tcW w:w="2500" w:type="pct"/>
          </w:tcPr>
          <w:p w14:paraId="0992E5C4" w14:textId="77777777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yang:</w:t>
            </w:r>
          </w:p>
          <w:p w14:paraId="63853DAF" w14:textId="77777777" w:rsidR="000E5C2A" w:rsidRPr="00556719" w:rsidRDefault="000E5C2A" w:rsidP="00976DB7">
            <w:pPr>
              <w:pStyle w:val="Defaul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Eksekutif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  <w:p w14:paraId="3CDB38FB" w14:textId="0D31B66F" w:rsidR="000E5C2A" w:rsidRPr="00556719" w:rsidRDefault="000E5C2A" w:rsidP="00976DB7">
            <w:pPr>
              <w:pStyle w:val="Defaul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726E34E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 xml:space="preserve">Huruf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  <w:p w14:paraId="4125C92E" w14:textId="021AB6FF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4C57B1DD" w14:textId="77777777" w:rsidTr="00384609">
        <w:tc>
          <w:tcPr>
            <w:tcW w:w="2500" w:type="pct"/>
          </w:tcPr>
          <w:p w14:paraId="1C8AB5E8" w14:textId="6CD81FAF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kontrak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investasi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kolektif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manajer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investasi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kontrak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investasi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kolektif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210BBB2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j </w:t>
            </w:r>
          </w:p>
          <w:p w14:paraId="5A171E8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  <w:p w14:paraId="1071551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7065F60" w14:textId="77777777" w:rsidTr="00384609">
        <w:tc>
          <w:tcPr>
            <w:tcW w:w="2500" w:type="pct"/>
          </w:tcPr>
          <w:p w14:paraId="7D2FA76A" w14:textId="2C4D5B30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57F2988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k </w:t>
            </w:r>
          </w:p>
          <w:p w14:paraId="10D15F8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dianalisis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beberapa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4B49E57A" w14:textId="77777777" w:rsidR="000E5C2A" w:rsidRPr="00556719" w:rsidRDefault="000E5C2A" w:rsidP="00976DB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menyebabkan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kemampuan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menentukan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controlling influence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kebijakan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strategis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6CF55EB2" w14:textId="77777777" w:rsidR="000E5C2A" w:rsidRPr="00556719" w:rsidRDefault="000E5C2A" w:rsidP="00976DB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keterkaitan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rantai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bisnis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signifikan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operasional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ketergantungan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mengakibatkan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1C3EC9A7" w14:textId="77777777" w:rsidR="000E5C2A" w:rsidRPr="00556719" w:rsidRDefault="000E5C2A" w:rsidP="00976DB7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salah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mampu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mudah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mengalihkan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bisnis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lain; dan </w:t>
            </w:r>
          </w:p>
          <w:p w14:paraId="2FCAD03B" w14:textId="77777777" w:rsidR="000E5C2A" w:rsidRPr="00556719" w:rsidRDefault="000E5C2A" w:rsidP="00976DB7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ketidakmampuan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mudah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mengalihkan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bisnis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menyebabkan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arus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kas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cash flow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salah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gangguan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signifikan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kesulitan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;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  <w:p w14:paraId="2836913C" w14:textId="12A322A1" w:rsidR="000E5C2A" w:rsidRPr="00556719" w:rsidRDefault="000E5C2A" w:rsidP="00976DB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pengalihan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menjamin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mengambil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alih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keseluruhan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53F73557" w14:textId="77777777" w:rsidTr="00384609">
        <w:tc>
          <w:tcPr>
            <w:tcW w:w="2500" w:type="pct"/>
          </w:tcPr>
          <w:p w14:paraId="1EFDB3A2" w14:textId="2240A45F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Peminjam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perorangan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</w:t>
            </w:r>
            <w:r w:rsidR="005A5570" w:rsidRPr="00556719">
              <w:rPr>
                <w:rFonts w:cstheme="majorHAnsi"/>
                <w:color w:val="auto"/>
                <w:sz w:val="20"/>
                <w:szCs w:val="20"/>
              </w:rPr>
              <w:t>m</w:t>
            </w:r>
            <w:proofErr w:type="spellEnd"/>
            <w:r w:rsidR="005A5570"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A5570"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="005A5570" w:rsidRPr="00556719">
              <w:rPr>
                <w:rFonts w:cstheme="majorHAnsi"/>
                <w:color w:val="auto"/>
                <w:sz w:val="20"/>
                <w:szCs w:val="20"/>
              </w:rPr>
              <w:t xml:space="preserve"> a </w:t>
            </w:r>
            <w:proofErr w:type="spellStart"/>
            <w:r w:rsidR="005A5570" w:rsidRPr="00556719">
              <w:rPr>
                <w:rFonts w:cstheme="majorHAnsi"/>
                <w:color w:val="auto"/>
                <w:sz w:val="20"/>
                <w:szCs w:val="20"/>
              </w:rPr>
              <w:t>sampai</w:t>
            </w:r>
            <w:proofErr w:type="spellEnd"/>
            <w:r w:rsidR="005A5570"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A5570"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="005A5570"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A5570"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="005A5570" w:rsidRPr="00556719">
              <w:rPr>
                <w:rFonts w:cstheme="majorHAnsi"/>
                <w:color w:val="auto"/>
                <w:sz w:val="20"/>
                <w:szCs w:val="20"/>
              </w:rPr>
              <w:t xml:space="preserve"> k;</w:t>
            </w:r>
          </w:p>
        </w:tc>
        <w:tc>
          <w:tcPr>
            <w:tcW w:w="2500" w:type="pct"/>
          </w:tcPr>
          <w:p w14:paraId="757A965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l </w:t>
            </w:r>
          </w:p>
          <w:p w14:paraId="05E11BB5" w14:textId="12111598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janji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mengambil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alih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melunasi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berutang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berutang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gagal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</w:t>
            </w:r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>enuhi</w:t>
            </w:r>
            <w:proofErr w:type="spellEnd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>kewajiban</w:t>
            </w:r>
            <w:proofErr w:type="spellEnd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proofErr w:type="spellStart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>wanprestasi</w:t>
            </w:r>
            <w:proofErr w:type="spellEnd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>).</w:t>
            </w:r>
          </w:p>
        </w:tc>
      </w:tr>
      <w:tr w:rsidR="00556719" w:rsidRPr="00556719" w14:paraId="3053B36E" w14:textId="77777777" w:rsidTr="00384609">
        <w:tc>
          <w:tcPr>
            <w:tcW w:w="2500" w:type="pct"/>
          </w:tcPr>
          <w:p w14:paraId="54FD384F" w14:textId="0B909D37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Peminjam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k;</w:t>
            </w:r>
          </w:p>
        </w:tc>
        <w:tc>
          <w:tcPr>
            <w:tcW w:w="2500" w:type="pct"/>
          </w:tcPr>
          <w:p w14:paraId="3C4F6DF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m </w:t>
            </w:r>
          </w:p>
          <w:p w14:paraId="4E39767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116623D1" w14:textId="6A605C3B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80D0E18" w14:textId="77777777" w:rsidTr="00384609">
        <w:tc>
          <w:tcPr>
            <w:tcW w:w="2500" w:type="pct"/>
          </w:tcPr>
          <w:p w14:paraId="62B77DFB" w14:textId="41332843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bank lain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kembali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(counter guarantee)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</w:tc>
        <w:tc>
          <w:tcPr>
            <w:tcW w:w="2500" w:type="pct"/>
          </w:tcPr>
          <w:p w14:paraId="0BF182D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n </w:t>
            </w:r>
          </w:p>
          <w:p w14:paraId="4B35DFE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  <w:p w14:paraId="6CDC752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  <w:p w14:paraId="3468EC0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64975EB" w14:textId="77777777" w:rsidTr="00384609">
        <w:tc>
          <w:tcPr>
            <w:tcW w:w="2500" w:type="pct"/>
          </w:tcPr>
          <w:p w14:paraId="0270F9F6" w14:textId="17731C0C" w:rsidR="000E5C2A" w:rsidRPr="00556719" w:rsidRDefault="000E5C2A" w:rsidP="00976DB7">
            <w:pPr>
              <w:pStyle w:val="Default"/>
              <w:numPr>
                <w:ilvl w:val="0"/>
                <w:numId w:val="7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didalamnya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kepentingan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sendiri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e.</w:t>
            </w:r>
          </w:p>
        </w:tc>
        <w:tc>
          <w:tcPr>
            <w:tcW w:w="2500" w:type="pct"/>
          </w:tcPr>
          <w:p w14:paraId="2B8C83E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o </w:t>
            </w:r>
          </w:p>
          <w:p w14:paraId="48AE296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  <w:p w14:paraId="433213E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597DD89" w14:textId="77777777" w:rsidTr="00384609">
        <w:tc>
          <w:tcPr>
            <w:tcW w:w="2500" w:type="pct"/>
          </w:tcPr>
          <w:p w14:paraId="69C2B353" w14:textId="1CFDBFF3" w:rsidR="000E5C2A" w:rsidRPr="00556719" w:rsidRDefault="000E5C2A" w:rsidP="00976DB7">
            <w:pPr>
              <w:pStyle w:val="Default"/>
              <w:numPr>
                <w:ilvl w:val="0"/>
                <w:numId w:val="7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perorangan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57CBF05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45D04C6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bersama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para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pemilik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perjanjian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kontraktual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630F6BC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dibuktikan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adanya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kesepakatan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komitmen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tertulis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para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pemilik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dukungan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masing-masing. </w:t>
            </w:r>
          </w:p>
          <w:p w14:paraId="61A7584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6BF2C6ED" w14:textId="77777777" w:rsidR="000E5C2A" w:rsidRPr="00556719" w:rsidRDefault="000E5C2A" w:rsidP="00976DB7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suaranya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digunakan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dikendalikan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5BC66D34" w14:textId="77777777" w:rsidR="000E5C2A" w:rsidRPr="00556719" w:rsidRDefault="000E5C2A" w:rsidP="00976DB7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dikendalikan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66584E83" w14:textId="77777777" w:rsidR="000E5C2A" w:rsidRPr="00556719" w:rsidRDefault="000E5C2A" w:rsidP="00976DB7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terafiliasi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64C8E3A2" w14:textId="77777777" w:rsidR="000E5C2A" w:rsidRPr="00556719" w:rsidRDefault="000E5C2A" w:rsidP="00976DB7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dikendalikan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09D1BB36" w14:textId="77777777" w:rsidR="000E5C2A" w:rsidRPr="00556719" w:rsidRDefault="000E5C2A" w:rsidP="00976DB7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bertindak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nominee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perjanjian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4E07B5AC" w14:textId="77777777" w:rsidR="000E5C2A" w:rsidRPr="00556719" w:rsidRDefault="000E5C2A" w:rsidP="00976DB7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pemindahtanganannya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memerlukan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persetujuan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18D16406" w14:textId="77777777" w:rsidR="000E5C2A" w:rsidRPr="00556719" w:rsidRDefault="000E5C2A" w:rsidP="00976DB7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dikendalikan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berjenjang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terakhir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ultimate subsidiary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); </w:t>
            </w:r>
          </w:p>
          <w:p w14:paraId="33F6FA2B" w14:textId="77777777" w:rsidR="000E5C2A" w:rsidRPr="00556719" w:rsidRDefault="000E5C2A" w:rsidP="00976DB7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7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dikendalikan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  <w:p w14:paraId="070EB98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terafiliasi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3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5AF1330F" w14:textId="77777777" w:rsidR="000E5C2A" w:rsidRPr="00556719" w:rsidRDefault="000E5C2A" w:rsidP="00976DB7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kuasanya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karyawan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7240A24F" w14:textId="77777777" w:rsidR="000E5C2A" w:rsidRPr="00556719" w:rsidRDefault="000E5C2A" w:rsidP="00976DB7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pengurus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pengawas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pengelola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kuasanya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karyawan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khusus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berbadan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hukum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koperasi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349FA510" w14:textId="77777777" w:rsidR="000E5C2A" w:rsidRPr="00556719" w:rsidRDefault="000E5C2A" w:rsidP="00976DB7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jasa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dewan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pengawas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akuntan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publik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konsultan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hukum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konsultan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terbukti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dikendalikan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6B8C3419" w14:textId="77777777" w:rsidR="000E5C2A" w:rsidRPr="00556719" w:rsidRDefault="000E5C2A" w:rsidP="00976DB7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keluarga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karena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perkawinan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keturunan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  <w:p w14:paraId="7CB78263" w14:textId="77777777" w:rsidR="000E5C2A" w:rsidRPr="00556719" w:rsidRDefault="000E5C2A" w:rsidP="00976DB7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menurut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turut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memengaruhi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pengelolaan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pemegang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keluarganya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keluarga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keluarga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pengawas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keluarga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keluarga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pengurus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6D667541" w14:textId="6FA5F76C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Saham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semua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jenis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>hak</w:t>
            </w:r>
            <w:proofErr w:type="spellEnd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>suara</w:t>
            </w:r>
            <w:proofErr w:type="spellEnd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53987ACB" w14:textId="77777777" w:rsidTr="00384609">
        <w:tc>
          <w:tcPr>
            <w:tcW w:w="2500" w:type="pct"/>
          </w:tcPr>
          <w:p w14:paraId="06E8C7A5" w14:textId="05113803" w:rsidR="000E5C2A" w:rsidRPr="00556719" w:rsidRDefault="000E5C2A" w:rsidP="00976DB7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sendiri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2BB76AF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2B3FB92B" w14:textId="7DC373AF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08885977" w14:textId="77777777" w:rsidTr="00384609">
        <w:tc>
          <w:tcPr>
            <w:tcW w:w="2500" w:type="pct"/>
          </w:tcPr>
          <w:p w14:paraId="5B92E9F4" w14:textId="5DE8E85B" w:rsidR="000E5C2A" w:rsidRPr="00556719" w:rsidRDefault="000E5C2A" w:rsidP="00976DB7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opsi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jika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dieksekusi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sendiri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47E06EC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0806CD8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2E262C4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32336F0" w14:textId="77777777" w:rsidTr="00384609">
        <w:tc>
          <w:tcPr>
            <w:tcW w:w="2500" w:type="pct"/>
          </w:tcPr>
          <w:p w14:paraId="413B2B51" w14:textId="0CEB6B72" w:rsidR="000E5C2A" w:rsidRPr="00556719" w:rsidRDefault="000E5C2A" w:rsidP="00976DB7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mencapai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(acting in concert),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perjanjian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tertulis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lain;</w:t>
            </w:r>
          </w:p>
        </w:tc>
        <w:tc>
          <w:tcPr>
            <w:tcW w:w="2500" w:type="pct"/>
          </w:tcPr>
          <w:p w14:paraId="5C985BA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c </w:t>
            </w:r>
          </w:p>
          <w:p w14:paraId="5C01751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15F997B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D788839" w14:textId="77777777" w:rsidTr="00384609">
        <w:tc>
          <w:tcPr>
            <w:tcW w:w="2500" w:type="pct"/>
          </w:tcPr>
          <w:p w14:paraId="51C4C534" w14:textId="021027A2" w:rsidR="000E5C2A" w:rsidRPr="00556719" w:rsidRDefault="000E5C2A" w:rsidP="00976DB7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mencapai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(acting in concert),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perjanjian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tertulis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opsi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jika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dieksekusi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55F812A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 xml:space="preserve">Huruf d </w:t>
            </w:r>
          </w:p>
          <w:p w14:paraId="28F128C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04CE2FE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D199129" w14:textId="77777777" w:rsidTr="00384609">
        <w:tc>
          <w:tcPr>
            <w:tcW w:w="2500" w:type="pct"/>
          </w:tcPr>
          <w:p w14:paraId="34AE07C7" w14:textId="26B22ECF" w:rsidR="000E5C2A" w:rsidRPr="00556719" w:rsidRDefault="000E5C2A" w:rsidP="00976DB7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kewenangan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kemampuan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menyetujui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memberhentikan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lain;</w:t>
            </w:r>
          </w:p>
        </w:tc>
        <w:tc>
          <w:tcPr>
            <w:tcW w:w="2500" w:type="pct"/>
          </w:tcPr>
          <w:p w14:paraId="0D1A52F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e </w:t>
            </w:r>
          </w:p>
          <w:p w14:paraId="45ED96B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136D33F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B79D4C8" w14:textId="77777777" w:rsidTr="00384609">
        <w:tc>
          <w:tcPr>
            <w:tcW w:w="2500" w:type="pct"/>
          </w:tcPr>
          <w:p w14:paraId="6A8C2400" w14:textId="59CA2B70" w:rsidR="000E5C2A" w:rsidRPr="00556719" w:rsidRDefault="000E5C2A" w:rsidP="00976DB7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kemampuan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menentukan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(controlling influence)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kebijakan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strategis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lain;</w:t>
            </w:r>
          </w:p>
        </w:tc>
        <w:tc>
          <w:tcPr>
            <w:tcW w:w="2500" w:type="pct"/>
          </w:tcPr>
          <w:p w14:paraId="6DA890D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f </w:t>
            </w:r>
          </w:p>
          <w:p w14:paraId="1D4DF6AF" w14:textId="643C669B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Kebijakan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strategis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kebijakan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menyangkut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penetapan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arah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pelaksanaan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</w:t>
            </w:r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>aha</w:t>
            </w:r>
            <w:proofErr w:type="spellEnd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>berdampak</w:t>
            </w:r>
            <w:proofErr w:type="spellEnd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>signifikan</w:t>
            </w:r>
            <w:proofErr w:type="spellEnd"/>
            <w:r w:rsidR="005A5570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03694584" w14:textId="77777777" w:rsidTr="00384609">
        <w:tc>
          <w:tcPr>
            <w:tcW w:w="2500" w:type="pct"/>
          </w:tcPr>
          <w:p w14:paraId="75B4C83F" w14:textId="4DF62DC7" w:rsidR="000E5C2A" w:rsidRPr="00556719" w:rsidRDefault="000E5C2A" w:rsidP="00976DB7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keseluruhan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2500" w:type="pct"/>
          </w:tcPr>
          <w:p w14:paraId="4C1388F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g </w:t>
            </w:r>
          </w:p>
          <w:p w14:paraId="247ACE7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3373168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4864807" w14:textId="77777777" w:rsidTr="00384609">
        <w:tc>
          <w:tcPr>
            <w:tcW w:w="2500" w:type="pct"/>
          </w:tcPr>
          <w:p w14:paraId="326835C3" w14:textId="0BD79259" w:rsidR="000E5C2A" w:rsidRPr="00556719" w:rsidRDefault="000E5C2A" w:rsidP="00976DB7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g.</w:t>
            </w:r>
          </w:p>
        </w:tc>
        <w:tc>
          <w:tcPr>
            <w:tcW w:w="2500" w:type="pct"/>
          </w:tcPr>
          <w:p w14:paraId="1345E00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h </w:t>
            </w:r>
          </w:p>
          <w:p w14:paraId="62E33B53" w14:textId="7AB11EB2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567B604E" w14:textId="77777777" w:rsidTr="00384609">
        <w:tc>
          <w:tcPr>
            <w:tcW w:w="2500" w:type="pct"/>
          </w:tcPr>
          <w:p w14:paraId="6F7F4D4A" w14:textId="68513B5D" w:rsidR="000E5C2A" w:rsidRPr="00556719" w:rsidRDefault="000E5C2A" w:rsidP="00976DB7">
            <w:pPr>
              <w:pStyle w:val="Default"/>
              <w:numPr>
                <w:ilvl w:val="0"/>
                <w:numId w:val="7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perorangan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01C500BB" w14:textId="4E56664F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Ayat (3)</w:t>
            </w:r>
          </w:p>
        </w:tc>
      </w:tr>
      <w:tr w:rsidR="00556719" w:rsidRPr="00556719" w14:paraId="5BFBBABC" w14:textId="77777777" w:rsidTr="00384609">
        <w:tc>
          <w:tcPr>
            <w:tcW w:w="2500" w:type="pct"/>
          </w:tcPr>
          <w:p w14:paraId="775BC683" w14:textId="3DA867D6" w:rsidR="000E5C2A" w:rsidRPr="00556719" w:rsidRDefault="000E5C2A" w:rsidP="00976DB7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porsi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02F1179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7622C0D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16DB8DE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CF05559" w14:textId="77777777" w:rsidTr="00384609">
        <w:tc>
          <w:tcPr>
            <w:tcW w:w="2500" w:type="pct"/>
          </w:tcPr>
          <w:p w14:paraId="4E814B26" w14:textId="6251CC8B" w:rsidR="000E5C2A" w:rsidRPr="00556719" w:rsidRDefault="000E5C2A" w:rsidP="00976DB7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sendiri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25%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lain;</w:t>
            </w:r>
          </w:p>
        </w:tc>
        <w:tc>
          <w:tcPr>
            <w:tcW w:w="2500" w:type="pct"/>
          </w:tcPr>
          <w:p w14:paraId="2E4DC34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 b</w:t>
            </w:r>
          </w:p>
          <w:p w14:paraId="7849D91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512CCC1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88EC876" w14:textId="77777777" w:rsidTr="00384609">
        <w:tc>
          <w:tcPr>
            <w:tcW w:w="2500" w:type="pct"/>
          </w:tcPr>
          <w:p w14:paraId="4EE3048D" w14:textId="6992BB30" w:rsidR="000E5C2A" w:rsidRPr="00556719" w:rsidRDefault="000E5C2A" w:rsidP="00976DB7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opsi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jika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dieksekusi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56719">
              <w:rPr>
                <w:rFonts w:cstheme="majorHAnsi"/>
                <w:color w:val="auto"/>
                <w:sz w:val="20"/>
                <w:szCs w:val="20"/>
              </w:rPr>
              <w:t>a</w:t>
            </w:r>
            <w:proofErr w:type="gram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b;</w:t>
            </w:r>
          </w:p>
        </w:tc>
        <w:tc>
          <w:tcPr>
            <w:tcW w:w="2500" w:type="pct"/>
          </w:tcPr>
          <w:p w14:paraId="441AB7E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 c</w:t>
            </w:r>
          </w:p>
          <w:p w14:paraId="500CE8E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763269A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191A9A2" w14:textId="77777777" w:rsidTr="00384609">
        <w:tc>
          <w:tcPr>
            <w:tcW w:w="2500" w:type="pct"/>
          </w:tcPr>
          <w:p w14:paraId="01005223" w14:textId="3CF77ACF" w:rsidR="000E5C2A" w:rsidRPr="00556719" w:rsidRDefault="000E5C2A" w:rsidP="00976DB7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mencapai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(acting in concert),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perjanjian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tertulis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56719">
              <w:rPr>
                <w:rFonts w:cstheme="majorHAnsi"/>
                <w:color w:val="auto"/>
                <w:sz w:val="20"/>
                <w:szCs w:val="20"/>
              </w:rPr>
              <w:t>a</w:t>
            </w:r>
            <w:proofErr w:type="gram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b;</w:t>
            </w:r>
          </w:p>
        </w:tc>
        <w:tc>
          <w:tcPr>
            <w:tcW w:w="2500" w:type="pct"/>
          </w:tcPr>
          <w:p w14:paraId="1A50190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 d</w:t>
            </w:r>
          </w:p>
          <w:p w14:paraId="0DDBCD2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045BAEA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7FA6A34" w14:textId="77777777" w:rsidTr="00384609">
        <w:tc>
          <w:tcPr>
            <w:tcW w:w="2500" w:type="pct"/>
          </w:tcPr>
          <w:p w14:paraId="7A262F7A" w14:textId="75E5F7A2" w:rsidR="000E5C2A" w:rsidRPr="00556719" w:rsidRDefault="000E5C2A" w:rsidP="00976DB7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mencapai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(acting in concert),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perjanjian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tertulis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opsi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jika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dieksekusi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bersama-sama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56719">
              <w:rPr>
                <w:rFonts w:cstheme="majorHAnsi"/>
                <w:color w:val="auto"/>
                <w:sz w:val="20"/>
                <w:szCs w:val="20"/>
              </w:rPr>
              <w:t>a</w:t>
            </w:r>
            <w:proofErr w:type="gram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b;</w:t>
            </w:r>
          </w:p>
        </w:tc>
        <w:tc>
          <w:tcPr>
            <w:tcW w:w="2500" w:type="pct"/>
          </w:tcPr>
          <w:p w14:paraId="4458F9F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 e</w:t>
            </w:r>
          </w:p>
          <w:p w14:paraId="247AABE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25F84E5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0B0069B" w14:textId="77777777" w:rsidTr="00384609">
        <w:tc>
          <w:tcPr>
            <w:tcW w:w="2500" w:type="pct"/>
          </w:tcPr>
          <w:p w14:paraId="1D98B6DA" w14:textId="2FCE683A" w:rsidR="000E5C2A" w:rsidRPr="00556719" w:rsidRDefault="000E5C2A" w:rsidP="00976DB7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kewenangan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kemampuan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menyetujui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memberhentikan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2500" w:type="pct"/>
          </w:tcPr>
          <w:p w14:paraId="1120E28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 f</w:t>
            </w:r>
          </w:p>
          <w:p w14:paraId="35A0392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06AB94E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7470892" w14:textId="77777777" w:rsidTr="00384609">
        <w:tc>
          <w:tcPr>
            <w:tcW w:w="2500" w:type="pct"/>
          </w:tcPr>
          <w:p w14:paraId="321843DB" w14:textId="216182B7" w:rsidR="000E5C2A" w:rsidRPr="00556719" w:rsidRDefault="000E5C2A" w:rsidP="00976DB7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kemampuan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menentukan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(controlling influence)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kebijakan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operasional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kebijakan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lain.</w:t>
            </w:r>
          </w:p>
        </w:tc>
        <w:tc>
          <w:tcPr>
            <w:tcW w:w="2500" w:type="pct"/>
          </w:tcPr>
          <w:p w14:paraId="51E4330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g </w:t>
            </w:r>
          </w:p>
          <w:p w14:paraId="67F00984" w14:textId="77B0CD89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Kebijakan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strategis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kebijakan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menyangkut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penetapan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arah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pelaksanaan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berdampak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signifikan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38F47B34" w14:textId="77777777" w:rsidTr="00384609">
        <w:tc>
          <w:tcPr>
            <w:tcW w:w="2500" w:type="pct"/>
          </w:tcPr>
          <w:p w14:paraId="1938C562" w14:textId="77777777" w:rsidR="005A5570" w:rsidRPr="00556719" w:rsidRDefault="005A5570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1F902FD" w14:textId="77777777" w:rsidR="005A5570" w:rsidRPr="00556719" w:rsidRDefault="005A557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47FDB4A" w14:textId="77777777" w:rsidTr="00384609">
        <w:tc>
          <w:tcPr>
            <w:tcW w:w="2500" w:type="pct"/>
          </w:tcPr>
          <w:p w14:paraId="5EE50FC2" w14:textId="7C29A8CA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10</w:t>
            </w:r>
          </w:p>
        </w:tc>
        <w:tc>
          <w:tcPr>
            <w:tcW w:w="2500" w:type="pct"/>
          </w:tcPr>
          <w:p w14:paraId="141A76B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B44A1DA" w14:textId="77777777" w:rsidTr="00384609">
        <w:tc>
          <w:tcPr>
            <w:tcW w:w="2500" w:type="pct"/>
          </w:tcPr>
          <w:p w14:paraId="789EBABF" w14:textId="1FE6D3FE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penetapan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berlaku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7C6F32A2" w14:textId="48E38522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28A33C4" w14:textId="77777777" w:rsidTr="00384609">
        <w:tc>
          <w:tcPr>
            <w:tcW w:w="2500" w:type="pct"/>
          </w:tcPr>
          <w:p w14:paraId="0BA9F2AC" w14:textId="6FEB254C" w:rsidR="000E5C2A" w:rsidRPr="00556719" w:rsidRDefault="000E5C2A" w:rsidP="00976DB7">
            <w:pPr>
              <w:pStyle w:val="Default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fasilitas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</w:tc>
        <w:tc>
          <w:tcPr>
            <w:tcW w:w="2500" w:type="pct"/>
          </w:tcPr>
          <w:p w14:paraId="0E80EB5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02D0CED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pinjaman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11CF7546" w14:textId="143A8C1A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performance bond, bid bond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akseptasi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54D35EFD" w14:textId="6A76C72F" w:rsidTr="00384609">
        <w:tc>
          <w:tcPr>
            <w:tcW w:w="2500" w:type="pct"/>
          </w:tcPr>
          <w:p w14:paraId="02A06895" w14:textId="429B6CCE" w:rsidR="000E5C2A" w:rsidRPr="00556719" w:rsidRDefault="000E5C2A" w:rsidP="00976DB7">
            <w:pPr>
              <w:pStyle w:val="Default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asuransi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lain.</w:t>
            </w:r>
          </w:p>
        </w:tc>
        <w:tc>
          <w:tcPr>
            <w:tcW w:w="2500" w:type="pct"/>
          </w:tcPr>
          <w:p w14:paraId="712439C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789490B2" w14:textId="15C88778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E69E788" w14:textId="77777777" w:rsidTr="00384609">
        <w:tc>
          <w:tcPr>
            <w:tcW w:w="2500" w:type="pct"/>
          </w:tcPr>
          <w:p w14:paraId="73613B12" w14:textId="2FCF408C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9C13F0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3DBB15C" w14:textId="77777777" w:rsidTr="00384609">
        <w:tc>
          <w:tcPr>
            <w:tcW w:w="2500" w:type="pct"/>
          </w:tcPr>
          <w:p w14:paraId="25FC0CB4" w14:textId="360CB2D8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</w:t>
            </w:r>
            <w:r w:rsidR="00E55BFD">
              <w:rPr>
                <w:rFonts w:ascii="Bookman Old Style" w:hAnsi="Bookman Old Style" w:cstheme="majorHAnsi"/>
                <w:sz w:val="20"/>
                <w:szCs w:val="20"/>
              </w:rPr>
              <w:t>1</w:t>
            </w:r>
          </w:p>
        </w:tc>
        <w:tc>
          <w:tcPr>
            <w:tcW w:w="2500" w:type="pct"/>
          </w:tcPr>
          <w:p w14:paraId="1C65ABB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EFE3CAD" w14:textId="77777777" w:rsidTr="00384609">
        <w:tc>
          <w:tcPr>
            <w:tcW w:w="2500" w:type="pct"/>
          </w:tcPr>
          <w:p w14:paraId="2A4F0975" w14:textId="2865CF4D" w:rsidR="005A5570" w:rsidRPr="00556719" w:rsidRDefault="005A5570" w:rsidP="00976DB7">
            <w:pPr>
              <w:pStyle w:val="Default"/>
              <w:numPr>
                <w:ilvl w:val="0"/>
                <w:numId w:val="7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Eksekutif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sepanjang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kesejahteraan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sumber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manusia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kebijakan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tunjangan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fasilitas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jabatan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52A9E0E" w14:textId="7B355EA6" w:rsidR="005A5570" w:rsidRPr="00556719" w:rsidRDefault="005A557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031DE26C" w14:textId="691BC5D3" w:rsidTr="00384609">
        <w:tc>
          <w:tcPr>
            <w:tcW w:w="2500" w:type="pct"/>
          </w:tcPr>
          <w:p w14:paraId="3D72BE2D" w14:textId="7EE4C29F" w:rsidR="000E5C2A" w:rsidRPr="00556719" w:rsidRDefault="000E5C2A" w:rsidP="00976DB7">
            <w:pPr>
              <w:pStyle w:val="Default"/>
              <w:numPr>
                <w:ilvl w:val="0"/>
                <w:numId w:val="7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Kriteria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sedikit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0FFE0874" w14:textId="6334C9FA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10A5BB7" w14:textId="77777777" w:rsidTr="00384609">
        <w:tc>
          <w:tcPr>
            <w:tcW w:w="2500" w:type="pct"/>
          </w:tcPr>
          <w:p w14:paraId="7B3A47F9" w14:textId="5F2213D9" w:rsidR="005A5570" w:rsidRPr="00556719" w:rsidRDefault="002A4AB9" w:rsidP="00976DB7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Eksekutif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kemampuan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mengembalikan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05E804BC" w14:textId="77777777" w:rsidR="005A5570" w:rsidRPr="00556719" w:rsidRDefault="005A557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8A5E926" w14:textId="77777777" w:rsidTr="00384609">
        <w:tc>
          <w:tcPr>
            <w:tcW w:w="2500" w:type="pct"/>
          </w:tcPr>
          <w:p w14:paraId="0E9EC40A" w14:textId="075E8FC9" w:rsidR="005A5570" w:rsidRPr="00556719" w:rsidRDefault="002A4AB9" w:rsidP="00976DB7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memperhatikan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prinsip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kehati-hatian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Eksekutif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Bank;</w:t>
            </w:r>
          </w:p>
        </w:tc>
        <w:tc>
          <w:tcPr>
            <w:tcW w:w="2500" w:type="pct"/>
          </w:tcPr>
          <w:p w14:paraId="7BD36A67" w14:textId="77777777" w:rsidR="005A5570" w:rsidRPr="00556719" w:rsidRDefault="005A557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0E9DFB8" w14:textId="77777777" w:rsidTr="00384609">
        <w:tc>
          <w:tcPr>
            <w:tcW w:w="2500" w:type="pct"/>
          </w:tcPr>
          <w:p w14:paraId="581C7872" w14:textId="77FD422A" w:rsidR="005A5570" w:rsidRPr="00556719" w:rsidRDefault="002A4AB9" w:rsidP="00976DB7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perlakuan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khusus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Pejabat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Eksekutif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Pembiayaan; dan</w:t>
            </w:r>
          </w:p>
        </w:tc>
        <w:tc>
          <w:tcPr>
            <w:tcW w:w="2500" w:type="pct"/>
          </w:tcPr>
          <w:p w14:paraId="5745841B" w14:textId="77777777" w:rsidR="005A5570" w:rsidRPr="00556719" w:rsidRDefault="005A557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94AC14C" w14:textId="77777777" w:rsidTr="00384609">
        <w:tc>
          <w:tcPr>
            <w:tcW w:w="2500" w:type="pct"/>
          </w:tcPr>
          <w:p w14:paraId="35372234" w14:textId="290B3EFB" w:rsidR="002A4AB9" w:rsidRPr="00556719" w:rsidRDefault="002A4AB9" w:rsidP="00976DB7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tata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diatur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kepegawaian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berlaku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F27EA0D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E7AADE0" w14:textId="77777777" w:rsidTr="00384609">
        <w:tc>
          <w:tcPr>
            <w:tcW w:w="2500" w:type="pct"/>
          </w:tcPr>
          <w:p w14:paraId="3EF05086" w14:textId="77777777" w:rsidR="002A4AB9" w:rsidRPr="00556719" w:rsidRDefault="002A4AB9" w:rsidP="002A4AB9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44DF9F3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A67F564" w14:textId="77777777" w:rsidTr="00384609">
        <w:tc>
          <w:tcPr>
            <w:tcW w:w="2500" w:type="pct"/>
          </w:tcPr>
          <w:p w14:paraId="0F703C83" w14:textId="4C633773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</w:t>
            </w:r>
            <w:r w:rsidR="00E55BFD">
              <w:rPr>
                <w:rFonts w:ascii="Bookman Old Style" w:hAnsi="Bookman Old Style" w:cstheme="majorHAnsi"/>
                <w:sz w:val="20"/>
                <w:szCs w:val="20"/>
              </w:rPr>
              <w:t>2</w:t>
            </w:r>
          </w:p>
        </w:tc>
        <w:tc>
          <w:tcPr>
            <w:tcW w:w="2500" w:type="pct"/>
          </w:tcPr>
          <w:p w14:paraId="00B44F3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2075A07" w14:textId="77777777" w:rsidTr="00384609">
        <w:tc>
          <w:tcPr>
            <w:tcW w:w="2500" w:type="pct"/>
          </w:tcPr>
          <w:p w14:paraId="7ED0CE03" w14:textId="764C3134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hukum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pensiun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sepanjang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2B7C347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3758A76" w14:textId="77777777" w:rsidTr="00384609">
        <w:tc>
          <w:tcPr>
            <w:tcW w:w="2500" w:type="pct"/>
          </w:tcPr>
          <w:p w14:paraId="0F97656C" w14:textId="7F2D1B5D" w:rsidR="000E5C2A" w:rsidRPr="00556719" w:rsidRDefault="000E5C2A" w:rsidP="00976DB7">
            <w:pPr>
              <w:pStyle w:val="Default"/>
              <w:numPr>
                <w:ilvl w:val="0"/>
                <w:numId w:val="2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pensiun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semata-mata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pensiun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dikendalikan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</w:tc>
        <w:tc>
          <w:tcPr>
            <w:tcW w:w="2500" w:type="pct"/>
          </w:tcPr>
          <w:p w14:paraId="76B073A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6A517EE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537DFE1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Bank “A”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mengendalikan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pensiun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“B”. Badan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hukum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pensiun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“B”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“A”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sepanjang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2388BB14" w14:textId="77777777" w:rsidR="000E5C2A" w:rsidRPr="00556719" w:rsidRDefault="000E5C2A" w:rsidP="00976DB7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“A”;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  <w:p w14:paraId="3E1A9164" w14:textId="557034FF" w:rsidR="000E5C2A" w:rsidRPr="00556719" w:rsidRDefault="000E5C2A" w:rsidP="00976DB7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pensiun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“B”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karena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1F36DA5E" w14:textId="1855A16E" w:rsidTr="00384609">
        <w:tc>
          <w:tcPr>
            <w:tcW w:w="2500" w:type="pct"/>
          </w:tcPr>
          <w:p w14:paraId="026CD420" w14:textId="0187A721" w:rsidR="000E5C2A" w:rsidRPr="00556719" w:rsidRDefault="000E5C2A" w:rsidP="00976DB7">
            <w:pPr>
              <w:pStyle w:val="Default"/>
              <w:numPr>
                <w:ilvl w:val="0"/>
                <w:numId w:val="2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prosedur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Dana.</w:t>
            </w:r>
          </w:p>
        </w:tc>
        <w:tc>
          <w:tcPr>
            <w:tcW w:w="2500" w:type="pct"/>
          </w:tcPr>
          <w:p w14:paraId="36F3A49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54B9C69E" w14:textId="3BFDB9E0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08BA1937" w14:textId="77777777" w:rsidTr="00384609">
        <w:tc>
          <w:tcPr>
            <w:tcW w:w="2500" w:type="pct"/>
          </w:tcPr>
          <w:p w14:paraId="03A8CBA8" w14:textId="77777777" w:rsidR="002A4AB9" w:rsidRPr="00556719" w:rsidRDefault="002A4AB9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D999A1C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BDC00D2" w14:textId="77777777" w:rsidTr="00384609">
        <w:tc>
          <w:tcPr>
            <w:tcW w:w="2500" w:type="pct"/>
          </w:tcPr>
          <w:p w14:paraId="778C737A" w14:textId="0905E265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</w:t>
            </w:r>
            <w:r w:rsidR="00E55BFD">
              <w:rPr>
                <w:rFonts w:ascii="Bookman Old Style" w:hAnsi="Bookman Old Style" w:cstheme="majorHAnsi"/>
                <w:sz w:val="20"/>
                <w:szCs w:val="20"/>
              </w:rPr>
              <w:t>3</w:t>
            </w:r>
          </w:p>
        </w:tc>
        <w:tc>
          <w:tcPr>
            <w:tcW w:w="2500" w:type="pct"/>
          </w:tcPr>
          <w:p w14:paraId="4C34328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734D7F9" w14:textId="77777777" w:rsidTr="00384609">
        <w:tc>
          <w:tcPr>
            <w:tcW w:w="2500" w:type="pct"/>
          </w:tcPr>
          <w:p w14:paraId="45C60435" w14:textId="6FC2FBE8" w:rsidR="000E5C2A" w:rsidRPr="00556719" w:rsidRDefault="000E5C2A" w:rsidP="00976DB7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459F108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589C4EAD" w14:textId="39AE37CF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46D35811" w14:textId="77777777" w:rsidTr="00384609">
        <w:tc>
          <w:tcPr>
            <w:tcW w:w="2500" w:type="pct"/>
          </w:tcPr>
          <w:p w14:paraId="71B5685A" w14:textId="02C65A79" w:rsidR="000E5C2A" w:rsidRPr="00556719" w:rsidRDefault="000E5C2A" w:rsidP="00976DB7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Bank,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2500" w:type="pct"/>
          </w:tcPr>
          <w:p w14:paraId="57712BB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6515F68" w14:textId="77777777" w:rsidTr="00384609">
        <w:tc>
          <w:tcPr>
            <w:tcW w:w="2500" w:type="pct"/>
          </w:tcPr>
          <w:p w14:paraId="73732224" w14:textId="56AA6D71" w:rsidR="000E5C2A" w:rsidRPr="00556719" w:rsidRDefault="000E5C2A" w:rsidP="00976DB7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keluarga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2,</w:t>
            </w:r>
          </w:p>
        </w:tc>
        <w:tc>
          <w:tcPr>
            <w:tcW w:w="2500" w:type="pct"/>
          </w:tcPr>
          <w:p w14:paraId="22F1BB2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0EC3358" w14:textId="77777777" w:rsidTr="00384609">
        <w:tc>
          <w:tcPr>
            <w:tcW w:w="2500" w:type="pct"/>
          </w:tcPr>
          <w:p w14:paraId="72F472BB" w14:textId="5A7D170B" w:rsidR="000E5C2A" w:rsidRPr="00556719" w:rsidRDefault="000E5C2A" w:rsidP="002A4AB9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sepanjang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</w:t>
            </w:r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>i</w:t>
            </w:r>
            <w:proofErr w:type="spellEnd"/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6E2625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D52E9B8" w14:textId="77777777" w:rsidTr="00384609">
        <w:tc>
          <w:tcPr>
            <w:tcW w:w="2500" w:type="pct"/>
          </w:tcPr>
          <w:p w14:paraId="234936FE" w14:textId="5C0D9F18" w:rsidR="000E5C2A" w:rsidRPr="00556719" w:rsidRDefault="000E5C2A" w:rsidP="00976DB7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4ACF6100" w14:textId="47BEA324" w:rsidR="000E5C2A" w:rsidRPr="00556719" w:rsidRDefault="0038460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</w:tc>
      </w:tr>
      <w:tr w:rsidR="00556719" w:rsidRPr="00556719" w14:paraId="6B539CBE" w14:textId="77777777" w:rsidTr="00384609">
        <w:tc>
          <w:tcPr>
            <w:tcW w:w="2500" w:type="pct"/>
          </w:tcPr>
          <w:p w14:paraId="15553011" w14:textId="77777777" w:rsidR="000E5C2A" w:rsidRPr="00556719" w:rsidRDefault="000E5C2A" w:rsidP="00976DB7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independen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2F5BD6BA" w14:textId="77777777" w:rsidR="000E5C2A" w:rsidRPr="00556719" w:rsidRDefault="000E5C2A" w:rsidP="000E5C2A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D06F80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71496A25" w14:textId="4E9C7D76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independen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independen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perundangan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penerapan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tata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32AFCC7A" w14:textId="77777777" w:rsidTr="00384609">
        <w:tc>
          <w:tcPr>
            <w:tcW w:w="2500" w:type="pct"/>
          </w:tcPr>
          <w:p w14:paraId="5A18AC8B" w14:textId="36820E8B" w:rsidR="000E5C2A" w:rsidRPr="00556719" w:rsidRDefault="000E5C2A" w:rsidP="00976DB7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prosedur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Dana;</w:t>
            </w:r>
          </w:p>
        </w:tc>
        <w:tc>
          <w:tcPr>
            <w:tcW w:w="2500" w:type="pct"/>
          </w:tcPr>
          <w:p w14:paraId="1ACF6F2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 b</w:t>
            </w:r>
          </w:p>
          <w:p w14:paraId="7FA03DAA" w14:textId="22E8C44D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308BC200" w14:textId="77777777" w:rsidTr="00384609">
        <w:tc>
          <w:tcPr>
            <w:tcW w:w="2500" w:type="pct"/>
          </w:tcPr>
          <w:p w14:paraId="21CBF478" w14:textId="4E43C53B" w:rsidR="000E5C2A" w:rsidRPr="00556719" w:rsidRDefault="000E5C2A" w:rsidP="00976DB7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independen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terlibat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pengambilan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keputusan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Dana; dan</w:t>
            </w:r>
          </w:p>
        </w:tc>
        <w:tc>
          <w:tcPr>
            <w:tcW w:w="2500" w:type="pct"/>
          </w:tcPr>
          <w:p w14:paraId="56BF853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c </w:t>
            </w:r>
          </w:p>
          <w:p w14:paraId="286E60C8" w14:textId="0C66F850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257B8A94" w14:textId="77777777" w:rsidTr="00384609">
        <w:tc>
          <w:tcPr>
            <w:tcW w:w="2500" w:type="pct"/>
          </w:tcPr>
          <w:p w14:paraId="1C78BD1E" w14:textId="13C636A2" w:rsidR="000E5C2A" w:rsidRPr="00556719" w:rsidRDefault="000E5C2A" w:rsidP="00976DB7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6550BA4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 d</w:t>
            </w:r>
          </w:p>
          <w:p w14:paraId="5EFBF73F" w14:textId="65080060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2DDB1624" w14:textId="77777777" w:rsidTr="00384609">
        <w:tc>
          <w:tcPr>
            <w:tcW w:w="2500" w:type="pct"/>
          </w:tcPr>
          <w:p w14:paraId="056DAE50" w14:textId="77777777" w:rsidR="002A4AB9" w:rsidRPr="00556719" w:rsidRDefault="002A4AB9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BC4F440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A0E8CED" w14:textId="77777777" w:rsidTr="00384609">
        <w:tc>
          <w:tcPr>
            <w:tcW w:w="2500" w:type="pct"/>
          </w:tcPr>
          <w:p w14:paraId="23CD44FC" w14:textId="22B7046C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</w:t>
            </w:r>
            <w:r w:rsidR="00E55BFD">
              <w:rPr>
                <w:rFonts w:ascii="Bookman Old Style" w:hAnsi="Bookman Old Style" w:cstheme="majorHAnsi"/>
                <w:sz w:val="20"/>
                <w:szCs w:val="20"/>
              </w:rPr>
              <w:t>4</w:t>
            </w:r>
          </w:p>
        </w:tc>
        <w:tc>
          <w:tcPr>
            <w:tcW w:w="2500" w:type="pct"/>
          </w:tcPr>
          <w:p w14:paraId="63CB805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B5A9A3E" w14:textId="77777777" w:rsidTr="00384609">
        <w:tc>
          <w:tcPr>
            <w:tcW w:w="2500" w:type="pct"/>
          </w:tcPr>
          <w:p w14:paraId="4172B7CB" w14:textId="5E466EEF" w:rsidR="000E5C2A" w:rsidRPr="00556719" w:rsidRDefault="000E5C2A" w:rsidP="002A4AB9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Sementara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kegagalan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prinsip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kehati-hatian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</w:t>
            </w:r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>ertaan</w:t>
            </w:r>
            <w:proofErr w:type="spellEnd"/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6901C23B" w14:textId="594668EF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56E507FD" w14:textId="77777777" w:rsidTr="00384609">
        <w:tc>
          <w:tcPr>
            <w:tcW w:w="2500" w:type="pct"/>
          </w:tcPr>
          <w:p w14:paraId="080FFFE4" w14:textId="6B234DC3" w:rsidR="002A4AB9" w:rsidRPr="00556719" w:rsidRDefault="002A4AB9" w:rsidP="00976DB7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5; dan</w:t>
            </w:r>
          </w:p>
        </w:tc>
        <w:tc>
          <w:tcPr>
            <w:tcW w:w="2500" w:type="pct"/>
          </w:tcPr>
          <w:p w14:paraId="68D88EA4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BFAA45B" w14:textId="77777777" w:rsidTr="00384609">
        <w:tc>
          <w:tcPr>
            <w:tcW w:w="2500" w:type="pct"/>
          </w:tcPr>
          <w:p w14:paraId="11B20110" w14:textId="2D7D9120" w:rsidR="002A4AB9" w:rsidRPr="00556719" w:rsidRDefault="002A4AB9" w:rsidP="00976DB7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penetapan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9.</w:t>
            </w:r>
          </w:p>
        </w:tc>
        <w:tc>
          <w:tcPr>
            <w:tcW w:w="2500" w:type="pct"/>
          </w:tcPr>
          <w:p w14:paraId="74DF778F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F78B7B1" w14:textId="1588CC01" w:rsidTr="00384609">
        <w:tc>
          <w:tcPr>
            <w:tcW w:w="2500" w:type="pct"/>
          </w:tcPr>
          <w:p w14:paraId="5FFAB95D" w14:textId="38529218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78C67B0" w14:textId="6F66E404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2A94A7B" w14:textId="77777777" w:rsidTr="00384609">
        <w:tc>
          <w:tcPr>
            <w:tcW w:w="2500" w:type="pct"/>
          </w:tcPr>
          <w:p w14:paraId="5A7E9ECA" w14:textId="057F82CC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III</w:t>
            </w:r>
          </w:p>
          <w:p w14:paraId="6E0030F2" w14:textId="37963416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 DANA KEPADA SELAIN PIHAK TERKAIT</w:t>
            </w:r>
          </w:p>
        </w:tc>
        <w:tc>
          <w:tcPr>
            <w:tcW w:w="2500" w:type="pct"/>
          </w:tcPr>
          <w:p w14:paraId="0ACBE51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94B30BD" w14:textId="77777777" w:rsidTr="00384609">
        <w:tc>
          <w:tcPr>
            <w:tcW w:w="2500" w:type="pct"/>
          </w:tcPr>
          <w:p w14:paraId="1BEFC84E" w14:textId="1D7E8BC3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</w:t>
            </w:r>
            <w:r w:rsidR="00E55BFD">
              <w:rPr>
                <w:rFonts w:ascii="Bookman Old Style" w:hAnsi="Bookman Old Style" w:cstheme="majorHAnsi"/>
                <w:sz w:val="20"/>
                <w:szCs w:val="20"/>
              </w:rPr>
              <w:t>5</w:t>
            </w:r>
          </w:p>
        </w:tc>
        <w:tc>
          <w:tcPr>
            <w:tcW w:w="2500" w:type="pct"/>
          </w:tcPr>
          <w:p w14:paraId="2EB0A91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2954602" w14:textId="715A130D" w:rsidTr="00384609">
        <w:tc>
          <w:tcPr>
            <w:tcW w:w="2500" w:type="pct"/>
          </w:tcPr>
          <w:p w14:paraId="4282FB42" w14:textId="2BBD2A12" w:rsidR="000E5C2A" w:rsidRPr="00556719" w:rsidRDefault="002A4AB9" w:rsidP="002A4AB9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0914CD94" w14:textId="3B82E502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0D123287" w14:textId="77777777" w:rsidTr="00384609">
        <w:tc>
          <w:tcPr>
            <w:tcW w:w="2500" w:type="pct"/>
          </w:tcPr>
          <w:p w14:paraId="7C6CF2C9" w14:textId="21DCB94B" w:rsidR="002A4AB9" w:rsidRPr="00556719" w:rsidRDefault="002A4AB9" w:rsidP="00976DB7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1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Peminjam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2500" w:type="pct"/>
          </w:tcPr>
          <w:p w14:paraId="7AAAFF54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1DC5D5B" w14:textId="77777777" w:rsidTr="00384609">
        <w:tc>
          <w:tcPr>
            <w:tcW w:w="2500" w:type="pct"/>
          </w:tcPr>
          <w:p w14:paraId="26EEB67E" w14:textId="4AD5C6CA" w:rsidR="002A4AB9" w:rsidRPr="00556719" w:rsidRDefault="002A4AB9" w:rsidP="00976DB7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1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Peminjam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</w:t>
            </w:r>
          </w:p>
        </w:tc>
        <w:tc>
          <w:tcPr>
            <w:tcW w:w="2500" w:type="pct"/>
          </w:tcPr>
          <w:p w14:paraId="2EDBD08C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CF644B3" w14:textId="77777777" w:rsidTr="00384609">
        <w:tc>
          <w:tcPr>
            <w:tcW w:w="2500" w:type="pct"/>
          </w:tcPr>
          <w:p w14:paraId="38F0729F" w14:textId="3DF64560" w:rsidR="002A4AB9" w:rsidRPr="00556719" w:rsidRDefault="002A4AB9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25%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tier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1) Bank.</w:t>
            </w:r>
          </w:p>
        </w:tc>
        <w:tc>
          <w:tcPr>
            <w:tcW w:w="2500" w:type="pct"/>
          </w:tcPr>
          <w:p w14:paraId="7B6A02B1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33A9E77" w14:textId="77777777" w:rsidTr="00384609">
        <w:tc>
          <w:tcPr>
            <w:tcW w:w="2500" w:type="pct"/>
          </w:tcPr>
          <w:p w14:paraId="401417AC" w14:textId="77777777" w:rsidR="002A4AB9" w:rsidRPr="00556719" w:rsidRDefault="002A4AB9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DDD05F6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20C3C86" w14:textId="77777777" w:rsidTr="00384609">
        <w:tc>
          <w:tcPr>
            <w:tcW w:w="2500" w:type="pct"/>
          </w:tcPr>
          <w:p w14:paraId="014FDA5F" w14:textId="586A6AB9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</w:t>
            </w:r>
            <w:r w:rsidR="00E55BFD">
              <w:rPr>
                <w:rFonts w:ascii="Bookman Old Style" w:hAnsi="Bookman Old Style" w:cstheme="majorHAnsi"/>
                <w:sz w:val="20"/>
                <w:szCs w:val="20"/>
              </w:rPr>
              <w:t>6</w:t>
            </w:r>
          </w:p>
        </w:tc>
        <w:tc>
          <w:tcPr>
            <w:tcW w:w="2500" w:type="pct"/>
          </w:tcPr>
          <w:p w14:paraId="15A1B98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142A28F" w14:textId="77777777" w:rsidTr="00384609">
        <w:tc>
          <w:tcPr>
            <w:tcW w:w="2500" w:type="pct"/>
          </w:tcPr>
          <w:p w14:paraId="3543AAA7" w14:textId="10FFD870" w:rsidR="000E5C2A" w:rsidRPr="00556719" w:rsidRDefault="000E5C2A" w:rsidP="00976DB7">
            <w:pPr>
              <w:pStyle w:val="Default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penggolongan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suatu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</w:t>
            </w:r>
            <w:r w:rsidR="00E55BFD">
              <w:rPr>
                <w:rFonts w:cstheme="majorHAnsi"/>
                <w:color w:val="auto"/>
                <w:sz w:val="20"/>
                <w:szCs w:val="20"/>
              </w:rPr>
              <w:t>5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kepengurusan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E9BE17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7FF693BE" w14:textId="7D24AFEC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menyebabkan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apabila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salah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gagal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bayar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juga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gagal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bayar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demikian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diperlakukan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0FF5BED8" w14:textId="77777777" w:rsidTr="00384609">
        <w:tc>
          <w:tcPr>
            <w:tcW w:w="2500" w:type="pct"/>
          </w:tcPr>
          <w:p w14:paraId="309E157C" w14:textId="5DA06C7D" w:rsidR="000E5C2A" w:rsidRPr="00556719" w:rsidRDefault="000E5C2A" w:rsidP="00976DB7">
            <w:pPr>
              <w:pStyle w:val="Default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kepengurusan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meliputi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kriteria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33ADE999" w14:textId="77777777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3BAB12C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8D89DE5" w14:textId="77777777" w:rsidTr="00384609">
        <w:tc>
          <w:tcPr>
            <w:tcW w:w="2500" w:type="pct"/>
          </w:tcPr>
          <w:p w14:paraId="48C3A3E6" w14:textId="7E8DE89E" w:rsidR="000E5C2A" w:rsidRPr="00556719" w:rsidRDefault="000E5C2A" w:rsidP="00976DB7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lain;</w:t>
            </w:r>
          </w:p>
        </w:tc>
        <w:tc>
          <w:tcPr>
            <w:tcW w:w="2500" w:type="pct"/>
          </w:tcPr>
          <w:p w14:paraId="659B4A7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14738AA5" w14:textId="118560B3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8CF046A" w14:textId="77777777" w:rsidTr="00384609">
        <w:tc>
          <w:tcPr>
            <w:tcW w:w="2500" w:type="pct"/>
          </w:tcPr>
          <w:p w14:paraId="35DA7F42" w14:textId="72AB18BA" w:rsidR="000E5C2A" w:rsidRPr="00556719" w:rsidRDefault="000E5C2A" w:rsidP="00976DB7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1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beberapa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Fasilitas;</w:t>
            </w:r>
          </w:p>
        </w:tc>
        <w:tc>
          <w:tcPr>
            <w:tcW w:w="2500" w:type="pct"/>
          </w:tcPr>
          <w:p w14:paraId="46C1B06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0F99BF0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1A50D2CE" w14:textId="1F9E9288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Perusahaan “A”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“B”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mendapatkan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dan masing-masing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25%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“C”.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karena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“A”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“B”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dikelompokkan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Fasilitas. Dalam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“C”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pada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“A”,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“B”,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“C”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dikelompokkan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Fasilitas. </w:t>
            </w:r>
          </w:p>
        </w:tc>
      </w:tr>
      <w:tr w:rsidR="00556719" w:rsidRPr="00556719" w14:paraId="0C04B1CB" w14:textId="77777777" w:rsidTr="00384609">
        <w:tc>
          <w:tcPr>
            <w:tcW w:w="2500" w:type="pct"/>
          </w:tcPr>
          <w:p w14:paraId="30A0AB30" w14:textId="782C110B" w:rsidR="000E5C2A" w:rsidRPr="00556719" w:rsidRDefault="000E5C2A" w:rsidP="00976DB7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50% (lima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menjadi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lain;</w:t>
            </w:r>
          </w:p>
        </w:tc>
        <w:tc>
          <w:tcPr>
            <w:tcW w:w="2500" w:type="pct"/>
          </w:tcPr>
          <w:p w14:paraId="05B423A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c </w:t>
            </w:r>
          </w:p>
          <w:p w14:paraId="6AC7E00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1ED4234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C54046D" w14:textId="77777777" w:rsidTr="00384609">
        <w:tc>
          <w:tcPr>
            <w:tcW w:w="2500" w:type="pct"/>
          </w:tcPr>
          <w:p w14:paraId="5EBB777F" w14:textId="77777777" w:rsidR="000E5C2A" w:rsidRPr="00556719" w:rsidRDefault="000E5C2A" w:rsidP="00976DB7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lain;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  <w:p w14:paraId="022766F5" w14:textId="77777777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D3F9B8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d </w:t>
            </w:r>
          </w:p>
          <w:p w14:paraId="6C3F53C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dianalisis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beberapa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547EC8AC" w14:textId="77777777" w:rsidR="000E5C2A" w:rsidRPr="00556719" w:rsidRDefault="000E5C2A" w:rsidP="00976DB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menyebabkan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kemampuan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menentukan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controlling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lastRenderedPageBreak/>
              <w:t>influence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kebijakan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strategis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1EE5493A" w14:textId="77777777" w:rsidR="000E5C2A" w:rsidRPr="00556719" w:rsidRDefault="000E5C2A" w:rsidP="00976DB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keterkaitan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rantai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bisnis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signifikan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operasional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ketergantungan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mengakibatkan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5D36E845" w14:textId="77777777" w:rsidR="000E5C2A" w:rsidRPr="00556719" w:rsidRDefault="000E5C2A" w:rsidP="00976DB7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salah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mampu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mudah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mengalihkan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bisnis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lain; dan </w:t>
            </w:r>
          </w:p>
          <w:p w14:paraId="1E7993BB" w14:textId="77777777" w:rsidR="000E5C2A" w:rsidRPr="00556719" w:rsidRDefault="000E5C2A" w:rsidP="00976DB7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ketidakmampuan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mudah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mengalihkan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bisnis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menyebabkan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arus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kas salah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gangguan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signifikan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kesulitan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;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  <w:p w14:paraId="3CA58585" w14:textId="586BCCAB" w:rsidR="000E5C2A" w:rsidRPr="00556719" w:rsidRDefault="000E5C2A" w:rsidP="00976DB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pengalihan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salah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menjamin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mengambil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alih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keseluruhan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2EC58F24" w14:textId="77777777" w:rsidTr="00384609">
        <w:tc>
          <w:tcPr>
            <w:tcW w:w="2500" w:type="pct"/>
          </w:tcPr>
          <w:p w14:paraId="423E9F73" w14:textId="20F5155C" w:rsidR="000E5C2A" w:rsidRPr="00556719" w:rsidRDefault="000E5C2A" w:rsidP="00976DB7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mengambil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alih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melunasi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gagal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Bank.</w:t>
            </w:r>
          </w:p>
        </w:tc>
        <w:tc>
          <w:tcPr>
            <w:tcW w:w="2500" w:type="pct"/>
          </w:tcPr>
          <w:p w14:paraId="4C16694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e </w:t>
            </w:r>
          </w:p>
          <w:p w14:paraId="12D214F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janji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mengambil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alih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melunasi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gagal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bayar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7777C54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9AD5692" w14:textId="77777777" w:rsidTr="00384609">
        <w:tc>
          <w:tcPr>
            <w:tcW w:w="2500" w:type="pct"/>
          </w:tcPr>
          <w:p w14:paraId="3E068375" w14:textId="5D43AE28" w:rsidR="000E5C2A" w:rsidRPr="00556719" w:rsidRDefault="000E5C2A" w:rsidP="00976DB7">
            <w:pPr>
              <w:pStyle w:val="Default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(3).</w:t>
            </w:r>
          </w:p>
        </w:tc>
        <w:tc>
          <w:tcPr>
            <w:tcW w:w="2500" w:type="pct"/>
          </w:tcPr>
          <w:p w14:paraId="72A7E96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2EB2577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1AEE049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0853328" w14:textId="5380F3E5" w:rsidTr="00384609">
        <w:tc>
          <w:tcPr>
            <w:tcW w:w="2500" w:type="pct"/>
          </w:tcPr>
          <w:p w14:paraId="166449B7" w14:textId="0735F058" w:rsidR="000E5C2A" w:rsidRPr="00556719" w:rsidRDefault="000E5C2A" w:rsidP="00976DB7">
            <w:pPr>
              <w:pStyle w:val="Default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Penggolongan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berlaku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4660D722" w14:textId="31E75618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(4) </w:t>
            </w:r>
          </w:p>
          <w:p w14:paraId="241C4EFF" w14:textId="0C2A03C1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  <w:u w:val="single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61A47BF1" w14:textId="77777777" w:rsidTr="00384609">
        <w:tc>
          <w:tcPr>
            <w:tcW w:w="2500" w:type="pct"/>
          </w:tcPr>
          <w:p w14:paraId="15C86B34" w14:textId="125D7A67" w:rsidR="002A4AB9" w:rsidRPr="00556719" w:rsidRDefault="002A4AB9" w:rsidP="00976DB7">
            <w:pPr>
              <w:pStyle w:val="Default"/>
              <w:numPr>
                <w:ilvl w:val="0"/>
                <w:numId w:val="11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0" w:name="_Hlk61438150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fasilitas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  <w:bookmarkEnd w:id="0"/>
          </w:p>
        </w:tc>
        <w:tc>
          <w:tcPr>
            <w:tcW w:w="2500" w:type="pct"/>
          </w:tcPr>
          <w:p w14:paraId="44C556EC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81EAD60" w14:textId="77777777" w:rsidTr="00384609">
        <w:tc>
          <w:tcPr>
            <w:tcW w:w="2500" w:type="pct"/>
          </w:tcPr>
          <w:p w14:paraId="596F2C40" w14:textId="1EBE00DC" w:rsidR="002A4AB9" w:rsidRPr="00556719" w:rsidRDefault="002A4AB9" w:rsidP="00976DB7">
            <w:pPr>
              <w:pStyle w:val="Default"/>
              <w:numPr>
                <w:ilvl w:val="0"/>
                <w:numId w:val="11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asuransi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lain.</w:t>
            </w:r>
          </w:p>
        </w:tc>
        <w:tc>
          <w:tcPr>
            <w:tcW w:w="2500" w:type="pct"/>
          </w:tcPr>
          <w:p w14:paraId="19017628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AA07E33" w14:textId="77777777" w:rsidTr="00384609">
        <w:tc>
          <w:tcPr>
            <w:tcW w:w="2500" w:type="pct"/>
          </w:tcPr>
          <w:p w14:paraId="26E6CBFB" w14:textId="77777777" w:rsidR="002A4AB9" w:rsidRPr="00556719" w:rsidRDefault="002A4AB9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F2C1EA4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6A37F29" w14:textId="77777777" w:rsidTr="00384609">
        <w:tc>
          <w:tcPr>
            <w:tcW w:w="2500" w:type="pct"/>
          </w:tcPr>
          <w:p w14:paraId="02A520D1" w14:textId="3E210E78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</w:t>
            </w:r>
            <w:r w:rsidR="00E55BFD">
              <w:rPr>
                <w:rFonts w:ascii="Bookman Old Style" w:hAnsi="Bookman Old Style" w:cstheme="majorHAnsi"/>
                <w:sz w:val="20"/>
                <w:szCs w:val="20"/>
              </w:rPr>
              <w:t>7</w:t>
            </w:r>
          </w:p>
        </w:tc>
        <w:tc>
          <w:tcPr>
            <w:tcW w:w="2500" w:type="pct"/>
          </w:tcPr>
          <w:p w14:paraId="0154399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DDC2DF6" w14:textId="77777777" w:rsidTr="00384609">
        <w:tc>
          <w:tcPr>
            <w:tcW w:w="2500" w:type="pct"/>
          </w:tcPr>
          <w:p w14:paraId="2D60B7B0" w14:textId="29CE77C8" w:rsidR="000E5C2A" w:rsidRPr="00556719" w:rsidRDefault="000E5C2A" w:rsidP="00976DB7">
            <w:pPr>
              <w:pStyle w:val="Default"/>
              <w:numPr>
                <w:ilvl w:val="0"/>
                <w:numId w:val="7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Pemberian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metode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penerusan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penggolongan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</w:t>
            </w:r>
            <w:r w:rsidR="00E55BFD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sepanjang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4C7F48D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4A1A658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metode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penerusan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proofErr w:type="spellStart"/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channelling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end-user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). </w:t>
            </w:r>
          </w:p>
          <w:p w14:paraId="7273AE08" w14:textId="02312642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Perusahaan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metode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penerusan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proofErr w:type="spellStart"/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chanelling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</w:t>
            </w:r>
            <w:r w:rsidR="00845764" w:rsidRPr="00556719">
              <w:rPr>
                <w:rFonts w:ascii="Bookman Old Style" w:hAnsi="Bookman Old Style" w:cstheme="majorHAnsi"/>
                <w:sz w:val="20"/>
                <w:szCs w:val="20"/>
              </w:rPr>
              <w:t>haan</w:t>
            </w:r>
            <w:proofErr w:type="spellEnd"/>
            <w:r w:rsidR="00845764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845764" w:rsidRPr="00556719">
              <w:rPr>
                <w:rFonts w:ascii="Bookman Old Style" w:hAnsi="Bookman Old Style" w:cstheme="majorHAnsi"/>
                <w:sz w:val="20"/>
                <w:szCs w:val="20"/>
              </w:rPr>
              <w:t>pembiayaan</w:t>
            </w:r>
            <w:proofErr w:type="spellEnd"/>
            <w:r w:rsidR="00845764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845764"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="00845764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845764" w:rsidRPr="00556719">
              <w:rPr>
                <w:rFonts w:ascii="Bookman Old Style" w:hAnsi="Bookman Old Style" w:cstheme="majorHAnsi"/>
                <w:sz w:val="20"/>
                <w:szCs w:val="20"/>
              </w:rPr>
              <w:t>koperasi</w:t>
            </w:r>
            <w:proofErr w:type="spellEnd"/>
            <w:r w:rsidR="00845764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5CC21288" w14:textId="77777777" w:rsidTr="00384609">
        <w:tc>
          <w:tcPr>
            <w:tcW w:w="2500" w:type="pct"/>
          </w:tcPr>
          <w:p w14:paraId="19A9831E" w14:textId="4267A50D" w:rsidR="000E5C2A" w:rsidRPr="00556719" w:rsidRDefault="000E5C2A" w:rsidP="00976DB7">
            <w:pPr>
              <w:pStyle w:val="Default"/>
              <w:numPr>
                <w:ilvl w:val="0"/>
                <w:numId w:val="7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1717D0B8" w14:textId="5A98D9DF" w:rsidR="000E5C2A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</w:tc>
      </w:tr>
      <w:tr w:rsidR="00556719" w:rsidRPr="00556719" w14:paraId="01D5467E" w14:textId="77777777" w:rsidTr="00384609">
        <w:tc>
          <w:tcPr>
            <w:tcW w:w="2500" w:type="pct"/>
          </w:tcPr>
          <w:p w14:paraId="155750F4" w14:textId="79423E9F" w:rsidR="000E5C2A" w:rsidRPr="00556719" w:rsidRDefault="000E5C2A" w:rsidP="00976DB7">
            <w:pPr>
              <w:pStyle w:val="Default"/>
              <w:numPr>
                <w:ilvl w:val="0"/>
                <w:numId w:val="3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pengawasan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kelayakan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7EAA7AF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51C96E1E" w14:textId="7A618D13" w:rsidR="000E5C2A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3A3A1701" w14:textId="77777777" w:rsidTr="00384609">
        <w:tc>
          <w:tcPr>
            <w:tcW w:w="2500" w:type="pct"/>
          </w:tcPr>
          <w:p w14:paraId="5570F800" w14:textId="2EA69622" w:rsidR="000E5C2A" w:rsidRPr="00556719" w:rsidRDefault="000E5C2A" w:rsidP="00976DB7">
            <w:pPr>
              <w:pStyle w:val="Default"/>
              <w:numPr>
                <w:ilvl w:val="0"/>
                <w:numId w:val="3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disalurkan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4E858BC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69E7041F" w14:textId="744FF269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apabila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kualitas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disalurkan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end-user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metode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penerusan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channeling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lembaga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pembiayaan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mencerminkan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terkini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masing-masing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end-user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).</w:t>
            </w:r>
          </w:p>
        </w:tc>
      </w:tr>
      <w:tr w:rsidR="00556719" w:rsidRPr="00556719" w14:paraId="42920464" w14:textId="77777777" w:rsidTr="00384609">
        <w:tc>
          <w:tcPr>
            <w:tcW w:w="2500" w:type="pct"/>
          </w:tcPr>
          <w:p w14:paraId="02A7065D" w14:textId="2F43401B" w:rsidR="000E5C2A" w:rsidRPr="00556719" w:rsidRDefault="000E5C2A" w:rsidP="00976DB7">
            <w:pPr>
              <w:pStyle w:val="Default"/>
              <w:numPr>
                <w:ilvl w:val="0"/>
                <w:numId w:val="3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perjanjian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kuasa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Bank;</w:t>
            </w:r>
          </w:p>
        </w:tc>
        <w:tc>
          <w:tcPr>
            <w:tcW w:w="2500" w:type="pct"/>
          </w:tcPr>
          <w:p w14:paraId="778220E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c </w:t>
            </w:r>
          </w:p>
          <w:p w14:paraId="5CABD6CE" w14:textId="5635EC7A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diikat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kepentingan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eksekusi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31E3651F" w14:textId="77777777" w:rsidTr="00384609">
        <w:tc>
          <w:tcPr>
            <w:tcW w:w="2500" w:type="pct"/>
          </w:tcPr>
          <w:p w14:paraId="47B58FF7" w14:textId="15579D6F" w:rsidR="000E5C2A" w:rsidRPr="00556719" w:rsidRDefault="000E5C2A" w:rsidP="00976DB7">
            <w:pPr>
              <w:pStyle w:val="Default"/>
              <w:numPr>
                <w:ilvl w:val="0"/>
                <w:numId w:val="3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pembayaran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keuntungan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Bank; dan</w:t>
            </w:r>
          </w:p>
        </w:tc>
        <w:tc>
          <w:tcPr>
            <w:tcW w:w="2500" w:type="pct"/>
          </w:tcPr>
          <w:p w14:paraId="2FE4BDE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d </w:t>
            </w:r>
          </w:p>
          <w:p w14:paraId="1B60D7B1" w14:textId="75571B04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Tidak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pembayaran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end-user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keuntungan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spread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timbul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perbedaan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imbal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lembaga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pembiayaan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jasa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lembaga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pembiayaan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pengelolaan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Pembiayaan.</w:t>
            </w:r>
          </w:p>
        </w:tc>
      </w:tr>
      <w:tr w:rsidR="00556719" w:rsidRPr="00556719" w14:paraId="0BDC7883" w14:textId="77777777" w:rsidTr="00384609">
        <w:tc>
          <w:tcPr>
            <w:tcW w:w="2500" w:type="pct"/>
          </w:tcPr>
          <w:p w14:paraId="24E0D04E" w14:textId="1105000A" w:rsidR="000E5C2A" w:rsidRPr="00556719" w:rsidRDefault="000E5C2A" w:rsidP="00976DB7">
            <w:pPr>
              <w:pStyle w:val="Default"/>
              <w:numPr>
                <w:ilvl w:val="0"/>
                <w:numId w:val="3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mengambil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alih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melunasi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gagal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Bank.</w:t>
            </w:r>
          </w:p>
        </w:tc>
        <w:tc>
          <w:tcPr>
            <w:tcW w:w="2500" w:type="pct"/>
          </w:tcPr>
          <w:p w14:paraId="18A08DD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e </w:t>
            </w:r>
          </w:p>
          <w:p w14:paraId="5FA40618" w14:textId="626D5C4C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62A1BC0C" w14:textId="77777777" w:rsidTr="00384609">
        <w:tc>
          <w:tcPr>
            <w:tcW w:w="2500" w:type="pct"/>
          </w:tcPr>
          <w:p w14:paraId="1C365954" w14:textId="77777777" w:rsidR="002A4AB9" w:rsidRPr="00556719" w:rsidRDefault="002A4AB9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C0DA5E2" w14:textId="77777777" w:rsidR="002A4AB9" w:rsidRPr="00556719" w:rsidRDefault="002A4AB9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709DB950" w14:textId="77777777" w:rsidTr="00384609">
        <w:tc>
          <w:tcPr>
            <w:tcW w:w="2500" w:type="pct"/>
          </w:tcPr>
          <w:p w14:paraId="7544B31C" w14:textId="19ECA31A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</w:t>
            </w:r>
            <w:r w:rsidR="00E55BFD">
              <w:rPr>
                <w:rFonts w:cstheme="maj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500" w:type="pct"/>
          </w:tcPr>
          <w:p w14:paraId="56C9BD57" w14:textId="7777777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278D92E4" w14:textId="09954D56" w:rsidTr="00384609">
        <w:tc>
          <w:tcPr>
            <w:tcW w:w="2500" w:type="pct"/>
          </w:tcPr>
          <w:p w14:paraId="53CFE136" w14:textId="14771090" w:rsidR="000E5C2A" w:rsidRPr="00556719" w:rsidRDefault="000E5C2A" w:rsidP="00976DB7">
            <w:pPr>
              <w:pStyle w:val="Default"/>
              <w:numPr>
                <w:ilvl w:val="0"/>
                <w:numId w:val="4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pola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kemitraan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inti-plasma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skema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inti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plasma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penggolongan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</w:t>
            </w:r>
            <w:r w:rsidR="00E55BFD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sepanjang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0717B2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63F799A5" w14:textId="47E08B64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Pola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kemitraan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pola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pengembangan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menggunakan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inti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membantu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membimbing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rakyat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sekitarnya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plasma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sistem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kerjasama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saling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menguntungka</w:t>
            </w:r>
            <w:r w:rsidR="002A4AB9" w:rsidRPr="00556719">
              <w:rPr>
                <w:rFonts w:ascii="Bookman Old Style" w:hAnsi="Bookman Old Style" w:cstheme="majorHAnsi"/>
                <w:sz w:val="20"/>
                <w:szCs w:val="20"/>
              </w:rPr>
              <w:t>n</w:t>
            </w:r>
            <w:proofErr w:type="spellEnd"/>
            <w:r w:rsidR="002A4AB9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="002A4AB9" w:rsidRPr="00556719">
              <w:rPr>
                <w:rFonts w:ascii="Bookman Old Style" w:hAnsi="Bookman Old Style" w:cstheme="majorHAnsi"/>
                <w:sz w:val="20"/>
                <w:szCs w:val="20"/>
              </w:rPr>
              <w:t>utuh</w:t>
            </w:r>
            <w:proofErr w:type="spellEnd"/>
            <w:r w:rsidR="002A4AB9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dan </w:t>
            </w:r>
            <w:proofErr w:type="spellStart"/>
            <w:r w:rsidR="002A4AB9" w:rsidRPr="00556719">
              <w:rPr>
                <w:rFonts w:ascii="Bookman Old Style" w:hAnsi="Bookman Old Style" w:cstheme="majorHAnsi"/>
                <w:sz w:val="20"/>
                <w:szCs w:val="20"/>
              </w:rPr>
              <w:t>berkesinambungan</w:t>
            </w:r>
            <w:proofErr w:type="spellEnd"/>
            <w:r w:rsidR="002A4AB9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718F7FC7" w14:textId="77777777" w:rsidTr="00384609">
        <w:tc>
          <w:tcPr>
            <w:tcW w:w="2500" w:type="pct"/>
          </w:tcPr>
          <w:p w14:paraId="3F8587F2" w14:textId="2C951E21" w:rsidR="002A4AB9" w:rsidRPr="00556719" w:rsidRDefault="002A4AB9" w:rsidP="00976DB7">
            <w:pPr>
              <w:pStyle w:val="Default"/>
              <w:numPr>
                <w:ilvl w:val="0"/>
                <w:numId w:val="4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0C505518" w14:textId="77777777" w:rsidR="002A4AB9" w:rsidRPr="00556719" w:rsidRDefault="002A4AB9" w:rsidP="002A4AB9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00BD19B2" w14:textId="4396C0BF" w:rsidR="002A4AB9" w:rsidRPr="00556719" w:rsidRDefault="002A4AB9" w:rsidP="002A4AB9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404B3346" w14:textId="77777777" w:rsidTr="00384609">
        <w:tc>
          <w:tcPr>
            <w:tcW w:w="2500" w:type="pct"/>
          </w:tcPr>
          <w:p w14:paraId="3439CE2E" w14:textId="010A9B5D" w:rsidR="002A4AB9" w:rsidRPr="00556719" w:rsidRDefault="002A4AB9" w:rsidP="00976DB7">
            <w:pPr>
              <w:pStyle w:val="Default"/>
              <w:numPr>
                <w:ilvl w:val="0"/>
                <w:numId w:val="11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1" w:name="_Hlk61438908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inti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Bank;</w:t>
            </w:r>
            <w:bookmarkEnd w:id="1"/>
          </w:p>
        </w:tc>
        <w:tc>
          <w:tcPr>
            <w:tcW w:w="2500" w:type="pct"/>
          </w:tcPr>
          <w:p w14:paraId="28A796A6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C6BFE36" w14:textId="77777777" w:rsidTr="00384609">
        <w:tc>
          <w:tcPr>
            <w:tcW w:w="2500" w:type="pct"/>
          </w:tcPr>
          <w:p w14:paraId="07A0DF26" w14:textId="408A0750" w:rsidR="002A4AB9" w:rsidRPr="00556719" w:rsidRDefault="002A4AB9" w:rsidP="00976DB7">
            <w:pPr>
              <w:pStyle w:val="Default"/>
              <w:numPr>
                <w:ilvl w:val="0"/>
                <w:numId w:val="11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plasma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cabang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dikuasai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berafiliasi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inti;</w:t>
            </w:r>
          </w:p>
        </w:tc>
        <w:tc>
          <w:tcPr>
            <w:tcW w:w="2500" w:type="pct"/>
          </w:tcPr>
          <w:p w14:paraId="419D58FF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1CB97C4" w14:textId="77777777" w:rsidTr="00384609">
        <w:tc>
          <w:tcPr>
            <w:tcW w:w="2500" w:type="pct"/>
          </w:tcPr>
          <w:p w14:paraId="2B9FCA35" w14:textId="23A388FF" w:rsidR="002A4AB9" w:rsidRPr="00556719" w:rsidRDefault="002A4AB9" w:rsidP="00976DB7">
            <w:pPr>
              <w:pStyle w:val="Default"/>
              <w:numPr>
                <w:ilvl w:val="0"/>
                <w:numId w:val="11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plasma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memproduksi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komponen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diperlukan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inti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produksi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inti; dan</w:t>
            </w:r>
          </w:p>
        </w:tc>
        <w:tc>
          <w:tcPr>
            <w:tcW w:w="2500" w:type="pct"/>
          </w:tcPr>
          <w:p w14:paraId="2C1D0EC0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4F3F10A" w14:textId="77777777" w:rsidTr="00384609">
        <w:tc>
          <w:tcPr>
            <w:tcW w:w="2500" w:type="pct"/>
          </w:tcPr>
          <w:p w14:paraId="53D60ED9" w14:textId="2FCC1D8C" w:rsidR="002A4AB9" w:rsidRPr="00556719" w:rsidRDefault="002A4AB9" w:rsidP="00976DB7">
            <w:pPr>
              <w:pStyle w:val="Default"/>
              <w:numPr>
                <w:ilvl w:val="0"/>
                <w:numId w:val="11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perjanjian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plasma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plasma.</w:t>
            </w:r>
          </w:p>
        </w:tc>
        <w:tc>
          <w:tcPr>
            <w:tcW w:w="2500" w:type="pct"/>
          </w:tcPr>
          <w:p w14:paraId="56047B1D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762BA54" w14:textId="77777777" w:rsidTr="00384609">
        <w:tc>
          <w:tcPr>
            <w:tcW w:w="2500" w:type="pct"/>
          </w:tcPr>
          <w:p w14:paraId="6A711CDA" w14:textId="77777777" w:rsidR="002A4AB9" w:rsidRPr="00556719" w:rsidRDefault="002A4AB9" w:rsidP="002A4AB9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106CC232" w14:textId="77777777" w:rsidR="002A4AB9" w:rsidRPr="00556719" w:rsidRDefault="002A4AB9" w:rsidP="002A4AB9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26AD6A3" w14:textId="77777777" w:rsidTr="00384609">
        <w:tc>
          <w:tcPr>
            <w:tcW w:w="2500" w:type="pct"/>
          </w:tcPr>
          <w:p w14:paraId="1543244F" w14:textId="7CF09420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E55BFD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E55BFD">
              <w:rPr>
                <w:rFonts w:cstheme="majorHAnsi"/>
                <w:color w:val="auto"/>
                <w:sz w:val="20"/>
                <w:szCs w:val="20"/>
              </w:rPr>
              <w:t xml:space="preserve"> 19</w:t>
            </w:r>
          </w:p>
        </w:tc>
        <w:tc>
          <w:tcPr>
            <w:tcW w:w="2500" w:type="pct"/>
          </w:tcPr>
          <w:p w14:paraId="4BD4991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202E3F7" w14:textId="77777777" w:rsidTr="00384609">
        <w:tc>
          <w:tcPr>
            <w:tcW w:w="2500" w:type="pct"/>
          </w:tcPr>
          <w:p w14:paraId="2FAB83BB" w14:textId="14DE8FF1" w:rsidR="000E5C2A" w:rsidRPr="00556719" w:rsidRDefault="00826675" w:rsidP="00976DB7">
            <w:pPr>
              <w:pStyle w:val="Default"/>
              <w:numPr>
                <w:ilvl w:val="0"/>
                <w:numId w:val="6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826675">
              <w:rPr>
                <w:rFonts w:cstheme="majorHAnsi"/>
                <w:color w:val="auto"/>
                <w:sz w:val="20"/>
                <w:szCs w:val="20"/>
                <w:lang w:val="fi-FI"/>
              </w:rPr>
              <w:t xml:space="preserve">Penyaluran Pembiayaan kepada beberapa nasabah penerima fasilitas yang merupakan organisasi sosial yang dikendalikan oleh 1 (satu) pihak dikecualikan dari penggolongan kelompok Nasabah Penerima Fasilitas </w:t>
            </w:r>
            <w:r w:rsidR="00684B0D" w:rsidRPr="00684B0D">
              <w:rPr>
                <w:rFonts w:cstheme="majorHAnsi"/>
                <w:color w:val="auto"/>
                <w:sz w:val="20"/>
                <w:szCs w:val="20"/>
                <w:lang w:val="fi-FI"/>
              </w:rPr>
              <w:t xml:space="preserve">sebagaimana dimaksud dalam Pasal 16 </w:t>
            </w:r>
            <w:r w:rsidR="00C255B1">
              <w:rPr>
                <w:rFonts w:cstheme="majorHAnsi"/>
                <w:color w:val="auto"/>
                <w:sz w:val="20"/>
                <w:szCs w:val="20"/>
                <w:lang w:val="fi-FI"/>
              </w:rPr>
              <w:t xml:space="preserve">ayat (2) huruf b </w:t>
            </w:r>
            <w:r w:rsidR="00684B0D" w:rsidRPr="00684B0D">
              <w:rPr>
                <w:rFonts w:cstheme="majorHAnsi"/>
                <w:color w:val="auto"/>
                <w:sz w:val="20"/>
                <w:szCs w:val="20"/>
                <w:lang w:val="fi-FI"/>
              </w:rPr>
              <w:t>sepanjang memenuhi persyaratan tertentu</w:t>
            </w:r>
            <w:r w:rsidR="000E5C2A"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61E96277" w14:textId="7AE53223" w:rsidR="000E5C2A" w:rsidRPr="00826675" w:rsidRDefault="0082667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  <w:lang w:val="en-ID"/>
              </w:rPr>
            </w:pPr>
            <w:r w:rsidRPr="00826675">
              <w:rPr>
                <w:rFonts w:ascii="Bookman Old Style" w:hAnsi="Bookman Old Style" w:cstheme="majorHAnsi"/>
                <w:sz w:val="20"/>
                <w:szCs w:val="20"/>
                <w:lang w:val="fi-FI"/>
              </w:rPr>
              <w:t>Organisasi sosial antara lain yang bergerak di bidang pendidikan dan kesehatan.</w:t>
            </w:r>
          </w:p>
        </w:tc>
      </w:tr>
      <w:tr w:rsidR="00556719" w:rsidRPr="00556719" w14:paraId="650BD0AB" w14:textId="77777777" w:rsidTr="00384609">
        <w:tc>
          <w:tcPr>
            <w:tcW w:w="2500" w:type="pct"/>
          </w:tcPr>
          <w:p w14:paraId="7AE5B112" w14:textId="2C89D771" w:rsidR="002A4AB9" w:rsidRPr="00556719" w:rsidRDefault="002A4AB9" w:rsidP="00976DB7">
            <w:pPr>
              <w:pStyle w:val="Default"/>
              <w:numPr>
                <w:ilvl w:val="0"/>
                <w:numId w:val="6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58C6FE04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DE51E40" w14:textId="77777777" w:rsidTr="00384609">
        <w:tc>
          <w:tcPr>
            <w:tcW w:w="2500" w:type="pct"/>
          </w:tcPr>
          <w:p w14:paraId="39FD3154" w14:textId="09171D9D" w:rsidR="002A4AB9" w:rsidRPr="00556719" w:rsidRDefault="002A4AB9" w:rsidP="00976DB7">
            <w:pPr>
              <w:pStyle w:val="Default"/>
              <w:numPr>
                <w:ilvl w:val="0"/>
                <w:numId w:val="11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Bank;</w:t>
            </w:r>
          </w:p>
        </w:tc>
        <w:tc>
          <w:tcPr>
            <w:tcW w:w="2500" w:type="pct"/>
          </w:tcPr>
          <w:p w14:paraId="415A3D0E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826675" w:rsidRPr="00556719" w14:paraId="6D710DFB" w14:textId="77777777" w:rsidTr="00384609">
        <w:tc>
          <w:tcPr>
            <w:tcW w:w="2500" w:type="pct"/>
          </w:tcPr>
          <w:p w14:paraId="0701C30E" w14:textId="0B627270" w:rsidR="00826675" w:rsidRPr="00556719" w:rsidRDefault="00826675" w:rsidP="00976DB7">
            <w:pPr>
              <w:pStyle w:val="Default"/>
              <w:numPr>
                <w:ilvl w:val="0"/>
                <w:numId w:val="11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826675">
              <w:rPr>
                <w:rFonts w:cstheme="majorHAnsi"/>
                <w:color w:val="auto"/>
                <w:sz w:val="20"/>
                <w:szCs w:val="20"/>
                <w:lang w:val="fi-FI"/>
              </w:rPr>
              <w:t>pihak pengendali bukan sebagai pemegang saham nasabah penerima fasilitas</w:t>
            </w:r>
            <w:r>
              <w:rPr>
                <w:rFonts w:cstheme="majorHAnsi"/>
                <w:color w:val="auto"/>
                <w:sz w:val="20"/>
                <w:szCs w:val="20"/>
                <w:lang w:val="fi-FI"/>
              </w:rPr>
              <w:t>;</w:t>
            </w:r>
          </w:p>
        </w:tc>
        <w:tc>
          <w:tcPr>
            <w:tcW w:w="2500" w:type="pct"/>
          </w:tcPr>
          <w:p w14:paraId="69A4AC40" w14:textId="77777777" w:rsidR="00826675" w:rsidRPr="00556719" w:rsidRDefault="0082667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770F583" w14:textId="77777777" w:rsidTr="00384609">
        <w:tc>
          <w:tcPr>
            <w:tcW w:w="2500" w:type="pct"/>
          </w:tcPr>
          <w:p w14:paraId="100CA585" w14:textId="026A2224" w:rsidR="002A4AB9" w:rsidRPr="00556719" w:rsidRDefault="002A4AB9" w:rsidP="00976DB7">
            <w:pPr>
              <w:pStyle w:val="Default"/>
              <w:numPr>
                <w:ilvl w:val="0"/>
                <w:numId w:val="11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tata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kelola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</w:tc>
        <w:tc>
          <w:tcPr>
            <w:tcW w:w="2500" w:type="pct"/>
          </w:tcPr>
          <w:p w14:paraId="50368AA0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80D7D3B" w14:textId="77777777" w:rsidTr="00384609">
        <w:tc>
          <w:tcPr>
            <w:tcW w:w="2500" w:type="pct"/>
          </w:tcPr>
          <w:p w14:paraId="06562036" w14:textId="4D557043" w:rsidR="002A4AB9" w:rsidRPr="00556719" w:rsidRDefault="00826675" w:rsidP="00976DB7">
            <w:pPr>
              <w:pStyle w:val="Default"/>
              <w:numPr>
                <w:ilvl w:val="0"/>
                <w:numId w:val="11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826675">
              <w:rPr>
                <w:rFonts w:cstheme="majorHAnsi"/>
                <w:color w:val="auto"/>
                <w:sz w:val="20"/>
                <w:szCs w:val="20"/>
                <w:lang w:val="fi-FI"/>
              </w:rPr>
              <w:t>laporan keuangan nasabah penerima fasilitas tidak wajib dikonsolidasikan dalam laporan keuangan pihak pengendali</w:t>
            </w:r>
            <w:r w:rsidR="002A4AB9"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11E7223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C0F93F8" w14:textId="77777777" w:rsidTr="00384609">
        <w:tc>
          <w:tcPr>
            <w:tcW w:w="2500" w:type="pct"/>
          </w:tcPr>
          <w:p w14:paraId="7F19E5A6" w14:textId="77777777" w:rsidR="002A4AB9" w:rsidRPr="00556719" w:rsidRDefault="002A4AB9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1F8C1508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B5D4865" w14:textId="77777777" w:rsidTr="00384609">
        <w:tc>
          <w:tcPr>
            <w:tcW w:w="2500" w:type="pct"/>
          </w:tcPr>
          <w:p w14:paraId="378C055F" w14:textId="7207D592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20</w:t>
            </w:r>
          </w:p>
        </w:tc>
        <w:tc>
          <w:tcPr>
            <w:tcW w:w="2500" w:type="pct"/>
          </w:tcPr>
          <w:p w14:paraId="7CD6E8A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7DF0FC4" w14:textId="741D8841" w:rsidTr="00384609">
        <w:tc>
          <w:tcPr>
            <w:tcW w:w="2500" w:type="pct"/>
          </w:tcPr>
          <w:p w14:paraId="2D91BF01" w14:textId="4EC2FA95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provinsi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kabupaten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masing-masing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kabupaten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penggolongan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17.</w:t>
            </w:r>
          </w:p>
        </w:tc>
        <w:tc>
          <w:tcPr>
            <w:tcW w:w="2500" w:type="pct"/>
          </w:tcPr>
          <w:p w14:paraId="3A43C6B7" w14:textId="6551432C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Undang-Undang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pemerintahan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daerah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pemerintahan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provinsi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pemerintahan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kabupaten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diselenggarakan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otonomi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dituangkan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penyelenggaraan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urusan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menjadi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kewenangan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daerah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masing-masing,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penyerahan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sumber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daerah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anggaran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pendapatan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belanja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daerah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0A71B146" w14:textId="77777777" w:rsidTr="00384609">
        <w:tc>
          <w:tcPr>
            <w:tcW w:w="2500" w:type="pct"/>
          </w:tcPr>
          <w:p w14:paraId="17BF31AC" w14:textId="77777777" w:rsidR="002A4AB9" w:rsidRPr="00556719" w:rsidRDefault="002A4AB9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1CE14DC8" w14:textId="77777777" w:rsidR="002A4AB9" w:rsidRPr="00556719" w:rsidRDefault="002A4AB9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F8AB319" w14:textId="77777777" w:rsidTr="00384609">
        <w:tc>
          <w:tcPr>
            <w:tcW w:w="2500" w:type="pct"/>
          </w:tcPr>
          <w:p w14:paraId="2E666785" w14:textId="6933D411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IV</w:t>
            </w:r>
          </w:p>
          <w:p w14:paraId="3AECE55B" w14:textId="32BDD38D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 PENYALURAN DANA</w:t>
            </w:r>
          </w:p>
        </w:tc>
        <w:tc>
          <w:tcPr>
            <w:tcW w:w="2500" w:type="pct"/>
          </w:tcPr>
          <w:p w14:paraId="7410302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0496569" w14:textId="77777777" w:rsidTr="00384609">
        <w:tc>
          <w:tcPr>
            <w:tcW w:w="2500" w:type="pct"/>
          </w:tcPr>
          <w:p w14:paraId="33544BC4" w14:textId="4B6BB08A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Kesatu</w:t>
            </w:r>
            <w:proofErr w:type="spellEnd"/>
          </w:p>
          <w:p w14:paraId="62842D8D" w14:textId="43EB7AAA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</w:p>
        </w:tc>
        <w:tc>
          <w:tcPr>
            <w:tcW w:w="2500" w:type="pct"/>
          </w:tcPr>
          <w:p w14:paraId="0F06E70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E96E4FC" w14:textId="77777777" w:rsidTr="00384609">
        <w:tc>
          <w:tcPr>
            <w:tcW w:w="2500" w:type="pct"/>
          </w:tcPr>
          <w:p w14:paraId="03845D2B" w14:textId="39B1A14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21</w:t>
            </w:r>
          </w:p>
        </w:tc>
        <w:tc>
          <w:tcPr>
            <w:tcW w:w="2500" w:type="pct"/>
          </w:tcPr>
          <w:p w14:paraId="56FBE5F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7B8E1F8" w14:textId="3F20C232" w:rsidTr="00384609">
        <w:tc>
          <w:tcPr>
            <w:tcW w:w="2500" w:type="pct"/>
          </w:tcPr>
          <w:p w14:paraId="294F4D47" w14:textId="6DB38235" w:rsidR="000E5C2A" w:rsidRPr="00556719" w:rsidRDefault="000E5C2A" w:rsidP="00976DB7">
            <w:pPr>
              <w:pStyle w:val="Default"/>
              <w:numPr>
                <w:ilvl w:val="0"/>
                <w:numId w:val="7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2" w:name="_Hlk61439209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diperhitungkan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Besar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banking book dan trading book</w:t>
            </w:r>
            <w:bookmarkEnd w:id="2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47BB2E9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23BAA30E" w14:textId="5AF6025F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banking book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dan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trading book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mengacu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minimum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="002A4AB9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2DAD9EC7" w14:textId="77777777" w:rsidTr="00384609">
        <w:tc>
          <w:tcPr>
            <w:tcW w:w="2500" w:type="pct"/>
          </w:tcPr>
          <w:p w14:paraId="5473BA0E" w14:textId="6275BE81" w:rsidR="002A4AB9" w:rsidRPr="00556719" w:rsidRDefault="002A4AB9" w:rsidP="00976DB7">
            <w:pPr>
              <w:pStyle w:val="Default"/>
              <w:numPr>
                <w:ilvl w:val="0"/>
                <w:numId w:val="7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3" w:name="_Hlk61439231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Nilai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digunakan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ditambah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imbalan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jika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sebelum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dikurangi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cadangan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kerugian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penurunan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akuntansi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  <w:bookmarkEnd w:id="3"/>
          </w:p>
        </w:tc>
        <w:tc>
          <w:tcPr>
            <w:tcW w:w="2500" w:type="pct"/>
          </w:tcPr>
          <w:p w14:paraId="7154B09B" w14:textId="77777777" w:rsidR="002A4AB9" w:rsidRPr="00556719" w:rsidRDefault="002A4AB9" w:rsidP="002A4AB9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76B58B4A" w14:textId="59081B26" w:rsidR="002A4AB9" w:rsidRPr="00556719" w:rsidRDefault="002A4AB9" w:rsidP="002A4AB9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2DA92453" w14:textId="77777777" w:rsidTr="00384609">
        <w:tc>
          <w:tcPr>
            <w:tcW w:w="2500" w:type="pct"/>
          </w:tcPr>
          <w:p w14:paraId="1CB8C61D" w14:textId="77777777" w:rsidR="002A4AB9" w:rsidRPr="00556719" w:rsidRDefault="002A4AB9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795173B" w14:textId="77777777" w:rsidR="002A4AB9" w:rsidRPr="00556719" w:rsidRDefault="002A4AB9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142ACBB4" w14:textId="77777777" w:rsidTr="00384609">
        <w:tc>
          <w:tcPr>
            <w:tcW w:w="2500" w:type="pct"/>
          </w:tcPr>
          <w:p w14:paraId="5C582208" w14:textId="55F15F5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22</w:t>
            </w:r>
          </w:p>
        </w:tc>
        <w:tc>
          <w:tcPr>
            <w:tcW w:w="2500" w:type="pct"/>
          </w:tcPr>
          <w:p w14:paraId="188B8764" w14:textId="7777777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1188CA04" w14:textId="74596332" w:rsidTr="00384609">
        <w:tc>
          <w:tcPr>
            <w:tcW w:w="2500" w:type="pct"/>
          </w:tcPr>
          <w:p w14:paraId="78803AB7" w14:textId="43661778" w:rsidR="000E5C2A" w:rsidRPr="00556719" w:rsidRDefault="000E5C2A" w:rsidP="00976DB7">
            <w:pPr>
              <w:pStyle w:val="Default"/>
              <w:numPr>
                <w:ilvl w:val="0"/>
                <w:numId w:val="8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4" w:name="_Hlk61439280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dilarang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proses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saling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hapus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(offset)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banking book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trading book.</w:t>
            </w:r>
            <w:bookmarkEnd w:id="4"/>
          </w:p>
        </w:tc>
        <w:tc>
          <w:tcPr>
            <w:tcW w:w="2500" w:type="pct"/>
          </w:tcPr>
          <w:p w14:paraId="75CC24B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33AA029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11B41F47" w14:textId="46DEBF10" w:rsidR="000E5C2A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</w:tc>
      </w:tr>
      <w:tr w:rsidR="00556719" w:rsidRPr="00556719" w14:paraId="4575E7A8" w14:textId="77777777" w:rsidTr="00384609">
        <w:tc>
          <w:tcPr>
            <w:tcW w:w="2500" w:type="pct"/>
          </w:tcPr>
          <w:p w14:paraId="71FDC2D7" w14:textId="1883D123" w:rsidR="00845764" w:rsidRPr="00556719" w:rsidRDefault="00845764" w:rsidP="00976DB7">
            <w:pPr>
              <w:pStyle w:val="Default"/>
              <w:numPr>
                <w:ilvl w:val="0"/>
                <w:numId w:val="8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5" w:name="_Hlk61439333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proses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saling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hapus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(offset)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long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short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trading book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menghasilkan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neto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bersifat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identik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  <w:bookmarkEnd w:id="5"/>
          </w:p>
        </w:tc>
        <w:tc>
          <w:tcPr>
            <w:tcW w:w="2500" w:type="pct"/>
          </w:tcPr>
          <w:p w14:paraId="2054F3BD" w14:textId="77777777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2F28A605" w14:textId="6C574123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Bersifat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identik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sedikit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kesamaan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penerbit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issuer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tingkat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bunga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kupon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coupon rate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jatuh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tempo,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jenis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valuta. </w:t>
            </w:r>
          </w:p>
        </w:tc>
      </w:tr>
      <w:tr w:rsidR="00556719" w:rsidRPr="00556719" w14:paraId="5DD2CB89" w14:textId="77777777" w:rsidTr="00384609">
        <w:tc>
          <w:tcPr>
            <w:tcW w:w="2500" w:type="pct"/>
          </w:tcPr>
          <w:p w14:paraId="148134CB" w14:textId="77777777" w:rsidR="00845764" w:rsidRPr="00556719" w:rsidRDefault="00845764" w:rsidP="00976DB7">
            <w:pPr>
              <w:pStyle w:val="Default"/>
              <w:numPr>
                <w:ilvl w:val="0"/>
                <w:numId w:val="8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proses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saling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hapus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(offset)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long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short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lawan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trading book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bersifat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identik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sepanjang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  <w:p w14:paraId="1DEE01E2" w14:textId="77777777" w:rsidR="00845764" w:rsidRPr="00556719" w:rsidRDefault="00845764" w:rsidP="00845764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7049BFF" w14:textId="77777777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46E144F3" w14:textId="77777777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4ECB06DA" w14:textId="77777777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8A3C6E4" w14:textId="77777777" w:rsidTr="00384609">
        <w:tc>
          <w:tcPr>
            <w:tcW w:w="2500" w:type="pct"/>
          </w:tcPr>
          <w:p w14:paraId="7A0F3514" w14:textId="44FB5718" w:rsidR="00845764" w:rsidRPr="00556719" w:rsidRDefault="00845764" w:rsidP="00976DB7">
            <w:pPr>
              <w:pStyle w:val="Default"/>
              <w:numPr>
                <w:ilvl w:val="0"/>
                <w:numId w:val="8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347431B5" w14:textId="41D460FB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(4) </w:t>
            </w:r>
          </w:p>
        </w:tc>
      </w:tr>
      <w:tr w:rsidR="00556719" w:rsidRPr="00556719" w14:paraId="2601E53E" w14:textId="77777777" w:rsidTr="00384609">
        <w:tc>
          <w:tcPr>
            <w:tcW w:w="2500" w:type="pct"/>
          </w:tcPr>
          <w:p w14:paraId="241CC071" w14:textId="77777777" w:rsidR="00845764" w:rsidRPr="00556719" w:rsidRDefault="00845764" w:rsidP="00976DB7">
            <w:pPr>
              <w:pStyle w:val="Default"/>
              <w:numPr>
                <w:ilvl w:val="0"/>
                <w:numId w:val="12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menentukan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tingkatan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senioritas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instrumen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  <w:p w14:paraId="31001D75" w14:textId="77777777" w:rsidR="00845764" w:rsidRPr="00556719" w:rsidRDefault="00845764" w:rsidP="00845764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E0CFD41" w14:textId="77777777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035C95D0" w14:textId="77777777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menentukan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senioritas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instrumen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mengalokasikan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instrumen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senioritas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mencerminkan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prioritas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tagih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11EBEEF5" w14:textId="77777777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6C76D623" w14:textId="20179D91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Surat utang senior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senioritas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dibandingkan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surat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utang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subordinasi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3E0FEF7F" w14:textId="77777777" w:rsidTr="00384609">
        <w:tc>
          <w:tcPr>
            <w:tcW w:w="2500" w:type="pct"/>
          </w:tcPr>
          <w:p w14:paraId="77932E01" w14:textId="592AFD66" w:rsidR="00845764" w:rsidRPr="00556719" w:rsidRDefault="00845764" w:rsidP="00976DB7">
            <w:pPr>
              <w:pStyle w:val="Default"/>
              <w:numPr>
                <w:ilvl w:val="0"/>
                <w:numId w:val="12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short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tingkatan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junior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tingkatan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dibandingkan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long.</w:t>
            </w:r>
          </w:p>
        </w:tc>
        <w:tc>
          <w:tcPr>
            <w:tcW w:w="2500" w:type="pct"/>
          </w:tcPr>
          <w:p w14:paraId="370E1CC9" w14:textId="77777777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6458CF27" w14:textId="33731DE4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3F891242" w14:textId="77777777" w:rsidTr="00384609">
        <w:tc>
          <w:tcPr>
            <w:tcW w:w="2500" w:type="pct"/>
          </w:tcPr>
          <w:p w14:paraId="1DC82107" w14:textId="15E54054" w:rsidR="00845764" w:rsidRPr="00556719" w:rsidRDefault="00845764" w:rsidP="00976DB7">
            <w:pPr>
              <w:pStyle w:val="Default"/>
              <w:numPr>
                <w:ilvl w:val="0"/>
                <w:numId w:val="8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proses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saling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hapus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(offset)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trading book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menghasilkan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neto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short,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diperhitungkan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BMPD.</w:t>
            </w:r>
          </w:p>
        </w:tc>
        <w:tc>
          <w:tcPr>
            <w:tcW w:w="2500" w:type="pct"/>
          </w:tcPr>
          <w:p w14:paraId="112C7056" w14:textId="77777777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(5) </w:t>
            </w:r>
          </w:p>
          <w:p w14:paraId="21A7DAFE" w14:textId="70DE4165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69C511C1" w14:textId="77777777" w:rsidTr="00384609">
        <w:tc>
          <w:tcPr>
            <w:tcW w:w="2500" w:type="pct"/>
          </w:tcPr>
          <w:p w14:paraId="4806AD70" w14:textId="77777777" w:rsidR="00845764" w:rsidRPr="00556719" w:rsidRDefault="00845764" w:rsidP="00845764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338814C" w14:textId="77777777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E00D7FC" w14:textId="77777777" w:rsidTr="00384609">
        <w:tc>
          <w:tcPr>
            <w:tcW w:w="2500" w:type="pct"/>
          </w:tcPr>
          <w:p w14:paraId="119C3CEE" w14:textId="086DC481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Kedua</w:t>
            </w:r>
            <w:proofErr w:type="spellEnd"/>
          </w:p>
          <w:p w14:paraId="053B7E76" w14:textId="31DA3E05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Penempatan</w:t>
            </w:r>
            <w:proofErr w:type="spellEnd"/>
          </w:p>
        </w:tc>
        <w:tc>
          <w:tcPr>
            <w:tcW w:w="2500" w:type="pct"/>
          </w:tcPr>
          <w:p w14:paraId="6D88A6B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465F7C2" w14:textId="77777777" w:rsidTr="00384609">
        <w:tc>
          <w:tcPr>
            <w:tcW w:w="2500" w:type="pct"/>
          </w:tcPr>
          <w:p w14:paraId="02939C53" w14:textId="30C79A29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23</w:t>
            </w:r>
          </w:p>
        </w:tc>
        <w:tc>
          <w:tcPr>
            <w:tcW w:w="2500" w:type="pct"/>
          </w:tcPr>
          <w:p w14:paraId="0F69B66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BC292A3" w14:textId="31444BCC" w:rsidTr="00384609">
        <w:tc>
          <w:tcPr>
            <w:tcW w:w="2500" w:type="pct"/>
          </w:tcPr>
          <w:p w14:paraId="121A0A36" w14:textId="4119B659" w:rsidR="000E5C2A" w:rsidRPr="00556719" w:rsidRDefault="000E5C2A" w:rsidP="00976DB7">
            <w:pPr>
              <w:pStyle w:val="Default"/>
              <w:numPr>
                <w:ilvl w:val="0"/>
                <w:numId w:val="4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6" w:name="_Hlk61511247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Penempatan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lawan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  <w:bookmarkEnd w:id="6"/>
          </w:p>
        </w:tc>
        <w:tc>
          <w:tcPr>
            <w:tcW w:w="2500" w:type="pct"/>
          </w:tcPr>
          <w:p w14:paraId="29C4E21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70A5F561" w14:textId="7665DF4A" w:rsidR="000E5C2A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441FF0C1" w14:textId="77777777" w:rsidTr="00384609">
        <w:tc>
          <w:tcPr>
            <w:tcW w:w="2500" w:type="pct"/>
          </w:tcPr>
          <w:p w14:paraId="1147B249" w14:textId="00E2F5D9" w:rsidR="00845764" w:rsidRPr="00556719" w:rsidRDefault="00845764" w:rsidP="00976DB7">
            <w:pPr>
              <w:pStyle w:val="Default"/>
              <w:numPr>
                <w:ilvl w:val="0"/>
                <w:numId w:val="4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Penempatan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3448914" w14:textId="77777777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068F5797" w14:textId="7CFCEC75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21F0C29B" w14:textId="77777777" w:rsidTr="00384609">
        <w:tc>
          <w:tcPr>
            <w:tcW w:w="2500" w:type="pct"/>
          </w:tcPr>
          <w:p w14:paraId="22A2BB41" w14:textId="2C6686BB" w:rsidR="00845764" w:rsidRPr="00556719" w:rsidRDefault="00845764" w:rsidP="00976DB7">
            <w:pPr>
              <w:pStyle w:val="Default"/>
              <w:numPr>
                <w:ilvl w:val="0"/>
                <w:numId w:val="4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Penempatan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Penempatan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Bank lain di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PUAS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likuiditas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7335C7DC" w14:textId="77777777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57F660E9" w14:textId="7141393B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Penempatan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Bank lain di Indonesia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manajemen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likuiditas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harian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paling lama 14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empat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59665026" w14:textId="77BAC1C5" w:rsidTr="00384609">
        <w:tc>
          <w:tcPr>
            <w:tcW w:w="2500" w:type="pct"/>
          </w:tcPr>
          <w:p w14:paraId="2A546608" w14:textId="332CD8CD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F6E6E0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6E8CFB5" w14:textId="77777777" w:rsidTr="00384609">
        <w:tc>
          <w:tcPr>
            <w:tcW w:w="2500" w:type="pct"/>
          </w:tcPr>
          <w:p w14:paraId="67DADF47" w14:textId="10F29DA5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Ketiga</w:t>
            </w:r>
            <w:proofErr w:type="spellEnd"/>
          </w:p>
          <w:p w14:paraId="267932C8" w14:textId="31F3D0B6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Lindung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Nilai Syariah</w:t>
            </w:r>
          </w:p>
        </w:tc>
        <w:tc>
          <w:tcPr>
            <w:tcW w:w="2500" w:type="pct"/>
          </w:tcPr>
          <w:p w14:paraId="0020EA81" w14:textId="0E58F5DA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E4457F4" w14:textId="77777777" w:rsidTr="00384609">
        <w:tc>
          <w:tcPr>
            <w:tcW w:w="2500" w:type="pct"/>
          </w:tcPr>
          <w:p w14:paraId="4FC77583" w14:textId="7EB946DD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</w:t>
            </w:r>
            <w:r w:rsidR="00684B0D">
              <w:rPr>
                <w:rFonts w:cs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500" w:type="pct"/>
          </w:tcPr>
          <w:p w14:paraId="336C9E7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F93AB5C" w14:textId="77777777" w:rsidTr="00384609">
        <w:tc>
          <w:tcPr>
            <w:tcW w:w="2500" w:type="pct"/>
          </w:tcPr>
          <w:p w14:paraId="28F1C692" w14:textId="00CA7B95" w:rsidR="000E5C2A" w:rsidRPr="00556719" w:rsidRDefault="000E5C2A" w:rsidP="00845764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Lindung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Nilai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lawan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E5B8A2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342833B" w14:textId="77777777" w:rsidTr="00384609">
        <w:tc>
          <w:tcPr>
            <w:tcW w:w="2500" w:type="pct"/>
          </w:tcPr>
          <w:p w14:paraId="79B487C8" w14:textId="3009465F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58420A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A1E1280" w14:textId="77777777" w:rsidTr="00384609">
        <w:tc>
          <w:tcPr>
            <w:tcW w:w="2500" w:type="pct"/>
          </w:tcPr>
          <w:p w14:paraId="76316ED4" w14:textId="474933FD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</w:t>
            </w:r>
            <w:r w:rsidR="00684B0D">
              <w:rPr>
                <w:rFonts w:cstheme="maj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2500" w:type="pct"/>
          </w:tcPr>
          <w:p w14:paraId="2265E30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608E553" w14:textId="66F446E2" w:rsidTr="00384609">
        <w:tc>
          <w:tcPr>
            <w:tcW w:w="2500" w:type="pct"/>
          </w:tcPr>
          <w:p w14:paraId="7BB90F3B" w14:textId="16FCCA4B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Lindung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Nilai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</w:t>
            </w:r>
            <w:r w:rsidR="00684B0D">
              <w:rPr>
                <w:rFonts w:cstheme="majorHAnsi"/>
                <w:color w:val="auto"/>
                <w:sz w:val="20"/>
                <w:szCs w:val="20"/>
              </w:rPr>
              <w:t>4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akibat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kegagalan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lawan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banking book dan trading book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akibat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kegagalan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lawan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752701E" w14:textId="6DB40FC3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Definisi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banking book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dan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trading book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mengacu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minimum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3B3B07A5" w14:textId="64C14FAD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akibat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kegagalan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lawan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counterparty credit risk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mengacu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pedoman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bersih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lindung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tertimbang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menurut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menggunakan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pendekatan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94DF969" w14:textId="77777777" w:rsidTr="00384609">
        <w:tc>
          <w:tcPr>
            <w:tcW w:w="2500" w:type="pct"/>
          </w:tcPr>
          <w:p w14:paraId="712395AB" w14:textId="77777777" w:rsidR="00845764" w:rsidRPr="00556719" w:rsidRDefault="00845764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D31C48B" w14:textId="77777777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8A19E77" w14:textId="77777777" w:rsidTr="00384609">
        <w:tc>
          <w:tcPr>
            <w:tcW w:w="2500" w:type="pct"/>
          </w:tcPr>
          <w:p w14:paraId="2258E3D4" w14:textId="24F19CAE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  <w:highlight w:val="cyan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  <w:highlight w:val="cyan"/>
              </w:rPr>
              <w:t xml:space="preserve"> 2</w:t>
            </w:r>
            <w:r w:rsidR="00684B0D">
              <w:rPr>
                <w:rFonts w:cstheme="maj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2500" w:type="pct"/>
          </w:tcPr>
          <w:p w14:paraId="5BAABED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B933675" w14:textId="559514A4" w:rsidTr="00384609">
        <w:tc>
          <w:tcPr>
            <w:tcW w:w="2500" w:type="pct"/>
          </w:tcPr>
          <w:p w14:paraId="09E59606" w14:textId="603BA450" w:rsidR="000E5C2A" w:rsidRPr="00556719" w:rsidRDefault="000E5C2A" w:rsidP="00976DB7">
            <w:pPr>
              <w:pStyle w:val="Default"/>
              <w:numPr>
                <w:ilvl w:val="0"/>
                <w:numId w:val="11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84B0D">
              <w:rPr>
                <w:rFonts w:cstheme="majorHAnsi"/>
                <w:color w:val="auto"/>
                <w:sz w:val="20"/>
                <w:szCs w:val="20"/>
              </w:rPr>
              <w:t>Lindung</w:t>
            </w:r>
            <w:proofErr w:type="spellEnd"/>
            <w:r w:rsidR="00684B0D">
              <w:rPr>
                <w:rFonts w:cstheme="majorHAnsi"/>
                <w:color w:val="auto"/>
                <w:sz w:val="20"/>
                <w:szCs w:val="20"/>
              </w:rPr>
              <w:t xml:space="preserve"> Nilai Syariah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forward dan swap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trading book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leg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cakupan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long.</w:t>
            </w:r>
          </w:p>
        </w:tc>
        <w:tc>
          <w:tcPr>
            <w:tcW w:w="2500" w:type="pct"/>
          </w:tcPr>
          <w:p w14:paraId="4C7EC0D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35B9F83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Pendekatan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gramStart"/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two legged</w:t>
            </w:r>
            <w:proofErr w:type="gramEnd"/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 approach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pedoman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penggunaan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metode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minimum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memperhitungkan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pasar. </w:t>
            </w:r>
          </w:p>
          <w:p w14:paraId="3A7326B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6EA1668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40E6B19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 xml:space="preserve">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konsolidasi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juga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memperhitungkan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ekuitas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komoditas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Perusahaan Anak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terekspos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ekuitas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komoditas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namun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leg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cakupan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long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diperhitungkan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BMPK. </w:t>
            </w:r>
          </w:p>
          <w:p w14:paraId="6D37CD6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1: </w:t>
            </w:r>
          </w:p>
          <w:p w14:paraId="10CF3F8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Perusahaan Anak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future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“X”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dilaporkan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long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“X”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short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suku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bunga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risk-free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79C4317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2: </w:t>
            </w:r>
          </w:p>
          <w:p w14:paraId="76AAC13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interest-rate swap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suku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bunga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mengambang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floating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membayar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suku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bunga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tetap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fixed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dilaporkan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long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instrumen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suku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bunga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mengambang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floating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short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instrumen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suku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bunga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tetap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fixed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). </w:t>
            </w:r>
          </w:p>
          <w:p w14:paraId="0FC3B8F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629CC9E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1F7560E2" w14:textId="278E78F3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2E174D61" w14:textId="77777777" w:rsidTr="00384609">
        <w:tc>
          <w:tcPr>
            <w:tcW w:w="2500" w:type="pct"/>
          </w:tcPr>
          <w:p w14:paraId="08819F7F" w14:textId="18847333" w:rsidR="00845764" w:rsidRPr="00556719" w:rsidRDefault="00845764" w:rsidP="00976DB7">
            <w:pPr>
              <w:pStyle w:val="Default"/>
              <w:numPr>
                <w:ilvl w:val="0"/>
                <w:numId w:val="11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</w:t>
            </w:r>
            <w:r w:rsidR="00684B0D">
              <w:rPr>
                <w:rFonts w:cstheme="majorHAnsi"/>
                <w:color w:val="auto"/>
                <w:sz w:val="20"/>
                <w:szCs w:val="20"/>
              </w:rPr>
              <w:t>D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trading book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mengacu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Lampiran I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terpisahkan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6FD088A6" w14:textId="77777777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E7C8A46" w14:textId="77777777" w:rsidTr="00384609">
        <w:tc>
          <w:tcPr>
            <w:tcW w:w="2500" w:type="pct"/>
          </w:tcPr>
          <w:p w14:paraId="1ECD9352" w14:textId="77777777" w:rsidR="00845764" w:rsidRPr="00556719" w:rsidRDefault="00845764" w:rsidP="00845764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F997DD1" w14:textId="77777777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8FDAB05" w14:textId="77777777" w:rsidTr="00384609">
        <w:tc>
          <w:tcPr>
            <w:tcW w:w="2500" w:type="pct"/>
          </w:tcPr>
          <w:p w14:paraId="24CA22D0" w14:textId="3FAB8AF5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2</w:t>
            </w:r>
            <w:r w:rsidR="00684B0D">
              <w:rPr>
                <w:rFonts w:ascii="Bookman Old Style" w:hAnsi="Bookman Old Style" w:cstheme="majorHAnsi"/>
                <w:sz w:val="20"/>
                <w:szCs w:val="20"/>
              </w:rPr>
              <w:t>7</w:t>
            </w:r>
          </w:p>
        </w:tc>
        <w:tc>
          <w:tcPr>
            <w:tcW w:w="2500" w:type="pct"/>
          </w:tcPr>
          <w:p w14:paraId="60FD9C8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C9A659A" w14:textId="327AD5A4" w:rsidTr="00384609">
        <w:tc>
          <w:tcPr>
            <w:tcW w:w="2500" w:type="pct"/>
          </w:tcPr>
          <w:p w14:paraId="7E8165C4" w14:textId="3B773B44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</w:t>
            </w:r>
            <w:r w:rsidR="00684B0D">
              <w:rPr>
                <w:rFonts w:ascii="Bookman Old Style" w:hAnsi="Bookman Old Style" w:cstheme="majorHAnsi"/>
                <w:sz w:val="20"/>
                <w:szCs w:val="20"/>
              </w:rPr>
              <w:t>D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Derivatif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trading book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penjumlahan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2</w:t>
            </w:r>
            <w:r w:rsidR="00684B0D">
              <w:rPr>
                <w:rFonts w:ascii="Bookman Old Style" w:hAnsi="Bookman Old Style" w:cstheme="majorHAnsi"/>
                <w:sz w:val="20"/>
                <w:szCs w:val="20"/>
              </w:rPr>
              <w:t>5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2</w:t>
            </w:r>
            <w:r w:rsidR="00684B0D">
              <w:rPr>
                <w:rFonts w:ascii="Bookman Old Style" w:hAnsi="Bookman Old Style" w:cstheme="majorHAnsi"/>
                <w:sz w:val="20"/>
                <w:szCs w:val="20"/>
              </w:rPr>
              <w:t>6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AEE7C4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A1E768E" w14:textId="77777777" w:rsidTr="00384609">
        <w:tc>
          <w:tcPr>
            <w:tcW w:w="2500" w:type="pct"/>
          </w:tcPr>
          <w:p w14:paraId="75DD8A80" w14:textId="77777777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F1740D1" w14:textId="77777777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5CA2715" w14:textId="77777777" w:rsidTr="00384609">
        <w:tc>
          <w:tcPr>
            <w:tcW w:w="2500" w:type="pct"/>
          </w:tcPr>
          <w:p w14:paraId="1291FF16" w14:textId="384A373F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Keempat</w:t>
            </w:r>
            <w:proofErr w:type="spellEnd"/>
          </w:p>
          <w:p w14:paraId="7BFD5DEB" w14:textId="6E456ABC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</w:t>
            </w:r>
          </w:p>
        </w:tc>
        <w:tc>
          <w:tcPr>
            <w:tcW w:w="2500" w:type="pct"/>
          </w:tcPr>
          <w:p w14:paraId="5DDE40B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BFF8126" w14:textId="77777777" w:rsidTr="00384609">
        <w:tc>
          <w:tcPr>
            <w:tcW w:w="2500" w:type="pct"/>
          </w:tcPr>
          <w:p w14:paraId="4334F0A6" w14:textId="38D93C64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</w:t>
            </w:r>
            <w:r w:rsidR="00684B0D">
              <w:rPr>
                <w:rFonts w:cstheme="maj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500" w:type="pct"/>
          </w:tcPr>
          <w:p w14:paraId="43F9022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925EAAA" w14:textId="40D82497" w:rsidTr="00384609">
        <w:tc>
          <w:tcPr>
            <w:tcW w:w="2500" w:type="pct"/>
          </w:tcPr>
          <w:p w14:paraId="797FB1FE" w14:textId="0A52B04E" w:rsidR="000E5C2A" w:rsidRPr="00556719" w:rsidRDefault="000E5C2A" w:rsidP="00976DB7">
            <w:pPr>
              <w:pStyle w:val="Default"/>
              <w:numPr>
                <w:ilvl w:val="0"/>
                <w:numId w:val="8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7" w:name="_Hlk61514404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Syariah.</w:t>
            </w:r>
            <w:bookmarkEnd w:id="7"/>
          </w:p>
        </w:tc>
        <w:tc>
          <w:tcPr>
            <w:tcW w:w="2500" w:type="pct"/>
          </w:tcPr>
          <w:p w14:paraId="4B681DA8" w14:textId="44D9CE62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0F674BFD" w14:textId="77777777" w:rsidTr="00384609">
        <w:tc>
          <w:tcPr>
            <w:tcW w:w="2500" w:type="pct"/>
          </w:tcPr>
          <w:p w14:paraId="6A6F93A0" w14:textId="1D7F2D94" w:rsidR="00845764" w:rsidRPr="00556719" w:rsidRDefault="00845764" w:rsidP="00976DB7">
            <w:pPr>
              <w:pStyle w:val="Default"/>
              <w:numPr>
                <w:ilvl w:val="0"/>
                <w:numId w:val="8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banking book dan trading book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57F4AD9" w14:textId="77777777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B5A7B92" w14:textId="77777777" w:rsidTr="00384609">
        <w:tc>
          <w:tcPr>
            <w:tcW w:w="2500" w:type="pct"/>
          </w:tcPr>
          <w:p w14:paraId="4917F8CB" w14:textId="57A09501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27A4AA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2B36050" w14:textId="115B4C44" w:rsidTr="00384609">
        <w:tc>
          <w:tcPr>
            <w:tcW w:w="2500" w:type="pct"/>
          </w:tcPr>
          <w:p w14:paraId="054226D0" w14:textId="63C98F37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5645ABC" w14:textId="46812732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88EA6CB" w14:textId="77777777" w:rsidTr="00384609">
        <w:tc>
          <w:tcPr>
            <w:tcW w:w="2500" w:type="pct"/>
          </w:tcPr>
          <w:p w14:paraId="3517FF0C" w14:textId="2DC8C12D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684B0D">
              <w:rPr>
                <w:rFonts w:cstheme="maj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2500" w:type="pct"/>
          </w:tcPr>
          <w:p w14:paraId="585FD00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989F34D" w14:textId="76C34DF8" w:rsidTr="00384609">
        <w:tc>
          <w:tcPr>
            <w:tcW w:w="2500" w:type="pct"/>
          </w:tcPr>
          <w:p w14:paraId="42590FE4" w14:textId="3F11ECA7" w:rsidR="000E5C2A" w:rsidRPr="00556719" w:rsidRDefault="000E5C2A" w:rsidP="00976DB7">
            <w:pPr>
              <w:pStyle w:val="Default"/>
              <w:numPr>
                <w:ilvl w:val="0"/>
                <w:numId w:val="8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Penetapan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lawan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bookmarkStart w:id="8" w:name="_Hlk61515443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dihubungkan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banking book dan trading book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ditentukan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jumlah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Syariah.</w:t>
            </w:r>
            <w:bookmarkEnd w:id="8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14:paraId="1959830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4E082B6E" w14:textId="3BAAE0FD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Surat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Syariah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dihubungkan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Syariah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ditentukan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instrumen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Efek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Beragun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Aset (EBA)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reksa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="006B3DD8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1ADC9695" w14:textId="77777777" w:rsidTr="00384609">
        <w:tc>
          <w:tcPr>
            <w:tcW w:w="2500" w:type="pct"/>
          </w:tcPr>
          <w:p w14:paraId="0685B1F1" w14:textId="260CEF66" w:rsidR="00845764" w:rsidRPr="00556719" w:rsidRDefault="00845764" w:rsidP="00976DB7">
            <w:pPr>
              <w:pStyle w:val="Default"/>
              <w:numPr>
                <w:ilvl w:val="0"/>
                <w:numId w:val="8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dihubungkan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total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nominal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bookmarkStart w:id="9" w:name="_Hlk61515563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kurang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0,25%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tier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1)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dihubungkan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mendasari</w:t>
            </w:r>
            <w:bookmarkEnd w:id="9"/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2ABB92E1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52081363" w14:textId="569258D6" w:rsidR="00845764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Bank “A”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membeli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EBA “XYZ”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reksa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“PQR”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“B”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total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nominal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kurang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0,25%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nol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Inti (</w:t>
            </w:r>
            <w:r w:rsidRPr="00556719">
              <w:rPr>
                <w:rFonts w:ascii="Bookman Old Style" w:hAnsi="Bookman Old Style" w:cstheme="majorHAnsi"/>
                <w:i/>
                <w:sz w:val="20"/>
                <w:szCs w:val="20"/>
              </w:rPr>
              <w:t>tier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1) Bank “A”.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EBA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reksa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penerbit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EBA “XYZ”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manajer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investasi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reksa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“PQR”. </w:t>
            </w:r>
          </w:p>
        </w:tc>
      </w:tr>
      <w:tr w:rsidR="00556719" w:rsidRPr="00556719" w14:paraId="2F2410FF" w14:textId="77777777" w:rsidTr="00384609">
        <w:tc>
          <w:tcPr>
            <w:tcW w:w="2500" w:type="pct"/>
          </w:tcPr>
          <w:p w14:paraId="1C322D05" w14:textId="2A11B73B" w:rsidR="00845764" w:rsidRPr="00556719" w:rsidRDefault="00845764" w:rsidP="00976DB7">
            <w:pPr>
              <w:pStyle w:val="Default"/>
              <w:numPr>
                <w:ilvl w:val="0"/>
                <w:numId w:val="8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dihubungkan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total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nominal </w:t>
            </w:r>
            <w:bookmarkStart w:id="10" w:name="_Hlk61515645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0,25%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tier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1)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Entitas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Referensi. </w:t>
            </w:r>
            <w:bookmarkEnd w:id="10"/>
          </w:p>
        </w:tc>
        <w:tc>
          <w:tcPr>
            <w:tcW w:w="2500" w:type="pct"/>
          </w:tcPr>
          <w:p w14:paraId="3407D0DB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2AE433E8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1: Bank “A”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membeli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EBA “XYZ”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“B”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total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nominal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0,25%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nol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Inti (</w:t>
            </w:r>
            <w:r w:rsidRPr="00556719">
              <w:rPr>
                <w:rFonts w:ascii="Bookman Old Style" w:hAnsi="Bookman Old Style" w:cstheme="majorHAnsi"/>
                <w:i/>
                <w:sz w:val="20"/>
                <w:szCs w:val="20"/>
              </w:rPr>
              <w:t>tier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1) Bank “A”. Aset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EBA “XYZ”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portofolio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pinjaman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terdiri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pinjaman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“Alfa”, PT “Beta”, dan PT “Gama”.</w:t>
            </w:r>
          </w:p>
          <w:p w14:paraId="0FA816AA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demikian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EBA “XYZ”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“Alfa”, PT “Beta”, dan PT “Gama”. </w:t>
            </w:r>
          </w:p>
          <w:p w14:paraId="3E7A20E5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2: Bank “A”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membeli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reksa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“PQR”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“B”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total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nominal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0,25%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nol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Inti (</w:t>
            </w:r>
            <w:r w:rsidRPr="00556719">
              <w:rPr>
                <w:rFonts w:ascii="Bookman Old Style" w:hAnsi="Bookman Old Style" w:cstheme="majorHAnsi"/>
                <w:i/>
                <w:sz w:val="20"/>
                <w:szCs w:val="20"/>
              </w:rPr>
              <w:t>tier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1) Bank “A”. Aset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reksa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“PQR”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obligasi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“Alfa”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obligasi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“Beta”. </w:t>
            </w:r>
          </w:p>
          <w:p w14:paraId="4BF5C8C5" w14:textId="2BA7B7DE" w:rsidR="00845764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demikian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reksa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“PQR”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“Alfa” dan PT “Beta”.</w:t>
            </w:r>
          </w:p>
        </w:tc>
      </w:tr>
      <w:tr w:rsidR="00556719" w:rsidRPr="00556719" w14:paraId="1AF8A450" w14:textId="77777777" w:rsidTr="00384609">
        <w:tc>
          <w:tcPr>
            <w:tcW w:w="2500" w:type="pct"/>
          </w:tcPr>
          <w:p w14:paraId="088ABA97" w14:textId="18542C81" w:rsidR="00845764" w:rsidRPr="00556719" w:rsidRDefault="00845764" w:rsidP="00976DB7">
            <w:pPr>
              <w:pStyle w:val="Default"/>
              <w:numPr>
                <w:ilvl w:val="0"/>
                <w:numId w:val="8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dihubungkan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menggunakan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7224645A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(4) </w:t>
            </w:r>
          </w:p>
          <w:p w14:paraId="4D24E1D6" w14:textId="77777777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B68000D" w14:textId="77777777" w:rsidTr="00384609">
        <w:tc>
          <w:tcPr>
            <w:tcW w:w="2500" w:type="pct"/>
          </w:tcPr>
          <w:p w14:paraId="339B5DE9" w14:textId="21DEB6BD" w:rsidR="006B3DD8" w:rsidRPr="00556719" w:rsidRDefault="006B3DD8" w:rsidP="00976DB7">
            <w:pPr>
              <w:pStyle w:val="Default"/>
              <w:numPr>
                <w:ilvl w:val="0"/>
                <w:numId w:val="12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11" w:name="_Hlk61515827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nominal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</w:t>
            </w:r>
            <w:bookmarkEnd w:id="11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(2);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14:paraId="04A07778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6A6E7AC0" w14:textId="67DC1121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ab/>
            </w:r>
          </w:p>
        </w:tc>
      </w:tr>
      <w:tr w:rsidR="00556719" w:rsidRPr="00556719" w14:paraId="02BED29E" w14:textId="77777777" w:rsidTr="00384609">
        <w:tc>
          <w:tcPr>
            <w:tcW w:w="2500" w:type="pct"/>
          </w:tcPr>
          <w:p w14:paraId="13F062B0" w14:textId="36AEAE62" w:rsidR="006B3DD8" w:rsidRPr="00556719" w:rsidRDefault="006B3DD8" w:rsidP="00976DB7">
            <w:pPr>
              <w:pStyle w:val="Default"/>
              <w:numPr>
                <w:ilvl w:val="0"/>
                <w:numId w:val="12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lastRenderedPageBreak/>
              <w:t>look-through approach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proporsional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proporsi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masing-masing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Entitas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Referensi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(3).</w:t>
            </w:r>
          </w:p>
        </w:tc>
        <w:tc>
          <w:tcPr>
            <w:tcW w:w="2500" w:type="pct"/>
          </w:tcPr>
          <w:p w14:paraId="726CC68A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 b</w:t>
            </w:r>
          </w:p>
          <w:p w14:paraId="0806AA45" w14:textId="55E4125C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sz w:val="20"/>
                <w:szCs w:val="20"/>
              </w:rPr>
              <w:t>look-through approach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Lampiran I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bagian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terpisahkan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3CDE8D48" w14:textId="77777777" w:rsidTr="00384609">
        <w:tc>
          <w:tcPr>
            <w:tcW w:w="2500" w:type="pct"/>
          </w:tcPr>
          <w:p w14:paraId="538E12F4" w14:textId="2776D22F" w:rsidR="00845764" w:rsidRPr="00556719" w:rsidRDefault="00845764" w:rsidP="00976DB7">
            <w:pPr>
              <w:pStyle w:val="Default"/>
              <w:numPr>
                <w:ilvl w:val="0"/>
                <w:numId w:val="8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mengidentifikasi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(4)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500" w:type="pct"/>
          </w:tcPr>
          <w:p w14:paraId="52E4C21C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(5) </w:t>
            </w:r>
          </w:p>
          <w:p w14:paraId="2CF79DFD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dipersyaratkan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menggunakan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look-through approach,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menunjukkan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bahwa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pertimbangan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regulatory arbitrage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memengaruhi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keputusan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penggunaan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look-through approach. </w:t>
            </w:r>
          </w:p>
          <w:p w14:paraId="0C79EF50" w14:textId="4F92728B" w:rsidR="00845764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menghindari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penetapan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limit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Besar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investasi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beberapa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individu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material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identik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20EFDA49" w14:textId="77777777" w:rsidTr="00384609">
        <w:tc>
          <w:tcPr>
            <w:tcW w:w="2500" w:type="pct"/>
          </w:tcPr>
          <w:p w14:paraId="320B3BD1" w14:textId="226FBA1E" w:rsidR="00845764" w:rsidRPr="00556719" w:rsidRDefault="00845764" w:rsidP="00976DB7">
            <w:pPr>
              <w:pStyle w:val="Default"/>
              <w:numPr>
                <w:ilvl w:val="0"/>
                <w:numId w:val="12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12" w:name="_Hlk61516578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proporsi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nominal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kurang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0,25%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 xml:space="preserve">tier 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1) Bank;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bookmarkEnd w:id="12"/>
          </w:p>
        </w:tc>
        <w:tc>
          <w:tcPr>
            <w:tcW w:w="2500" w:type="pct"/>
          </w:tcPr>
          <w:p w14:paraId="74028D33" w14:textId="77777777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69C60CD" w14:textId="77777777" w:rsidTr="00384609">
        <w:tc>
          <w:tcPr>
            <w:tcW w:w="2500" w:type="pct"/>
          </w:tcPr>
          <w:p w14:paraId="3BC7A8D1" w14:textId="1BA2CB25" w:rsidR="00845764" w:rsidRPr="00556719" w:rsidRDefault="00845764" w:rsidP="00976DB7">
            <w:pPr>
              <w:pStyle w:val="Default"/>
              <w:numPr>
                <w:ilvl w:val="0"/>
                <w:numId w:val="12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unknown client,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proporsi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nominal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0,25%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 xml:space="preserve">tier 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>1) Bank.</w:t>
            </w:r>
          </w:p>
        </w:tc>
        <w:tc>
          <w:tcPr>
            <w:tcW w:w="2500" w:type="pct"/>
          </w:tcPr>
          <w:p w14:paraId="75A42E98" w14:textId="77777777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5AF0DAC" w14:textId="77777777" w:rsidTr="00384609">
        <w:tc>
          <w:tcPr>
            <w:tcW w:w="2500" w:type="pct"/>
          </w:tcPr>
          <w:p w14:paraId="6CC857A7" w14:textId="0DCF2566" w:rsidR="00845764" w:rsidRPr="00556719" w:rsidRDefault="00845764" w:rsidP="00976DB7">
            <w:pPr>
              <w:pStyle w:val="Default"/>
              <w:numPr>
                <w:ilvl w:val="0"/>
                <w:numId w:val="8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13" w:name="_Hlk61516620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unknown client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(5)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keseluruhan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unknown client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tetap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memperhitungkan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batasan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Peminjam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16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b. </w:t>
            </w:r>
            <w:bookmarkEnd w:id="13"/>
          </w:p>
        </w:tc>
        <w:tc>
          <w:tcPr>
            <w:tcW w:w="2500" w:type="pct"/>
          </w:tcPr>
          <w:p w14:paraId="0A60BFF8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(6) </w:t>
            </w:r>
          </w:p>
          <w:p w14:paraId="3CB1400C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5CD79654" w14:textId="77777777" w:rsidR="00845764" w:rsidRPr="00556719" w:rsidRDefault="00845764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B3271E2" w14:textId="77777777" w:rsidTr="00384609">
        <w:tc>
          <w:tcPr>
            <w:tcW w:w="2500" w:type="pct"/>
          </w:tcPr>
          <w:p w14:paraId="486AF022" w14:textId="7F36C4BB" w:rsidR="00845764" w:rsidRPr="00556719" w:rsidRDefault="00845764" w:rsidP="00976DB7">
            <w:pPr>
              <w:pStyle w:val="Default"/>
              <w:numPr>
                <w:ilvl w:val="0"/>
                <w:numId w:val="8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14" w:name="_Hlk61516692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dihubungkan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identifikasi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ketiga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menimbulkan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tambahan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Syariah. </w:t>
            </w:r>
            <w:bookmarkEnd w:id="14"/>
          </w:p>
        </w:tc>
        <w:tc>
          <w:tcPr>
            <w:tcW w:w="2500" w:type="pct"/>
          </w:tcPr>
          <w:p w14:paraId="79555D2E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(7) </w:t>
            </w:r>
          </w:p>
          <w:p w14:paraId="498B2C61" w14:textId="2C20C43C" w:rsidR="00845764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bookmarkStart w:id="15" w:name="_Hlk61516746"/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ketiga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(originator),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manajer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investasi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fasilitas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likuiditas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proteksi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  <w:bookmarkEnd w:id="15"/>
          </w:p>
        </w:tc>
      </w:tr>
      <w:tr w:rsidR="00556719" w:rsidRPr="00556719" w14:paraId="1BF8943E" w14:textId="77777777" w:rsidTr="00384609">
        <w:tc>
          <w:tcPr>
            <w:tcW w:w="2500" w:type="pct"/>
          </w:tcPr>
          <w:p w14:paraId="21C239C2" w14:textId="62DBC984" w:rsidR="00845764" w:rsidRPr="00556719" w:rsidRDefault="00845764" w:rsidP="00976DB7">
            <w:pPr>
              <w:pStyle w:val="Default"/>
              <w:numPr>
                <w:ilvl w:val="0"/>
                <w:numId w:val="8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mempertimbangkan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beberapa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ketiga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menimbulkan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potensi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tambahan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(7). </w:t>
            </w:r>
          </w:p>
        </w:tc>
        <w:tc>
          <w:tcPr>
            <w:tcW w:w="2500" w:type="pct"/>
          </w:tcPr>
          <w:p w14:paraId="51F0DDD6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(8) </w:t>
            </w:r>
          </w:p>
          <w:p w14:paraId="332E8D89" w14:textId="321004A1" w:rsidR="00845764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7C217060" w14:textId="77777777" w:rsidTr="00384609">
        <w:tc>
          <w:tcPr>
            <w:tcW w:w="2500" w:type="pct"/>
          </w:tcPr>
          <w:p w14:paraId="410F7F6A" w14:textId="58CFE690" w:rsidR="00845764" w:rsidRPr="00556719" w:rsidRDefault="00845764" w:rsidP="00976DB7">
            <w:pPr>
              <w:pStyle w:val="Default"/>
              <w:numPr>
                <w:ilvl w:val="0"/>
                <w:numId w:val="8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beberapa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ketiga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menimbulkan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tambahan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(8), </w:t>
            </w:r>
            <w:bookmarkStart w:id="16" w:name="_Hlk61516788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menjumlahkan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eksposur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dihubungkan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masing-masing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ketiga</w:t>
            </w:r>
            <w:bookmarkEnd w:id="16"/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B3B40FA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 xml:space="preserve">Ayat (9) </w:t>
            </w:r>
          </w:p>
          <w:p w14:paraId="0A97C9B2" w14:textId="6B387D8D" w:rsidR="00845764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1CF03B4D" w14:textId="77777777" w:rsidTr="00384609">
        <w:tc>
          <w:tcPr>
            <w:tcW w:w="2500" w:type="pct"/>
          </w:tcPr>
          <w:p w14:paraId="553B53B8" w14:textId="77777777" w:rsidR="00845764" w:rsidRPr="00556719" w:rsidRDefault="00845764" w:rsidP="00845764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0078E70" w14:textId="77777777" w:rsidR="00845764" w:rsidRPr="00556719" w:rsidRDefault="00845764" w:rsidP="00845764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DEE454F" w14:textId="77777777" w:rsidTr="00384609">
        <w:tc>
          <w:tcPr>
            <w:tcW w:w="2500" w:type="pct"/>
          </w:tcPr>
          <w:p w14:paraId="7FDB20E4" w14:textId="25CCFB24" w:rsidR="000E5C2A" w:rsidRPr="00556719" w:rsidRDefault="00845764" w:rsidP="00845764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3</w:t>
            </w:r>
            <w:r w:rsidR="00D21692">
              <w:rPr>
                <w:rFonts w:ascii="Bookman Old Style" w:hAnsi="Bookman Old Style" w:cstheme="majorHAnsi"/>
                <w:sz w:val="20"/>
                <w:szCs w:val="20"/>
              </w:rPr>
              <w:t>0</w:t>
            </w:r>
          </w:p>
        </w:tc>
        <w:tc>
          <w:tcPr>
            <w:tcW w:w="2500" w:type="pct"/>
          </w:tcPr>
          <w:p w14:paraId="3118A87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A310383" w14:textId="50FD2983" w:rsidTr="00384609">
        <w:tc>
          <w:tcPr>
            <w:tcW w:w="2500" w:type="pct"/>
          </w:tcPr>
          <w:p w14:paraId="05DFBC6A" w14:textId="334B17B0" w:rsidR="000E5C2A" w:rsidRPr="00556719" w:rsidRDefault="000E5C2A" w:rsidP="00976DB7">
            <w:pPr>
              <w:pStyle w:val="Default"/>
              <w:numPr>
                <w:ilvl w:val="0"/>
                <w:numId w:val="11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>covered sukuk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>covered sukuk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706A62B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0BD4F487" w14:textId="0B348E29" w:rsidR="000E5C2A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55CEFE98" w14:textId="77777777" w:rsidTr="00384609">
        <w:tc>
          <w:tcPr>
            <w:tcW w:w="2500" w:type="pct"/>
          </w:tcPr>
          <w:p w14:paraId="7081AEF9" w14:textId="3D5C5588" w:rsidR="006B3DD8" w:rsidRPr="00556719" w:rsidRDefault="006B3DD8" w:rsidP="00976DB7">
            <w:pPr>
              <w:pStyle w:val="Default"/>
              <w:numPr>
                <w:ilvl w:val="0"/>
                <w:numId w:val="11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>covered sukuk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nominal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</w:t>
            </w:r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>overed sukuk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kecuali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>covered sukuk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6AA0CCF1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35E32F1D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3A226D7C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74D39D8" w14:textId="77777777" w:rsidTr="00384609">
        <w:tc>
          <w:tcPr>
            <w:tcW w:w="2500" w:type="pct"/>
          </w:tcPr>
          <w:p w14:paraId="4C83E1E4" w14:textId="1BC186DC" w:rsidR="006B3DD8" w:rsidRPr="00556719" w:rsidRDefault="006B3DD8" w:rsidP="00976DB7">
            <w:pPr>
              <w:pStyle w:val="Default"/>
              <w:numPr>
                <w:ilvl w:val="0"/>
                <w:numId w:val="11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7A7DCDCD" w14:textId="03F4AC2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</w:tc>
      </w:tr>
      <w:tr w:rsidR="00556719" w:rsidRPr="00556719" w14:paraId="70FB4EE5" w14:textId="77777777" w:rsidTr="00384609">
        <w:tc>
          <w:tcPr>
            <w:tcW w:w="2500" w:type="pct"/>
          </w:tcPr>
          <w:p w14:paraId="241C9C6C" w14:textId="77777777" w:rsidR="006B3DD8" w:rsidRPr="00556719" w:rsidRDefault="006B3DD8" w:rsidP="00976DB7">
            <w:pPr>
              <w:pStyle w:val="Default"/>
              <w:numPr>
                <w:ilvl w:val="0"/>
                <w:numId w:val="11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>covered sukuk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kriteria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78A9A376" w14:textId="77777777" w:rsidR="006B3DD8" w:rsidRPr="00556719" w:rsidRDefault="006B3DD8" w:rsidP="00976DB7">
            <w:pPr>
              <w:pStyle w:val="Default"/>
              <w:numPr>
                <w:ilvl w:val="0"/>
                <w:numId w:val="11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obligasi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institusi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pemilikan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rumah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(mortgage institution)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dilindungi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hukum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memproteksi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pemegang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1EF0E9F8" w14:textId="77777777" w:rsidR="006B3DD8" w:rsidRPr="00556719" w:rsidRDefault="006B3DD8" w:rsidP="00976DB7">
            <w:pPr>
              <w:pStyle w:val="Default"/>
              <w:numPr>
                <w:ilvl w:val="0"/>
                <w:numId w:val="11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covered sukuk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diinvestasikan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suatu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mampu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menutup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klaim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melekat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obligasi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periode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obligasi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  <w:p w14:paraId="7E93823A" w14:textId="0DDB0028" w:rsidR="006B3DD8" w:rsidRPr="00556719" w:rsidRDefault="006B3DD8" w:rsidP="00976DB7">
            <w:pPr>
              <w:pStyle w:val="Default"/>
              <w:numPr>
                <w:ilvl w:val="0"/>
                <w:numId w:val="11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obligasi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mengalami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gagal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bayar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investasi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diperoleh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digunakan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prioritas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penggantian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pokok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pembayaran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imbal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7DDB4521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5FF7F33B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7BF7EAE5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B2B1874" w14:textId="77777777" w:rsidTr="00384609">
        <w:tc>
          <w:tcPr>
            <w:tcW w:w="2500" w:type="pct"/>
          </w:tcPr>
          <w:p w14:paraId="36864665" w14:textId="77777777" w:rsidR="006B3DD8" w:rsidRPr="00556719" w:rsidRDefault="006B3DD8" w:rsidP="00976DB7">
            <w:pPr>
              <w:pStyle w:val="Default"/>
              <w:numPr>
                <w:ilvl w:val="0"/>
                <w:numId w:val="11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kumpulan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utama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mendasari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terdiri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  <w:p w14:paraId="58475074" w14:textId="77777777" w:rsidR="006B3DD8" w:rsidRPr="00556719" w:rsidRDefault="006B3DD8" w:rsidP="00976DB7">
            <w:pPr>
              <w:pStyle w:val="Default"/>
              <w:numPr>
                <w:ilvl w:val="0"/>
                <w:numId w:val="11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entitas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sektor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pembangunan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multilateral; </w:t>
            </w:r>
          </w:p>
          <w:p w14:paraId="42E66215" w14:textId="77777777" w:rsidR="006B3DD8" w:rsidRPr="00556719" w:rsidRDefault="006B3DD8" w:rsidP="00976DB7">
            <w:pPr>
              <w:pStyle w:val="Default"/>
              <w:numPr>
                <w:ilvl w:val="0"/>
                <w:numId w:val="11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beragun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rumah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tinggal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bobot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35%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loan to value ratio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80%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delapan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);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</w:p>
          <w:p w14:paraId="04E2423F" w14:textId="334C23A4" w:rsidR="006B3DD8" w:rsidRPr="00556719" w:rsidRDefault="006B3DD8" w:rsidP="00976DB7">
            <w:pPr>
              <w:pStyle w:val="Default"/>
              <w:numPr>
                <w:ilvl w:val="0"/>
                <w:numId w:val="11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beragun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properti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komersial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bobot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100%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seratus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loan to value ratio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60%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enam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); dan</w:t>
            </w:r>
          </w:p>
        </w:tc>
        <w:tc>
          <w:tcPr>
            <w:tcW w:w="2500" w:type="pct"/>
          </w:tcPr>
          <w:p w14:paraId="111EFAED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6C8CFE55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entitas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sektor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publik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pembangunan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multilateral;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beragun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rumah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tinggal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beragun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properti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komersial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pedoman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tertimbang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menurut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menggunakan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pendekatan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  <w:p w14:paraId="7714270D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A6F4FFB" w14:textId="77777777" w:rsidTr="00384609">
        <w:tc>
          <w:tcPr>
            <w:tcW w:w="2500" w:type="pct"/>
          </w:tcPr>
          <w:p w14:paraId="7F86EE34" w14:textId="3A816CAE" w:rsidR="006B3DD8" w:rsidRPr="00556719" w:rsidRDefault="006B3DD8" w:rsidP="00976DB7">
            <w:pPr>
              <w:pStyle w:val="Default"/>
              <w:numPr>
                <w:ilvl w:val="0"/>
                <w:numId w:val="11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nominal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sekumpulan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digunakan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menerbitkan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covered sukuk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melebihi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outstanding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covered sukuk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rendah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). </w:t>
            </w:r>
          </w:p>
        </w:tc>
        <w:tc>
          <w:tcPr>
            <w:tcW w:w="2500" w:type="pct"/>
          </w:tcPr>
          <w:p w14:paraId="186E81CD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c </w:t>
            </w:r>
          </w:p>
          <w:p w14:paraId="62764FB1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Sekumpulan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digunakan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dasar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menerbitkan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covered sukuk juga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6FDC184F" w14:textId="77777777" w:rsidR="006B3DD8" w:rsidRPr="00556719" w:rsidRDefault="006B3DD8" w:rsidP="00976DB7">
            <w:pPr>
              <w:pStyle w:val="ListParagraph"/>
              <w:numPr>
                <w:ilvl w:val="0"/>
                <w:numId w:val="115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substitusi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kas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pendek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likuid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substitusi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kumpulan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utama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(primary asset)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meningkatkan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kumpulan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(cover pool);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</w:p>
          <w:p w14:paraId="766D4EA7" w14:textId="073BDE46" w:rsidR="006B3DD8" w:rsidRPr="00556719" w:rsidRDefault="006B3DD8" w:rsidP="00976DB7">
            <w:pPr>
              <w:pStyle w:val="ListParagraph"/>
              <w:numPr>
                <w:ilvl w:val="0"/>
                <w:numId w:val="115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Derivatif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lindung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muncul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covered sukuk.</w:t>
            </w:r>
          </w:p>
        </w:tc>
      </w:tr>
      <w:tr w:rsidR="00556719" w:rsidRPr="00556719" w14:paraId="5BB36AB2" w14:textId="77777777" w:rsidTr="00384609">
        <w:tc>
          <w:tcPr>
            <w:tcW w:w="2500" w:type="pct"/>
          </w:tcPr>
          <w:p w14:paraId="51B5CB1F" w14:textId="7B7B1018" w:rsidR="006B3DD8" w:rsidRPr="00556719" w:rsidRDefault="006B3DD8" w:rsidP="00976DB7">
            <w:pPr>
              <w:pStyle w:val="Default"/>
              <w:numPr>
                <w:ilvl w:val="0"/>
                <w:numId w:val="11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awal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covered sukuk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sisa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covered sukuk. </w:t>
            </w:r>
          </w:p>
        </w:tc>
        <w:tc>
          <w:tcPr>
            <w:tcW w:w="2500" w:type="pct"/>
          </w:tcPr>
          <w:p w14:paraId="38AB0A2D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(4) </w:t>
            </w:r>
          </w:p>
          <w:p w14:paraId="463E363C" w14:textId="12E826B3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1A5B6892" w14:textId="77777777" w:rsidTr="00384609">
        <w:tc>
          <w:tcPr>
            <w:tcW w:w="2500" w:type="pct"/>
          </w:tcPr>
          <w:p w14:paraId="0C69222F" w14:textId="108875C8" w:rsidR="006B3DD8" w:rsidRPr="00556719" w:rsidRDefault="006B3DD8" w:rsidP="00976DB7">
            <w:pPr>
              <w:pStyle w:val="Default"/>
              <w:numPr>
                <w:ilvl w:val="0"/>
                <w:numId w:val="11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covered sukuk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rendah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nominal covered sukuk.</w:t>
            </w:r>
          </w:p>
        </w:tc>
        <w:tc>
          <w:tcPr>
            <w:tcW w:w="2500" w:type="pct"/>
          </w:tcPr>
          <w:p w14:paraId="1937C0F6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(5) </w:t>
            </w:r>
          </w:p>
          <w:p w14:paraId="385119E6" w14:textId="0AF24DA0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546780CB" w14:textId="77777777" w:rsidTr="00384609">
        <w:tc>
          <w:tcPr>
            <w:tcW w:w="2500" w:type="pct"/>
          </w:tcPr>
          <w:p w14:paraId="42D93974" w14:textId="77777777" w:rsidR="006B3DD8" w:rsidRPr="00556719" w:rsidRDefault="006B3DD8" w:rsidP="006B3DD8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27DEFDC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389946D" w14:textId="77777777" w:rsidTr="00384609">
        <w:tc>
          <w:tcPr>
            <w:tcW w:w="2500" w:type="pct"/>
          </w:tcPr>
          <w:p w14:paraId="420C6801" w14:textId="6CB23425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3</w:t>
            </w:r>
            <w:r w:rsidR="00D21692">
              <w:rPr>
                <w:rFonts w:ascii="Bookman Old Style" w:hAnsi="Bookman Old Style" w:cstheme="majorHAnsi"/>
                <w:sz w:val="20"/>
                <w:szCs w:val="20"/>
              </w:rPr>
              <w:t>1</w:t>
            </w:r>
          </w:p>
        </w:tc>
        <w:tc>
          <w:tcPr>
            <w:tcW w:w="2500" w:type="pct"/>
          </w:tcPr>
          <w:p w14:paraId="6B2CA2A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8D2562C" w14:textId="5C199A6F" w:rsidTr="00384609">
        <w:tc>
          <w:tcPr>
            <w:tcW w:w="2500" w:type="pct"/>
          </w:tcPr>
          <w:p w14:paraId="76792569" w14:textId="2E997C8D" w:rsidR="000E5C2A" w:rsidRPr="00556719" w:rsidRDefault="000E5C2A" w:rsidP="00976DB7">
            <w:pPr>
              <w:pStyle w:val="Default"/>
              <w:numPr>
                <w:ilvl w:val="0"/>
                <w:numId w:val="8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Pengambilalihan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negosiasi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wesel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ekspor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sepanjang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D6F3DEA" w14:textId="4BFF2C0B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17BB4647" w14:textId="77777777" w:rsidTr="00384609">
        <w:tc>
          <w:tcPr>
            <w:tcW w:w="2500" w:type="pct"/>
          </w:tcPr>
          <w:p w14:paraId="29C4CF20" w14:textId="08A85877" w:rsidR="006B3DD8" w:rsidRPr="00556719" w:rsidRDefault="006B3DD8" w:rsidP="00976DB7">
            <w:pPr>
              <w:pStyle w:val="Default"/>
              <w:numPr>
                <w:ilvl w:val="0"/>
                <w:numId w:val="8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7E4AD431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9D7EA6F" w14:textId="77777777" w:rsidTr="00384609">
        <w:tc>
          <w:tcPr>
            <w:tcW w:w="2500" w:type="pct"/>
          </w:tcPr>
          <w:p w14:paraId="3F5D5EB5" w14:textId="5BB2626E" w:rsidR="006B3DD8" w:rsidRPr="00556719" w:rsidRDefault="006B3DD8" w:rsidP="00976DB7">
            <w:pPr>
              <w:pStyle w:val="Default"/>
              <w:numPr>
                <w:ilvl w:val="0"/>
                <w:numId w:val="12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wesel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ekspor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letter of credit (L/C)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(usance L/C)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Uniform Customs and Practice for Documentary Credits (UCP)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berlaku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</w:tc>
        <w:tc>
          <w:tcPr>
            <w:tcW w:w="2500" w:type="pct"/>
          </w:tcPr>
          <w:p w14:paraId="7C0729B4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ABACA50" w14:textId="77777777" w:rsidTr="00384609">
        <w:tc>
          <w:tcPr>
            <w:tcW w:w="2500" w:type="pct"/>
          </w:tcPr>
          <w:p w14:paraId="2BF33E80" w14:textId="03016A56" w:rsidR="006B3DD8" w:rsidRPr="00556719" w:rsidRDefault="006B3DD8" w:rsidP="00976DB7">
            <w:pPr>
              <w:pStyle w:val="Default"/>
              <w:numPr>
                <w:ilvl w:val="0"/>
                <w:numId w:val="12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diaksep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Prime Bank.</w:t>
            </w:r>
          </w:p>
        </w:tc>
        <w:tc>
          <w:tcPr>
            <w:tcW w:w="2500" w:type="pct"/>
          </w:tcPr>
          <w:p w14:paraId="2DB16D4C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6449AA1" w14:textId="77777777" w:rsidTr="00384609">
        <w:tc>
          <w:tcPr>
            <w:tcW w:w="2500" w:type="pct"/>
          </w:tcPr>
          <w:p w14:paraId="11DB8300" w14:textId="77777777" w:rsidR="006B3DD8" w:rsidRPr="00556719" w:rsidRDefault="006B3DD8" w:rsidP="006B3DD8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D3D5DCF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5F91531" w14:textId="77777777" w:rsidTr="00384609">
        <w:tc>
          <w:tcPr>
            <w:tcW w:w="2500" w:type="pct"/>
          </w:tcPr>
          <w:p w14:paraId="2F6BFEAC" w14:textId="0CA98A7A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Kelima</w:t>
            </w:r>
            <w:proofErr w:type="spellEnd"/>
          </w:p>
          <w:p w14:paraId="44B43130" w14:textId="5D15E31A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Akseptasi</w:t>
            </w:r>
            <w:proofErr w:type="spellEnd"/>
          </w:p>
        </w:tc>
        <w:tc>
          <w:tcPr>
            <w:tcW w:w="2500" w:type="pct"/>
          </w:tcPr>
          <w:p w14:paraId="672A239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2D2DD6B" w14:textId="77777777" w:rsidTr="00384609">
        <w:tc>
          <w:tcPr>
            <w:tcW w:w="2500" w:type="pct"/>
          </w:tcPr>
          <w:p w14:paraId="746984CC" w14:textId="431CDCB0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2500" w:type="pct"/>
          </w:tcPr>
          <w:p w14:paraId="68CA6D4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91D7B7D" w14:textId="759209AC" w:rsidTr="00384609">
        <w:tc>
          <w:tcPr>
            <w:tcW w:w="2500" w:type="pct"/>
          </w:tcPr>
          <w:p w14:paraId="39B1EA93" w14:textId="5947C1B3" w:rsidR="000E5C2A" w:rsidRPr="00556719" w:rsidRDefault="000E5C2A" w:rsidP="00976DB7">
            <w:pPr>
              <w:pStyle w:val="Default"/>
              <w:numPr>
                <w:ilvl w:val="0"/>
                <w:numId w:val="8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17" w:name="_Hlk61522387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Akseptasi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  <w:bookmarkEnd w:id="17"/>
          </w:p>
        </w:tc>
        <w:tc>
          <w:tcPr>
            <w:tcW w:w="2500" w:type="pct"/>
          </w:tcPr>
          <w:p w14:paraId="17ADA38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2954684C" w14:textId="4E625F81" w:rsidR="000E5C2A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0AFE6230" w14:textId="77777777" w:rsidTr="00384609">
        <w:tc>
          <w:tcPr>
            <w:tcW w:w="2500" w:type="pct"/>
          </w:tcPr>
          <w:p w14:paraId="707F9A7B" w14:textId="23437F69" w:rsidR="006B3DD8" w:rsidRPr="00556719" w:rsidRDefault="006B3DD8" w:rsidP="00976DB7">
            <w:pPr>
              <w:pStyle w:val="Default"/>
              <w:numPr>
                <w:ilvl w:val="0"/>
                <w:numId w:val="12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jika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melunasi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lain;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2500" w:type="pct"/>
          </w:tcPr>
          <w:p w14:paraId="6A564768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7C0FCCE" w14:textId="77777777" w:rsidTr="00384609">
        <w:tc>
          <w:tcPr>
            <w:tcW w:w="2500" w:type="pct"/>
          </w:tcPr>
          <w:p w14:paraId="3D6303C4" w14:textId="3DF5603B" w:rsidR="006B3DD8" w:rsidRPr="00556719" w:rsidRDefault="006B3DD8" w:rsidP="00976DB7">
            <w:pPr>
              <w:pStyle w:val="Default"/>
              <w:numPr>
                <w:ilvl w:val="0"/>
                <w:numId w:val="12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jika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melunasi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A945657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1DDD64C" w14:textId="77777777" w:rsidTr="00384609">
        <w:tc>
          <w:tcPr>
            <w:tcW w:w="2500" w:type="pct"/>
          </w:tcPr>
          <w:p w14:paraId="3B44BFAD" w14:textId="21F4F7EC" w:rsidR="006B3DD8" w:rsidRPr="00556719" w:rsidRDefault="006B3DD8" w:rsidP="00976DB7">
            <w:pPr>
              <w:pStyle w:val="Default"/>
              <w:numPr>
                <w:ilvl w:val="0"/>
                <w:numId w:val="8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Akseptasi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wesel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diaksep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7CD7636E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577A1754" w14:textId="6E0E623A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Nilai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wesel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diaksep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debitur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applicant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menjamin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54A810E5" w14:textId="77777777" w:rsidTr="00384609">
        <w:tc>
          <w:tcPr>
            <w:tcW w:w="2500" w:type="pct"/>
          </w:tcPr>
          <w:p w14:paraId="67E820FB" w14:textId="77777777" w:rsidR="006B3DD8" w:rsidRPr="00556719" w:rsidRDefault="006B3DD8" w:rsidP="006B3DD8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F463D3C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8CA7959" w14:textId="77777777" w:rsidTr="00384609">
        <w:tc>
          <w:tcPr>
            <w:tcW w:w="2500" w:type="pct"/>
          </w:tcPr>
          <w:p w14:paraId="16803802" w14:textId="5529D3B0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Keenam</w:t>
            </w:r>
            <w:proofErr w:type="spellEnd"/>
          </w:p>
          <w:p w14:paraId="5DA0D577" w14:textId="4ED6289F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Pembiayaan</w:t>
            </w:r>
          </w:p>
        </w:tc>
        <w:tc>
          <w:tcPr>
            <w:tcW w:w="2500" w:type="pct"/>
          </w:tcPr>
          <w:p w14:paraId="676405D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2BB4251" w14:textId="77777777" w:rsidTr="00384609">
        <w:tc>
          <w:tcPr>
            <w:tcW w:w="2500" w:type="pct"/>
          </w:tcPr>
          <w:p w14:paraId="3157F5F3" w14:textId="13BE477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500" w:type="pct"/>
          </w:tcPr>
          <w:p w14:paraId="4F34534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66E7C0C" w14:textId="0F54231B" w:rsidTr="00384609">
        <w:tc>
          <w:tcPr>
            <w:tcW w:w="2500" w:type="pct"/>
          </w:tcPr>
          <w:p w14:paraId="4424EB66" w14:textId="71A98373" w:rsidR="000E5C2A" w:rsidRPr="00556719" w:rsidRDefault="000E5C2A" w:rsidP="00976DB7">
            <w:pPr>
              <w:pStyle w:val="Default"/>
              <w:numPr>
                <w:ilvl w:val="0"/>
                <w:numId w:val="8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18" w:name="_Hlk61522538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  <w:bookmarkEnd w:id="18"/>
          </w:p>
        </w:tc>
        <w:tc>
          <w:tcPr>
            <w:tcW w:w="2500" w:type="pct"/>
          </w:tcPr>
          <w:p w14:paraId="269338C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3E10A5CE" w14:textId="18FD265A" w:rsidR="000E5C2A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254DF05E" w14:textId="77777777" w:rsidTr="00384609">
        <w:tc>
          <w:tcPr>
            <w:tcW w:w="2500" w:type="pct"/>
          </w:tcPr>
          <w:p w14:paraId="6D81819A" w14:textId="74A709BE" w:rsidR="006B3DD8" w:rsidRPr="00556719" w:rsidRDefault="006B3DD8" w:rsidP="00976DB7">
            <w:pPr>
              <w:pStyle w:val="Default"/>
              <w:numPr>
                <w:ilvl w:val="0"/>
                <w:numId w:val="8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602269BE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1C55DEB8" w14:textId="584A43E6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575A11DE" w14:textId="77777777" w:rsidTr="00384609">
        <w:tc>
          <w:tcPr>
            <w:tcW w:w="2500" w:type="pct"/>
          </w:tcPr>
          <w:p w14:paraId="4301D427" w14:textId="3E9EEBCF" w:rsidR="006B3DD8" w:rsidRPr="00556719" w:rsidRDefault="006B3DD8" w:rsidP="00976DB7">
            <w:pPr>
              <w:pStyle w:val="Default"/>
              <w:numPr>
                <w:ilvl w:val="0"/>
                <w:numId w:val="8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pengambilalihan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piutang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janji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kembali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(without recourse)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melunasi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piutang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4CC8BA50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4BA0660E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3834A992" w14:textId="6F54D86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Bank “A”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mengambil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alih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“Z”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“X”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without recourse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Rp150.000.000,00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seratus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juta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rupiah)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BMPK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“X”. </w:t>
            </w:r>
          </w:p>
        </w:tc>
      </w:tr>
      <w:tr w:rsidR="00556719" w:rsidRPr="00556719" w14:paraId="546FD4CD" w14:textId="77777777" w:rsidTr="00384609">
        <w:tc>
          <w:tcPr>
            <w:tcW w:w="2500" w:type="pct"/>
          </w:tcPr>
          <w:p w14:paraId="5D8C0D13" w14:textId="2A9CE0A6" w:rsidR="006B3DD8" w:rsidRPr="00556719" w:rsidRDefault="006B3DD8" w:rsidP="00976DB7">
            <w:pPr>
              <w:pStyle w:val="Default"/>
              <w:numPr>
                <w:ilvl w:val="0"/>
                <w:numId w:val="8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pengambilalihan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piutang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janji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kembali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(with recourse)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menjual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Pembiayaan.</w:t>
            </w:r>
          </w:p>
        </w:tc>
        <w:tc>
          <w:tcPr>
            <w:tcW w:w="2500" w:type="pct"/>
          </w:tcPr>
          <w:p w14:paraId="51F22A12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(4) </w:t>
            </w:r>
          </w:p>
          <w:p w14:paraId="5244CBC1" w14:textId="77777777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60DE8A63" w14:textId="34499570" w:rsidR="006B3DD8" w:rsidRPr="00556719" w:rsidRDefault="006B3DD8" w:rsidP="006B3DD8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Bank “A”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mengambil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alih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“Z”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“X”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with recourse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Rp150.000.000,00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seratus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juta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rupiah)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BMPK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“Z”.</w:t>
            </w:r>
          </w:p>
        </w:tc>
      </w:tr>
      <w:tr w:rsidR="00556719" w:rsidRPr="00556719" w14:paraId="5EF2ED0C" w14:textId="77777777" w:rsidTr="00384609">
        <w:tc>
          <w:tcPr>
            <w:tcW w:w="2500" w:type="pct"/>
          </w:tcPr>
          <w:p w14:paraId="70FBCCBB" w14:textId="77777777" w:rsidR="006B3DD8" w:rsidRPr="00556719" w:rsidRDefault="006B3DD8" w:rsidP="006B3DD8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6EA20A4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C16135A" w14:textId="77777777" w:rsidTr="00384609">
        <w:tc>
          <w:tcPr>
            <w:tcW w:w="2500" w:type="pct"/>
          </w:tcPr>
          <w:p w14:paraId="731D9FE5" w14:textId="09C751CD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Ketujuh</w:t>
            </w:r>
            <w:proofErr w:type="spellEnd"/>
          </w:p>
          <w:p w14:paraId="39CF35C7" w14:textId="528C1272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</w:t>
            </w:r>
          </w:p>
        </w:tc>
        <w:tc>
          <w:tcPr>
            <w:tcW w:w="2500" w:type="pct"/>
          </w:tcPr>
          <w:p w14:paraId="182C98A9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FB25A2C" w14:textId="77777777" w:rsidTr="00384609">
        <w:tc>
          <w:tcPr>
            <w:tcW w:w="2500" w:type="pct"/>
          </w:tcPr>
          <w:p w14:paraId="35AD1CE4" w14:textId="5900BD58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500" w:type="pct"/>
          </w:tcPr>
          <w:p w14:paraId="6BEA050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A0281B8" w14:textId="327308EA" w:rsidTr="00384609">
        <w:tc>
          <w:tcPr>
            <w:tcW w:w="2500" w:type="pct"/>
          </w:tcPr>
          <w:p w14:paraId="4961C4B6" w14:textId="7A695C1F" w:rsidR="000E5C2A" w:rsidRPr="00556719" w:rsidRDefault="000E5C2A" w:rsidP="00976DB7">
            <w:pPr>
              <w:pStyle w:val="Default"/>
              <w:numPr>
                <w:ilvl w:val="0"/>
                <w:numId w:val="8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19" w:name="_Hlk61522981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tempat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Modal.</w:t>
            </w:r>
            <w:bookmarkEnd w:id="19"/>
          </w:p>
        </w:tc>
        <w:tc>
          <w:tcPr>
            <w:tcW w:w="2500" w:type="pct"/>
          </w:tcPr>
          <w:p w14:paraId="23492150" w14:textId="68D6D512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53D3B55" w14:textId="77777777" w:rsidTr="00384609">
        <w:tc>
          <w:tcPr>
            <w:tcW w:w="2500" w:type="pct"/>
          </w:tcPr>
          <w:p w14:paraId="5283B55B" w14:textId="4A8DCEB9" w:rsidR="006B3DD8" w:rsidRPr="00556719" w:rsidRDefault="00AE6105" w:rsidP="00976DB7">
            <w:pPr>
              <w:pStyle w:val="Default"/>
              <w:numPr>
                <w:ilvl w:val="0"/>
                <w:numId w:val="8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pengurang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minimum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syariah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1D14B29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BFC6F74" w14:textId="77777777" w:rsidTr="00384609">
        <w:tc>
          <w:tcPr>
            <w:tcW w:w="2500" w:type="pct"/>
          </w:tcPr>
          <w:p w14:paraId="410A0986" w14:textId="61401A24" w:rsidR="006B3DD8" w:rsidRPr="00556719" w:rsidRDefault="00AE6105" w:rsidP="00976DB7">
            <w:pPr>
              <w:pStyle w:val="Default"/>
              <w:numPr>
                <w:ilvl w:val="0"/>
                <w:numId w:val="8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91C4128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6D69047" w14:textId="77777777" w:rsidTr="00384609">
        <w:tc>
          <w:tcPr>
            <w:tcW w:w="2500" w:type="pct"/>
          </w:tcPr>
          <w:p w14:paraId="7A8DFE95" w14:textId="77777777" w:rsidR="006B3DD8" w:rsidRPr="00556719" w:rsidRDefault="006B3DD8" w:rsidP="00AE6105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46CA3D9" w14:textId="77777777" w:rsidR="006B3DD8" w:rsidRPr="00556719" w:rsidRDefault="006B3DD8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917A7B8" w14:textId="77777777" w:rsidTr="00384609">
        <w:tc>
          <w:tcPr>
            <w:tcW w:w="2500" w:type="pct"/>
          </w:tcPr>
          <w:p w14:paraId="028CE200" w14:textId="793A5948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Kedelapan</w:t>
            </w:r>
            <w:proofErr w:type="spellEnd"/>
          </w:p>
          <w:p w14:paraId="74CA3031" w14:textId="71C6CB00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Rekening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Administratif</w:t>
            </w:r>
            <w:proofErr w:type="spellEnd"/>
          </w:p>
        </w:tc>
        <w:tc>
          <w:tcPr>
            <w:tcW w:w="2500" w:type="pct"/>
          </w:tcPr>
          <w:p w14:paraId="6E49359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5418056" w14:textId="77777777" w:rsidTr="00384609">
        <w:tc>
          <w:tcPr>
            <w:tcW w:w="2500" w:type="pct"/>
          </w:tcPr>
          <w:p w14:paraId="3B5806A6" w14:textId="42BB0DDC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2500" w:type="pct"/>
          </w:tcPr>
          <w:p w14:paraId="4EC1448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5ECFA39" w14:textId="178AF787" w:rsidTr="00384609">
        <w:tc>
          <w:tcPr>
            <w:tcW w:w="2500" w:type="pct"/>
          </w:tcPr>
          <w:p w14:paraId="20F8F917" w14:textId="041FFA66" w:rsidR="000E5C2A" w:rsidRPr="00556719" w:rsidRDefault="000E5C2A" w:rsidP="00976DB7">
            <w:pPr>
              <w:pStyle w:val="Default"/>
              <w:numPr>
                <w:ilvl w:val="0"/>
                <w:numId w:val="8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20" w:name="_Hlk61523644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Rekening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Administratif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letter of credit (L/C), st</w:t>
            </w:r>
            <w:r w:rsidR="00AE6105" w:rsidRPr="00556719">
              <w:rPr>
                <w:rFonts w:cstheme="majorHAnsi"/>
                <w:color w:val="auto"/>
                <w:sz w:val="20"/>
                <w:szCs w:val="20"/>
              </w:rPr>
              <w:t xml:space="preserve">andby letter of credit (SBLC),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instrumen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pemohon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  <w:bookmarkEnd w:id="20"/>
          </w:p>
        </w:tc>
        <w:tc>
          <w:tcPr>
            <w:tcW w:w="2500" w:type="pct"/>
          </w:tcPr>
          <w:p w14:paraId="61D5BF2D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60140A8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0D265235" w14:textId="2D470B53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96F170D" w14:textId="77777777" w:rsidTr="00384609">
        <w:tc>
          <w:tcPr>
            <w:tcW w:w="2500" w:type="pct"/>
          </w:tcPr>
          <w:p w14:paraId="65F0D302" w14:textId="0A5AF4E7" w:rsidR="00AE6105" w:rsidRPr="00556719" w:rsidRDefault="00AE6105" w:rsidP="00976DB7">
            <w:pPr>
              <w:pStyle w:val="Default"/>
              <w:numPr>
                <w:ilvl w:val="0"/>
                <w:numId w:val="8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Rekening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Administratif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perkalian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komitmen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kontinjensi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konversi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037C4C65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62DBE863" w14:textId="7CA01BE8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Faktor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konversi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pedoman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tertimbang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menurut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menggunakan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pendekatan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61A9A2B3" w14:textId="77777777" w:rsidTr="00384609">
        <w:tc>
          <w:tcPr>
            <w:tcW w:w="2500" w:type="pct"/>
          </w:tcPr>
          <w:p w14:paraId="1D09A72E" w14:textId="7C01151B" w:rsidR="00AE6105" w:rsidRPr="00556719" w:rsidRDefault="00AE6105" w:rsidP="00976DB7">
            <w:pPr>
              <w:pStyle w:val="Default"/>
              <w:numPr>
                <w:ilvl w:val="0"/>
                <w:numId w:val="8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Nilai minimum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konversi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).</w:t>
            </w:r>
          </w:p>
        </w:tc>
        <w:tc>
          <w:tcPr>
            <w:tcW w:w="2500" w:type="pct"/>
          </w:tcPr>
          <w:p w14:paraId="1040B502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165F50C0" w14:textId="1D6CD283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6F5373E3" w14:textId="77777777" w:rsidTr="00384609">
        <w:tc>
          <w:tcPr>
            <w:tcW w:w="2500" w:type="pct"/>
          </w:tcPr>
          <w:p w14:paraId="65DABEAC" w14:textId="77777777" w:rsidR="00AE6105" w:rsidRPr="00556719" w:rsidRDefault="00AE6105" w:rsidP="00AE6105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13D1B683" w14:textId="77777777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B3E2E17" w14:textId="77777777" w:rsidTr="00384609">
        <w:tc>
          <w:tcPr>
            <w:tcW w:w="2500" w:type="pct"/>
          </w:tcPr>
          <w:p w14:paraId="2463F44D" w14:textId="4D089198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Kesembilan</w:t>
            </w:r>
            <w:proofErr w:type="spellEnd"/>
          </w:p>
          <w:p w14:paraId="4FD5CF2E" w14:textId="680E76E4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bookmarkStart w:id="21" w:name="_Hlk61524078"/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Central Counterparty</w:t>
            </w:r>
            <w:bookmarkEnd w:id="21"/>
          </w:p>
        </w:tc>
        <w:tc>
          <w:tcPr>
            <w:tcW w:w="2500" w:type="pct"/>
          </w:tcPr>
          <w:p w14:paraId="5010918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6DF9EFA" w14:textId="77777777" w:rsidTr="00384609">
        <w:tc>
          <w:tcPr>
            <w:tcW w:w="2500" w:type="pct"/>
          </w:tcPr>
          <w:p w14:paraId="59C1598E" w14:textId="3A33C4FC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  <w:highlight w:val="cyan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  <w:highlight w:val="cyan"/>
              </w:rPr>
              <w:t xml:space="preserve"> 3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2500" w:type="pct"/>
          </w:tcPr>
          <w:p w14:paraId="3B5E794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679C991" w14:textId="378334C0" w:rsidTr="00384609">
        <w:tc>
          <w:tcPr>
            <w:tcW w:w="2500" w:type="pct"/>
          </w:tcPr>
          <w:p w14:paraId="14622598" w14:textId="1DB1D354" w:rsidR="000E5C2A" w:rsidRPr="00556719" w:rsidRDefault="000E5C2A" w:rsidP="00976DB7">
            <w:pPr>
              <w:pStyle w:val="Default"/>
              <w:numPr>
                <w:ilvl w:val="0"/>
                <w:numId w:val="8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22" w:name="_Hlk61524099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central counterparty di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negeri dan di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luar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negeri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terdiri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1448FE48" w14:textId="68CF6758" w:rsidR="000E5C2A" w:rsidRPr="00556719" w:rsidRDefault="000E5C2A" w:rsidP="00976DB7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  <w:p w14:paraId="2A17754B" w14:textId="09BC3E7C" w:rsidR="000E5C2A" w:rsidRPr="00556719" w:rsidRDefault="000E5C2A" w:rsidP="00976DB7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nonkliring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  <w:bookmarkEnd w:id="22"/>
          </w:p>
        </w:tc>
        <w:tc>
          <w:tcPr>
            <w:tcW w:w="2500" w:type="pct"/>
          </w:tcPr>
          <w:p w14:paraId="214DA0C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6E9882D2" w14:textId="35D50DD2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Central counterparty di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negeri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mengacu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perundang-undangan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penyelenggaraan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central counterparty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derivatif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suku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bunga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</w:t>
            </w:r>
            <w:r w:rsidR="00AE6105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AE6105"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="00AE6105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AE6105" w:rsidRPr="00556719">
              <w:rPr>
                <w:rFonts w:ascii="Bookman Old Style" w:hAnsi="Bookman Old Style" w:cstheme="majorHAnsi"/>
                <w:sz w:val="20"/>
                <w:szCs w:val="20"/>
              </w:rPr>
              <w:t>tukar</w:t>
            </w:r>
            <w:proofErr w:type="spellEnd"/>
            <w:r w:rsidR="00AE6105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over-the-counter. </w:t>
            </w:r>
          </w:p>
        </w:tc>
      </w:tr>
      <w:tr w:rsidR="00556719" w:rsidRPr="00556719" w14:paraId="64C102EA" w14:textId="77777777" w:rsidTr="00384609">
        <w:tc>
          <w:tcPr>
            <w:tcW w:w="2500" w:type="pct"/>
          </w:tcPr>
          <w:p w14:paraId="01DAF4FB" w14:textId="77777777" w:rsidR="00AE6105" w:rsidRPr="00556719" w:rsidRDefault="00AE6105" w:rsidP="00976DB7">
            <w:pPr>
              <w:pStyle w:val="Default"/>
              <w:numPr>
                <w:ilvl w:val="0"/>
                <w:numId w:val="8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terdiri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47F500B9" w14:textId="77777777" w:rsidR="00AE6105" w:rsidRPr="00556719" w:rsidRDefault="00AE6105" w:rsidP="00976DB7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23" w:name="_Hlk61524465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eksposur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trade;</w:t>
            </w:r>
          </w:p>
          <w:p w14:paraId="1D299440" w14:textId="77777777" w:rsidR="00AE6105" w:rsidRPr="00556719" w:rsidRDefault="00AE6105" w:rsidP="00976DB7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segregated initial margin;</w:t>
            </w:r>
          </w:p>
          <w:p w14:paraId="5F2919F7" w14:textId="77777777" w:rsidR="00AE6105" w:rsidRPr="00556719" w:rsidRDefault="00AE6105" w:rsidP="00976DB7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non-segregated initial margin;</w:t>
            </w:r>
          </w:p>
          <w:p w14:paraId="46D5F3D8" w14:textId="77777777" w:rsidR="00AE6105" w:rsidRPr="00556719" w:rsidRDefault="00AE6105" w:rsidP="00976DB7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pre-funded default fund contribution;</w:t>
            </w:r>
          </w:p>
          <w:p w14:paraId="18F87A84" w14:textId="77777777" w:rsidR="00AE6105" w:rsidRPr="00556719" w:rsidRDefault="00AE6105" w:rsidP="00976DB7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unfunded default fund contribution; dan</w:t>
            </w:r>
          </w:p>
          <w:p w14:paraId="32D083F4" w14:textId="6E4642D6" w:rsidR="00AE6105" w:rsidRPr="00556719" w:rsidRDefault="00AE6105" w:rsidP="00976DB7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equity stakes.</w:t>
            </w:r>
            <w:bookmarkEnd w:id="23"/>
          </w:p>
        </w:tc>
        <w:tc>
          <w:tcPr>
            <w:tcW w:w="2500" w:type="pct"/>
          </w:tcPr>
          <w:p w14:paraId="4292B7CA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11A1A251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0462FE43" w14:textId="77777777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71CD69E" w14:textId="77777777" w:rsidTr="00384609">
        <w:tc>
          <w:tcPr>
            <w:tcW w:w="2500" w:type="pct"/>
          </w:tcPr>
          <w:p w14:paraId="629CD43F" w14:textId="752DFD0C" w:rsidR="00AE6105" w:rsidRPr="00556719" w:rsidRDefault="00AE6105" w:rsidP="00976DB7">
            <w:pPr>
              <w:pStyle w:val="Default"/>
              <w:numPr>
                <w:ilvl w:val="0"/>
                <w:numId w:val="8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24" w:name="_Hlk61524500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identifikasi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menjumlahkan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setiap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central counterparty</w:t>
            </w:r>
            <w:bookmarkEnd w:id="24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4E8BCA5D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 xml:space="preserve">Ayat (3) </w:t>
            </w:r>
          </w:p>
          <w:p w14:paraId="63DF3836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35876AE6" w14:textId="77777777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B1D127C" w14:textId="77777777" w:rsidTr="00384609">
        <w:tc>
          <w:tcPr>
            <w:tcW w:w="2500" w:type="pct"/>
          </w:tcPr>
          <w:p w14:paraId="24F4BD4B" w14:textId="1AD7459E" w:rsidR="00AE6105" w:rsidRPr="00556719" w:rsidRDefault="00AE6105" w:rsidP="00976DB7">
            <w:pPr>
              <w:pStyle w:val="Default"/>
              <w:numPr>
                <w:ilvl w:val="0"/>
                <w:numId w:val="8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menjumlahkan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nonkliring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setiap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central counterparty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F46246C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(4) </w:t>
            </w:r>
          </w:p>
          <w:p w14:paraId="5C0EB405" w14:textId="20F03F05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nonkliring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fasilitas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pendanaan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garansi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10BC9145" w14:textId="77777777" w:rsidTr="00384609">
        <w:tc>
          <w:tcPr>
            <w:tcW w:w="2500" w:type="pct"/>
          </w:tcPr>
          <w:p w14:paraId="2A408841" w14:textId="77777777" w:rsidR="00AE6105" w:rsidRPr="00556719" w:rsidRDefault="00AE6105" w:rsidP="00AE6105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8B7DD97" w14:textId="77777777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A674E16" w14:textId="77777777" w:rsidTr="00384609">
        <w:tc>
          <w:tcPr>
            <w:tcW w:w="2500" w:type="pct"/>
          </w:tcPr>
          <w:p w14:paraId="2A0CEEF5" w14:textId="7ACDB2CC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  <w:highlight w:val="cyan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  <w:highlight w:val="cyan"/>
              </w:rPr>
              <w:t xml:space="preserve"> 3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2500" w:type="pct"/>
          </w:tcPr>
          <w:p w14:paraId="7E8A8C35" w14:textId="7777777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1D7F6F91" w14:textId="64BFFAFC" w:rsidTr="00384609">
        <w:tc>
          <w:tcPr>
            <w:tcW w:w="2500" w:type="pct"/>
          </w:tcPr>
          <w:p w14:paraId="76FB9A34" w14:textId="78C590B6" w:rsidR="000E5C2A" w:rsidRPr="00556719" w:rsidRDefault="000E5C2A" w:rsidP="00976DB7">
            <w:pPr>
              <w:pStyle w:val="Default"/>
              <w:numPr>
                <w:ilvl w:val="0"/>
                <w:numId w:val="9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25" w:name="_Hlk61524599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central counterparty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penjumlahan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nonkliring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(4).</w:t>
            </w:r>
            <w:bookmarkEnd w:id="25"/>
          </w:p>
        </w:tc>
        <w:tc>
          <w:tcPr>
            <w:tcW w:w="2500" w:type="pct"/>
          </w:tcPr>
          <w:p w14:paraId="22B874E1" w14:textId="5ABAA403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6E50FD2" w14:textId="77777777" w:rsidTr="00384609">
        <w:tc>
          <w:tcPr>
            <w:tcW w:w="2500" w:type="pct"/>
          </w:tcPr>
          <w:p w14:paraId="6BC27E81" w14:textId="5673B492" w:rsidR="00AE6105" w:rsidRPr="00556719" w:rsidRDefault="00AE6105" w:rsidP="00976DB7">
            <w:pPr>
              <w:pStyle w:val="Default"/>
              <w:numPr>
                <w:ilvl w:val="0"/>
                <w:numId w:val="9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central counterparty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25%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tier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1) Bank.</w:t>
            </w:r>
          </w:p>
        </w:tc>
        <w:tc>
          <w:tcPr>
            <w:tcW w:w="2500" w:type="pct"/>
          </w:tcPr>
          <w:p w14:paraId="1F7C1958" w14:textId="77777777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87FD9C3" w14:textId="77777777" w:rsidTr="00384609">
        <w:tc>
          <w:tcPr>
            <w:tcW w:w="2500" w:type="pct"/>
          </w:tcPr>
          <w:p w14:paraId="2DBCA4D5" w14:textId="77777777" w:rsidR="00AE6105" w:rsidRPr="00556719" w:rsidRDefault="00AE6105" w:rsidP="00AE6105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90C50AD" w14:textId="77777777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74F93E7" w14:textId="77777777" w:rsidTr="00384609">
        <w:tc>
          <w:tcPr>
            <w:tcW w:w="2500" w:type="pct"/>
          </w:tcPr>
          <w:p w14:paraId="15F621D2" w14:textId="40514142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  <w:highlight w:val="cyan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  <w:highlight w:val="cyan"/>
              </w:rPr>
              <w:t xml:space="preserve"> 38</w:t>
            </w:r>
          </w:p>
        </w:tc>
        <w:tc>
          <w:tcPr>
            <w:tcW w:w="2500" w:type="pct"/>
          </w:tcPr>
          <w:p w14:paraId="5BDD9C0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3351ED5" w14:textId="5EEB7A2D" w:rsidTr="00384609">
        <w:tc>
          <w:tcPr>
            <w:tcW w:w="2500" w:type="pct"/>
          </w:tcPr>
          <w:p w14:paraId="1F623447" w14:textId="503BC0F6" w:rsidR="000E5C2A" w:rsidRPr="00556719" w:rsidRDefault="000E5C2A" w:rsidP="00976DB7">
            <w:pPr>
              <w:pStyle w:val="Default"/>
              <w:numPr>
                <w:ilvl w:val="0"/>
                <w:numId w:val="9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central counterparty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36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penggolongan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Peminjam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4F3171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4CC94BB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616A38B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4BA3FA04" w14:textId="37C9263D" w:rsidR="000E5C2A" w:rsidRPr="00556719" w:rsidRDefault="000E5C2A" w:rsidP="00AE6105">
            <w:pPr>
              <w:pStyle w:val="ListParagraph"/>
              <w:spacing w:line="276" w:lineRule="auto"/>
              <w:ind w:left="360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22A557D" w14:textId="77777777" w:rsidTr="00384609">
        <w:tc>
          <w:tcPr>
            <w:tcW w:w="2500" w:type="pct"/>
          </w:tcPr>
          <w:p w14:paraId="77B5F9EE" w14:textId="5F5AD9B6" w:rsidR="00AE6105" w:rsidRPr="00556719" w:rsidRDefault="00AE6105" w:rsidP="00976DB7">
            <w:pPr>
              <w:pStyle w:val="Default"/>
              <w:numPr>
                <w:ilvl w:val="0"/>
                <w:numId w:val="9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central counterparty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kategori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qualifying central counterparty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36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BMPD.</w:t>
            </w:r>
          </w:p>
        </w:tc>
        <w:tc>
          <w:tcPr>
            <w:tcW w:w="2500" w:type="pct"/>
          </w:tcPr>
          <w:p w14:paraId="3ACCB43F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5A2BB6AB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i/>
                <w:sz w:val="20"/>
                <w:szCs w:val="20"/>
              </w:rPr>
              <w:t>Qualifying central counterparty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entitas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izin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beroperasi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central counterparty,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izin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memperoleh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pengecualian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memperoleh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izin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regulator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pengawas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beroperasi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central counterparty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produk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ditawarkan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Hal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mengacu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bahwa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central counterparty:</w:t>
            </w:r>
          </w:p>
          <w:p w14:paraId="0CC87850" w14:textId="77777777" w:rsidR="00AE6105" w:rsidRPr="00556719" w:rsidRDefault="00AE6105" w:rsidP="00976DB7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berbasis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regulator; dan</w:t>
            </w:r>
          </w:p>
          <w:p w14:paraId="1B421B9F" w14:textId="1BAB116E" w:rsidR="00AE6105" w:rsidRPr="00556719" w:rsidRDefault="00AE6105" w:rsidP="00976DB7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diawasi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prudensial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pengawas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relevan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yurisdiksi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konsisten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Committee on Payment and Settlement Systems – International Organization of Securities Commissions Principles for Financial Market Infrastructures,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telah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diterapkan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berkelanjutan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4C59FA6A" w14:textId="77777777" w:rsidTr="00384609">
        <w:tc>
          <w:tcPr>
            <w:tcW w:w="2500" w:type="pct"/>
          </w:tcPr>
          <w:p w14:paraId="53AC70C3" w14:textId="77777777" w:rsidR="00AE6105" w:rsidRPr="00556719" w:rsidRDefault="00AE6105" w:rsidP="00AE6105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196ED7D0" w14:textId="77777777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35B58E3" w14:textId="77777777" w:rsidTr="00384609">
        <w:tc>
          <w:tcPr>
            <w:tcW w:w="2500" w:type="pct"/>
          </w:tcPr>
          <w:p w14:paraId="5D5BD0CF" w14:textId="3CAE9291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  <w:highlight w:val="cyan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  <w:highlight w:val="cyan"/>
              </w:rPr>
              <w:t xml:space="preserve"> 3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2500" w:type="pct"/>
          </w:tcPr>
          <w:p w14:paraId="6716432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CECE03A" w14:textId="3FDC636E" w:rsidTr="00384609">
        <w:tc>
          <w:tcPr>
            <w:tcW w:w="2500" w:type="pct"/>
          </w:tcPr>
          <w:p w14:paraId="468198FB" w14:textId="1555C193" w:rsidR="000E5C2A" w:rsidRPr="00556719" w:rsidRDefault="000E5C2A" w:rsidP="00976DB7">
            <w:pPr>
              <w:pStyle w:val="Default"/>
              <w:numPr>
                <w:ilvl w:val="0"/>
                <w:numId w:val="9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central counterparty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500" w:type="pct"/>
          </w:tcPr>
          <w:p w14:paraId="5C80004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125838DF" w14:textId="55931245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3905DB2" w14:textId="77777777" w:rsidTr="00384609">
        <w:tc>
          <w:tcPr>
            <w:tcW w:w="2500" w:type="pct"/>
          </w:tcPr>
          <w:p w14:paraId="4F6EA878" w14:textId="0D60CFF6" w:rsidR="00AE6105" w:rsidRPr="00556719" w:rsidRDefault="00AE6105" w:rsidP="00976DB7">
            <w:pPr>
              <w:pStyle w:val="Default"/>
              <w:numPr>
                <w:ilvl w:val="0"/>
                <w:numId w:val="12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trade exposures,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jenis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diatur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</w:t>
            </w:r>
          </w:p>
        </w:tc>
        <w:tc>
          <w:tcPr>
            <w:tcW w:w="2500" w:type="pct"/>
          </w:tcPr>
          <w:p w14:paraId="72E3873E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6341EF90" w14:textId="433AD792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Derivatif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akibat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kegagalan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lawan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3CC0CDAB" w14:textId="77777777" w:rsidTr="00384609">
        <w:tc>
          <w:tcPr>
            <w:tcW w:w="2500" w:type="pct"/>
          </w:tcPr>
          <w:p w14:paraId="3AA0367D" w14:textId="67ECE945" w:rsidR="00AE6105" w:rsidRPr="00556719" w:rsidRDefault="00AE6105" w:rsidP="00976DB7">
            <w:pPr>
              <w:pStyle w:val="Default"/>
              <w:numPr>
                <w:ilvl w:val="0"/>
                <w:numId w:val="12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segregated initial margin,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0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); </w:t>
            </w:r>
          </w:p>
        </w:tc>
        <w:tc>
          <w:tcPr>
            <w:tcW w:w="2500" w:type="pct"/>
          </w:tcPr>
          <w:p w14:paraId="46EB1C23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2F572204" w14:textId="3B992049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initial margin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diserahkan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telah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terhindar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kepailitan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dialami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central counterparty,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initial margin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terpisah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pencatatan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central counterparty,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kehilangan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initial margin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jika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central counterparty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mengalami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demikian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initial margin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diserahkan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central counterparty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BMPD. </w:t>
            </w:r>
          </w:p>
        </w:tc>
      </w:tr>
      <w:tr w:rsidR="00556719" w:rsidRPr="00556719" w14:paraId="309665F9" w14:textId="77777777" w:rsidTr="00384609">
        <w:tc>
          <w:tcPr>
            <w:tcW w:w="2500" w:type="pct"/>
          </w:tcPr>
          <w:p w14:paraId="6FA26714" w14:textId="719C76AA" w:rsidR="00AE6105" w:rsidRPr="00556719" w:rsidRDefault="00AE6105" w:rsidP="00976DB7">
            <w:pPr>
              <w:pStyle w:val="Default"/>
              <w:numPr>
                <w:ilvl w:val="0"/>
                <w:numId w:val="12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non-segregated initial margin,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nominal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initial margin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ditempatkan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</w:t>
            </w:r>
          </w:p>
        </w:tc>
        <w:tc>
          <w:tcPr>
            <w:tcW w:w="2500" w:type="pct"/>
          </w:tcPr>
          <w:p w14:paraId="21D437D1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c </w:t>
            </w:r>
          </w:p>
          <w:p w14:paraId="44594AC6" w14:textId="495CD238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101E6CA2" w14:textId="77777777" w:rsidTr="00384609">
        <w:tc>
          <w:tcPr>
            <w:tcW w:w="2500" w:type="pct"/>
          </w:tcPr>
          <w:p w14:paraId="3E66A595" w14:textId="1056DA8D" w:rsidR="00AE6105" w:rsidRPr="00556719" w:rsidRDefault="00AE6105" w:rsidP="00976DB7">
            <w:pPr>
              <w:pStyle w:val="Default"/>
              <w:numPr>
                <w:ilvl w:val="0"/>
                <w:numId w:val="12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pre-funded default fund contributions,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nominal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default fund contributions; </w:t>
            </w:r>
          </w:p>
        </w:tc>
        <w:tc>
          <w:tcPr>
            <w:tcW w:w="2500" w:type="pct"/>
          </w:tcPr>
          <w:p w14:paraId="13ECD33A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 d</w:t>
            </w:r>
          </w:p>
          <w:p w14:paraId="02EB18AE" w14:textId="08A0AD04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Nilai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pre-funded default fund contributions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diubah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jika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qualifying central counterparty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qualifying central counterparty. </w:t>
            </w:r>
          </w:p>
        </w:tc>
      </w:tr>
      <w:tr w:rsidR="00556719" w:rsidRPr="00556719" w14:paraId="34C619A2" w14:textId="77777777" w:rsidTr="00384609">
        <w:tc>
          <w:tcPr>
            <w:tcW w:w="2500" w:type="pct"/>
          </w:tcPr>
          <w:p w14:paraId="0D6A2C8C" w14:textId="0AC5D9F3" w:rsidR="00AE6105" w:rsidRPr="00556719" w:rsidRDefault="00AE6105" w:rsidP="00976DB7">
            <w:pPr>
              <w:pStyle w:val="Default"/>
              <w:numPr>
                <w:ilvl w:val="0"/>
                <w:numId w:val="12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unfunded default fund contributions,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0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); dan </w:t>
            </w:r>
          </w:p>
        </w:tc>
        <w:tc>
          <w:tcPr>
            <w:tcW w:w="2500" w:type="pct"/>
          </w:tcPr>
          <w:p w14:paraId="5B5C35CA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e </w:t>
            </w:r>
          </w:p>
          <w:p w14:paraId="3D3BA8C3" w14:textId="39A6BEF7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0F06C767" w14:textId="77777777" w:rsidTr="00384609">
        <w:tc>
          <w:tcPr>
            <w:tcW w:w="2500" w:type="pct"/>
          </w:tcPr>
          <w:p w14:paraId="1A214E2A" w14:textId="329D1227" w:rsidR="00AE6105" w:rsidRPr="00556719" w:rsidRDefault="00AE6105" w:rsidP="00976DB7">
            <w:pPr>
              <w:pStyle w:val="Default"/>
              <w:numPr>
                <w:ilvl w:val="0"/>
                <w:numId w:val="12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equity stakes,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nominal.</w:t>
            </w:r>
          </w:p>
        </w:tc>
        <w:tc>
          <w:tcPr>
            <w:tcW w:w="2500" w:type="pct"/>
          </w:tcPr>
          <w:p w14:paraId="2CFDCCA3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f </w:t>
            </w:r>
          </w:p>
          <w:p w14:paraId="0AC05197" w14:textId="63926975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A496249" w14:textId="77777777" w:rsidTr="00384609">
        <w:tc>
          <w:tcPr>
            <w:tcW w:w="2500" w:type="pct"/>
          </w:tcPr>
          <w:p w14:paraId="4D8F4A7A" w14:textId="772C798B" w:rsidR="00AE6105" w:rsidRPr="00556719" w:rsidRDefault="00AE6105" w:rsidP="00976DB7">
            <w:pPr>
              <w:pStyle w:val="Default"/>
              <w:numPr>
                <w:ilvl w:val="0"/>
                <w:numId w:val="9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equity stakes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menjadi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pengurang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tier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dikategorikan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central counterparty. </w:t>
            </w:r>
          </w:p>
        </w:tc>
        <w:tc>
          <w:tcPr>
            <w:tcW w:w="2500" w:type="pct"/>
          </w:tcPr>
          <w:p w14:paraId="0EB63A76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7FED711E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0D2908F5" w14:textId="77777777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445843A" w14:textId="77777777" w:rsidTr="00384609">
        <w:tc>
          <w:tcPr>
            <w:tcW w:w="2500" w:type="pct"/>
          </w:tcPr>
          <w:p w14:paraId="7955EABB" w14:textId="7EE95527" w:rsidR="00AE6105" w:rsidRPr="00556719" w:rsidRDefault="00AE6105" w:rsidP="00976DB7">
            <w:pPr>
              <w:pStyle w:val="Default"/>
              <w:numPr>
                <w:ilvl w:val="0"/>
                <w:numId w:val="9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klien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anggota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penetapan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lawan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permodalan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berbasis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central counterparty. </w:t>
            </w:r>
          </w:p>
        </w:tc>
        <w:tc>
          <w:tcPr>
            <w:tcW w:w="2500" w:type="pct"/>
          </w:tcPr>
          <w:p w14:paraId="1A9DE7D0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Ayat (3)</w:t>
            </w:r>
          </w:p>
          <w:p w14:paraId="701AEEBC" w14:textId="4DEBD424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permodalan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berbasis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central counterparty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mengacu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dokumen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Capital Requirements for Bank Exposures to Central Counterparties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Basel Committee on Banking Supervision. </w:t>
            </w:r>
          </w:p>
        </w:tc>
      </w:tr>
      <w:tr w:rsidR="00556719" w:rsidRPr="00556719" w14:paraId="3D68A6AC" w14:textId="77777777" w:rsidTr="00384609">
        <w:tc>
          <w:tcPr>
            <w:tcW w:w="2500" w:type="pct"/>
          </w:tcPr>
          <w:p w14:paraId="0BD54014" w14:textId="131AECFB" w:rsidR="00AE6105" w:rsidRPr="00556719" w:rsidRDefault="00AE6105" w:rsidP="00976DB7">
            <w:pPr>
              <w:pStyle w:val="Default"/>
              <w:numPr>
                <w:ilvl w:val="0"/>
                <w:numId w:val="9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central counterparty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nonkliring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jenis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diatur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6D541FB1" w14:textId="77777777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(4) </w:t>
            </w:r>
          </w:p>
          <w:p w14:paraId="0F07E854" w14:textId="0630BB36" w:rsidR="00AE6105" w:rsidRPr="00556719" w:rsidRDefault="00AE6105" w:rsidP="00AE6105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378C3139" w14:textId="77777777" w:rsidTr="00384609">
        <w:tc>
          <w:tcPr>
            <w:tcW w:w="2500" w:type="pct"/>
          </w:tcPr>
          <w:p w14:paraId="05E6FD9A" w14:textId="77777777" w:rsidR="00AE6105" w:rsidRPr="00556719" w:rsidRDefault="00AE6105" w:rsidP="00AE6105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99BC2C8" w14:textId="77777777" w:rsidR="00AE6105" w:rsidRPr="00556719" w:rsidRDefault="00AE6105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283D6D9" w14:textId="77777777" w:rsidTr="00384609">
        <w:tc>
          <w:tcPr>
            <w:tcW w:w="2500" w:type="pct"/>
          </w:tcPr>
          <w:p w14:paraId="75559848" w14:textId="5C7BC81D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V</w:t>
            </w:r>
          </w:p>
          <w:p w14:paraId="6B082AB8" w14:textId="6FBFEF66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PENYEDIAAN DANA KEPADA BUMN</w:t>
            </w:r>
          </w:p>
        </w:tc>
        <w:tc>
          <w:tcPr>
            <w:tcW w:w="2500" w:type="pct"/>
          </w:tcPr>
          <w:p w14:paraId="22E7F6F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2E5BF12" w14:textId="77777777" w:rsidTr="00384609">
        <w:tc>
          <w:tcPr>
            <w:tcW w:w="2500" w:type="pct"/>
          </w:tcPr>
          <w:p w14:paraId="645C86DD" w14:textId="751F7BD0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39</w:t>
            </w:r>
          </w:p>
        </w:tc>
        <w:tc>
          <w:tcPr>
            <w:tcW w:w="2500" w:type="pct"/>
          </w:tcPr>
          <w:p w14:paraId="2C0D6163" w14:textId="77777777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2C132F8" w14:textId="0339612D" w:rsidTr="00384609">
        <w:tc>
          <w:tcPr>
            <w:tcW w:w="2500" w:type="pct"/>
          </w:tcPr>
          <w:p w14:paraId="66B1628F" w14:textId="704A24EF" w:rsidR="000E5C2A" w:rsidRPr="00556719" w:rsidRDefault="000E5C2A" w:rsidP="00976DB7">
            <w:pPr>
              <w:pStyle w:val="Default"/>
              <w:numPr>
                <w:ilvl w:val="0"/>
                <w:numId w:val="9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BUMN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pembangunan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Bank.</w:t>
            </w:r>
          </w:p>
        </w:tc>
        <w:tc>
          <w:tcPr>
            <w:tcW w:w="2500" w:type="pct"/>
          </w:tcPr>
          <w:p w14:paraId="1E8CCA1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1A309391" w14:textId="5AE797C3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BUMN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pembangunan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5499EDA7" w14:textId="77777777" w:rsidR="000E5C2A" w:rsidRPr="00556719" w:rsidRDefault="000E5C2A" w:rsidP="00976DB7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pengadaan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303F008D" w14:textId="77777777" w:rsidR="000E5C2A" w:rsidRPr="00556719" w:rsidRDefault="000E5C2A" w:rsidP="00976DB7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pengadaan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rumah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sangat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sederhana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7C04F5BD" w14:textId="77777777" w:rsidR="000E5C2A" w:rsidRPr="00556719" w:rsidRDefault="000E5C2A" w:rsidP="00976DB7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pengadaan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pengelolaan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minyak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gas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bumi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sumber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pengganti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energi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65544FAA" w14:textId="77777777" w:rsidR="000E5C2A" w:rsidRPr="00556719" w:rsidRDefault="000E5C2A" w:rsidP="00976DB7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pengadaan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pengelolaan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air; </w:t>
            </w:r>
          </w:p>
          <w:p w14:paraId="6E811E46" w14:textId="77777777" w:rsidR="000E5C2A" w:rsidRPr="00556719" w:rsidRDefault="000E5C2A" w:rsidP="00976DB7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pengadaan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pengelolaan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listrik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6A734462" w14:textId="77777777" w:rsidR="000E5C2A" w:rsidRPr="00556719" w:rsidRDefault="000E5C2A" w:rsidP="00976DB7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pengadaan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pengolahan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komoditas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berorientasi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ekspor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6313659A" w14:textId="77777777" w:rsidR="000E5C2A" w:rsidRPr="00556719" w:rsidRDefault="000E5C2A" w:rsidP="00976DB7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pengadaan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infrastruktur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penunjang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transportasi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udara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pembangunan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jembatan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kereta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api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pelabuhan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bandar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udara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;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  <w:p w14:paraId="7A2DA467" w14:textId="77777777" w:rsidR="000E5C2A" w:rsidRPr="00556719" w:rsidRDefault="000E5C2A" w:rsidP="00976DB7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pembangunan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Kawasan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Strategis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Pariwisata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Nasional (KSPN)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diprioritaskan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perudang-undangan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percepatan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pelaksanaan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proyek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strategis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nasional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66C56755" w14:textId="5A27DE43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BUMN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keseluruhan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telah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BUMN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h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</w:t>
            </w:r>
            <w:r w:rsidR="009535E1" w:rsidRPr="00556719">
              <w:rPr>
                <w:rFonts w:ascii="Bookman Old Style" w:hAnsi="Bookman Old Style" w:cstheme="majorHAnsi"/>
                <w:sz w:val="20"/>
                <w:szCs w:val="20"/>
              </w:rPr>
              <w:t>tuk</w:t>
            </w:r>
            <w:proofErr w:type="spellEnd"/>
            <w:r w:rsidR="009535E1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9535E1" w:rsidRPr="00556719">
              <w:rPr>
                <w:rFonts w:ascii="Bookman Old Style" w:hAnsi="Bookman Old Style" w:cstheme="majorHAnsi"/>
                <w:sz w:val="20"/>
                <w:szCs w:val="20"/>
              </w:rPr>
              <w:t>tujuan</w:t>
            </w:r>
            <w:proofErr w:type="spellEnd"/>
            <w:r w:rsidR="009535E1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9535E1" w:rsidRPr="00556719">
              <w:rPr>
                <w:rFonts w:ascii="Bookman Old Style" w:hAnsi="Bookman Old Style" w:cstheme="majorHAnsi"/>
                <w:sz w:val="20"/>
                <w:szCs w:val="20"/>
              </w:rPr>
              <w:t>lain</w:t>
            </w:r>
            <w:proofErr w:type="spellEnd"/>
            <w:r w:rsidR="009535E1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2605CEC8" w14:textId="77777777" w:rsidTr="00384609">
        <w:tc>
          <w:tcPr>
            <w:tcW w:w="2500" w:type="pct"/>
          </w:tcPr>
          <w:p w14:paraId="28D2EBBC" w14:textId="77AB73A3" w:rsidR="009535E1" w:rsidRPr="00556719" w:rsidRDefault="009535E1" w:rsidP="00976DB7">
            <w:pPr>
              <w:pStyle w:val="Default"/>
              <w:numPr>
                <w:ilvl w:val="0"/>
                <w:numId w:val="9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BUMN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Badan Usaha Milik Daerah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Peminjam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BUMN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Badan Usaha Milik Daerah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pengertian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sepanjang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semata-mata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karena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daerah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06C7E79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2D3CB3B6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BUMD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besar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modalnya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daerah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perundang-undangan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pemerintahan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daerah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3EAA4AD6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A5EE272" w14:textId="77777777" w:rsidTr="00384609">
        <w:tc>
          <w:tcPr>
            <w:tcW w:w="2500" w:type="pct"/>
          </w:tcPr>
          <w:p w14:paraId="3F7AAAC1" w14:textId="6364D51D" w:rsidR="009535E1" w:rsidRPr="00556719" w:rsidRDefault="009535E1" w:rsidP="00976DB7">
            <w:pPr>
              <w:pStyle w:val="Default"/>
              <w:numPr>
                <w:ilvl w:val="0"/>
                <w:numId w:val="9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Antar BUMN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antar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Badan Usaha Milik Daerah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diperlakukan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Peminjam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sepanjang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semata-mata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karena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daerah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0EDD7E78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624970DF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5FF58E3F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DD69C0B" w14:textId="77777777" w:rsidTr="00384609">
        <w:tc>
          <w:tcPr>
            <w:tcW w:w="2500" w:type="pct"/>
          </w:tcPr>
          <w:p w14:paraId="46C223E6" w14:textId="58259563" w:rsidR="009535E1" w:rsidRPr="00556719" w:rsidRDefault="009535E1" w:rsidP="00976DB7">
            <w:pPr>
              <w:pStyle w:val="Default"/>
              <w:numPr>
                <w:ilvl w:val="0"/>
                <w:numId w:val="9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BUMN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Badan Usaha Milik Daerah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langsung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daerah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BUMN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Badan Usaha Milik Daerah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diperhitungkan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4A98231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(4) </w:t>
            </w:r>
          </w:p>
          <w:p w14:paraId="20E7F60A" w14:textId="45F45011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6EB0444" w14:textId="77777777" w:rsidTr="00384609">
        <w:tc>
          <w:tcPr>
            <w:tcW w:w="2500" w:type="pct"/>
          </w:tcPr>
          <w:p w14:paraId="3855AEC0" w14:textId="77777777" w:rsidR="009535E1" w:rsidRPr="00556719" w:rsidRDefault="009535E1" w:rsidP="009535E1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A1DDE6E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6B949CC" w14:textId="77777777" w:rsidTr="00384609">
        <w:tc>
          <w:tcPr>
            <w:tcW w:w="2500" w:type="pct"/>
          </w:tcPr>
          <w:p w14:paraId="53FAE544" w14:textId="6A8CBD42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VI</w:t>
            </w:r>
          </w:p>
          <w:p w14:paraId="42A62A19" w14:textId="5B3A3F4A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TEKNIK MITIGASI RISIKO KREDIT</w:t>
            </w:r>
          </w:p>
        </w:tc>
        <w:tc>
          <w:tcPr>
            <w:tcW w:w="2500" w:type="pct"/>
          </w:tcPr>
          <w:p w14:paraId="0ABA53BD" w14:textId="7777777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7BBBB68F" w14:textId="77777777" w:rsidTr="00384609">
        <w:tc>
          <w:tcPr>
            <w:tcW w:w="2500" w:type="pct"/>
          </w:tcPr>
          <w:p w14:paraId="3C9F9429" w14:textId="697F5E81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4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2500" w:type="pct"/>
          </w:tcPr>
          <w:p w14:paraId="7835EBF8" w14:textId="77777777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2F9A05A" w14:textId="1A33693B" w:rsidTr="00384609">
        <w:tc>
          <w:tcPr>
            <w:tcW w:w="2500" w:type="pct"/>
          </w:tcPr>
          <w:p w14:paraId="15D454AF" w14:textId="2C3F84A0" w:rsidR="000E5C2A" w:rsidRPr="00556719" w:rsidRDefault="000E5C2A" w:rsidP="00976DB7">
            <w:pPr>
              <w:pStyle w:val="Default"/>
              <w:numPr>
                <w:ilvl w:val="0"/>
                <w:numId w:val="9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menerapkan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Teknik MRK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mengakui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keberadaaan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garansi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asuransi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pembiayaan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UMKM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Teknik MRK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tertimbang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menurut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pendekatan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7D723A02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2228508B" w14:textId="3D64A8CF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penerapan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Teknik MRK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mengacu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pedoman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tertimbang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menurut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menggunakan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pendekatan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  <w:p w14:paraId="752B314D" w14:textId="1EB2353C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mengakui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keberadaan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garansi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asuransi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Teknik MRK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menghitung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aset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tertimbang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menurut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pendekatan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perlu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menerapkan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Tekn</w:t>
            </w:r>
            <w:r w:rsidR="009535E1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ik MRK </w:t>
            </w:r>
            <w:proofErr w:type="spellStart"/>
            <w:r w:rsidR="009535E1"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="009535E1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9535E1"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="009535E1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BMPD. </w:t>
            </w:r>
          </w:p>
        </w:tc>
      </w:tr>
      <w:tr w:rsidR="00556719" w:rsidRPr="00556719" w14:paraId="5BA02AD7" w14:textId="77777777" w:rsidTr="00384609">
        <w:tc>
          <w:tcPr>
            <w:tcW w:w="2500" w:type="pct"/>
          </w:tcPr>
          <w:p w14:paraId="6A0E80F6" w14:textId="5B399400" w:rsidR="009535E1" w:rsidRPr="00556719" w:rsidRDefault="009535E1" w:rsidP="00976DB7">
            <w:pPr>
              <w:pStyle w:val="Default"/>
              <w:numPr>
                <w:ilvl w:val="0"/>
                <w:numId w:val="9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Teknik MRK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berlaku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CB0048B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497654CD" w14:textId="47AB1BAB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38C6F96F" w14:textId="77777777" w:rsidTr="00384609">
        <w:tc>
          <w:tcPr>
            <w:tcW w:w="2500" w:type="pct"/>
          </w:tcPr>
          <w:p w14:paraId="5D5A02B8" w14:textId="77777777" w:rsidR="009535E1" w:rsidRPr="00556719" w:rsidRDefault="009535E1" w:rsidP="009535E1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127391D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567220F" w14:textId="77777777" w:rsidTr="00384609">
        <w:tc>
          <w:tcPr>
            <w:tcW w:w="2500" w:type="pct"/>
          </w:tcPr>
          <w:p w14:paraId="50295C42" w14:textId="6B9EB4D5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4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2500" w:type="pct"/>
          </w:tcPr>
          <w:p w14:paraId="068DA22C" w14:textId="35B11112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26ADB94C" w14:textId="04C873A5" w:rsidTr="00384609">
        <w:tc>
          <w:tcPr>
            <w:tcW w:w="2500" w:type="pct"/>
          </w:tcPr>
          <w:p w14:paraId="6FF347D2" w14:textId="006BFD4E" w:rsidR="000E5C2A" w:rsidRPr="00556719" w:rsidRDefault="000E5C2A" w:rsidP="00976DB7">
            <w:pPr>
              <w:pStyle w:val="Default"/>
              <w:numPr>
                <w:ilvl w:val="0"/>
                <w:numId w:val="9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proteksi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instrumen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mitigasi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6350032F" w14:textId="7162B930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31D9125C" w14:textId="77777777" w:rsidTr="00384609">
        <w:tc>
          <w:tcPr>
            <w:tcW w:w="2500" w:type="pct"/>
          </w:tcPr>
          <w:p w14:paraId="631F6A4D" w14:textId="5529E67E" w:rsidR="009535E1" w:rsidRPr="00556719" w:rsidRDefault="009535E1" w:rsidP="00976DB7">
            <w:pPr>
              <w:pStyle w:val="Default"/>
              <w:numPr>
                <w:ilvl w:val="0"/>
                <w:numId w:val="9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proteksi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instrumen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mitigasi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risiko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Fasilitas.</w:t>
            </w:r>
          </w:p>
        </w:tc>
        <w:tc>
          <w:tcPr>
            <w:tcW w:w="2500" w:type="pct"/>
          </w:tcPr>
          <w:p w14:paraId="473E0881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9756AF7" w14:textId="77777777" w:rsidTr="00384609">
        <w:tc>
          <w:tcPr>
            <w:tcW w:w="2500" w:type="pct"/>
          </w:tcPr>
          <w:p w14:paraId="3DA76EAE" w14:textId="77777777" w:rsidR="009535E1" w:rsidRPr="00556719" w:rsidRDefault="009535E1" w:rsidP="00976DB7">
            <w:pPr>
              <w:pStyle w:val="Default"/>
              <w:numPr>
                <w:ilvl w:val="0"/>
                <w:numId w:val="9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Bagian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diperhitungkan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diakui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Teknik MRK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5B4DF050" w14:textId="77777777" w:rsidR="009535E1" w:rsidRPr="00556719" w:rsidRDefault="009535E1" w:rsidP="00976DB7">
            <w:pPr>
              <w:pStyle w:val="Default"/>
              <w:numPr>
                <w:ilvl w:val="0"/>
                <w:numId w:val="4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perlindungan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Teknik MRK-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pendekatan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sederhana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58090481" w14:textId="77777777" w:rsidR="009535E1" w:rsidRPr="00556719" w:rsidRDefault="009535E1" w:rsidP="00976DB7">
            <w:pPr>
              <w:pStyle w:val="Default"/>
              <w:numPr>
                <w:ilvl w:val="0"/>
                <w:numId w:val="4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memperhitungkan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pengurangan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(haircut)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masing-masing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Teknik MRK-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pendekatan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komprehensif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6CFEA1BA" w14:textId="77777777" w:rsidR="009535E1" w:rsidRPr="00556719" w:rsidRDefault="009535E1" w:rsidP="00976DB7">
            <w:pPr>
              <w:pStyle w:val="Default"/>
              <w:numPr>
                <w:ilvl w:val="0"/>
                <w:numId w:val="4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garansi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Teknik MRK-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garansi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  <w:p w14:paraId="5039216E" w14:textId="36CE4F64" w:rsidR="009535E1" w:rsidRPr="00556719" w:rsidRDefault="009535E1" w:rsidP="00976DB7">
            <w:pPr>
              <w:pStyle w:val="Default"/>
              <w:numPr>
                <w:ilvl w:val="0"/>
                <w:numId w:val="4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perlindungan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asuransi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Teknik MRK-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asuransi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pembiayaan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UMKM.</w:t>
            </w:r>
          </w:p>
        </w:tc>
        <w:tc>
          <w:tcPr>
            <w:tcW w:w="2500" w:type="pct"/>
          </w:tcPr>
          <w:p w14:paraId="3AC4581F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F87F93B" w14:textId="77777777" w:rsidTr="00384609">
        <w:tc>
          <w:tcPr>
            <w:tcW w:w="2500" w:type="pct"/>
          </w:tcPr>
          <w:p w14:paraId="66A81E42" w14:textId="78939CF6" w:rsidR="009535E1" w:rsidRPr="00556719" w:rsidRDefault="009535E1" w:rsidP="00976DB7">
            <w:pPr>
              <w:pStyle w:val="Default"/>
              <w:numPr>
                <w:ilvl w:val="0"/>
                <w:numId w:val="9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Seluruh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portofolio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penerbit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25%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(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tier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1) Bank.</w:t>
            </w:r>
          </w:p>
        </w:tc>
        <w:tc>
          <w:tcPr>
            <w:tcW w:w="2500" w:type="pct"/>
          </w:tcPr>
          <w:p w14:paraId="5A9DB725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01CCFB5" w14:textId="77777777" w:rsidTr="00384609">
        <w:tc>
          <w:tcPr>
            <w:tcW w:w="2500" w:type="pct"/>
          </w:tcPr>
          <w:p w14:paraId="30AC1066" w14:textId="601323EF" w:rsidR="009535E1" w:rsidRPr="00556719" w:rsidRDefault="009535E1" w:rsidP="00976DB7">
            <w:pPr>
              <w:pStyle w:val="Default"/>
              <w:numPr>
                <w:ilvl w:val="0"/>
                <w:numId w:val="9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mendukung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program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bergerak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bidang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asuransi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BUMN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Badan Usaha Milik Daerah,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BMPD.</w:t>
            </w:r>
          </w:p>
        </w:tc>
        <w:tc>
          <w:tcPr>
            <w:tcW w:w="2500" w:type="pct"/>
          </w:tcPr>
          <w:p w14:paraId="53FDF13F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AB720FE" w14:textId="77777777" w:rsidTr="00384609">
        <w:tc>
          <w:tcPr>
            <w:tcW w:w="2500" w:type="pct"/>
          </w:tcPr>
          <w:p w14:paraId="14AF3CB1" w14:textId="77777777" w:rsidR="009535E1" w:rsidRPr="00556719" w:rsidRDefault="009535E1" w:rsidP="009535E1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1B7FECF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7997B8F" w14:textId="77777777" w:rsidTr="00384609">
        <w:tc>
          <w:tcPr>
            <w:tcW w:w="2500" w:type="pct"/>
          </w:tcPr>
          <w:p w14:paraId="6BF0E400" w14:textId="71BB715F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VII</w:t>
            </w:r>
          </w:p>
          <w:p w14:paraId="0ABF35FA" w14:textId="0B3A7FFE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PERLAKUAN BMPD TERTENTU</w:t>
            </w:r>
          </w:p>
        </w:tc>
        <w:tc>
          <w:tcPr>
            <w:tcW w:w="2500" w:type="pct"/>
          </w:tcPr>
          <w:p w14:paraId="2EAA046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  <w:highlight w:val="yellow"/>
              </w:rPr>
            </w:pPr>
          </w:p>
        </w:tc>
      </w:tr>
      <w:tr w:rsidR="00556719" w:rsidRPr="00556719" w14:paraId="54932F2A" w14:textId="77777777" w:rsidTr="00384609">
        <w:tc>
          <w:tcPr>
            <w:tcW w:w="2500" w:type="pct"/>
          </w:tcPr>
          <w:p w14:paraId="155322D3" w14:textId="7188A19F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4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500" w:type="pct"/>
          </w:tcPr>
          <w:p w14:paraId="5E144A4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66E17D8" w14:textId="112CBE8C" w:rsidTr="00384609">
        <w:tc>
          <w:tcPr>
            <w:tcW w:w="2500" w:type="pct"/>
          </w:tcPr>
          <w:p w14:paraId="0D82FF76" w14:textId="1C823B99" w:rsidR="000E5C2A" w:rsidRPr="00556719" w:rsidRDefault="000E5C2A" w:rsidP="009535E1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</w:t>
            </w:r>
            <w:r w:rsidR="009535E1" w:rsidRPr="00556719">
              <w:rPr>
                <w:rFonts w:cstheme="majorHAnsi"/>
                <w:color w:val="auto"/>
                <w:sz w:val="20"/>
                <w:szCs w:val="20"/>
              </w:rPr>
              <w:t>tungan</w:t>
            </w:r>
            <w:proofErr w:type="spellEnd"/>
            <w:r w:rsidR="009535E1"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="009535E1"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="009535E1"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535E1"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="009535E1"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313C28C8" w14:textId="7C501AC8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183FEAD6" w14:textId="0C03F09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314BC9E" w14:textId="77777777" w:rsidTr="00384609">
        <w:tc>
          <w:tcPr>
            <w:tcW w:w="2500" w:type="pct"/>
          </w:tcPr>
          <w:p w14:paraId="1CED1F01" w14:textId="5BF42F20" w:rsidR="009535E1" w:rsidRPr="00556719" w:rsidRDefault="009535E1" w:rsidP="00976DB7">
            <w:pPr>
              <w:pStyle w:val="Default"/>
              <w:numPr>
                <w:ilvl w:val="0"/>
                <w:numId w:val="4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605D6F1A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4FCB3DF5" w14:textId="76A03CF9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undang-undang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pemerintahan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daerah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4F9E4D83" w14:textId="77777777" w:rsidTr="00384609">
        <w:tc>
          <w:tcPr>
            <w:tcW w:w="2500" w:type="pct"/>
          </w:tcPr>
          <w:p w14:paraId="1DD53453" w14:textId="1B2BC113" w:rsidR="009535E1" w:rsidRPr="00556719" w:rsidRDefault="009535E1" w:rsidP="00976DB7">
            <w:pPr>
              <w:pStyle w:val="Default"/>
              <w:numPr>
                <w:ilvl w:val="0"/>
                <w:numId w:val="4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Penempatan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Bank Indonesia; dan</w:t>
            </w:r>
          </w:p>
        </w:tc>
        <w:tc>
          <w:tcPr>
            <w:tcW w:w="2500" w:type="pct"/>
          </w:tcPr>
          <w:p w14:paraId="3610F514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174510B2" w14:textId="4AA8687D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Penempatan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Bank Indonesia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Penempatan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rupiah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maupun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valuta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asing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Bank Indonesia,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giro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transaksi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rangka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operasi pasar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terbuka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fine tune operation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), dan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Simpanan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Indonesia Syariah (FASBIS).</w:t>
            </w:r>
          </w:p>
        </w:tc>
      </w:tr>
      <w:tr w:rsidR="00556719" w:rsidRPr="00556719" w14:paraId="773769A8" w14:textId="77777777" w:rsidTr="00384609">
        <w:tc>
          <w:tcPr>
            <w:tcW w:w="2500" w:type="pct"/>
          </w:tcPr>
          <w:p w14:paraId="64671BC9" w14:textId="22A24E6E" w:rsidR="009535E1" w:rsidRPr="00556719" w:rsidRDefault="009535E1" w:rsidP="00976DB7">
            <w:pPr>
              <w:pStyle w:val="Default"/>
              <w:numPr>
                <w:ilvl w:val="0"/>
                <w:numId w:val="4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pembelian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Syariah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Indonesia.</w:t>
            </w:r>
          </w:p>
        </w:tc>
        <w:tc>
          <w:tcPr>
            <w:tcW w:w="2500" w:type="pct"/>
          </w:tcPr>
          <w:p w14:paraId="0E318E52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c </w:t>
            </w:r>
          </w:p>
          <w:p w14:paraId="62A1E0BC" w14:textId="1E2D8952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0783D037" w14:textId="77777777" w:rsidTr="00384609">
        <w:tc>
          <w:tcPr>
            <w:tcW w:w="2500" w:type="pct"/>
          </w:tcPr>
          <w:p w14:paraId="5FEC2BAF" w14:textId="77777777" w:rsidR="009535E1" w:rsidRPr="00556719" w:rsidRDefault="009535E1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254BA82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901CF30" w14:textId="77777777" w:rsidTr="00384609">
        <w:tc>
          <w:tcPr>
            <w:tcW w:w="2500" w:type="pct"/>
          </w:tcPr>
          <w:p w14:paraId="0C2E62BD" w14:textId="0E7B62C3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4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500" w:type="pct"/>
          </w:tcPr>
          <w:p w14:paraId="6EF7C77B" w14:textId="7777777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643098D9" w14:textId="3C7FD9B1" w:rsidTr="00384609">
        <w:tc>
          <w:tcPr>
            <w:tcW w:w="2500" w:type="pct"/>
          </w:tcPr>
          <w:p w14:paraId="7B5A7F20" w14:textId="6853C958" w:rsidR="000E5C2A" w:rsidRPr="00556719" w:rsidRDefault="000E5C2A" w:rsidP="00976DB7">
            <w:pPr>
              <w:pStyle w:val="Default"/>
              <w:numPr>
                <w:ilvl w:val="0"/>
                <w:numId w:val="9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memperoleh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BMPD. </w:t>
            </w:r>
          </w:p>
        </w:tc>
        <w:tc>
          <w:tcPr>
            <w:tcW w:w="2500" w:type="pct"/>
          </w:tcPr>
          <w:p w14:paraId="7453EAC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23B535A2" w14:textId="53399B21" w:rsidR="000E5C2A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2B021E34" w14:textId="77777777" w:rsidTr="00384609">
        <w:tc>
          <w:tcPr>
            <w:tcW w:w="2500" w:type="pct"/>
          </w:tcPr>
          <w:p w14:paraId="6F88B17B" w14:textId="1DECE09E" w:rsidR="009535E1" w:rsidRPr="00556719" w:rsidRDefault="009535E1" w:rsidP="00976DB7">
            <w:pPr>
              <w:pStyle w:val="Default"/>
              <w:numPr>
                <w:ilvl w:val="0"/>
                <w:numId w:val="9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500" w:type="pct"/>
          </w:tcPr>
          <w:p w14:paraId="42C045F4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6A0DB5BE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934B5B1" w14:textId="77777777" w:rsidTr="00384609">
        <w:tc>
          <w:tcPr>
            <w:tcW w:w="2500" w:type="pct"/>
          </w:tcPr>
          <w:p w14:paraId="4F0682E6" w14:textId="4713E9CE" w:rsidR="009535E1" w:rsidRPr="00556719" w:rsidRDefault="009535E1" w:rsidP="00976DB7">
            <w:pPr>
              <w:pStyle w:val="Default"/>
              <w:numPr>
                <w:ilvl w:val="0"/>
                <w:numId w:val="12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bersifat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dibatalkan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57A72A11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4305BE6B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Tanpa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syarat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4E66EC75" w14:textId="77777777" w:rsidR="009535E1" w:rsidRPr="00556719" w:rsidRDefault="009535E1" w:rsidP="00976DB7">
            <w:pPr>
              <w:pStyle w:val="ListParagraph"/>
              <w:numPr>
                <w:ilvl w:val="0"/>
                <w:numId w:val="49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manfaat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diperoleh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berkurang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substansi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walaupun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kerugian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di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luar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kendali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Bank; dan </w:t>
            </w:r>
          </w:p>
          <w:p w14:paraId="5D8A1952" w14:textId="77777777" w:rsidR="009535E1" w:rsidRPr="00556719" w:rsidRDefault="009535E1" w:rsidP="00976DB7">
            <w:pPr>
              <w:pStyle w:val="ListParagraph"/>
              <w:numPr>
                <w:ilvl w:val="0"/>
                <w:numId w:val="49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memuat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prosedural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seperti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15FA504F" w14:textId="77777777" w:rsidR="009535E1" w:rsidRPr="00556719" w:rsidRDefault="009535E1" w:rsidP="00976DB7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mempersyaratkan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pengajuan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pemberitahuan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; </w:t>
            </w:r>
          </w:p>
          <w:p w14:paraId="3EE7A14B" w14:textId="77777777" w:rsidR="009535E1" w:rsidRPr="00556719" w:rsidRDefault="009535E1" w:rsidP="00976DB7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mempersyaratkan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pembuktian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itikad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dana;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</w:p>
          <w:p w14:paraId="47D88A0B" w14:textId="7EE6F984" w:rsidR="009535E1" w:rsidRPr="00556719" w:rsidRDefault="009535E1" w:rsidP="00976DB7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mempersyaratkan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pencairan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saling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hapus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terlebih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dahulu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penjamin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613E3254" w14:textId="77777777" w:rsidTr="00384609">
        <w:tc>
          <w:tcPr>
            <w:tcW w:w="2500" w:type="pct"/>
          </w:tcPr>
          <w:p w14:paraId="08049A84" w14:textId="041BEEE4" w:rsidR="009535E1" w:rsidRPr="00556719" w:rsidRDefault="009535E1" w:rsidP="00976DB7">
            <w:pPr>
              <w:pStyle w:val="Default"/>
              <w:numPr>
                <w:ilvl w:val="0"/>
                <w:numId w:val="12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pencairan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dokumen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2500" w:type="pct"/>
          </w:tcPr>
          <w:p w14:paraId="5E79D371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33A87932" w14:textId="6F518AA4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0E0EF03E" w14:textId="77777777" w:rsidTr="00384609">
        <w:tc>
          <w:tcPr>
            <w:tcW w:w="2500" w:type="pct"/>
          </w:tcPr>
          <w:p w14:paraId="5640FC6F" w14:textId="7F3788EC" w:rsidR="009535E1" w:rsidRPr="00556719" w:rsidRDefault="009535E1" w:rsidP="00976DB7">
            <w:pPr>
              <w:pStyle w:val="Default"/>
              <w:numPr>
                <w:ilvl w:val="0"/>
                <w:numId w:val="12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singkat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dan </w:t>
            </w:r>
          </w:p>
        </w:tc>
        <w:tc>
          <w:tcPr>
            <w:tcW w:w="2500" w:type="pct"/>
          </w:tcPr>
          <w:p w14:paraId="69FDB005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c </w:t>
            </w:r>
          </w:p>
          <w:p w14:paraId="16211428" w14:textId="4827F57A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4E790D0F" w14:textId="77777777" w:rsidTr="00384609">
        <w:tc>
          <w:tcPr>
            <w:tcW w:w="2500" w:type="pct"/>
          </w:tcPr>
          <w:p w14:paraId="2A5B7A07" w14:textId="0C4E1E69" w:rsidR="009535E1" w:rsidRPr="00556719" w:rsidRDefault="009535E1" w:rsidP="00976DB7">
            <w:pPr>
              <w:pStyle w:val="Default"/>
              <w:numPr>
                <w:ilvl w:val="0"/>
                <w:numId w:val="12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kembali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27514443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d </w:t>
            </w:r>
          </w:p>
          <w:p w14:paraId="12652CEC" w14:textId="6E427C4A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09085230" w14:textId="77777777" w:rsidTr="00384609">
        <w:tc>
          <w:tcPr>
            <w:tcW w:w="2500" w:type="pct"/>
          </w:tcPr>
          <w:p w14:paraId="55C60D40" w14:textId="73939923" w:rsidR="009535E1" w:rsidRPr="00556719" w:rsidRDefault="009535E1" w:rsidP="00976DB7">
            <w:pPr>
              <w:pStyle w:val="Default"/>
              <w:numPr>
                <w:ilvl w:val="0"/>
                <w:numId w:val="9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mengajukan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klaim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7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663E3FD4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29F7230C" w14:textId="590DDFA4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1B8349DE" w14:textId="77777777" w:rsidTr="00384609">
        <w:tc>
          <w:tcPr>
            <w:tcW w:w="2500" w:type="pct"/>
          </w:tcPr>
          <w:p w14:paraId="04F19427" w14:textId="77777777" w:rsidR="009535E1" w:rsidRPr="00556719" w:rsidRDefault="009535E1" w:rsidP="00976DB7">
            <w:pPr>
              <w:pStyle w:val="Default"/>
              <w:numPr>
                <w:ilvl w:val="0"/>
                <w:numId w:val="9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dinyatakan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  <w:p w14:paraId="42CD54F7" w14:textId="77777777" w:rsidR="009535E1" w:rsidRPr="00556719" w:rsidRDefault="009535E1" w:rsidP="00976DB7">
            <w:pPr>
              <w:pStyle w:val="Default"/>
              <w:numPr>
                <w:ilvl w:val="0"/>
                <w:numId w:val="4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tunggakan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pokok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margin/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ujrah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/bonus,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90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sembilan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meskipun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belum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jatuh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tempo; </w:t>
            </w:r>
          </w:p>
          <w:p w14:paraId="2DB48F29" w14:textId="77777777" w:rsidR="009535E1" w:rsidRPr="00556719" w:rsidRDefault="009535E1" w:rsidP="00976DB7">
            <w:pPr>
              <w:pStyle w:val="Default"/>
              <w:numPr>
                <w:ilvl w:val="0"/>
                <w:numId w:val="4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diterimanya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pembayaran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pokok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margin/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ujrah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/bonus,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jatuh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tempo;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</w:p>
          <w:p w14:paraId="63E6761C" w14:textId="451ABC3F" w:rsidR="009535E1" w:rsidRPr="00556719" w:rsidRDefault="009535E1" w:rsidP="00976DB7">
            <w:pPr>
              <w:pStyle w:val="Default"/>
              <w:numPr>
                <w:ilvl w:val="0"/>
                <w:numId w:val="4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dipenuhinya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pembayaran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pokok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margin/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ujrah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/bonus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mengakibatkan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6BC22A05" w14:textId="77777777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 xml:space="preserve">Ayat (4) </w:t>
            </w:r>
          </w:p>
          <w:p w14:paraId="1B4E0785" w14:textId="12D2ED1E" w:rsidR="009535E1" w:rsidRPr="00556719" w:rsidRDefault="009535E1" w:rsidP="009535E1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177D45FA" w14:textId="77777777" w:rsidTr="00384609">
        <w:tc>
          <w:tcPr>
            <w:tcW w:w="2500" w:type="pct"/>
          </w:tcPr>
          <w:p w14:paraId="5C5DD7CA" w14:textId="77777777" w:rsidR="009535E1" w:rsidRPr="00556719" w:rsidRDefault="009535E1" w:rsidP="009535E1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172C3F18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E499DC0" w14:textId="77777777" w:rsidTr="00384609">
        <w:tc>
          <w:tcPr>
            <w:tcW w:w="2500" w:type="pct"/>
          </w:tcPr>
          <w:p w14:paraId="00EEFD3F" w14:textId="11B408C1" w:rsidR="000E5C2A" w:rsidRPr="00556719" w:rsidRDefault="00D21692" w:rsidP="00D21692">
            <w:pPr>
              <w:pStyle w:val="Default"/>
              <w:tabs>
                <w:tab w:val="center" w:pos="3648"/>
                <w:tab w:val="left" w:pos="5520"/>
              </w:tabs>
              <w:spacing w:line="276" w:lineRule="auto"/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ab/>
            </w:r>
            <w:proofErr w:type="spellStart"/>
            <w:r w:rsidR="000E5C2A"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="000E5C2A" w:rsidRPr="00556719">
              <w:rPr>
                <w:rFonts w:cstheme="majorHAnsi"/>
                <w:color w:val="auto"/>
                <w:sz w:val="20"/>
                <w:szCs w:val="20"/>
              </w:rPr>
              <w:t xml:space="preserve"> 4</w:t>
            </w:r>
            <w:r>
              <w:rPr>
                <w:rFonts w:cstheme="maj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2500" w:type="pct"/>
          </w:tcPr>
          <w:p w14:paraId="535EDC6B" w14:textId="7777777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4F5C7136" w14:textId="191A1011" w:rsidTr="00384609">
        <w:tc>
          <w:tcPr>
            <w:tcW w:w="2500" w:type="pct"/>
          </w:tcPr>
          <w:p w14:paraId="2C2B2C51" w14:textId="435F7EF9" w:rsidR="000E5C2A" w:rsidRPr="00556719" w:rsidRDefault="000E5C2A" w:rsidP="00976DB7">
            <w:pPr>
              <w:pStyle w:val="Default"/>
              <w:numPr>
                <w:ilvl w:val="0"/>
                <w:numId w:val="9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berorientasi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ekspor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BMPD.</w:t>
            </w:r>
          </w:p>
          <w:p w14:paraId="2C8687F7" w14:textId="6A61BD83" w:rsidR="000E5C2A" w:rsidRPr="00556719" w:rsidRDefault="000E5C2A" w:rsidP="003A6FB0">
            <w:pPr>
              <w:pStyle w:val="Default"/>
              <w:spacing w:line="276" w:lineRule="auto"/>
              <w:ind w:left="72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5E2326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5EAEBE15" w14:textId="16CF774C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berorientasi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ekspor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dituangkan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perjanjian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lembaga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="003A6FB0" w:rsidRPr="00556719">
              <w:rPr>
                <w:rFonts w:ascii="Bookman Old Style" w:hAnsi="Bookman Old Style" w:cstheme="majorHAnsi"/>
                <w:sz w:val="20"/>
                <w:szCs w:val="20"/>
              </w:rPr>
              <w:t>memenuhi</w:t>
            </w:r>
            <w:proofErr w:type="spellEnd"/>
            <w:r w:rsidR="003A6FB0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3A6FB0" w:rsidRPr="00556719">
              <w:rPr>
                <w:rFonts w:ascii="Bookman Old Style" w:hAnsi="Bookman Old Style" w:cstheme="majorHAnsi"/>
                <w:sz w:val="20"/>
                <w:szCs w:val="20"/>
              </w:rPr>
              <w:t>persyaratan</w:t>
            </w:r>
            <w:proofErr w:type="spellEnd"/>
            <w:r w:rsidR="003A6FB0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="003A6FB0" w:rsidRPr="00556719">
              <w:rPr>
                <w:rFonts w:ascii="Bookman Old Style" w:hAnsi="Bookman Old Style" w:cstheme="majorHAnsi"/>
                <w:sz w:val="20"/>
                <w:szCs w:val="20"/>
              </w:rPr>
              <w:t>tertentu</w:t>
            </w:r>
            <w:proofErr w:type="spellEnd"/>
            <w:r w:rsidR="003A6FB0"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3A624CEE" w14:textId="77777777" w:rsidTr="00384609">
        <w:tc>
          <w:tcPr>
            <w:tcW w:w="2500" w:type="pct"/>
          </w:tcPr>
          <w:p w14:paraId="2C4D0FE0" w14:textId="044413ED" w:rsidR="009535E1" w:rsidRPr="00556719" w:rsidRDefault="003A6FB0" w:rsidP="00976DB7">
            <w:pPr>
              <w:pStyle w:val="Default"/>
              <w:numPr>
                <w:ilvl w:val="0"/>
                <w:numId w:val="9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memperoleh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BMPD.</w:t>
            </w:r>
          </w:p>
        </w:tc>
        <w:tc>
          <w:tcPr>
            <w:tcW w:w="2500" w:type="pct"/>
          </w:tcPr>
          <w:p w14:paraId="1F3E4862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2366D0BB" w14:textId="43B162AC" w:rsidR="009535E1" w:rsidRPr="00556719" w:rsidRDefault="003A6FB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71674FD0" w14:textId="77777777" w:rsidTr="00384609">
        <w:tc>
          <w:tcPr>
            <w:tcW w:w="2500" w:type="pct"/>
          </w:tcPr>
          <w:p w14:paraId="57650D7F" w14:textId="77777777" w:rsidR="003A6FB0" w:rsidRPr="00556719" w:rsidRDefault="003A6FB0" w:rsidP="00976DB7">
            <w:pPr>
              <w:pStyle w:val="Default"/>
              <w:numPr>
                <w:ilvl w:val="0"/>
                <w:numId w:val="9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5AC3A637" w14:textId="77777777" w:rsidR="003A6FB0" w:rsidRPr="00556719" w:rsidRDefault="003A6FB0" w:rsidP="00976DB7">
            <w:pPr>
              <w:pStyle w:val="Default"/>
              <w:numPr>
                <w:ilvl w:val="0"/>
                <w:numId w:val="5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1ECC6718" w14:textId="77777777" w:rsidR="003A6FB0" w:rsidRPr="00556719" w:rsidRDefault="003A6FB0" w:rsidP="00976DB7">
            <w:pPr>
              <w:pStyle w:val="Default"/>
              <w:numPr>
                <w:ilvl w:val="0"/>
                <w:numId w:val="5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usahanya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pembiayaan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ekspor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nasional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  <w:p w14:paraId="4C006C2E" w14:textId="34AD400F" w:rsidR="009535E1" w:rsidRPr="00556719" w:rsidRDefault="003A6FB0" w:rsidP="00976DB7">
            <w:pPr>
              <w:pStyle w:val="Default"/>
              <w:numPr>
                <w:ilvl w:val="0"/>
                <w:numId w:val="5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Undang-Undang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status sovereign.</w:t>
            </w:r>
          </w:p>
        </w:tc>
        <w:tc>
          <w:tcPr>
            <w:tcW w:w="2500" w:type="pct"/>
          </w:tcPr>
          <w:p w14:paraId="4E909670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1BE83609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474306C3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2676930" w14:textId="77777777" w:rsidTr="00384609">
        <w:tc>
          <w:tcPr>
            <w:tcW w:w="2500" w:type="pct"/>
          </w:tcPr>
          <w:p w14:paraId="7B4904FD" w14:textId="77777777" w:rsidR="003A6FB0" w:rsidRPr="00556719" w:rsidRDefault="003A6FB0" w:rsidP="00976DB7">
            <w:pPr>
              <w:pStyle w:val="Default"/>
              <w:numPr>
                <w:ilvl w:val="0"/>
                <w:numId w:val="9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3B5169BA" w14:textId="77777777" w:rsidR="003A6FB0" w:rsidRPr="00556719" w:rsidRDefault="003A6FB0" w:rsidP="00976DB7">
            <w:pPr>
              <w:pStyle w:val="Default"/>
              <w:numPr>
                <w:ilvl w:val="0"/>
                <w:numId w:val="5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bersifat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(unconditional)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dibatalkan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(irrevocable);</w:t>
            </w:r>
          </w:p>
          <w:p w14:paraId="3D51DC50" w14:textId="77777777" w:rsidR="003A6FB0" w:rsidRPr="00556719" w:rsidRDefault="003A6FB0" w:rsidP="00976DB7">
            <w:pPr>
              <w:pStyle w:val="Default"/>
              <w:numPr>
                <w:ilvl w:val="0"/>
                <w:numId w:val="5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pencairan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dokumen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71881A1E" w14:textId="77777777" w:rsidR="003A6FB0" w:rsidRPr="00556719" w:rsidRDefault="003A6FB0" w:rsidP="00976DB7">
            <w:pPr>
              <w:pStyle w:val="Default"/>
              <w:numPr>
                <w:ilvl w:val="0"/>
                <w:numId w:val="5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singkat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  <w:p w14:paraId="495AB7F5" w14:textId="1A5CF32E" w:rsidR="009535E1" w:rsidRPr="00556719" w:rsidRDefault="003A6FB0" w:rsidP="00976DB7">
            <w:pPr>
              <w:pStyle w:val="Default"/>
              <w:numPr>
                <w:ilvl w:val="0"/>
                <w:numId w:val="5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kembali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(counter guarantee).</w:t>
            </w:r>
          </w:p>
        </w:tc>
        <w:tc>
          <w:tcPr>
            <w:tcW w:w="2500" w:type="pct"/>
          </w:tcPr>
          <w:p w14:paraId="10F2406F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(4) </w:t>
            </w:r>
          </w:p>
          <w:p w14:paraId="389EA0D1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38500F4A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D884764" w14:textId="77777777" w:rsidTr="00384609">
        <w:tc>
          <w:tcPr>
            <w:tcW w:w="2500" w:type="pct"/>
          </w:tcPr>
          <w:p w14:paraId="265B74E3" w14:textId="5168A75D" w:rsidR="009535E1" w:rsidRPr="00556719" w:rsidRDefault="003A6FB0" w:rsidP="00976DB7">
            <w:pPr>
              <w:pStyle w:val="Default"/>
              <w:numPr>
                <w:ilvl w:val="0"/>
                <w:numId w:val="9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mengajukan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klaim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(4)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7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4F175E69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(5) </w:t>
            </w:r>
          </w:p>
          <w:p w14:paraId="4E8DC161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1D9FFBB6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DB69446" w14:textId="77777777" w:rsidTr="00384609">
        <w:tc>
          <w:tcPr>
            <w:tcW w:w="2500" w:type="pct"/>
          </w:tcPr>
          <w:p w14:paraId="42B0397C" w14:textId="77777777" w:rsidR="003A6FB0" w:rsidRPr="00556719" w:rsidRDefault="003A6FB0" w:rsidP="00976DB7">
            <w:pPr>
              <w:pStyle w:val="Default"/>
              <w:numPr>
                <w:ilvl w:val="0"/>
                <w:numId w:val="9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dinyatakan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(5)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7D9A1D4A" w14:textId="77777777" w:rsidR="003A6FB0" w:rsidRPr="00556719" w:rsidRDefault="003A6FB0" w:rsidP="00976DB7">
            <w:pPr>
              <w:pStyle w:val="Default"/>
              <w:numPr>
                <w:ilvl w:val="0"/>
                <w:numId w:val="5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tunggakan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pokok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margin/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ujrah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/bonus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90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sembilan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meskipun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belum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jatuh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tempo;</w:t>
            </w:r>
          </w:p>
          <w:p w14:paraId="2E61CFA5" w14:textId="77777777" w:rsidR="003A6FB0" w:rsidRPr="00556719" w:rsidRDefault="003A6FB0" w:rsidP="00976DB7">
            <w:pPr>
              <w:pStyle w:val="Default"/>
              <w:numPr>
                <w:ilvl w:val="0"/>
                <w:numId w:val="5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diterimanya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pembayaran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pokok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margin/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ujrah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/bonus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jatuh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tempo;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  <w:p w14:paraId="2A5989E8" w14:textId="287F1553" w:rsidR="009535E1" w:rsidRPr="00556719" w:rsidRDefault="003A6FB0" w:rsidP="00976DB7">
            <w:pPr>
              <w:pStyle w:val="Default"/>
              <w:numPr>
                <w:ilvl w:val="0"/>
                <w:numId w:val="5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dipenuhinya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pembayaran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pokok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margin/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ujrah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/bonus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mengakibatkan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4369BE00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 xml:space="preserve">Ayat (6) </w:t>
            </w:r>
          </w:p>
          <w:p w14:paraId="480C5F73" w14:textId="4AAADE91" w:rsidR="009535E1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42B43A7B" w14:textId="77777777" w:rsidTr="00384609">
        <w:tc>
          <w:tcPr>
            <w:tcW w:w="2500" w:type="pct"/>
          </w:tcPr>
          <w:p w14:paraId="6E580F03" w14:textId="77777777" w:rsidR="009535E1" w:rsidRPr="00556719" w:rsidRDefault="009535E1" w:rsidP="003A6FB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344D535" w14:textId="77777777" w:rsidR="009535E1" w:rsidRPr="00556719" w:rsidRDefault="009535E1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4A9A352" w14:textId="77777777" w:rsidTr="00384609">
        <w:tc>
          <w:tcPr>
            <w:tcW w:w="2500" w:type="pct"/>
          </w:tcPr>
          <w:p w14:paraId="62F17F5D" w14:textId="708E6CF9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4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2500" w:type="pct"/>
          </w:tcPr>
          <w:p w14:paraId="6E43FB9B" w14:textId="7777777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4000F651" w14:textId="175E7F30" w:rsidTr="00384609">
        <w:tc>
          <w:tcPr>
            <w:tcW w:w="2500" w:type="pct"/>
          </w:tcPr>
          <w:p w14:paraId="2E008F27" w14:textId="322CAC7D" w:rsidR="000E5C2A" w:rsidRPr="00556719" w:rsidRDefault="000E5C2A" w:rsidP="00976DB7">
            <w:pPr>
              <w:pStyle w:val="Default"/>
              <w:numPr>
                <w:ilvl w:val="0"/>
                <w:numId w:val="9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BMPD.</w:t>
            </w:r>
          </w:p>
        </w:tc>
        <w:tc>
          <w:tcPr>
            <w:tcW w:w="2500" w:type="pct"/>
          </w:tcPr>
          <w:p w14:paraId="51C436F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5BFFCD1A" w14:textId="31D0335F" w:rsidR="000E5C2A" w:rsidRPr="00556719" w:rsidRDefault="003A6FB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224CFAC" w14:textId="77777777" w:rsidTr="00384609">
        <w:tc>
          <w:tcPr>
            <w:tcW w:w="2500" w:type="pct"/>
          </w:tcPr>
          <w:p w14:paraId="35C7B4CF" w14:textId="2D1EEB65" w:rsidR="003A6FB0" w:rsidRPr="00556719" w:rsidRDefault="003A6FB0" w:rsidP="00976DB7">
            <w:pPr>
              <w:pStyle w:val="Default"/>
              <w:numPr>
                <w:ilvl w:val="0"/>
                <w:numId w:val="9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49703EC4" w14:textId="7978C925" w:rsidR="003A6FB0" w:rsidRPr="00556719" w:rsidRDefault="003A6FB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</w:tc>
      </w:tr>
      <w:tr w:rsidR="00556719" w:rsidRPr="00556719" w14:paraId="72DAAB28" w14:textId="77777777" w:rsidTr="00384609">
        <w:tc>
          <w:tcPr>
            <w:tcW w:w="2500" w:type="pct"/>
          </w:tcPr>
          <w:p w14:paraId="1C641BD5" w14:textId="21C464DD" w:rsidR="003A6FB0" w:rsidRPr="00556719" w:rsidRDefault="003A6FB0" w:rsidP="00976DB7">
            <w:pPr>
              <w:pStyle w:val="Default"/>
              <w:numPr>
                <w:ilvl w:val="0"/>
                <w:numId w:val="12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giro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deposito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emas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</w:tc>
        <w:tc>
          <w:tcPr>
            <w:tcW w:w="2500" w:type="pct"/>
          </w:tcPr>
          <w:p w14:paraId="276439F6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478C77BF" w14:textId="75B58FCC" w:rsidR="003A6FB0" w:rsidRPr="00556719" w:rsidRDefault="003A6FB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tunai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emas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ditentukan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wajar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52921739" w14:textId="77777777" w:rsidTr="00384609">
        <w:tc>
          <w:tcPr>
            <w:tcW w:w="2500" w:type="pct"/>
          </w:tcPr>
          <w:p w14:paraId="25FF0812" w14:textId="54E9ACBB" w:rsidR="003A6FB0" w:rsidRPr="00556719" w:rsidRDefault="003A6FB0" w:rsidP="00976DB7">
            <w:pPr>
              <w:pStyle w:val="Default"/>
              <w:numPr>
                <w:ilvl w:val="0"/>
                <w:numId w:val="12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Indonesia.</w:t>
            </w:r>
          </w:p>
        </w:tc>
        <w:tc>
          <w:tcPr>
            <w:tcW w:w="2500" w:type="pct"/>
          </w:tcPr>
          <w:p w14:paraId="3F590799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55854814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pengertian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Pemerintah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Indonesia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Indonesia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adalah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Syariah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Dibeli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Janji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Dijual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Kembali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Reverse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Repo). </w:t>
            </w:r>
          </w:p>
          <w:p w14:paraId="43E5664B" w14:textId="65088FAE" w:rsidR="003A6FB0" w:rsidRPr="00556719" w:rsidRDefault="003A6FB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Syariah Negara (SBSN),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ditentukan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pasar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market value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SBSN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tersedia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pasar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ditentukan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wajar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fair value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). </w:t>
            </w:r>
          </w:p>
        </w:tc>
      </w:tr>
      <w:tr w:rsidR="00556719" w:rsidRPr="00556719" w14:paraId="1AF4F88E" w14:textId="77777777" w:rsidTr="00384609">
        <w:tc>
          <w:tcPr>
            <w:tcW w:w="2500" w:type="pct"/>
          </w:tcPr>
          <w:p w14:paraId="704D3B9A" w14:textId="77777777" w:rsidR="003A6FB0" w:rsidRPr="00556719" w:rsidRDefault="003A6FB0" w:rsidP="00976DB7">
            <w:pPr>
              <w:pStyle w:val="Default"/>
              <w:numPr>
                <w:ilvl w:val="0"/>
                <w:numId w:val="9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5DF4774F" w14:textId="77777777" w:rsidR="003A6FB0" w:rsidRPr="00556719" w:rsidRDefault="003A6FB0" w:rsidP="00976DB7">
            <w:pPr>
              <w:pStyle w:val="Default"/>
              <w:numPr>
                <w:ilvl w:val="0"/>
                <w:numId w:val="5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diblokir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dilengkapi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surat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kuasa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pencairan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pemilik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keuntungan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pencairan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membayar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tunggakan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angsuran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pokok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margin/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ujrah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/bonus;</w:t>
            </w:r>
          </w:p>
          <w:p w14:paraId="0691EEFD" w14:textId="77777777" w:rsidR="003A6FB0" w:rsidRPr="00556719" w:rsidRDefault="003A6FB0" w:rsidP="00976DB7">
            <w:pPr>
              <w:pStyle w:val="Default"/>
              <w:numPr>
                <w:ilvl w:val="0"/>
                <w:numId w:val="5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bersifat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(unconditional)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dibatalkan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(irrevocable);</w:t>
            </w:r>
          </w:p>
          <w:p w14:paraId="278A18DC" w14:textId="77777777" w:rsidR="003A6FB0" w:rsidRPr="00556719" w:rsidRDefault="003A6FB0" w:rsidP="00976DB7">
            <w:pPr>
              <w:pStyle w:val="Default"/>
              <w:numPr>
                <w:ilvl w:val="0"/>
                <w:numId w:val="5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pemblokiran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singkat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6D68056A" w14:textId="77777777" w:rsidR="003A6FB0" w:rsidRPr="00556719" w:rsidRDefault="003A6FB0" w:rsidP="00976DB7">
            <w:pPr>
              <w:pStyle w:val="Default"/>
              <w:numPr>
                <w:ilvl w:val="0"/>
                <w:numId w:val="5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pengikatan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hukum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kuat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bebas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segala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perikatan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sengketa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sedang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</w:t>
            </w:r>
          </w:p>
          <w:p w14:paraId="56FD2F84" w14:textId="3037F2BD" w:rsidR="003A6FB0" w:rsidRPr="00556719" w:rsidRDefault="003A6FB0" w:rsidP="00976DB7">
            <w:pPr>
              <w:pStyle w:val="Default"/>
              <w:numPr>
                <w:ilvl w:val="0"/>
                <w:numId w:val="5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agunan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disimpan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ditatausahakan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dana.</w:t>
            </w:r>
          </w:p>
        </w:tc>
        <w:tc>
          <w:tcPr>
            <w:tcW w:w="2500" w:type="pct"/>
          </w:tcPr>
          <w:p w14:paraId="7D41962D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 xml:space="preserve">Ayat (3) </w:t>
            </w:r>
          </w:p>
          <w:p w14:paraId="4A14CC78" w14:textId="582B2C11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59D1D0E1" w14:textId="77777777" w:rsidTr="00384609">
        <w:tc>
          <w:tcPr>
            <w:tcW w:w="2500" w:type="pct"/>
          </w:tcPr>
          <w:p w14:paraId="25636E08" w14:textId="77777777" w:rsidR="003A6FB0" w:rsidRPr="00556719" w:rsidRDefault="003A6FB0" w:rsidP="003A6FB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280FF5F" w14:textId="77777777" w:rsidR="003A6FB0" w:rsidRPr="00556719" w:rsidRDefault="003A6FB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317736E" w14:textId="77777777" w:rsidTr="00384609">
        <w:tc>
          <w:tcPr>
            <w:tcW w:w="2500" w:type="pct"/>
          </w:tcPr>
          <w:p w14:paraId="6FEB1389" w14:textId="468A3352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4</w:t>
            </w:r>
            <w:r w:rsidR="00D21692">
              <w:rPr>
                <w:rFonts w:ascii="Bookman Old Style" w:hAnsi="Bookman Old Style" w:cstheme="majorHAnsi"/>
                <w:sz w:val="20"/>
                <w:szCs w:val="20"/>
              </w:rPr>
              <w:t>7</w:t>
            </w:r>
          </w:p>
        </w:tc>
        <w:tc>
          <w:tcPr>
            <w:tcW w:w="2500" w:type="pct"/>
          </w:tcPr>
          <w:p w14:paraId="75B53A51" w14:textId="77777777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A4C82F2" w14:textId="429574EC" w:rsidTr="00384609">
        <w:tc>
          <w:tcPr>
            <w:tcW w:w="2500" w:type="pct"/>
          </w:tcPr>
          <w:p w14:paraId="0EC590AC" w14:textId="6352C4C1" w:rsidR="000E5C2A" w:rsidRPr="00556719" w:rsidRDefault="000E5C2A" w:rsidP="00976DB7">
            <w:pPr>
              <w:pStyle w:val="Default"/>
              <w:numPr>
                <w:ilvl w:val="0"/>
                <w:numId w:val="9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Bagian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memperoleh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Prime 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sepanjang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memenuhi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  <w:p w14:paraId="4C4BD5CC" w14:textId="77777777" w:rsidR="000E5C2A" w:rsidRPr="00556719" w:rsidRDefault="000E5C2A" w:rsidP="00976DB7">
            <w:pPr>
              <w:pStyle w:val="Default"/>
              <w:numPr>
                <w:ilvl w:val="0"/>
                <w:numId w:val="5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Pr="00556719">
              <w:rPr>
                <w:rFonts w:cstheme="majorHAnsi"/>
                <w:i/>
                <w:color w:val="auto"/>
                <w:sz w:val="20"/>
                <w:szCs w:val="20"/>
              </w:rPr>
              <w:t>standby letter of credit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Uniform Customs and Practice for Documentary Credits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International Standby Practices; </w:t>
            </w:r>
          </w:p>
          <w:p w14:paraId="1455DF9C" w14:textId="77777777" w:rsidR="000E5C2A" w:rsidRPr="00556719" w:rsidRDefault="000E5C2A" w:rsidP="00976DB7">
            <w:pPr>
              <w:pStyle w:val="Default"/>
              <w:numPr>
                <w:ilvl w:val="0"/>
                <w:numId w:val="5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bersifat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syarat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dibatalkan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3D7017BF" w14:textId="77777777" w:rsidR="000E5C2A" w:rsidRPr="00556719" w:rsidRDefault="000E5C2A" w:rsidP="00976DB7">
            <w:pPr>
              <w:pStyle w:val="Default"/>
              <w:numPr>
                <w:ilvl w:val="0"/>
                <w:numId w:val="5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dicairkan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7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diajukan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klaim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pencairan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</w:t>
            </w:r>
          </w:p>
          <w:p w14:paraId="104BDD72" w14:textId="41119E33" w:rsidR="000E5C2A" w:rsidRPr="00556719" w:rsidRDefault="000E5C2A" w:rsidP="00976DB7">
            <w:pPr>
              <w:pStyle w:val="Default"/>
              <w:numPr>
                <w:ilvl w:val="0"/>
                <w:numId w:val="5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mempunyai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singkat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dan </w:t>
            </w:r>
          </w:p>
          <w:p w14:paraId="06B5FE3B" w14:textId="3EC3931D" w:rsidR="000E5C2A" w:rsidRPr="00556719" w:rsidRDefault="000E5C2A" w:rsidP="00976DB7">
            <w:pPr>
              <w:pStyle w:val="Default"/>
              <w:numPr>
                <w:ilvl w:val="0"/>
                <w:numId w:val="5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dijamin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kembali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penyedia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Prime Bank. </w:t>
            </w:r>
          </w:p>
        </w:tc>
        <w:tc>
          <w:tcPr>
            <w:tcW w:w="2500" w:type="pct"/>
          </w:tcPr>
          <w:p w14:paraId="2B98961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17C3835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4292924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6F74504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08A12E5F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2C24ECC5" w14:textId="2D910523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8A93685" w14:textId="77777777" w:rsidTr="00384609">
        <w:tc>
          <w:tcPr>
            <w:tcW w:w="2500" w:type="pct"/>
          </w:tcPr>
          <w:p w14:paraId="2B9C897A" w14:textId="343D8846" w:rsidR="003A6FB0" w:rsidRPr="00556719" w:rsidRDefault="003A6FB0" w:rsidP="00976DB7">
            <w:pPr>
              <w:pStyle w:val="Default"/>
              <w:numPr>
                <w:ilvl w:val="0"/>
                <w:numId w:val="9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mengajukan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klaim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7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E8DCAA9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2F52DB06" w14:textId="02E7102E" w:rsidR="003A6FB0" w:rsidRPr="00556719" w:rsidRDefault="003A6FB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07E8523B" w14:textId="77777777" w:rsidTr="00384609">
        <w:tc>
          <w:tcPr>
            <w:tcW w:w="2500" w:type="pct"/>
          </w:tcPr>
          <w:p w14:paraId="5A4DC65C" w14:textId="77777777" w:rsidR="003A6FB0" w:rsidRPr="00556719" w:rsidRDefault="003A6FB0" w:rsidP="00976DB7">
            <w:pPr>
              <w:pStyle w:val="Default"/>
              <w:numPr>
                <w:ilvl w:val="0"/>
                <w:numId w:val="9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dianggap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  <w:p w14:paraId="74BFAE2E" w14:textId="77777777" w:rsidR="003A6FB0" w:rsidRPr="00556719" w:rsidRDefault="003A6FB0" w:rsidP="00976DB7">
            <w:pPr>
              <w:pStyle w:val="Default"/>
              <w:numPr>
                <w:ilvl w:val="0"/>
                <w:numId w:val="5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tunggakan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pokok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margin/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ujrah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/bonus,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90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sembilan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meskipun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belum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jatuh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tempo; </w:t>
            </w:r>
          </w:p>
          <w:p w14:paraId="788A1717" w14:textId="77777777" w:rsidR="003A6FB0" w:rsidRPr="00556719" w:rsidRDefault="003A6FB0" w:rsidP="00976DB7">
            <w:pPr>
              <w:pStyle w:val="Default"/>
              <w:numPr>
                <w:ilvl w:val="0"/>
                <w:numId w:val="5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diterimanya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pembayaran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pokok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margin/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ujrah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/bonus,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tagihan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jatuh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tempo;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</w:p>
          <w:p w14:paraId="3DDC3C65" w14:textId="15881A0E" w:rsidR="003A6FB0" w:rsidRPr="00556719" w:rsidRDefault="003A6FB0" w:rsidP="00976DB7">
            <w:pPr>
              <w:pStyle w:val="Default"/>
              <w:numPr>
                <w:ilvl w:val="0"/>
                <w:numId w:val="5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dipenuhinya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persyaratan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pembayaran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pokok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margin/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hasil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ujrah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/bonus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mengakibatkan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wanprestasi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2C1781C1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4505BB1E" w14:textId="611FC0E9" w:rsidR="003A6FB0" w:rsidRPr="00556719" w:rsidRDefault="003A6FB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</w:tc>
      </w:tr>
      <w:tr w:rsidR="00556719" w:rsidRPr="00556719" w14:paraId="09BE2BC6" w14:textId="77777777" w:rsidTr="00384609">
        <w:tc>
          <w:tcPr>
            <w:tcW w:w="2500" w:type="pct"/>
          </w:tcPr>
          <w:p w14:paraId="404526C1" w14:textId="71A745C8" w:rsidR="003A6FB0" w:rsidRPr="00556719" w:rsidRDefault="003A6FB0" w:rsidP="00976DB7">
            <w:pPr>
              <w:pStyle w:val="Default"/>
              <w:numPr>
                <w:ilvl w:val="0"/>
                <w:numId w:val="9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Pengecualian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90%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sembilan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Bank.</w:t>
            </w:r>
          </w:p>
        </w:tc>
        <w:tc>
          <w:tcPr>
            <w:tcW w:w="2500" w:type="pct"/>
          </w:tcPr>
          <w:p w14:paraId="2F7EE0CA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(4) </w:t>
            </w:r>
          </w:p>
          <w:p w14:paraId="31826D64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adanya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Prime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total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memperoleh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: </w:t>
            </w:r>
          </w:p>
          <w:p w14:paraId="73AB5E28" w14:textId="77777777" w:rsidR="003A6FB0" w:rsidRPr="00556719" w:rsidRDefault="003A6FB0" w:rsidP="00976DB7">
            <w:pPr>
              <w:pStyle w:val="ListParagraph"/>
              <w:numPr>
                <w:ilvl w:val="0"/>
                <w:numId w:val="57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100%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seratus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Bank;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  <w:p w14:paraId="104813A7" w14:textId="77777777" w:rsidR="003A6FB0" w:rsidRPr="00556719" w:rsidRDefault="003A6FB0" w:rsidP="00976DB7">
            <w:pPr>
              <w:pStyle w:val="ListParagraph"/>
              <w:numPr>
                <w:ilvl w:val="0"/>
                <w:numId w:val="57"/>
              </w:num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100%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seratus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Inti (</w:t>
            </w:r>
            <w:r w:rsidRPr="00556719">
              <w:rPr>
                <w:rFonts w:ascii="Bookman Old Style" w:hAnsi="Bookman Old Style" w:cstheme="majorHAnsi"/>
                <w:i/>
                <w:sz w:val="20"/>
                <w:szCs w:val="20"/>
              </w:rPr>
              <w:t xml:space="preserve">tier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1)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  <w:p w14:paraId="3826AF88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1: </w:t>
            </w:r>
          </w:p>
          <w:p w14:paraId="3F28C148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“A”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“B”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Bank “X”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memperoleh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standby letter of credit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induk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Bank “X”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Prime Bank. Bagian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Bank “X”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“A”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“B”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memperoleh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BMPD paling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90%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sembilan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Bank. Batas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keseluruhan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Bagian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“A”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“B”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memperoleh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tersebut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diperhitungkan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keseluruhan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10%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sepuluh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Bank. </w:t>
            </w:r>
          </w:p>
          <w:p w14:paraId="198BCEEF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Contoh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2: </w:t>
            </w:r>
          </w:p>
          <w:p w14:paraId="37EC9288" w14:textId="238E7042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“C”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“D”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Bank “Y”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memperoleh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standby letter of credit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diterbitkan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perusahaan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induk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Bank “Y”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Prime Bank. Total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PT Bank “Y”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masing-masing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“C”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“D” paling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banyak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100%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seratus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Inti (</w:t>
            </w:r>
            <w:r w:rsidRPr="00556719">
              <w:rPr>
                <w:rFonts w:ascii="Bookman Old Style" w:hAnsi="Bookman Old Style" w:cstheme="majorHAnsi"/>
                <w:i/>
                <w:sz w:val="20"/>
                <w:szCs w:val="20"/>
              </w:rPr>
              <w:t>tier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memperhatikan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limit BMPD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bagian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memperoleh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jaminan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tinggi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25%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persen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Inti (</w:t>
            </w:r>
            <w:r w:rsidRPr="00556719">
              <w:rPr>
                <w:rFonts w:ascii="Bookman Old Style" w:hAnsi="Bookman Old Style" w:cstheme="majorHAnsi"/>
                <w:i/>
                <w:sz w:val="20"/>
                <w:szCs w:val="20"/>
              </w:rPr>
              <w:t xml:space="preserve">tier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1)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masing-masing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“C”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“D”.</w:t>
            </w:r>
          </w:p>
        </w:tc>
      </w:tr>
      <w:tr w:rsidR="00556719" w:rsidRPr="00556719" w14:paraId="055D7825" w14:textId="77777777" w:rsidTr="00384609">
        <w:tc>
          <w:tcPr>
            <w:tcW w:w="2500" w:type="pct"/>
          </w:tcPr>
          <w:p w14:paraId="529048E4" w14:textId="77777777" w:rsidR="003A6FB0" w:rsidRPr="00556719" w:rsidRDefault="003A6FB0" w:rsidP="003A6FB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44926AD" w14:textId="77777777" w:rsidR="003A6FB0" w:rsidRPr="00556719" w:rsidRDefault="003A6FB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D1AC6DE" w14:textId="77777777" w:rsidTr="00384609">
        <w:tc>
          <w:tcPr>
            <w:tcW w:w="2500" w:type="pct"/>
          </w:tcPr>
          <w:p w14:paraId="467C3CBE" w14:textId="62550FC9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4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500" w:type="pct"/>
          </w:tcPr>
          <w:p w14:paraId="41AC23C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F8DCD9A" w14:textId="4DD2A7D1" w:rsidTr="00384609">
        <w:tc>
          <w:tcPr>
            <w:tcW w:w="2500" w:type="pct"/>
          </w:tcPr>
          <w:p w14:paraId="6D148E66" w14:textId="4EA11D58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26" w:name="_Hlk64550747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menjadi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pengurang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pemenuhan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minimum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dikecualikan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BMPD.</w:t>
            </w:r>
            <w:bookmarkEnd w:id="26"/>
          </w:p>
        </w:tc>
        <w:tc>
          <w:tcPr>
            <w:tcW w:w="2500" w:type="pct"/>
          </w:tcPr>
          <w:p w14:paraId="0CA6BFC0" w14:textId="17AE5DF8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4E83968F" w14:textId="77777777" w:rsidTr="00384609">
        <w:tc>
          <w:tcPr>
            <w:tcW w:w="2500" w:type="pct"/>
          </w:tcPr>
          <w:p w14:paraId="08A30682" w14:textId="660B220D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E1DDBC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9A2E519" w14:textId="77777777" w:rsidTr="00384609">
        <w:tc>
          <w:tcPr>
            <w:tcW w:w="2500" w:type="pct"/>
          </w:tcPr>
          <w:p w14:paraId="004DECDC" w14:textId="5D92E2C4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  <w:highlight w:val="cyan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  <w:highlight w:val="cyan"/>
              </w:rPr>
              <w:t xml:space="preserve"> 4</w:t>
            </w:r>
            <w:r w:rsidR="00D21692">
              <w:rPr>
                <w:rFonts w:cstheme="maj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2500" w:type="pct"/>
          </w:tcPr>
          <w:p w14:paraId="4884749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E1802D7" w14:textId="77777777" w:rsidTr="00384609">
        <w:tc>
          <w:tcPr>
            <w:tcW w:w="2500" w:type="pct"/>
          </w:tcPr>
          <w:p w14:paraId="71691DCC" w14:textId="33118A49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  <w:lang w:val="en-ID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  <w:lang w:val="fi-FI"/>
              </w:rPr>
              <w:t>Penyaluran dana yang risikonya ditanggung oleh Nasabah Investor dikecualikan dari perhitungan BMPD.</w:t>
            </w:r>
          </w:p>
        </w:tc>
        <w:tc>
          <w:tcPr>
            <w:tcW w:w="2500" w:type="pct"/>
          </w:tcPr>
          <w:p w14:paraId="68A90BF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0919B10" w14:textId="77777777" w:rsidTr="00384609">
        <w:tc>
          <w:tcPr>
            <w:tcW w:w="2500" w:type="pct"/>
          </w:tcPr>
          <w:p w14:paraId="03354CA7" w14:textId="77777777" w:rsidR="003A6FB0" w:rsidRPr="00556719" w:rsidRDefault="003A6FB0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  <w:lang w:val="fi-FI"/>
              </w:rPr>
            </w:pPr>
          </w:p>
        </w:tc>
        <w:tc>
          <w:tcPr>
            <w:tcW w:w="2500" w:type="pct"/>
          </w:tcPr>
          <w:p w14:paraId="2ECA43A3" w14:textId="77777777" w:rsidR="003A6FB0" w:rsidRPr="00556719" w:rsidRDefault="003A6FB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E37A852" w14:textId="77777777" w:rsidTr="00384609">
        <w:tc>
          <w:tcPr>
            <w:tcW w:w="2500" w:type="pct"/>
          </w:tcPr>
          <w:p w14:paraId="0832ED3D" w14:textId="19C555F5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VIII</w:t>
            </w:r>
          </w:p>
          <w:p w14:paraId="1A47C2D3" w14:textId="0D2E8E13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PELAMPAUAN BMPD</w:t>
            </w:r>
          </w:p>
        </w:tc>
        <w:tc>
          <w:tcPr>
            <w:tcW w:w="2500" w:type="pct"/>
          </w:tcPr>
          <w:p w14:paraId="08155A3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840EE1B" w14:textId="77777777" w:rsidTr="00384609">
        <w:tc>
          <w:tcPr>
            <w:tcW w:w="2500" w:type="pct"/>
          </w:tcPr>
          <w:p w14:paraId="6A393087" w14:textId="6F88E534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50</w:t>
            </w:r>
          </w:p>
        </w:tc>
        <w:tc>
          <w:tcPr>
            <w:tcW w:w="2500" w:type="pct"/>
          </w:tcPr>
          <w:p w14:paraId="3F8A4B6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15EAB0B" w14:textId="3FFA7DE1" w:rsidTr="00384609">
        <w:tc>
          <w:tcPr>
            <w:tcW w:w="2500" w:type="pct"/>
          </w:tcPr>
          <w:p w14:paraId="50EBA7F8" w14:textId="5E645C76" w:rsidR="000E5C2A" w:rsidRPr="00556719" w:rsidRDefault="000E5C2A" w:rsidP="00976DB7">
            <w:pPr>
              <w:pStyle w:val="Default"/>
              <w:numPr>
                <w:ilvl w:val="0"/>
                <w:numId w:val="10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oleh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dikategorikan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oleh: </w:t>
            </w:r>
          </w:p>
        </w:tc>
        <w:tc>
          <w:tcPr>
            <w:tcW w:w="2500" w:type="pct"/>
          </w:tcPr>
          <w:p w14:paraId="1D09B0E7" w14:textId="578BE72C" w:rsidR="000E5C2A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</w:tc>
      </w:tr>
      <w:tr w:rsidR="00556719" w:rsidRPr="00556719" w14:paraId="12A961FE" w14:textId="77777777" w:rsidTr="00384609">
        <w:tc>
          <w:tcPr>
            <w:tcW w:w="2500" w:type="pct"/>
          </w:tcPr>
          <w:p w14:paraId="648EB632" w14:textId="1D6E158B" w:rsidR="003A6FB0" w:rsidRPr="00556719" w:rsidRDefault="003A6FB0" w:rsidP="00976DB7">
            <w:pPr>
              <w:pStyle w:val="Default"/>
              <w:numPr>
                <w:ilvl w:val="0"/>
                <w:numId w:val="12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27" w:name="_Hlk64554054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penurunan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Modal Inti (</w:t>
            </w:r>
            <w:r w:rsidRPr="00556719">
              <w:rPr>
                <w:rFonts w:cstheme="majorHAnsi"/>
                <w:i/>
                <w:iCs/>
                <w:color w:val="auto"/>
                <w:sz w:val="20"/>
                <w:szCs w:val="20"/>
              </w:rPr>
              <w:t xml:space="preserve">tier 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1) Bank; </w:t>
            </w:r>
            <w:bookmarkEnd w:id="27"/>
          </w:p>
        </w:tc>
        <w:tc>
          <w:tcPr>
            <w:tcW w:w="2500" w:type="pct"/>
          </w:tcPr>
          <w:p w14:paraId="67ABE4A5" w14:textId="77777777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a </w:t>
            </w:r>
          </w:p>
          <w:p w14:paraId="51F0819E" w14:textId="30774EC8" w:rsidR="003A6FB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bookmarkStart w:id="28" w:name="_Hlk64554235"/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Penurunan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Inti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tier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1)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penurunan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mengakibatkan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Inti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 xml:space="preserve">tier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1) Bank,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faktor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penyebut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BMPD,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menjadi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kecil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  <w:bookmarkEnd w:id="28"/>
          </w:p>
        </w:tc>
      </w:tr>
      <w:tr w:rsidR="00556719" w:rsidRPr="00556719" w14:paraId="2C44B649" w14:textId="77777777" w:rsidTr="00384609">
        <w:tc>
          <w:tcPr>
            <w:tcW w:w="2500" w:type="pct"/>
          </w:tcPr>
          <w:p w14:paraId="212172B6" w14:textId="7A193C7E" w:rsidR="003A6FB0" w:rsidRPr="00556719" w:rsidRDefault="003A6FB0" w:rsidP="00976DB7">
            <w:pPr>
              <w:pStyle w:val="Default"/>
              <w:numPr>
                <w:ilvl w:val="0"/>
                <w:numId w:val="12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tukar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</w:t>
            </w:r>
          </w:p>
        </w:tc>
        <w:tc>
          <w:tcPr>
            <w:tcW w:w="2500" w:type="pct"/>
          </w:tcPr>
          <w:p w14:paraId="1E856F32" w14:textId="77777777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b </w:t>
            </w:r>
          </w:p>
          <w:p w14:paraId="1B3A726E" w14:textId="3AF55EE8" w:rsidR="003A6FB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bookmarkStart w:id="29" w:name="_Hlk64554280"/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tukar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mengakibatkan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peningkatan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valuta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asing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sehingga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mengakibatkan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BMPD.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akuntansi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penyesuaian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tukar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hanya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instrument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demikian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Modal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valuta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asing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disesuaikan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kurs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tanggal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  <w:bookmarkEnd w:id="29"/>
          </w:p>
        </w:tc>
      </w:tr>
      <w:tr w:rsidR="00556719" w:rsidRPr="00556719" w14:paraId="5576E0AC" w14:textId="77777777" w:rsidTr="00384609">
        <w:tc>
          <w:tcPr>
            <w:tcW w:w="2500" w:type="pct"/>
          </w:tcPr>
          <w:p w14:paraId="787858D9" w14:textId="022B29AA" w:rsidR="003A6FB0" w:rsidRPr="00556719" w:rsidRDefault="003A6FB0" w:rsidP="00976DB7">
            <w:pPr>
              <w:pStyle w:val="Default"/>
              <w:numPr>
                <w:ilvl w:val="0"/>
                <w:numId w:val="12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</w:t>
            </w:r>
          </w:p>
        </w:tc>
        <w:tc>
          <w:tcPr>
            <w:tcW w:w="2500" w:type="pct"/>
          </w:tcPr>
          <w:p w14:paraId="64BA1441" w14:textId="77777777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c </w:t>
            </w:r>
          </w:p>
          <w:p w14:paraId="3BF58833" w14:textId="46F2F680" w:rsidR="003A6FB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bookmarkStart w:id="30" w:name="_Hlk64554389"/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wajar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pencatatan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penyertaan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metode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ekuitas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equity method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telah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lebih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tahun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pencatatan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Surat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Berharga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diukur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wajar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laba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rugi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ekuitas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mark to market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). </w:t>
            </w:r>
            <w:bookmarkEnd w:id="30"/>
          </w:p>
        </w:tc>
      </w:tr>
      <w:tr w:rsidR="00556719" w:rsidRPr="00556719" w14:paraId="41246524" w14:textId="77777777" w:rsidTr="00384609">
        <w:tc>
          <w:tcPr>
            <w:tcW w:w="2500" w:type="pct"/>
          </w:tcPr>
          <w:p w14:paraId="324B5C07" w14:textId="11562A1A" w:rsidR="003A6FB0" w:rsidRPr="00556719" w:rsidRDefault="003A6FB0" w:rsidP="00976DB7">
            <w:pPr>
              <w:pStyle w:val="Default"/>
              <w:numPr>
                <w:ilvl w:val="0"/>
                <w:numId w:val="12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penggabungan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struktur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struktur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kepengurusan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14:paraId="4910D311" w14:textId="77777777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d </w:t>
            </w:r>
          </w:p>
          <w:p w14:paraId="10164366" w14:textId="4EBDA4C9" w:rsidR="003A6FB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bookmarkStart w:id="31" w:name="_Hlk64554475"/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Penggabungan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akuisisi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merger,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struktur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kepemilikan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lain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,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struktur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kepengurusan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baik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Penyedia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maupun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mengakibatkan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 xml:space="preserve">Fasilitas.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demikian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akibat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penggabungan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struktur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kepengurusan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harus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mengevaluasi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ulang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jumlah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eksposur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dimiliki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berkaitan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batasan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5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16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b. </w:t>
            </w:r>
            <w:bookmarkEnd w:id="31"/>
          </w:p>
        </w:tc>
      </w:tr>
      <w:tr w:rsidR="00556719" w:rsidRPr="00556719" w14:paraId="1DA4ABEE" w14:textId="77777777" w:rsidTr="00384609">
        <w:tc>
          <w:tcPr>
            <w:tcW w:w="2500" w:type="pct"/>
          </w:tcPr>
          <w:p w14:paraId="3D4ABCE8" w14:textId="241EC2CD" w:rsidR="003A6FB0" w:rsidRPr="00556719" w:rsidRDefault="003A6FB0" w:rsidP="00976DB7">
            <w:pPr>
              <w:pStyle w:val="Default"/>
              <w:numPr>
                <w:ilvl w:val="0"/>
                <w:numId w:val="12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perubahan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4CADD776" w14:textId="77777777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Huruf e </w:t>
            </w:r>
          </w:p>
          <w:p w14:paraId="773DEC71" w14:textId="2019E327" w:rsidR="003A6FB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bookmarkStart w:id="32" w:name="_Hlk64554697"/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Termasuk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dikategorikan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Fasilitas.</w:t>
            </w:r>
            <w:bookmarkEnd w:id="32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</w:p>
        </w:tc>
      </w:tr>
      <w:tr w:rsidR="00556719" w:rsidRPr="00556719" w14:paraId="2F589657" w14:textId="77777777" w:rsidTr="00384609">
        <w:tc>
          <w:tcPr>
            <w:tcW w:w="2500" w:type="pct"/>
          </w:tcPr>
          <w:p w14:paraId="60712DB1" w14:textId="3EEC8027" w:rsidR="003A6FB0" w:rsidRPr="00556719" w:rsidRDefault="003A6FB0" w:rsidP="00976DB7">
            <w:pPr>
              <w:pStyle w:val="Default"/>
              <w:numPr>
                <w:ilvl w:val="0"/>
                <w:numId w:val="10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Penentuan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Fasilitas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21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sampai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9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3C0F3C6A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2F8D8FC4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70F2D815" w14:textId="77777777" w:rsidR="003A6FB0" w:rsidRPr="00556719" w:rsidRDefault="003A6FB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D5007B4" w14:textId="77777777" w:rsidTr="00384609">
        <w:tc>
          <w:tcPr>
            <w:tcW w:w="2500" w:type="pct"/>
          </w:tcPr>
          <w:p w14:paraId="353CCE86" w14:textId="10291F68" w:rsidR="003A6FB0" w:rsidRPr="00556719" w:rsidRDefault="003A6FB0" w:rsidP="00976DB7">
            <w:pPr>
              <w:pStyle w:val="Default"/>
              <w:numPr>
                <w:ilvl w:val="0"/>
                <w:numId w:val="10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dihitung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tanggal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41EDB21E" w14:textId="77777777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78CBCBA2" w14:textId="56D6FC4B" w:rsidR="003A6FB0" w:rsidRPr="00556719" w:rsidRDefault="003A6FB0" w:rsidP="003A6FB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Nilai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tercatat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tanggal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yaitu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diatur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standar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akuntansi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berlaku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masing-masing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instrumen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4FD26F47" w14:textId="77777777" w:rsidTr="00384609">
        <w:tc>
          <w:tcPr>
            <w:tcW w:w="2500" w:type="pct"/>
          </w:tcPr>
          <w:p w14:paraId="69D79839" w14:textId="77777777" w:rsidR="003A6FB0" w:rsidRPr="00556719" w:rsidRDefault="003A6FB0" w:rsidP="003A6FB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EF7B474" w14:textId="77777777" w:rsidR="003A6FB0" w:rsidRPr="00556719" w:rsidRDefault="003A6FB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9F66EB2" w14:textId="77777777" w:rsidTr="00384609">
        <w:tc>
          <w:tcPr>
            <w:tcW w:w="2500" w:type="pct"/>
          </w:tcPr>
          <w:p w14:paraId="4FE01C36" w14:textId="46C08653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BAB IX</w:t>
            </w:r>
          </w:p>
          <w:p w14:paraId="0480BF9D" w14:textId="7290AA4C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PENYELESAIAN PELANGGARAN DAN PELAMPAUAN BMPD</w:t>
            </w:r>
          </w:p>
        </w:tc>
        <w:tc>
          <w:tcPr>
            <w:tcW w:w="2500" w:type="pct"/>
          </w:tcPr>
          <w:p w14:paraId="4994DB0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41414E0" w14:textId="77777777" w:rsidTr="00384609">
        <w:tc>
          <w:tcPr>
            <w:tcW w:w="2500" w:type="pct"/>
          </w:tcPr>
          <w:p w14:paraId="6E6902FC" w14:textId="4D527EDC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="00860EB1">
              <w:rPr>
                <w:rFonts w:ascii="Bookman Old Style" w:hAnsi="Bookman Old Style" w:cstheme="majorHAnsi"/>
                <w:sz w:val="20"/>
                <w:szCs w:val="20"/>
              </w:rPr>
              <w:t>51</w:t>
            </w:r>
          </w:p>
        </w:tc>
        <w:tc>
          <w:tcPr>
            <w:tcW w:w="2500" w:type="pct"/>
          </w:tcPr>
          <w:p w14:paraId="2BDBFFB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C57B83C" w14:textId="4E5E35E8" w:rsidTr="00384609">
        <w:tc>
          <w:tcPr>
            <w:tcW w:w="2500" w:type="pct"/>
          </w:tcPr>
          <w:p w14:paraId="38065CB1" w14:textId="7451DCEB" w:rsidR="000E5C2A" w:rsidRPr="00556719" w:rsidRDefault="000E5C2A" w:rsidP="00976DB7">
            <w:pPr>
              <w:pStyle w:val="Default"/>
              <w:numPr>
                <w:ilvl w:val="0"/>
                <w:numId w:val="10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bookmarkStart w:id="33" w:name="_Hlk64555777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BMPD,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menyusun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penyelesaian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BMPD. </w:t>
            </w:r>
            <w:bookmarkEnd w:id="33"/>
          </w:p>
        </w:tc>
        <w:tc>
          <w:tcPr>
            <w:tcW w:w="2500" w:type="pct"/>
          </w:tcPr>
          <w:p w14:paraId="58569B5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0D91DA7B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  <w:p w14:paraId="2C4E7037" w14:textId="25C84F05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BA99381" w14:textId="77777777" w:rsidTr="00384609">
        <w:tc>
          <w:tcPr>
            <w:tcW w:w="2500" w:type="pct"/>
          </w:tcPr>
          <w:p w14:paraId="47A65E32" w14:textId="5CC0A89C" w:rsidR="00367080" w:rsidRPr="00556719" w:rsidRDefault="00367080" w:rsidP="00976DB7">
            <w:pPr>
              <w:pStyle w:val="Default"/>
              <w:numPr>
                <w:ilvl w:val="0"/>
                <w:numId w:val="10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memuat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sedikit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langkah-langkah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perbaikan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dilaksanakan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penyelesaian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target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penyelesaian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7819E33" w14:textId="77777777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54787190" w14:textId="029EEBCA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disampaikan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komitmen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45088CB4" w14:textId="77777777" w:rsidTr="00384609">
        <w:tc>
          <w:tcPr>
            <w:tcW w:w="2500" w:type="pct"/>
          </w:tcPr>
          <w:p w14:paraId="1DB9ED43" w14:textId="77777777" w:rsidR="00367080" w:rsidRPr="00556719" w:rsidRDefault="00367080" w:rsidP="0036708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0CFF577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ADCFC55" w14:textId="77777777" w:rsidTr="00384609">
        <w:tc>
          <w:tcPr>
            <w:tcW w:w="2500" w:type="pct"/>
          </w:tcPr>
          <w:p w14:paraId="212BCE0A" w14:textId="0346E5BB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52</w:t>
            </w:r>
          </w:p>
        </w:tc>
        <w:tc>
          <w:tcPr>
            <w:tcW w:w="2500" w:type="pct"/>
          </w:tcPr>
          <w:p w14:paraId="53BF696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ECD7415" w14:textId="2E886750" w:rsidTr="00384609">
        <w:tc>
          <w:tcPr>
            <w:tcW w:w="2500" w:type="pct"/>
          </w:tcPr>
          <w:p w14:paraId="1FD99B05" w14:textId="6268592C" w:rsidR="000E5C2A" w:rsidRPr="00556719" w:rsidRDefault="000E5C2A" w:rsidP="00976DB7">
            <w:pPr>
              <w:pStyle w:val="Default"/>
              <w:numPr>
                <w:ilvl w:val="0"/>
                <w:numId w:val="10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penyelesaian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segera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target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penyelesaian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51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7A1CDA7E" w14:textId="47DE3E87" w:rsidR="000E5C2A" w:rsidRPr="00556719" w:rsidRDefault="000E5C2A" w:rsidP="00976DB7">
            <w:pPr>
              <w:pStyle w:val="Default"/>
              <w:numPr>
                <w:ilvl w:val="0"/>
                <w:numId w:val="5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34" w:name="_Hlk64556471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3FF6FF25" w14:textId="4B3AD2FB" w:rsidR="000E5C2A" w:rsidRPr="00556719" w:rsidRDefault="000E5C2A" w:rsidP="00976DB7">
            <w:pPr>
              <w:pStyle w:val="Default"/>
              <w:numPr>
                <w:ilvl w:val="0"/>
                <w:numId w:val="5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hal-hal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50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sembilan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01A71386" w14:textId="0A9FF99B" w:rsidR="000E5C2A" w:rsidRPr="00556719" w:rsidRDefault="000E5C2A" w:rsidP="00976DB7">
            <w:pPr>
              <w:pStyle w:val="Default"/>
              <w:numPr>
                <w:ilvl w:val="0"/>
                <w:numId w:val="5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hal-hal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50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12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belas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  <w:p w14:paraId="01A4B06F" w14:textId="2701DBAB" w:rsidR="000E5C2A" w:rsidRPr="00556719" w:rsidRDefault="000E5C2A" w:rsidP="00976DB7">
            <w:pPr>
              <w:pStyle w:val="Default"/>
              <w:numPr>
                <w:ilvl w:val="0"/>
                <w:numId w:val="5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hal-hal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50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18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delapan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belas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</w:t>
            </w:r>
          </w:p>
          <w:p w14:paraId="23093D86" w14:textId="3937D326" w:rsidR="000E5C2A" w:rsidRPr="00556719" w:rsidRDefault="000E5C2A" w:rsidP="0036708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penyampaian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  <w:bookmarkEnd w:id="34"/>
          </w:p>
        </w:tc>
        <w:tc>
          <w:tcPr>
            <w:tcW w:w="2500" w:type="pct"/>
          </w:tcPr>
          <w:p w14:paraId="0448B2AB" w14:textId="7EFE5FF8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214712D7" w14:textId="77777777" w:rsidTr="00384609">
        <w:tc>
          <w:tcPr>
            <w:tcW w:w="2500" w:type="pct"/>
          </w:tcPr>
          <w:p w14:paraId="50545344" w14:textId="2E26F790" w:rsidR="00367080" w:rsidRPr="00556719" w:rsidRDefault="00367080" w:rsidP="00976DB7">
            <w:pPr>
              <w:pStyle w:val="Default"/>
              <w:numPr>
                <w:ilvl w:val="0"/>
                <w:numId w:val="10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target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penyelesaian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dinilai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mungkin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dicapai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persetujuan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target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penyelesaian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berbeda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target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penyelesaian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(1).</w:t>
            </w:r>
          </w:p>
        </w:tc>
        <w:tc>
          <w:tcPr>
            <w:tcW w:w="2500" w:type="pct"/>
          </w:tcPr>
          <w:p w14:paraId="4E0B4446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6A67570" w14:textId="77777777" w:rsidTr="00384609">
        <w:tc>
          <w:tcPr>
            <w:tcW w:w="2500" w:type="pct"/>
          </w:tcPr>
          <w:p w14:paraId="5059006D" w14:textId="77777777" w:rsidR="00367080" w:rsidRPr="00556719" w:rsidRDefault="00367080" w:rsidP="0036708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1723D4D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1814C6E" w14:textId="77777777" w:rsidTr="00384609">
        <w:tc>
          <w:tcPr>
            <w:tcW w:w="2500" w:type="pct"/>
          </w:tcPr>
          <w:p w14:paraId="735B4C74" w14:textId="487B3416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X</w:t>
            </w:r>
          </w:p>
          <w:p w14:paraId="2AF83D13" w14:textId="1090FD39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PELAPORAN</w:t>
            </w:r>
          </w:p>
        </w:tc>
        <w:tc>
          <w:tcPr>
            <w:tcW w:w="2500" w:type="pct"/>
          </w:tcPr>
          <w:p w14:paraId="7FAE9EF0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F277374" w14:textId="77777777" w:rsidTr="00384609">
        <w:tc>
          <w:tcPr>
            <w:tcW w:w="2500" w:type="pct"/>
          </w:tcPr>
          <w:p w14:paraId="488A8195" w14:textId="4A8278EF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500" w:type="pct"/>
          </w:tcPr>
          <w:p w14:paraId="4ECB060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77D7808" w14:textId="3659EC68" w:rsidTr="00384609">
        <w:tc>
          <w:tcPr>
            <w:tcW w:w="2500" w:type="pct"/>
          </w:tcPr>
          <w:p w14:paraId="27BFD9F2" w14:textId="0DC49413" w:rsidR="000E5C2A" w:rsidRPr="00556719" w:rsidRDefault="000E5C2A" w:rsidP="00976DB7">
            <w:pPr>
              <w:pStyle w:val="Default"/>
              <w:numPr>
                <w:ilvl w:val="0"/>
                <w:numId w:val="10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35" w:name="_Hlk64558854"/>
            <w:bookmarkStart w:id="36" w:name="_Hlk64557591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penyelesaian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51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luring</w:t>
            </w:r>
            <w:bookmarkEnd w:id="35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  <w:bookmarkEnd w:id="36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14:paraId="541EDCF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3F10CC1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0271B98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  <w:p w14:paraId="1794F336" w14:textId="4746D2DC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E90A6D0" w14:textId="77777777" w:rsidTr="00384609">
        <w:tc>
          <w:tcPr>
            <w:tcW w:w="2500" w:type="pct"/>
          </w:tcPr>
          <w:p w14:paraId="72D0914B" w14:textId="7244421E" w:rsidR="00367080" w:rsidRPr="00556719" w:rsidRDefault="00367080" w:rsidP="00976DB7">
            <w:pPr>
              <w:pStyle w:val="Default"/>
              <w:numPr>
                <w:ilvl w:val="0"/>
                <w:numId w:val="10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37" w:name="_Hlk64987345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51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bookmarkEnd w:id="37"/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  <w:p w14:paraId="4662EE0B" w14:textId="77777777" w:rsidR="00367080" w:rsidRPr="00556719" w:rsidRDefault="00367080" w:rsidP="00976DB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1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menetapkan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telah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BMPK; </w:t>
            </w:r>
          </w:p>
          <w:p w14:paraId="064A5422" w14:textId="07649178" w:rsidR="00367080" w:rsidRPr="00556719" w:rsidRDefault="00367080" w:rsidP="00976DB7">
            <w:pPr>
              <w:pStyle w:val="Default"/>
              <w:numPr>
                <w:ilvl w:val="0"/>
                <w:numId w:val="5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1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hal-hal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50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</w:p>
          <w:p w14:paraId="03CE7028" w14:textId="62E32C52" w:rsidR="00367080" w:rsidRPr="00556719" w:rsidRDefault="00367080" w:rsidP="00976DB7">
            <w:pPr>
              <w:pStyle w:val="Default"/>
              <w:numPr>
                <w:ilvl w:val="0"/>
                <w:numId w:val="5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3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pemberlakuan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baru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hal-hal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50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e.</w:t>
            </w:r>
          </w:p>
        </w:tc>
        <w:tc>
          <w:tcPr>
            <w:tcW w:w="2500" w:type="pct"/>
          </w:tcPr>
          <w:p w14:paraId="03142595" w14:textId="77777777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21B16C33" w14:textId="36F26892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BMPD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disebabkan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penggabungan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jangka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penyampaian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tanggal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pengesahan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penggabungan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instansi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berwenang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BD74F98" w14:textId="77777777" w:rsidTr="00384609">
        <w:tc>
          <w:tcPr>
            <w:tcW w:w="2500" w:type="pct"/>
          </w:tcPr>
          <w:p w14:paraId="77468A83" w14:textId="77777777" w:rsidR="00367080" w:rsidRPr="00556719" w:rsidRDefault="00367080" w:rsidP="0036708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83CB421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F57C416" w14:textId="77777777" w:rsidTr="00384609">
        <w:tc>
          <w:tcPr>
            <w:tcW w:w="2500" w:type="pct"/>
          </w:tcPr>
          <w:p w14:paraId="01BBFA9D" w14:textId="642AE3CA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500" w:type="pct"/>
          </w:tcPr>
          <w:p w14:paraId="531F319A" w14:textId="7777777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108349F5" w14:textId="4D6AEB3B" w:rsidTr="00384609">
        <w:tc>
          <w:tcPr>
            <w:tcW w:w="2500" w:type="pct"/>
          </w:tcPr>
          <w:p w14:paraId="033CA1B0" w14:textId="7EEF8320" w:rsidR="000E5C2A" w:rsidRPr="00556719" w:rsidRDefault="000E5C2A" w:rsidP="00976DB7">
            <w:pPr>
              <w:pStyle w:val="Default"/>
              <w:numPr>
                <w:ilvl w:val="0"/>
                <w:numId w:val="6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pelaksanaan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masing-masing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BMPD. </w:t>
            </w:r>
          </w:p>
        </w:tc>
        <w:tc>
          <w:tcPr>
            <w:tcW w:w="2500" w:type="pct"/>
          </w:tcPr>
          <w:p w14:paraId="26979C9D" w14:textId="26DA1AD2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0FC9B0C6" w14:textId="77777777" w:rsidTr="00384609">
        <w:tc>
          <w:tcPr>
            <w:tcW w:w="2500" w:type="pct"/>
          </w:tcPr>
          <w:p w14:paraId="448B1B88" w14:textId="2A17B204" w:rsidR="00367080" w:rsidRPr="00556719" w:rsidRDefault="00367080" w:rsidP="00976DB7">
            <w:pPr>
              <w:pStyle w:val="Default"/>
              <w:numPr>
                <w:ilvl w:val="0"/>
                <w:numId w:val="6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pelaksanaan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luring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7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tujuh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target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penyelesaian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7AC15B6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D9150B3" w14:textId="77777777" w:rsidTr="00384609">
        <w:tc>
          <w:tcPr>
            <w:tcW w:w="2500" w:type="pct"/>
          </w:tcPr>
          <w:p w14:paraId="335E2FC0" w14:textId="549B5959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C8482EC" w14:textId="77777777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DA6D28C" w14:textId="77777777" w:rsidTr="00384609">
        <w:tc>
          <w:tcPr>
            <w:tcW w:w="2500" w:type="pct"/>
          </w:tcPr>
          <w:p w14:paraId="134BD602" w14:textId="1103A7B0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5</w:t>
            </w:r>
            <w:r w:rsidR="00860EB1">
              <w:rPr>
                <w:rFonts w:ascii="Bookman Old Style" w:hAnsi="Bookman Old Style" w:cstheme="majorHAnsi"/>
                <w:sz w:val="20"/>
                <w:szCs w:val="20"/>
              </w:rPr>
              <w:t>5</w:t>
            </w:r>
          </w:p>
        </w:tc>
        <w:tc>
          <w:tcPr>
            <w:tcW w:w="2500" w:type="pct"/>
          </w:tcPr>
          <w:p w14:paraId="40CB15F8" w14:textId="77777777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768BD53" w14:textId="38EC50E0" w:rsidTr="00384609">
        <w:tc>
          <w:tcPr>
            <w:tcW w:w="2500" w:type="pct"/>
          </w:tcPr>
          <w:p w14:paraId="1029DBA8" w14:textId="557A7718" w:rsidR="000E5C2A" w:rsidRPr="00556719" w:rsidRDefault="000E5C2A" w:rsidP="00976DB7">
            <w:pPr>
              <w:pStyle w:val="Default"/>
              <w:numPr>
                <w:ilvl w:val="0"/>
                <w:numId w:val="10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:</w:t>
            </w:r>
          </w:p>
          <w:p w14:paraId="078530C2" w14:textId="77777777" w:rsidR="000E5C2A" w:rsidRPr="00556719" w:rsidRDefault="000E5C2A" w:rsidP="00976DB7">
            <w:pPr>
              <w:pStyle w:val="Default"/>
              <w:numPr>
                <w:ilvl w:val="0"/>
                <w:numId w:val="6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Dana;</w:t>
            </w:r>
          </w:p>
          <w:p w14:paraId="3D9870DC" w14:textId="77777777" w:rsidR="000E5C2A" w:rsidRPr="00556719" w:rsidRDefault="000E5C2A" w:rsidP="00976DB7">
            <w:pPr>
              <w:pStyle w:val="Default"/>
              <w:numPr>
                <w:ilvl w:val="0"/>
                <w:numId w:val="6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Besar;</w:t>
            </w:r>
          </w:p>
          <w:p w14:paraId="28862DE5" w14:textId="0135E4E8" w:rsidR="000E5C2A" w:rsidRPr="00556719" w:rsidRDefault="000E5C2A" w:rsidP="00976DB7">
            <w:pPr>
              <w:pStyle w:val="Default"/>
              <w:numPr>
                <w:ilvl w:val="0"/>
                <w:numId w:val="6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pengecualian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Besar; dan</w:t>
            </w:r>
          </w:p>
          <w:p w14:paraId="50306C3F" w14:textId="6CB57D6F" w:rsidR="000E5C2A" w:rsidRPr="00556719" w:rsidRDefault="000E5C2A" w:rsidP="00976DB7">
            <w:pPr>
              <w:pStyle w:val="Default"/>
              <w:numPr>
                <w:ilvl w:val="0"/>
                <w:numId w:val="6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BMPD;</w:t>
            </w:r>
          </w:p>
          <w:p w14:paraId="2B33F89B" w14:textId="0E20746B" w:rsidR="000E5C2A" w:rsidRPr="00556719" w:rsidRDefault="000E5C2A" w:rsidP="0036708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</w:t>
            </w:r>
            <w:r w:rsidR="00367080" w:rsidRPr="00556719">
              <w:rPr>
                <w:rFonts w:cstheme="majorHAnsi"/>
                <w:color w:val="auto"/>
                <w:sz w:val="20"/>
                <w:szCs w:val="20"/>
              </w:rPr>
              <w:t>dividu</w:t>
            </w:r>
            <w:proofErr w:type="spellEnd"/>
            <w:r w:rsidR="00367080"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="00367080"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="00367080"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67080" w:rsidRPr="00556719">
              <w:rPr>
                <w:rFonts w:cstheme="majorHAnsi"/>
                <w:color w:val="auto"/>
                <w:sz w:val="20"/>
                <w:szCs w:val="20"/>
              </w:rPr>
              <w:t>konsolidasi</w:t>
            </w:r>
            <w:proofErr w:type="spellEnd"/>
            <w:r w:rsidR="00367080"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5F470A14" w14:textId="1B6A33E9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3A727E9F" w14:textId="77777777" w:rsidTr="00384609">
        <w:tc>
          <w:tcPr>
            <w:tcW w:w="2500" w:type="pct"/>
          </w:tcPr>
          <w:p w14:paraId="2ADABAC8" w14:textId="4848F05B" w:rsidR="00367080" w:rsidRPr="00556719" w:rsidRDefault="00367080" w:rsidP="00976DB7">
            <w:pPr>
              <w:pStyle w:val="Default"/>
              <w:numPr>
                <w:ilvl w:val="0"/>
                <w:numId w:val="10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individu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setiap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243C5AC2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0D17492" w14:textId="77777777" w:rsidTr="00384609">
        <w:tc>
          <w:tcPr>
            <w:tcW w:w="2500" w:type="pct"/>
          </w:tcPr>
          <w:p w14:paraId="5BC41569" w14:textId="01069EE5" w:rsidR="00367080" w:rsidRPr="00556719" w:rsidRDefault="00367080" w:rsidP="00976DB7">
            <w:pPr>
              <w:pStyle w:val="Default"/>
              <w:numPr>
                <w:ilvl w:val="0"/>
                <w:numId w:val="10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konsolidasi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setiap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triwulan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Maret,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Juni,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September,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Desember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0C7648BF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173755A" w14:textId="77777777" w:rsidTr="00384609">
        <w:tc>
          <w:tcPr>
            <w:tcW w:w="2500" w:type="pct"/>
          </w:tcPr>
          <w:p w14:paraId="7D5DF8F5" w14:textId="57691451" w:rsidR="00367080" w:rsidRPr="00556719" w:rsidRDefault="00367080" w:rsidP="00976DB7">
            <w:pPr>
              <w:pStyle w:val="Default"/>
              <w:numPr>
                <w:ilvl w:val="0"/>
                <w:numId w:val="10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format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mengacu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Lampiran II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merupakan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terpisahkan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1924BD00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69CEEE4" w14:textId="77777777" w:rsidTr="00384609">
        <w:tc>
          <w:tcPr>
            <w:tcW w:w="2500" w:type="pct"/>
          </w:tcPr>
          <w:p w14:paraId="25335D4E" w14:textId="77777777" w:rsidR="00367080" w:rsidRPr="00556719" w:rsidRDefault="00367080" w:rsidP="0036708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E8F32CE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7CBBE62" w14:textId="77777777" w:rsidTr="00384609">
        <w:tc>
          <w:tcPr>
            <w:tcW w:w="2500" w:type="pct"/>
          </w:tcPr>
          <w:p w14:paraId="226AB23B" w14:textId="4D2A572C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2500" w:type="pct"/>
          </w:tcPr>
          <w:p w14:paraId="0405EBE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8FED74A" w14:textId="386BB346" w:rsidTr="00384609">
        <w:tc>
          <w:tcPr>
            <w:tcW w:w="2500" w:type="pct"/>
          </w:tcPr>
          <w:p w14:paraId="40ED5AF1" w14:textId="0BF1C952" w:rsidR="000E5C2A" w:rsidRPr="00556719" w:rsidRDefault="000E5C2A" w:rsidP="00976DB7">
            <w:pPr>
              <w:pStyle w:val="Default"/>
              <w:numPr>
                <w:ilvl w:val="0"/>
                <w:numId w:val="10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daring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sistem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73E0A19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54 </w:t>
            </w:r>
          </w:p>
          <w:p w14:paraId="517EAE39" w14:textId="0BA37326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2F75EC9" w14:textId="77777777" w:rsidTr="00384609">
        <w:tc>
          <w:tcPr>
            <w:tcW w:w="2500" w:type="pct"/>
          </w:tcPr>
          <w:p w14:paraId="02685E72" w14:textId="3A159863" w:rsidR="00367080" w:rsidRPr="00556719" w:rsidRDefault="00367080" w:rsidP="00976DB7">
            <w:pPr>
              <w:pStyle w:val="Default"/>
              <w:numPr>
                <w:ilvl w:val="0"/>
                <w:numId w:val="10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penyampaian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daring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belum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luring.</w:t>
            </w:r>
          </w:p>
        </w:tc>
        <w:tc>
          <w:tcPr>
            <w:tcW w:w="2500" w:type="pct"/>
          </w:tcPr>
          <w:p w14:paraId="78FBE7C5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475E452" w14:textId="77777777" w:rsidTr="00384609">
        <w:tc>
          <w:tcPr>
            <w:tcW w:w="2500" w:type="pct"/>
          </w:tcPr>
          <w:p w14:paraId="3A640317" w14:textId="77777777" w:rsidR="00367080" w:rsidRPr="00556719" w:rsidRDefault="00367080" w:rsidP="0036708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9D7521D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A7C685B" w14:textId="77777777" w:rsidTr="00384609">
        <w:tc>
          <w:tcPr>
            <w:tcW w:w="2500" w:type="pct"/>
          </w:tcPr>
          <w:p w14:paraId="1C0CB6A0" w14:textId="35699A02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2500" w:type="pct"/>
          </w:tcPr>
          <w:p w14:paraId="768B9D6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F8CD560" w14:textId="43862D85" w:rsidTr="00384609">
        <w:tc>
          <w:tcPr>
            <w:tcW w:w="2500" w:type="pct"/>
          </w:tcPr>
          <w:p w14:paraId="237A58F8" w14:textId="6E6434AE" w:rsidR="000E5C2A" w:rsidRPr="00556719" w:rsidRDefault="000E5C2A" w:rsidP="00976DB7">
            <w:pPr>
              <w:pStyle w:val="Default"/>
              <w:numPr>
                <w:ilvl w:val="0"/>
                <w:numId w:val="10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  <w:p w14:paraId="27B3F797" w14:textId="77777777" w:rsidR="000E5C2A" w:rsidRPr="00556719" w:rsidRDefault="000E5C2A" w:rsidP="00976DB7">
            <w:pPr>
              <w:pStyle w:val="Default"/>
              <w:numPr>
                <w:ilvl w:val="0"/>
                <w:numId w:val="6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tanggal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15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individu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dan </w:t>
            </w:r>
          </w:p>
          <w:p w14:paraId="1B7DA49F" w14:textId="3461D1AB" w:rsidR="000E5C2A" w:rsidRPr="00556719" w:rsidRDefault="000E5C2A" w:rsidP="00976DB7">
            <w:pPr>
              <w:pStyle w:val="Default"/>
              <w:numPr>
                <w:ilvl w:val="0"/>
                <w:numId w:val="61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konsolidasi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1047D452" w14:textId="51915A6B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0A52D2B4" w14:textId="77777777" w:rsidTr="00384609">
        <w:tc>
          <w:tcPr>
            <w:tcW w:w="2500" w:type="pct"/>
          </w:tcPr>
          <w:p w14:paraId="4E6D480A" w14:textId="65753BDD" w:rsidR="00367080" w:rsidRPr="00556719" w:rsidRDefault="00367080" w:rsidP="00976DB7">
            <w:pPr>
              <w:pStyle w:val="Default"/>
              <w:numPr>
                <w:ilvl w:val="0"/>
                <w:numId w:val="10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Apabila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penyampaian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Besar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jatuh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Sabtu,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Minggu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libur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nasional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berikutnya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51718046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7ABFA97" w14:textId="77777777" w:rsidTr="00384609">
        <w:tc>
          <w:tcPr>
            <w:tcW w:w="2500" w:type="pct"/>
          </w:tcPr>
          <w:p w14:paraId="22A93B95" w14:textId="341DFE20" w:rsidR="00367080" w:rsidRPr="00556719" w:rsidRDefault="00367080" w:rsidP="00976DB7">
            <w:pPr>
              <w:pStyle w:val="Default"/>
              <w:numPr>
                <w:ilvl w:val="0"/>
                <w:numId w:val="10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sistem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tersedia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melalui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sistem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15F7F85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5F649A6" w14:textId="77777777" w:rsidTr="00384609">
        <w:tc>
          <w:tcPr>
            <w:tcW w:w="2500" w:type="pct"/>
          </w:tcPr>
          <w:p w14:paraId="35A09D3A" w14:textId="77777777" w:rsidR="00367080" w:rsidRPr="00556719" w:rsidRDefault="00367080" w:rsidP="0036708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DBC903C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A0B6A9D" w14:textId="77777777" w:rsidTr="00384609">
        <w:tc>
          <w:tcPr>
            <w:tcW w:w="2500" w:type="pct"/>
          </w:tcPr>
          <w:p w14:paraId="170D859C" w14:textId="5393279E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500" w:type="pct"/>
          </w:tcPr>
          <w:p w14:paraId="26712A8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CD6076E" w14:textId="77AE6AB0" w:rsidTr="00384609">
        <w:tc>
          <w:tcPr>
            <w:tcW w:w="2500" w:type="pct"/>
          </w:tcPr>
          <w:p w14:paraId="25978A94" w14:textId="14CA62A4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Kewajiban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penyampaian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pertama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kali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Januari 2022.</w:t>
            </w:r>
          </w:p>
        </w:tc>
        <w:tc>
          <w:tcPr>
            <w:tcW w:w="2500" w:type="pct"/>
          </w:tcPr>
          <w:p w14:paraId="1681D294" w14:textId="416F3CB1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48E4BCCC" w14:textId="77777777" w:rsidTr="00384609">
        <w:tc>
          <w:tcPr>
            <w:tcW w:w="2500" w:type="pct"/>
          </w:tcPr>
          <w:p w14:paraId="1BCC079F" w14:textId="421FA64B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D4D103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700B64F" w14:textId="77777777" w:rsidTr="00384609">
        <w:tc>
          <w:tcPr>
            <w:tcW w:w="2500" w:type="pct"/>
          </w:tcPr>
          <w:p w14:paraId="001926C9" w14:textId="2CB6B7F9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2500" w:type="pct"/>
          </w:tcPr>
          <w:p w14:paraId="554824E5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0939C8A" w14:textId="1FD6B33A" w:rsidTr="00384609">
        <w:tc>
          <w:tcPr>
            <w:tcW w:w="2500" w:type="pct"/>
          </w:tcPr>
          <w:p w14:paraId="51C9CF47" w14:textId="15D3664D" w:rsidR="000E5C2A" w:rsidRPr="00556719" w:rsidRDefault="000E5C2A" w:rsidP="00976DB7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38" w:name="_Hlk66190092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Bank,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publikasi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triwulanan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mengatur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transparansi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publikasi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terjadi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pelaksanaan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belum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dilaporkan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periode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terjadinya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  <w:bookmarkEnd w:id="38"/>
          </w:p>
        </w:tc>
        <w:tc>
          <w:tcPr>
            <w:tcW w:w="2500" w:type="pct"/>
          </w:tcPr>
          <w:p w14:paraId="100D049B" w14:textId="7E3A9E41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6936528E" w14:textId="77777777" w:rsidTr="00384609">
        <w:tc>
          <w:tcPr>
            <w:tcW w:w="2500" w:type="pct"/>
          </w:tcPr>
          <w:p w14:paraId="31B9A180" w14:textId="2F2582CE" w:rsidR="00367080" w:rsidRPr="00556719" w:rsidRDefault="00367080" w:rsidP="00976DB7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39" w:name="_Hlk66190275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Bank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publikasi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triwulanan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luring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periode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berikutnya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bookmarkEnd w:id="39"/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39756F29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EDB6FE5" w14:textId="77777777" w:rsidTr="00384609">
        <w:tc>
          <w:tcPr>
            <w:tcW w:w="2500" w:type="pct"/>
          </w:tcPr>
          <w:p w14:paraId="26532681" w14:textId="77777777" w:rsidR="00367080" w:rsidRPr="00556719" w:rsidRDefault="00367080" w:rsidP="00367080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EF8EE51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8EC9EAC" w14:textId="77777777" w:rsidTr="00384609">
        <w:tc>
          <w:tcPr>
            <w:tcW w:w="2500" w:type="pct"/>
          </w:tcPr>
          <w:p w14:paraId="1684BCE3" w14:textId="46F207EF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60</w:t>
            </w:r>
          </w:p>
        </w:tc>
        <w:tc>
          <w:tcPr>
            <w:tcW w:w="2500" w:type="pct"/>
          </w:tcPr>
          <w:p w14:paraId="018BEB6D" w14:textId="7777777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6326A87D" w14:textId="31C2BA21" w:rsidTr="00384609">
        <w:tc>
          <w:tcPr>
            <w:tcW w:w="2500" w:type="pct"/>
          </w:tcPr>
          <w:p w14:paraId="5D2E7103" w14:textId="461B82EE" w:rsidR="000E5C2A" w:rsidRPr="00556719" w:rsidRDefault="000E5C2A" w:rsidP="00976DB7">
            <w:pPr>
              <w:pStyle w:val="Default"/>
              <w:numPr>
                <w:ilvl w:val="0"/>
                <w:numId w:val="10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memiliki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menatausahakan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daftar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rincian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Bank. </w:t>
            </w:r>
          </w:p>
        </w:tc>
        <w:tc>
          <w:tcPr>
            <w:tcW w:w="2500" w:type="pct"/>
          </w:tcPr>
          <w:p w14:paraId="3541BB1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(1) </w:t>
            </w:r>
          </w:p>
          <w:p w14:paraId="198C3243" w14:textId="10AF0AD3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bookmarkStart w:id="40" w:name="_Hlk66191003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Daftar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rincian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sedikit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memuat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rincian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pemegang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pengurus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sektor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bisnis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/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serta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hubungan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pengendalian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antara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masing-masing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Dalam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memungkinkan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penyusunan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daftar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rincian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memuat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diagram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struktur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kelompok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(</w:t>
            </w:r>
            <w:r w:rsidRPr="00556719">
              <w:rPr>
                <w:rFonts w:ascii="Bookman Old Style" w:hAnsi="Bookman Old Style" w:cstheme="majorHAnsi"/>
                <w:i/>
                <w:iCs/>
                <w:sz w:val="20"/>
                <w:szCs w:val="20"/>
              </w:rPr>
              <w:t>corporate tree</w:t>
            </w: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). </w:t>
            </w:r>
            <w:bookmarkEnd w:id="40"/>
          </w:p>
        </w:tc>
      </w:tr>
      <w:tr w:rsidR="00556719" w:rsidRPr="00556719" w14:paraId="0D49BEFD" w14:textId="77777777" w:rsidTr="00384609">
        <w:tc>
          <w:tcPr>
            <w:tcW w:w="2500" w:type="pct"/>
          </w:tcPr>
          <w:p w14:paraId="36A65295" w14:textId="3F56FF8D" w:rsidR="00367080" w:rsidRPr="00556719" w:rsidRDefault="00367080" w:rsidP="00976DB7">
            <w:pPr>
              <w:pStyle w:val="Default"/>
              <w:numPr>
                <w:ilvl w:val="0"/>
                <w:numId w:val="10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41" w:name="_Hlk66191599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 xml:space="preserve">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daftar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rincian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luring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apabila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Juni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Desember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  <w:bookmarkEnd w:id="41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14:paraId="42E0784F" w14:textId="77777777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(2) </w:t>
            </w:r>
          </w:p>
          <w:p w14:paraId="3874452B" w14:textId="77777777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25BAE0AB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2314F6E" w14:textId="77777777" w:rsidTr="00384609">
        <w:tc>
          <w:tcPr>
            <w:tcW w:w="2500" w:type="pct"/>
          </w:tcPr>
          <w:p w14:paraId="5557E468" w14:textId="0E717449" w:rsidR="00367080" w:rsidRPr="00556719" w:rsidRDefault="00367080" w:rsidP="00976DB7">
            <w:pPr>
              <w:pStyle w:val="Default"/>
              <w:numPr>
                <w:ilvl w:val="0"/>
                <w:numId w:val="10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42" w:name="_Hlk66191997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Daftar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rincian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wajib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posisi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bulan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  <w:bookmarkEnd w:id="42"/>
          </w:p>
        </w:tc>
        <w:tc>
          <w:tcPr>
            <w:tcW w:w="2500" w:type="pct"/>
          </w:tcPr>
          <w:p w14:paraId="65193B0F" w14:textId="77777777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(3) </w:t>
            </w:r>
          </w:p>
          <w:p w14:paraId="13FB8F69" w14:textId="77777777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. </w:t>
            </w:r>
          </w:p>
          <w:p w14:paraId="27E25DB2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DAD0887" w14:textId="77777777" w:rsidTr="00384609">
        <w:tc>
          <w:tcPr>
            <w:tcW w:w="2500" w:type="pct"/>
          </w:tcPr>
          <w:p w14:paraId="674740EA" w14:textId="137683D0" w:rsidR="00367080" w:rsidRPr="00556719" w:rsidRDefault="00367080" w:rsidP="00976DB7">
            <w:pPr>
              <w:pStyle w:val="Default"/>
              <w:numPr>
                <w:ilvl w:val="0"/>
                <w:numId w:val="107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43" w:name="_Hlk66192239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sewaktu-waktu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meminta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daftar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rincian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bookmarkEnd w:id="43"/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(2).</w:t>
            </w:r>
          </w:p>
        </w:tc>
        <w:tc>
          <w:tcPr>
            <w:tcW w:w="2500" w:type="pct"/>
          </w:tcPr>
          <w:p w14:paraId="416457D7" w14:textId="77777777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Ayat (4) </w:t>
            </w:r>
          </w:p>
          <w:p w14:paraId="339246A5" w14:textId="418ABA82" w:rsidR="00367080" w:rsidRPr="00556719" w:rsidRDefault="00367080" w:rsidP="00367080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05B900BF" w14:textId="77777777" w:rsidTr="00384609">
        <w:tc>
          <w:tcPr>
            <w:tcW w:w="2500" w:type="pct"/>
          </w:tcPr>
          <w:p w14:paraId="449EB6C1" w14:textId="77777777" w:rsidR="00367080" w:rsidRPr="00556719" w:rsidRDefault="00367080" w:rsidP="0036708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17D5F231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7283E8B" w14:textId="77777777" w:rsidTr="00384609">
        <w:tc>
          <w:tcPr>
            <w:tcW w:w="2500" w:type="pct"/>
          </w:tcPr>
          <w:p w14:paraId="2C58B84E" w14:textId="7C53B259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61</w:t>
            </w:r>
          </w:p>
        </w:tc>
        <w:tc>
          <w:tcPr>
            <w:tcW w:w="2500" w:type="pct"/>
          </w:tcPr>
          <w:p w14:paraId="33FAE640" w14:textId="5A2C2825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1CF4E4E6" w14:textId="2FB662CB" w:rsidTr="00384609">
        <w:tc>
          <w:tcPr>
            <w:tcW w:w="2500" w:type="pct"/>
          </w:tcPr>
          <w:p w14:paraId="7DCFC6AA" w14:textId="29953A57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Penyampaian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secara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luring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3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5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9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(2),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60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disampaikan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kepada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  <w:p w14:paraId="27057599" w14:textId="3637E9E3" w:rsidR="000E5C2A" w:rsidRPr="00556719" w:rsidRDefault="000E5C2A" w:rsidP="00976DB7">
            <w:pPr>
              <w:pStyle w:val="Default"/>
              <w:numPr>
                <w:ilvl w:val="0"/>
                <w:numId w:val="6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bookmarkStart w:id="44" w:name="_Hlk66192937"/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Departemen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Pengawasan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Syariah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Kantor Regional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di Jakarta,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berkantor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kantor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cabang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berkedudukan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luar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negeri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berada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di wilayah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Provinsi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Daerah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Khusus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Ibukota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Jakarta;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</w:p>
          <w:p w14:paraId="2D51142E" w14:textId="28C7CE6C" w:rsidR="000E5C2A" w:rsidRPr="00556719" w:rsidRDefault="000E5C2A" w:rsidP="00976DB7">
            <w:pPr>
              <w:pStyle w:val="Default"/>
              <w:numPr>
                <w:ilvl w:val="0"/>
                <w:numId w:val="63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Kantor Regional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Kantor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setempat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wilayah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tempat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kedudukan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kantor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pusat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Bank. </w:t>
            </w:r>
            <w:bookmarkEnd w:id="44"/>
          </w:p>
        </w:tc>
        <w:tc>
          <w:tcPr>
            <w:tcW w:w="2500" w:type="pct"/>
          </w:tcPr>
          <w:p w14:paraId="69C1C9F1" w14:textId="55455FF0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68377B71" w14:textId="77777777" w:rsidTr="00384609">
        <w:tc>
          <w:tcPr>
            <w:tcW w:w="2500" w:type="pct"/>
          </w:tcPr>
          <w:p w14:paraId="0EF899AB" w14:textId="487B6A6A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FDEF98C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4F9D9E05" w14:textId="77777777" w:rsidTr="00384609">
        <w:tc>
          <w:tcPr>
            <w:tcW w:w="2500" w:type="pct"/>
          </w:tcPr>
          <w:p w14:paraId="1A617D6E" w14:textId="2799085D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917AF7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7F85DC1" w14:textId="77777777" w:rsidTr="00384609">
        <w:tc>
          <w:tcPr>
            <w:tcW w:w="2500" w:type="pct"/>
          </w:tcPr>
          <w:p w14:paraId="2878539F" w14:textId="5F55237F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XI</w:t>
            </w:r>
          </w:p>
          <w:p w14:paraId="3B88DDBE" w14:textId="2B2CC684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SANKSI ADMINISTRATIF</w:t>
            </w:r>
          </w:p>
        </w:tc>
        <w:tc>
          <w:tcPr>
            <w:tcW w:w="2500" w:type="pct"/>
          </w:tcPr>
          <w:p w14:paraId="18471D43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5F583B2" w14:textId="77777777" w:rsidTr="00384609">
        <w:tc>
          <w:tcPr>
            <w:tcW w:w="2500" w:type="pct"/>
          </w:tcPr>
          <w:p w14:paraId="44C523F2" w14:textId="2652F4B0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6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2500" w:type="pct"/>
          </w:tcPr>
          <w:p w14:paraId="05BB919A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466787D" w14:textId="1E282BE0" w:rsidTr="00384609">
        <w:tc>
          <w:tcPr>
            <w:tcW w:w="2500" w:type="pct"/>
          </w:tcPr>
          <w:p w14:paraId="7A2D6857" w14:textId="17DB8788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melaksanakan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(5),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4,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6,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7,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8,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22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29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(9),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3</w:t>
            </w:r>
            <w:r w:rsidR="00860EB1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(4),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4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1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51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2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3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4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5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6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7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9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60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60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(2),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60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sanksi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administratif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  <w:p w14:paraId="3B08CC90" w14:textId="77777777" w:rsidR="000E5C2A" w:rsidRPr="00556719" w:rsidRDefault="000E5C2A" w:rsidP="00976DB7">
            <w:pPr>
              <w:pStyle w:val="Default"/>
              <w:numPr>
                <w:ilvl w:val="0"/>
                <w:numId w:val="6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teguran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tertulis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</w:t>
            </w:r>
          </w:p>
          <w:p w14:paraId="5B9C8CFF" w14:textId="77777777" w:rsidR="000E5C2A" w:rsidRPr="00556719" w:rsidRDefault="000E5C2A" w:rsidP="00976DB7">
            <w:pPr>
              <w:pStyle w:val="Default"/>
              <w:numPr>
                <w:ilvl w:val="0"/>
                <w:numId w:val="6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penurunan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tingkat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kesehatan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Bank; </w:t>
            </w:r>
          </w:p>
          <w:p w14:paraId="1FDA06ED" w14:textId="77777777" w:rsidR="000E5C2A" w:rsidRPr="00556719" w:rsidRDefault="000E5C2A" w:rsidP="00976DB7">
            <w:pPr>
              <w:pStyle w:val="Default"/>
              <w:numPr>
                <w:ilvl w:val="0"/>
                <w:numId w:val="6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larangan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melakukan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ekspansi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; </w:t>
            </w:r>
          </w:p>
          <w:p w14:paraId="0A488858" w14:textId="77777777" w:rsidR="000E5C2A" w:rsidRPr="00556719" w:rsidRDefault="000E5C2A" w:rsidP="00976DB7">
            <w:pPr>
              <w:pStyle w:val="Default"/>
              <w:numPr>
                <w:ilvl w:val="0"/>
                <w:numId w:val="6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larangan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pembukaan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jaringan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kantor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</w:t>
            </w:r>
          </w:p>
          <w:p w14:paraId="1BA34E12" w14:textId="77777777" w:rsidR="000E5C2A" w:rsidRPr="00556719" w:rsidRDefault="000E5C2A" w:rsidP="00976DB7">
            <w:pPr>
              <w:pStyle w:val="Default"/>
              <w:numPr>
                <w:ilvl w:val="0"/>
                <w:numId w:val="6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pembekuan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kegiatan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usaha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</w:p>
          <w:p w14:paraId="6B4554EC" w14:textId="62F6C18F" w:rsidR="000E5C2A" w:rsidRPr="00556719" w:rsidRDefault="000E5C2A" w:rsidP="00976DB7">
            <w:pPr>
              <w:pStyle w:val="Default"/>
              <w:numPr>
                <w:ilvl w:val="0"/>
                <w:numId w:val="64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larangan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utama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jasa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penilaian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kembali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bagi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utama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jasa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14:paraId="6FECA56C" w14:textId="6DB3BBEC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C946738" w14:textId="77777777" w:rsidTr="00384609">
        <w:tc>
          <w:tcPr>
            <w:tcW w:w="2500" w:type="pct"/>
          </w:tcPr>
          <w:p w14:paraId="3BF395E2" w14:textId="77777777" w:rsidR="00367080" w:rsidRPr="00556719" w:rsidRDefault="00367080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AC9D8F2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C71C760" w14:textId="77777777" w:rsidTr="00384609">
        <w:tc>
          <w:tcPr>
            <w:tcW w:w="2500" w:type="pct"/>
          </w:tcPr>
          <w:p w14:paraId="3D5CCD70" w14:textId="717A3A61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6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500" w:type="pct"/>
          </w:tcPr>
          <w:p w14:paraId="77F7A0F8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D1FFA2E" w14:textId="482B5385" w:rsidTr="00384609">
        <w:tc>
          <w:tcPr>
            <w:tcW w:w="2500" w:type="pct"/>
          </w:tcPr>
          <w:p w14:paraId="7BB4636A" w14:textId="2397AE52" w:rsidR="000E5C2A" w:rsidRPr="00556719" w:rsidRDefault="000E5C2A" w:rsidP="00976DB7">
            <w:pPr>
              <w:pStyle w:val="Default"/>
              <w:numPr>
                <w:ilvl w:val="0"/>
                <w:numId w:val="10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dinyatakan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3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sanksi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administratif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Rp35.000.000,00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juta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rupiah) per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keterlambatan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banyak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Rp500.000.000,00 (lima ratus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juta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rupiah). </w:t>
            </w:r>
          </w:p>
        </w:tc>
        <w:tc>
          <w:tcPr>
            <w:tcW w:w="2500" w:type="pct"/>
          </w:tcPr>
          <w:p w14:paraId="52256B41" w14:textId="2F0F4812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E4E57FB" w14:textId="77777777" w:rsidTr="00384609">
        <w:tc>
          <w:tcPr>
            <w:tcW w:w="2500" w:type="pct"/>
          </w:tcPr>
          <w:p w14:paraId="7F32CA37" w14:textId="77777777" w:rsidR="00367080" w:rsidRPr="00556719" w:rsidRDefault="00367080" w:rsidP="00976DB7">
            <w:pPr>
              <w:pStyle w:val="Default"/>
              <w:numPr>
                <w:ilvl w:val="0"/>
                <w:numId w:val="10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dinyatakan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  <w:p w14:paraId="5A84970A" w14:textId="0C38CFC7" w:rsidR="00367080" w:rsidRPr="00556719" w:rsidRDefault="00367080" w:rsidP="00976DB7">
            <w:pPr>
              <w:pStyle w:val="Default"/>
              <w:numPr>
                <w:ilvl w:val="0"/>
                <w:numId w:val="6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3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c;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</w:p>
          <w:p w14:paraId="2BA34C9A" w14:textId="45633CBF" w:rsidR="00367080" w:rsidRPr="00556719" w:rsidRDefault="00367080" w:rsidP="00976DB7">
            <w:pPr>
              <w:pStyle w:val="Default"/>
              <w:numPr>
                <w:ilvl w:val="0"/>
                <w:numId w:val="65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pelaksanaan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4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(2),</w:t>
            </w:r>
          </w:p>
          <w:p w14:paraId="540A4252" w14:textId="32BE6DFD" w:rsidR="00367080" w:rsidRPr="00556719" w:rsidRDefault="00367080" w:rsidP="00976DB7">
            <w:pPr>
              <w:pStyle w:val="Default"/>
              <w:numPr>
                <w:ilvl w:val="0"/>
                <w:numId w:val="108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sanksi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administratif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Rp3.500.000,00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tiga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juta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lima ratus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ribu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rupiah) per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per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keterlambatan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banyak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Rp50.000.000,00 (lima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juta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rupiah).</w:t>
            </w:r>
          </w:p>
        </w:tc>
        <w:tc>
          <w:tcPr>
            <w:tcW w:w="2500" w:type="pct"/>
          </w:tcPr>
          <w:p w14:paraId="289F3203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56D3742" w14:textId="77777777" w:rsidTr="00384609">
        <w:tc>
          <w:tcPr>
            <w:tcW w:w="2500" w:type="pct"/>
          </w:tcPr>
          <w:p w14:paraId="76AEFA60" w14:textId="77777777" w:rsidR="00367080" w:rsidRPr="00556719" w:rsidRDefault="00367080" w:rsidP="0036708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1C81F80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BAF921F" w14:textId="77777777" w:rsidTr="00384609">
        <w:tc>
          <w:tcPr>
            <w:tcW w:w="2500" w:type="pct"/>
          </w:tcPr>
          <w:p w14:paraId="68BA0F23" w14:textId="1DF9AEA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6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500" w:type="pct"/>
          </w:tcPr>
          <w:p w14:paraId="411D11D0" w14:textId="77777777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56719" w:rsidRPr="00556719" w14:paraId="1383EE91" w14:textId="65AC1213" w:rsidTr="00384609">
        <w:tc>
          <w:tcPr>
            <w:tcW w:w="2500" w:type="pct"/>
          </w:tcPr>
          <w:p w14:paraId="69732C7D" w14:textId="6EBEFB79" w:rsidR="000E5C2A" w:rsidRPr="00556719" w:rsidRDefault="000E5C2A" w:rsidP="00976DB7">
            <w:pPr>
              <w:pStyle w:val="Default"/>
              <w:numPr>
                <w:ilvl w:val="0"/>
                <w:numId w:val="10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terlambat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laporan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7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sanksi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administratif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Rp1.000.000,00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juta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rupiah) per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keterlambatan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banyak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Rp50.000.000,00 (lima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puluh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juta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rupiah). </w:t>
            </w:r>
          </w:p>
        </w:tc>
        <w:tc>
          <w:tcPr>
            <w:tcW w:w="2500" w:type="pct"/>
          </w:tcPr>
          <w:p w14:paraId="47263754" w14:textId="196807B0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4811A562" w14:textId="77777777" w:rsidTr="00384609">
        <w:tc>
          <w:tcPr>
            <w:tcW w:w="2500" w:type="pct"/>
          </w:tcPr>
          <w:p w14:paraId="38819C00" w14:textId="3523398F" w:rsidR="00367080" w:rsidRPr="00556719" w:rsidRDefault="00367080" w:rsidP="00976DB7">
            <w:pPr>
              <w:pStyle w:val="Default"/>
              <w:numPr>
                <w:ilvl w:val="0"/>
                <w:numId w:val="109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menyampaikan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daftar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rincian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akhir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60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(3)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sanksi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administratif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berupa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denda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Rp1.000.000,00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juta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rupiah) per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kerja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keterlambatan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paling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banyak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sebesar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Rp100.000.000,00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seratus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juta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rupiah).</w:t>
            </w:r>
          </w:p>
        </w:tc>
        <w:tc>
          <w:tcPr>
            <w:tcW w:w="2500" w:type="pct"/>
          </w:tcPr>
          <w:p w14:paraId="5F4A7FB1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A383CDD" w14:textId="77777777" w:rsidTr="00384609">
        <w:tc>
          <w:tcPr>
            <w:tcW w:w="2500" w:type="pct"/>
          </w:tcPr>
          <w:p w14:paraId="03FF8003" w14:textId="77777777" w:rsidR="00367080" w:rsidRPr="00556719" w:rsidRDefault="00367080" w:rsidP="0036708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BDEB7A5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216D73F4" w14:textId="77777777" w:rsidTr="00384609">
        <w:tc>
          <w:tcPr>
            <w:tcW w:w="2500" w:type="pct"/>
          </w:tcPr>
          <w:p w14:paraId="5D859B74" w14:textId="43A8B8AE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6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2500" w:type="pct"/>
          </w:tcPr>
          <w:p w14:paraId="69A98FC6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76670E3" w14:textId="11A42011" w:rsidTr="00384609">
        <w:tc>
          <w:tcPr>
            <w:tcW w:w="2500" w:type="pct"/>
          </w:tcPr>
          <w:p w14:paraId="4DD067D3" w14:textId="69259DB5" w:rsidR="000E5C2A" w:rsidRPr="00556719" w:rsidRDefault="000E5C2A" w:rsidP="00976DB7">
            <w:pPr>
              <w:pStyle w:val="Default"/>
              <w:numPr>
                <w:ilvl w:val="0"/>
                <w:numId w:val="11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menyelesaikan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Pelampauan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rencana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tindak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melaksanakan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langkah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penyelesaian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sesuai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ditetapkan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9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peringatan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sebanyak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dua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kali oleh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tenggang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waktu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satu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minggu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setiap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peringatan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sanksi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administratif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6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2</w:t>
            </w: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e dan/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f. </w:t>
            </w:r>
          </w:p>
        </w:tc>
        <w:tc>
          <w:tcPr>
            <w:tcW w:w="2500" w:type="pct"/>
          </w:tcPr>
          <w:p w14:paraId="590417AA" w14:textId="60381EBF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6CF8EE5C" w14:textId="77777777" w:rsidTr="00384609">
        <w:tc>
          <w:tcPr>
            <w:tcW w:w="2500" w:type="pct"/>
          </w:tcPr>
          <w:p w14:paraId="4C8B45FD" w14:textId="6B39DDB1" w:rsidR="00367080" w:rsidRPr="00556719" w:rsidRDefault="00367080" w:rsidP="00976DB7">
            <w:pPr>
              <w:pStyle w:val="Default"/>
              <w:numPr>
                <w:ilvl w:val="0"/>
                <w:numId w:val="11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Bank yang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menyelesaikan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Pelanggaran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BMPD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selain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sanksi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(1),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terhadap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Dewan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Komisaris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Direksi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pegawai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pemegang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saham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terafiliasi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lain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diberikan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tertulis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9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huruf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Undang-Undang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21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Tahun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2011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1608DC52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D143F01" w14:textId="77777777" w:rsidTr="00384609">
        <w:tc>
          <w:tcPr>
            <w:tcW w:w="2500" w:type="pct"/>
          </w:tcPr>
          <w:p w14:paraId="409DF775" w14:textId="567A267B" w:rsidR="00367080" w:rsidRPr="00556719" w:rsidRDefault="00367080" w:rsidP="00976DB7">
            <w:pPr>
              <w:pStyle w:val="Default"/>
              <w:numPr>
                <w:ilvl w:val="0"/>
                <w:numId w:val="110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Dalam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hal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melaksanakan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perintah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tertulis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ayat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(2),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dikenakan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sanksi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pidana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dimaksud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54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Undang-Undang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21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Tahun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2011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072B2417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0AE3F3BE" w14:textId="77777777" w:rsidTr="00384609">
        <w:tc>
          <w:tcPr>
            <w:tcW w:w="2500" w:type="pct"/>
          </w:tcPr>
          <w:p w14:paraId="3EE162C0" w14:textId="77777777" w:rsidR="00367080" w:rsidRPr="00556719" w:rsidRDefault="00367080" w:rsidP="00367080">
            <w:pPr>
              <w:pStyle w:val="Default"/>
              <w:spacing w:line="276" w:lineRule="auto"/>
              <w:ind w:left="360"/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796450D" w14:textId="77777777" w:rsidR="00367080" w:rsidRPr="00556719" w:rsidRDefault="00367080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375A56" w:rsidRPr="00556719" w14:paraId="0AD0946B" w14:textId="77777777" w:rsidTr="00384609">
        <w:tc>
          <w:tcPr>
            <w:tcW w:w="2500" w:type="pct"/>
          </w:tcPr>
          <w:p w14:paraId="6AACCB58" w14:textId="77777777" w:rsidR="00375A56" w:rsidRPr="00556719" w:rsidRDefault="00375A56" w:rsidP="00375A56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XII</w:t>
            </w:r>
          </w:p>
          <w:p w14:paraId="2031F922" w14:textId="2B2C5C5C" w:rsidR="00375A56" w:rsidRPr="00556719" w:rsidRDefault="00375A56" w:rsidP="00375A56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KETENTUAN </w:t>
            </w:r>
            <w:r>
              <w:rPr>
                <w:rFonts w:cstheme="majorHAnsi"/>
                <w:color w:val="auto"/>
                <w:sz w:val="20"/>
                <w:szCs w:val="20"/>
              </w:rPr>
              <w:t>LAIN-LAIN</w:t>
            </w:r>
          </w:p>
        </w:tc>
        <w:tc>
          <w:tcPr>
            <w:tcW w:w="2500" w:type="pct"/>
          </w:tcPr>
          <w:p w14:paraId="382F54AF" w14:textId="77777777" w:rsidR="00375A56" w:rsidRPr="00556719" w:rsidRDefault="00375A56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375A56" w:rsidRPr="00556719" w14:paraId="098186C6" w14:textId="77777777" w:rsidTr="00384609">
        <w:tc>
          <w:tcPr>
            <w:tcW w:w="2500" w:type="pct"/>
          </w:tcPr>
          <w:p w14:paraId="3E703B24" w14:textId="2E3A85FB" w:rsidR="00375A56" w:rsidRPr="00375A56" w:rsidRDefault="00375A56" w:rsidP="00375A56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>
              <w:rPr>
                <w:rFonts w:cstheme="majorHAnsi"/>
                <w:color w:val="auto"/>
                <w:sz w:val="20"/>
                <w:szCs w:val="20"/>
              </w:rPr>
              <w:t xml:space="preserve"> 66</w:t>
            </w:r>
          </w:p>
        </w:tc>
        <w:tc>
          <w:tcPr>
            <w:tcW w:w="2500" w:type="pct"/>
          </w:tcPr>
          <w:p w14:paraId="729998A2" w14:textId="77777777" w:rsidR="00375A56" w:rsidRPr="00556719" w:rsidRDefault="00375A56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375A56" w:rsidRPr="00556719" w14:paraId="608E51BA" w14:textId="77777777" w:rsidTr="00384609">
        <w:tc>
          <w:tcPr>
            <w:tcW w:w="2500" w:type="pct"/>
          </w:tcPr>
          <w:p w14:paraId="4A000108" w14:textId="0A09F49C" w:rsidR="00375A56" w:rsidRPr="00556719" w:rsidRDefault="00375A56" w:rsidP="00375A56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dapat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menetapkan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kebijakan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berbeda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berdasarkan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pertimbangan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tertentu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mengenai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batas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maksimum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dana,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cakupan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pihak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terkait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kriteria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kelompok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nasabah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penerima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fasilitas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>, dan/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jenis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perhitungan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dana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yang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diatur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375A56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5A56">
              <w:rPr>
                <w:rFonts w:cstheme="majorHAnsi"/>
                <w:color w:val="auto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2500" w:type="pct"/>
          </w:tcPr>
          <w:p w14:paraId="7D34758B" w14:textId="77777777" w:rsidR="00375A56" w:rsidRPr="00556719" w:rsidRDefault="00375A56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375A56" w:rsidRPr="00556719" w14:paraId="3A76FAE3" w14:textId="77777777" w:rsidTr="00384609">
        <w:tc>
          <w:tcPr>
            <w:tcW w:w="2500" w:type="pct"/>
          </w:tcPr>
          <w:p w14:paraId="7554E02B" w14:textId="77777777" w:rsidR="00375A56" w:rsidRPr="00556719" w:rsidRDefault="00375A56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428C0BD" w14:textId="77777777" w:rsidR="00375A56" w:rsidRPr="00556719" w:rsidRDefault="00375A56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DF3D0EA" w14:textId="77777777" w:rsidTr="00384609">
        <w:tc>
          <w:tcPr>
            <w:tcW w:w="2500" w:type="pct"/>
          </w:tcPr>
          <w:p w14:paraId="3BDA99AD" w14:textId="675F8B2F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XII</w:t>
            </w:r>
          </w:p>
          <w:p w14:paraId="635E4EF4" w14:textId="4C466294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KETENTUAN PERALIHAN</w:t>
            </w:r>
          </w:p>
        </w:tc>
        <w:tc>
          <w:tcPr>
            <w:tcW w:w="2500" w:type="pct"/>
          </w:tcPr>
          <w:p w14:paraId="3E786861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78C975F2" w14:textId="77777777" w:rsidTr="00384609">
        <w:tc>
          <w:tcPr>
            <w:tcW w:w="2500" w:type="pct"/>
          </w:tcPr>
          <w:p w14:paraId="2AAEE67E" w14:textId="34F40292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6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2500" w:type="pct"/>
          </w:tcPr>
          <w:p w14:paraId="0C5FE2F4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39E5E97A" w14:textId="199DAECC" w:rsidTr="00384609">
        <w:tc>
          <w:tcPr>
            <w:tcW w:w="2500" w:type="pct"/>
          </w:tcPr>
          <w:p w14:paraId="24618801" w14:textId="7AD6EBD9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Pada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saat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mulai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berlaku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ketentuan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dalam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: </w:t>
            </w:r>
          </w:p>
          <w:p w14:paraId="4CAB58B1" w14:textId="77777777" w:rsidR="000E5C2A" w:rsidRPr="00556719" w:rsidRDefault="000E5C2A" w:rsidP="00976DB7">
            <w:pPr>
              <w:pStyle w:val="Default"/>
              <w:numPr>
                <w:ilvl w:val="0"/>
                <w:numId w:val="6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lastRenderedPageBreak/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7/3/PBI/2005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Maksimum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Umum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Tahun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2005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13,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Tambahan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4472)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sebagaimana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telah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diubah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dengan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8/13/PBI/2006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Perubahan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7/3/PBI/2005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Maksimum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Bank Umum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Tahun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2006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70,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Tambahan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4639); dan </w:t>
            </w:r>
          </w:p>
          <w:p w14:paraId="64765F55" w14:textId="77777777" w:rsidR="000E5C2A" w:rsidRPr="00556719" w:rsidRDefault="000E5C2A" w:rsidP="00976DB7">
            <w:pPr>
              <w:pStyle w:val="Default"/>
              <w:numPr>
                <w:ilvl w:val="0"/>
                <w:numId w:val="66"/>
              </w:numPr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15/POJK.03/2018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tentang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Maksimum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Pemberian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Kredit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atau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Batas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Maksimum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Penyaluran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Dana Bank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untuk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Mendorong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Pertumbuhan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Sektor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Pariwisata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Peningkatan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Devisa (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Tahun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2018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137,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Tambahan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Lembaran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Negara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Republik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Indonesia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Nomor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6240), </w:t>
            </w:r>
          </w:p>
          <w:p w14:paraId="65B3BE8E" w14:textId="37E049D8" w:rsidR="000E5C2A" w:rsidRPr="00556719" w:rsidRDefault="00375A56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auto"/>
                <w:sz w:val="20"/>
                <w:szCs w:val="20"/>
              </w:rPr>
              <w:t>dicabut</w:t>
            </w:r>
            <w:proofErr w:type="spellEnd"/>
            <w:r>
              <w:rPr>
                <w:rFonts w:cstheme="majorHAnsi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ajorHAnsi"/>
                <w:color w:val="auto"/>
                <w:sz w:val="20"/>
                <w:szCs w:val="20"/>
              </w:rPr>
              <w:t>dinyatakan</w:t>
            </w:r>
            <w:proofErr w:type="spellEnd"/>
            <w:r w:rsidR="000E5C2A"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ajorHAnsi"/>
                <w:color w:val="auto"/>
                <w:sz w:val="20"/>
                <w:szCs w:val="20"/>
              </w:rPr>
              <w:t>tidak</w:t>
            </w:r>
            <w:proofErr w:type="spellEnd"/>
            <w:r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ajorHAnsi"/>
                <w:color w:val="auto"/>
                <w:sz w:val="20"/>
                <w:szCs w:val="20"/>
              </w:rPr>
              <w:t>berlaku</w:t>
            </w:r>
            <w:proofErr w:type="spellEnd"/>
            <w:r w:rsidR="00B032D1">
              <w:rPr>
                <w:rFonts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69ECA52F" w14:textId="67160AA4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lastRenderedPageBreak/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6D31D5C0" w14:textId="41A17588" w:rsidTr="00384609">
        <w:tc>
          <w:tcPr>
            <w:tcW w:w="2500" w:type="pct"/>
          </w:tcPr>
          <w:p w14:paraId="17B8051E" w14:textId="21322134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43B965A" w14:textId="5A15809B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5842A867" w14:textId="77777777" w:rsidTr="00384609">
        <w:tc>
          <w:tcPr>
            <w:tcW w:w="2500" w:type="pct"/>
          </w:tcPr>
          <w:p w14:paraId="1EADB991" w14:textId="33035E08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BAB XII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I</w:t>
            </w:r>
          </w:p>
          <w:p w14:paraId="387117D1" w14:textId="09B4B73C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556719">
              <w:rPr>
                <w:rFonts w:cstheme="majorHAnsi"/>
                <w:color w:val="auto"/>
                <w:sz w:val="20"/>
                <w:szCs w:val="20"/>
              </w:rPr>
              <w:t>KETENTUAN PENUTUP</w:t>
            </w:r>
          </w:p>
        </w:tc>
        <w:tc>
          <w:tcPr>
            <w:tcW w:w="2500" w:type="pct"/>
          </w:tcPr>
          <w:p w14:paraId="4511D38E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1B3D1E14" w14:textId="77777777" w:rsidTr="00384609">
        <w:tc>
          <w:tcPr>
            <w:tcW w:w="2500" w:type="pct"/>
          </w:tcPr>
          <w:p w14:paraId="79F7F492" w14:textId="3EF40D86" w:rsidR="000E5C2A" w:rsidRPr="00556719" w:rsidRDefault="000E5C2A" w:rsidP="000E5C2A">
            <w:pPr>
              <w:pStyle w:val="Default"/>
              <w:spacing w:line="276" w:lineRule="auto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Pasal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6</w:t>
            </w:r>
            <w:r w:rsidR="00375A56">
              <w:rPr>
                <w:rFonts w:cstheme="maj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500" w:type="pct"/>
          </w:tcPr>
          <w:p w14:paraId="595F8F80" w14:textId="77777777" w:rsidR="000E5C2A" w:rsidRPr="00556719" w:rsidRDefault="000E5C2A" w:rsidP="000E5C2A">
            <w:pPr>
              <w:spacing w:line="276" w:lineRule="auto"/>
              <w:jc w:val="center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556719" w:rsidRPr="00556719" w14:paraId="60AF4C83" w14:textId="69810088" w:rsidTr="00384609">
        <w:tc>
          <w:tcPr>
            <w:tcW w:w="2500" w:type="pct"/>
          </w:tcPr>
          <w:p w14:paraId="03258B69" w14:textId="0D2139AA" w:rsidR="000E5C2A" w:rsidRPr="00556719" w:rsidRDefault="000E5C2A" w:rsidP="000E5C2A">
            <w:pPr>
              <w:pStyle w:val="Default"/>
              <w:spacing w:line="276" w:lineRule="auto"/>
              <w:jc w:val="both"/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Peraturan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Otoritas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Jasa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Keuangan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ini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mulai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berlaku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sejak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cstheme="majorHAnsi"/>
                <w:color w:val="auto"/>
                <w:sz w:val="20"/>
                <w:szCs w:val="20"/>
              </w:rPr>
              <w:t>tanggal</w:t>
            </w:r>
            <w:proofErr w:type="spellEnd"/>
            <w:r w:rsidRPr="00556719">
              <w:rPr>
                <w:rFonts w:cstheme="majorHAnsi"/>
                <w:color w:val="auto"/>
                <w:sz w:val="20"/>
                <w:szCs w:val="20"/>
              </w:rPr>
              <w:t xml:space="preserve"> 1 Januari 2022.</w:t>
            </w:r>
          </w:p>
        </w:tc>
        <w:tc>
          <w:tcPr>
            <w:tcW w:w="2500" w:type="pct"/>
          </w:tcPr>
          <w:p w14:paraId="22B79110" w14:textId="588A63DE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Cukup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proofErr w:type="spellStart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jelas</w:t>
            </w:r>
            <w:proofErr w:type="spellEnd"/>
            <w:r w:rsidRPr="00556719">
              <w:rPr>
                <w:rFonts w:ascii="Bookman Old Style" w:hAnsi="Bookman Old Style" w:cstheme="majorHAnsi"/>
                <w:sz w:val="20"/>
                <w:szCs w:val="20"/>
              </w:rPr>
              <w:t>.</w:t>
            </w:r>
          </w:p>
        </w:tc>
      </w:tr>
      <w:tr w:rsidR="00556719" w:rsidRPr="00556719" w14:paraId="7F893DE6" w14:textId="77777777" w:rsidTr="00384609">
        <w:tc>
          <w:tcPr>
            <w:tcW w:w="2500" w:type="pct"/>
          </w:tcPr>
          <w:p w14:paraId="108DCCA4" w14:textId="2BE1CA3A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4B433D7" w14:textId="77777777" w:rsidR="000E5C2A" w:rsidRPr="00556719" w:rsidRDefault="000E5C2A" w:rsidP="000E5C2A">
            <w:pPr>
              <w:spacing w:line="27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</w:tbl>
    <w:p w14:paraId="7F983A33" w14:textId="5233424B" w:rsidR="00D42243" w:rsidRPr="00556719" w:rsidRDefault="00D42243">
      <w:pPr>
        <w:rPr>
          <w:rFonts w:ascii="Bookman Old Style" w:hAnsi="Bookman Old Style" w:cstheme="majorHAnsi"/>
          <w:sz w:val="18"/>
          <w:szCs w:val="18"/>
        </w:rPr>
      </w:pPr>
    </w:p>
    <w:p w14:paraId="13830972" w14:textId="77777777" w:rsidR="007C5007" w:rsidRPr="00556719" w:rsidRDefault="007C5007">
      <w:pPr>
        <w:rPr>
          <w:rFonts w:ascii="Bookman Old Style" w:hAnsi="Bookman Old Style" w:cstheme="majorHAnsi"/>
          <w:sz w:val="18"/>
          <w:szCs w:val="18"/>
        </w:rPr>
      </w:pPr>
    </w:p>
    <w:sectPr w:rsidR="007C5007" w:rsidRPr="00556719" w:rsidSect="00384609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39EE" w14:textId="77777777" w:rsidR="00726A6A" w:rsidRDefault="00726A6A" w:rsidP="009F1E04">
      <w:pPr>
        <w:spacing w:after="0" w:line="240" w:lineRule="auto"/>
      </w:pPr>
      <w:r>
        <w:separator/>
      </w:r>
    </w:p>
  </w:endnote>
  <w:endnote w:type="continuationSeparator" w:id="0">
    <w:p w14:paraId="18013D23" w14:textId="77777777" w:rsidR="00726A6A" w:rsidRDefault="00726A6A" w:rsidP="009F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9C1E" w14:textId="77777777" w:rsidR="00726A6A" w:rsidRDefault="00726A6A" w:rsidP="009F1E04">
      <w:pPr>
        <w:spacing w:after="0" w:line="240" w:lineRule="auto"/>
      </w:pPr>
      <w:r>
        <w:separator/>
      </w:r>
    </w:p>
  </w:footnote>
  <w:footnote w:type="continuationSeparator" w:id="0">
    <w:p w14:paraId="0BA64354" w14:textId="77777777" w:rsidR="00726A6A" w:rsidRDefault="00726A6A" w:rsidP="009F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34F"/>
    <w:multiLevelType w:val="hybridMultilevel"/>
    <w:tmpl w:val="1D22148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100E9"/>
    <w:multiLevelType w:val="hybridMultilevel"/>
    <w:tmpl w:val="F70627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6522"/>
    <w:multiLevelType w:val="hybridMultilevel"/>
    <w:tmpl w:val="07049A20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4D7621"/>
    <w:multiLevelType w:val="hybridMultilevel"/>
    <w:tmpl w:val="E29E693A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AC4018"/>
    <w:multiLevelType w:val="hybridMultilevel"/>
    <w:tmpl w:val="8734741E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C26626"/>
    <w:multiLevelType w:val="hybridMultilevel"/>
    <w:tmpl w:val="380CA618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D3555B"/>
    <w:multiLevelType w:val="hybridMultilevel"/>
    <w:tmpl w:val="EA460CF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5738B"/>
    <w:multiLevelType w:val="hybridMultilevel"/>
    <w:tmpl w:val="BF1C4D5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F460D"/>
    <w:multiLevelType w:val="hybridMultilevel"/>
    <w:tmpl w:val="4D9AA648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8738E0"/>
    <w:multiLevelType w:val="hybridMultilevel"/>
    <w:tmpl w:val="013A639E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9A68F1"/>
    <w:multiLevelType w:val="hybridMultilevel"/>
    <w:tmpl w:val="2F7ABAF6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7D37FB"/>
    <w:multiLevelType w:val="hybridMultilevel"/>
    <w:tmpl w:val="3C1AFC3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70EAF"/>
    <w:multiLevelType w:val="hybridMultilevel"/>
    <w:tmpl w:val="6D10778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8D0038"/>
    <w:multiLevelType w:val="hybridMultilevel"/>
    <w:tmpl w:val="881E8DD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BC5BCD"/>
    <w:multiLevelType w:val="hybridMultilevel"/>
    <w:tmpl w:val="1E063E3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1F7399"/>
    <w:multiLevelType w:val="hybridMultilevel"/>
    <w:tmpl w:val="4A8429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94639B"/>
    <w:multiLevelType w:val="hybridMultilevel"/>
    <w:tmpl w:val="23F0F5A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D17F29"/>
    <w:multiLevelType w:val="hybridMultilevel"/>
    <w:tmpl w:val="482C4DC0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001AC9"/>
    <w:multiLevelType w:val="hybridMultilevel"/>
    <w:tmpl w:val="8E2EF63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32136B"/>
    <w:multiLevelType w:val="hybridMultilevel"/>
    <w:tmpl w:val="86747FD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1329E4"/>
    <w:multiLevelType w:val="hybridMultilevel"/>
    <w:tmpl w:val="A208A8F4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6E5121D"/>
    <w:multiLevelType w:val="hybridMultilevel"/>
    <w:tmpl w:val="E3C229D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0B32F9"/>
    <w:multiLevelType w:val="hybridMultilevel"/>
    <w:tmpl w:val="C66CDAD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8B646D"/>
    <w:multiLevelType w:val="hybridMultilevel"/>
    <w:tmpl w:val="092AE9AA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8040997"/>
    <w:multiLevelType w:val="hybridMultilevel"/>
    <w:tmpl w:val="31248BD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175760"/>
    <w:multiLevelType w:val="hybridMultilevel"/>
    <w:tmpl w:val="691E065E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786B9A"/>
    <w:multiLevelType w:val="hybridMultilevel"/>
    <w:tmpl w:val="17C4169A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9F29C4"/>
    <w:multiLevelType w:val="hybridMultilevel"/>
    <w:tmpl w:val="9014F99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F25ED7"/>
    <w:multiLevelType w:val="hybridMultilevel"/>
    <w:tmpl w:val="544AF780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2B6F44"/>
    <w:multiLevelType w:val="hybridMultilevel"/>
    <w:tmpl w:val="238C1AF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C6026"/>
    <w:multiLevelType w:val="hybridMultilevel"/>
    <w:tmpl w:val="E36897E4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2781E81"/>
    <w:multiLevelType w:val="hybridMultilevel"/>
    <w:tmpl w:val="8646914C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F06192"/>
    <w:multiLevelType w:val="hybridMultilevel"/>
    <w:tmpl w:val="B646448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F521BA"/>
    <w:multiLevelType w:val="hybridMultilevel"/>
    <w:tmpl w:val="3D06869E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587F49"/>
    <w:multiLevelType w:val="hybridMultilevel"/>
    <w:tmpl w:val="78B2A10A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7CA3D95"/>
    <w:multiLevelType w:val="hybridMultilevel"/>
    <w:tmpl w:val="D84EC596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96C435C"/>
    <w:multiLevelType w:val="hybridMultilevel"/>
    <w:tmpl w:val="E8BC16C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D03EC7"/>
    <w:multiLevelType w:val="hybridMultilevel"/>
    <w:tmpl w:val="5262EF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214055"/>
    <w:multiLevelType w:val="hybridMultilevel"/>
    <w:tmpl w:val="D3804BA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4240A5"/>
    <w:multiLevelType w:val="hybridMultilevel"/>
    <w:tmpl w:val="97D8E79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6B70DD"/>
    <w:multiLevelType w:val="hybridMultilevel"/>
    <w:tmpl w:val="1E9EDFE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CE620FB"/>
    <w:multiLevelType w:val="hybridMultilevel"/>
    <w:tmpl w:val="DD12B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CD3BF9"/>
    <w:multiLevelType w:val="hybridMultilevel"/>
    <w:tmpl w:val="4C32B3A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E63D6"/>
    <w:multiLevelType w:val="hybridMultilevel"/>
    <w:tmpl w:val="52608978"/>
    <w:lvl w:ilvl="0" w:tplc="3210E6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95EA38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0641727"/>
    <w:multiLevelType w:val="hybridMultilevel"/>
    <w:tmpl w:val="BEAE89F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933521"/>
    <w:multiLevelType w:val="hybridMultilevel"/>
    <w:tmpl w:val="44EC981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E50A7F"/>
    <w:multiLevelType w:val="hybridMultilevel"/>
    <w:tmpl w:val="8646914C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0EE544C"/>
    <w:multiLevelType w:val="hybridMultilevel"/>
    <w:tmpl w:val="C060A64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9144F5"/>
    <w:multiLevelType w:val="hybridMultilevel"/>
    <w:tmpl w:val="07049A20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AC6023"/>
    <w:multiLevelType w:val="hybridMultilevel"/>
    <w:tmpl w:val="A784094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A92C4C"/>
    <w:multiLevelType w:val="hybridMultilevel"/>
    <w:tmpl w:val="A2FE608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EE2495"/>
    <w:multiLevelType w:val="hybridMultilevel"/>
    <w:tmpl w:val="AEB021D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3F23D5"/>
    <w:multiLevelType w:val="hybridMultilevel"/>
    <w:tmpl w:val="BB3C9A1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3F159C8"/>
    <w:multiLevelType w:val="hybridMultilevel"/>
    <w:tmpl w:val="BF360832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4321C0B"/>
    <w:multiLevelType w:val="hybridMultilevel"/>
    <w:tmpl w:val="905483C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CC252C"/>
    <w:multiLevelType w:val="hybridMultilevel"/>
    <w:tmpl w:val="56E29E9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8064E0"/>
    <w:multiLevelType w:val="hybridMultilevel"/>
    <w:tmpl w:val="5B949B5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85162E"/>
    <w:multiLevelType w:val="hybridMultilevel"/>
    <w:tmpl w:val="2D7C716A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7CE2B0D"/>
    <w:multiLevelType w:val="hybridMultilevel"/>
    <w:tmpl w:val="11647C0E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92C176A"/>
    <w:multiLevelType w:val="hybridMultilevel"/>
    <w:tmpl w:val="55200B7E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1C08CC"/>
    <w:multiLevelType w:val="hybridMultilevel"/>
    <w:tmpl w:val="04905572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A33087E"/>
    <w:multiLevelType w:val="hybridMultilevel"/>
    <w:tmpl w:val="5BE49FC4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B0C6E5F"/>
    <w:multiLevelType w:val="hybridMultilevel"/>
    <w:tmpl w:val="E87EF0D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460EB0"/>
    <w:multiLevelType w:val="hybridMultilevel"/>
    <w:tmpl w:val="DF5A20F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CA11D6"/>
    <w:multiLevelType w:val="hybridMultilevel"/>
    <w:tmpl w:val="B44EB2A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DD20D0"/>
    <w:multiLevelType w:val="hybridMultilevel"/>
    <w:tmpl w:val="49047A9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120207E"/>
    <w:multiLevelType w:val="hybridMultilevel"/>
    <w:tmpl w:val="28EC5E1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2172DD8"/>
    <w:multiLevelType w:val="hybridMultilevel"/>
    <w:tmpl w:val="56EAC8D2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2707C62"/>
    <w:multiLevelType w:val="hybridMultilevel"/>
    <w:tmpl w:val="E0F0EDAC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2DE747C"/>
    <w:multiLevelType w:val="hybridMultilevel"/>
    <w:tmpl w:val="FEF25174"/>
    <w:lvl w:ilvl="0" w:tplc="3544C6C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3F96B21"/>
    <w:multiLevelType w:val="hybridMultilevel"/>
    <w:tmpl w:val="8DE4D62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D3C23"/>
    <w:multiLevelType w:val="hybridMultilevel"/>
    <w:tmpl w:val="674ADE9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B47635"/>
    <w:multiLevelType w:val="hybridMultilevel"/>
    <w:tmpl w:val="C3CE5A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9016303"/>
    <w:multiLevelType w:val="hybridMultilevel"/>
    <w:tmpl w:val="394C60B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A5E33F0"/>
    <w:multiLevelType w:val="hybridMultilevel"/>
    <w:tmpl w:val="3ABA6B5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220114"/>
    <w:multiLevelType w:val="hybridMultilevel"/>
    <w:tmpl w:val="C82E2A9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DA74EE0"/>
    <w:multiLevelType w:val="hybridMultilevel"/>
    <w:tmpl w:val="C5CE11F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E17024B"/>
    <w:multiLevelType w:val="hybridMultilevel"/>
    <w:tmpl w:val="F12CDB54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E4D1A59"/>
    <w:multiLevelType w:val="hybridMultilevel"/>
    <w:tmpl w:val="8EE44C9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4D30FB"/>
    <w:multiLevelType w:val="hybridMultilevel"/>
    <w:tmpl w:val="22D6CD7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DE585F"/>
    <w:multiLevelType w:val="hybridMultilevel"/>
    <w:tmpl w:val="DC64652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FA94362"/>
    <w:multiLevelType w:val="hybridMultilevel"/>
    <w:tmpl w:val="0AFEFDC0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03C6421"/>
    <w:multiLevelType w:val="hybridMultilevel"/>
    <w:tmpl w:val="4CA23A64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17942FD"/>
    <w:multiLevelType w:val="hybridMultilevel"/>
    <w:tmpl w:val="42D2C6F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4A61E9C"/>
    <w:multiLevelType w:val="hybridMultilevel"/>
    <w:tmpl w:val="E7A2B32C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4C001E9"/>
    <w:multiLevelType w:val="hybridMultilevel"/>
    <w:tmpl w:val="8B70D82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BF3BD5"/>
    <w:multiLevelType w:val="hybridMultilevel"/>
    <w:tmpl w:val="996644CA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6694C4F"/>
    <w:multiLevelType w:val="hybridMultilevel"/>
    <w:tmpl w:val="90FED1FC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6F23BBA"/>
    <w:multiLevelType w:val="hybridMultilevel"/>
    <w:tmpl w:val="4B50D06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8A86DC2"/>
    <w:multiLevelType w:val="hybridMultilevel"/>
    <w:tmpl w:val="FB40756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3C09C6"/>
    <w:multiLevelType w:val="hybridMultilevel"/>
    <w:tmpl w:val="639E3BC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5A73C5"/>
    <w:multiLevelType w:val="hybridMultilevel"/>
    <w:tmpl w:val="8B20F444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B0F1343"/>
    <w:multiLevelType w:val="hybridMultilevel"/>
    <w:tmpl w:val="40184CC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6F6E1B"/>
    <w:multiLevelType w:val="hybridMultilevel"/>
    <w:tmpl w:val="E4C611C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B76099B"/>
    <w:multiLevelType w:val="hybridMultilevel"/>
    <w:tmpl w:val="499C575C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C6F609C"/>
    <w:multiLevelType w:val="hybridMultilevel"/>
    <w:tmpl w:val="3F2259E6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098054D"/>
    <w:multiLevelType w:val="hybridMultilevel"/>
    <w:tmpl w:val="62607D4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17D461F"/>
    <w:multiLevelType w:val="hybridMultilevel"/>
    <w:tmpl w:val="85B0207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3CD74A8"/>
    <w:multiLevelType w:val="hybridMultilevel"/>
    <w:tmpl w:val="93B64C8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AC688D"/>
    <w:multiLevelType w:val="hybridMultilevel"/>
    <w:tmpl w:val="D17866B2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4DB7310"/>
    <w:multiLevelType w:val="hybridMultilevel"/>
    <w:tmpl w:val="0822500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0E069C"/>
    <w:multiLevelType w:val="hybridMultilevel"/>
    <w:tmpl w:val="E048C0B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8D735F"/>
    <w:multiLevelType w:val="hybridMultilevel"/>
    <w:tmpl w:val="4546179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D36E3C"/>
    <w:multiLevelType w:val="hybridMultilevel"/>
    <w:tmpl w:val="26B076B0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BB12D8B"/>
    <w:multiLevelType w:val="hybridMultilevel"/>
    <w:tmpl w:val="A5AE9A7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D6C0EF5"/>
    <w:multiLevelType w:val="hybridMultilevel"/>
    <w:tmpl w:val="8AAA19C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4E3A587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58722F"/>
    <w:multiLevelType w:val="hybridMultilevel"/>
    <w:tmpl w:val="A150109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BF527F"/>
    <w:multiLevelType w:val="hybridMultilevel"/>
    <w:tmpl w:val="AAAAD01A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1052E00"/>
    <w:multiLevelType w:val="hybridMultilevel"/>
    <w:tmpl w:val="0ED6A83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6C7A75"/>
    <w:multiLevelType w:val="hybridMultilevel"/>
    <w:tmpl w:val="CE82DF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422BE1"/>
    <w:multiLevelType w:val="hybridMultilevel"/>
    <w:tmpl w:val="D5C6B73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481003"/>
    <w:multiLevelType w:val="hybridMultilevel"/>
    <w:tmpl w:val="60AAF832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2A44E0E"/>
    <w:multiLevelType w:val="hybridMultilevel"/>
    <w:tmpl w:val="B52E2DE0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2A57BDF"/>
    <w:multiLevelType w:val="hybridMultilevel"/>
    <w:tmpl w:val="BB98477C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3B70B99"/>
    <w:multiLevelType w:val="hybridMultilevel"/>
    <w:tmpl w:val="150A77E2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53D7D9D"/>
    <w:multiLevelType w:val="hybridMultilevel"/>
    <w:tmpl w:val="F1EC80F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A20AF1"/>
    <w:multiLevelType w:val="hybridMultilevel"/>
    <w:tmpl w:val="E0C0A6C4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5E21F53"/>
    <w:multiLevelType w:val="hybridMultilevel"/>
    <w:tmpl w:val="71C03938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5F628E9"/>
    <w:multiLevelType w:val="hybridMultilevel"/>
    <w:tmpl w:val="A01AAF9A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69806CD"/>
    <w:multiLevelType w:val="hybridMultilevel"/>
    <w:tmpl w:val="ED8CC6C4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6F269EA"/>
    <w:multiLevelType w:val="hybridMultilevel"/>
    <w:tmpl w:val="5784E3EC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88B3201"/>
    <w:multiLevelType w:val="hybridMultilevel"/>
    <w:tmpl w:val="6D502F7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5C0797"/>
    <w:multiLevelType w:val="hybridMultilevel"/>
    <w:tmpl w:val="3EB2B81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B847B2"/>
    <w:multiLevelType w:val="hybridMultilevel"/>
    <w:tmpl w:val="036CBEF4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9C12DE3"/>
    <w:multiLevelType w:val="hybridMultilevel"/>
    <w:tmpl w:val="25B28094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AA14A57"/>
    <w:multiLevelType w:val="hybridMultilevel"/>
    <w:tmpl w:val="21345258"/>
    <w:lvl w:ilvl="0" w:tplc="D0C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B3A276B"/>
    <w:multiLevelType w:val="hybridMultilevel"/>
    <w:tmpl w:val="86FCE71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8E554E"/>
    <w:multiLevelType w:val="hybridMultilevel"/>
    <w:tmpl w:val="C6E607F6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DC12F78"/>
    <w:multiLevelType w:val="hybridMultilevel"/>
    <w:tmpl w:val="349CB22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0E33E6"/>
    <w:multiLevelType w:val="hybridMultilevel"/>
    <w:tmpl w:val="B2C0F09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43"/>
  </w:num>
  <w:num w:numId="3">
    <w:abstractNumId w:val="122"/>
  </w:num>
  <w:num w:numId="4">
    <w:abstractNumId w:val="55"/>
  </w:num>
  <w:num w:numId="5">
    <w:abstractNumId w:val="7"/>
  </w:num>
  <w:num w:numId="6">
    <w:abstractNumId w:val="49"/>
  </w:num>
  <w:num w:numId="7">
    <w:abstractNumId w:val="44"/>
  </w:num>
  <w:num w:numId="8">
    <w:abstractNumId w:val="54"/>
  </w:num>
  <w:num w:numId="9">
    <w:abstractNumId w:val="9"/>
  </w:num>
  <w:num w:numId="10">
    <w:abstractNumId w:val="60"/>
  </w:num>
  <w:num w:numId="11">
    <w:abstractNumId w:val="0"/>
  </w:num>
  <w:num w:numId="12">
    <w:abstractNumId w:val="74"/>
  </w:num>
  <w:num w:numId="13">
    <w:abstractNumId w:val="72"/>
  </w:num>
  <w:num w:numId="14">
    <w:abstractNumId w:val="32"/>
  </w:num>
  <w:num w:numId="15">
    <w:abstractNumId w:val="40"/>
  </w:num>
  <w:num w:numId="16">
    <w:abstractNumId w:val="127"/>
  </w:num>
  <w:num w:numId="17">
    <w:abstractNumId w:val="77"/>
  </w:num>
  <w:num w:numId="18">
    <w:abstractNumId w:val="21"/>
  </w:num>
  <w:num w:numId="19">
    <w:abstractNumId w:val="13"/>
  </w:num>
  <w:num w:numId="20">
    <w:abstractNumId w:val="41"/>
  </w:num>
  <w:num w:numId="21">
    <w:abstractNumId w:val="115"/>
  </w:num>
  <w:num w:numId="22">
    <w:abstractNumId w:val="83"/>
  </w:num>
  <w:num w:numId="23">
    <w:abstractNumId w:val="108"/>
  </w:num>
  <w:num w:numId="24">
    <w:abstractNumId w:val="73"/>
  </w:num>
  <w:num w:numId="25">
    <w:abstractNumId w:val="63"/>
  </w:num>
  <w:num w:numId="26">
    <w:abstractNumId w:val="15"/>
  </w:num>
  <w:num w:numId="27">
    <w:abstractNumId w:val="119"/>
  </w:num>
  <w:num w:numId="28">
    <w:abstractNumId w:val="75"/>
  </w:num>
  <w:num w:numId="29">
    <w:abstractNumId w:val="81"/>
  </w:num>
  <w:num w:numId="30">
    <w:abstractNumId w:val="79"/>
  </w:num>
  <w:num w:numId="31">
    <w:abstractNumId w:val="50"/>
  </w:num>
  <w:num w:numId="32">
    <w:abstractNumId w:val="12"/>
  </w:num>
  <w:num w:numId="33">
    <w:abstractNumId w:val="88"/>
  </w:num>
  <w:num w:numId="34">
    <w:abstractNumId w:val="69"/>
  </w:num>
  <w:num w:numId="35">
    <w:abstractNumId w:val="121"/>
  </w:num>
  <w:num w:numId="36">
    <w:abstractNumId w:val="66"/>
  </w:num>
  <w:num w:numId="37">
    <w:abstractNumId w:val="70"/>
  </w:num>
  <w:num w:numId="38">
    <w:abstractNumId w:val="92"/>
  </w:num>
  <w:num w:numId="39">
    <w:abstractNumId w:val="96"/>
  </w:num>
  <w:num w:numId="40">
    <w:abstractNumId w:val="4"/>
  </w:num>
  <w:num w:numId="41">
    <w:abstractNumId w:val="99"/>
  </w:num>
  <w:num w:numId="42">
    <w:abstractNumId w:val="109"/>
  </w:num>
  <w:num w:numId="43">
    <w:abstractNumId w:val="62"/>
  </w:num>
  <w:num w:numId="44">
    <w:abstractNumId w:val="14"/>
  </w:num>
  <w:num w:numId="45">
    <w:abstractNumId w:val="19"/>
  </w:num>
  <w:num w:numId="46">
    <w:abstractNumId w:val="110"/>
  </w:num>
  <w:num w:numId="47">
    <w:abstractNumId w:val="37"/>
  </w:num>
  <w:num w:numId="48">
    <w:abstractNumId w:val="6"/>
  </w:num>
  <w:num w:numId="49">
    <w:abstractNumId w:val="52"/>
  </w:num>
  <w:num w:numId="50">
    <w:abstractNumId w:val="85"/>
  </w:num>
  <w:num w:numId="51">
    <w:abstractNumId w:val="39"/>
  </w:num>
  <w:num w:numId="52">
    <w:abstractNumId w:val="71"/>
  </w:num>
  <w:num w:numId="53">
    <w:abstractNumId w:val="98"/>
  </w:num>
  <w:num w:numId="54">
    <w:abstractNumId w:val="42"/>
  </w:num>
  <w:num w:numId="55">
    <w:abstractNumId w:val="16"/>
  </w:num>
  <w:num w:numId="56">
    <w:abstractNumId w:val="64"/>
  </w:num>
  <w:num w:numId="57">
    <w:abstractNumId w:val="65"/>
  </w:num>
  <w:num w:numId="58">
    <w:abstractNumId w:val="51"/>
  </w:num>
  <w:num w:numId="59">
    <w:abstractNumId w:val="128"/>
  </w:num>
  <w:num w:numId="60">
    <w:abstractNumId w:val="116"/>
  </w:num>
  <w:num w:numId="61">
    <w:abstractNumId w:val="106"/>
  </w:num>
  <w:num w:numId="62">
    <w:abstractNumId w:val="26"/>
  </w:num>
  <w:num w:numId="63">
    <w:abstractNumId w:val="97"/>
  </w:num>
  <w:num w:numId="64">
    <w:abstractNumId w:val="123"/>
  </w:num>
  <w:num w:numId="65">
    <w:abstractNumId w:val="18"/>
  </w:num>
  <w:num w:numId="66">
    <w:abstractNumId w:val="22"/>
  </w:num>
  <w:num w:numId="67">
    <w:abstractNumId w:val="36"/>
  </w:num>
  <w:num w:numId="68">
    <w:abstractNumId w:val="33"/>
  </w:num>
  <w:num w:numId="69">
    <w:abstractNumId w:val="100"/>
  </w:num>
  <w:num w:numId="70">
    <w:abstractNumId w:val="56"/>
  </w:num>
  <w:num w:numId="71">
    <w:abstractNumId w:val="120"/>
  </w:num>
  <w:num w:numId="72">
    <w:abstractNumId w:val="113"/>
  </w:num>
  <w:num w:numId="73">
    <w:abstractNumId w:val="101"/>
  </w:num>
  <w:num w:numId="74">
    <w:abstractNumId w:val="10"/>
  </w:num>
  <w:num w:numId="75">
    <w:abstractNumId w:val="117"/>
  </w:num>
  <w:num w:numId="76">
    <w:abstractNumId w:val="102"/>
  </w:num>
  <w:num w:numId="77">
    <w:abstractNumId w:val="94"/>
  </w:num>
  <w:num w:numId="78">
    <w:abstractNumId w:val="107"/>
  </w:num>
  <w:num w:numId="79">
    <w:abstractNumId w:val="84"/>
  </w:num>
  <w:num w:numId="80">
    <w:abstractNumId w:val="53"/>
  </w:num>
  <w:num w:numId="81">
    <w:abstractNumId w:val="103"/>
  </w:num>
  <w:num w:numId="82">
    <w:abstractNumId w:val="124"/>
  </w:num>
  <w:num w:numId="83">
    <w:abstractNumId w:val="3"/>
  </w:num>
  <w:num w:numId="84">
    <w:abstractNumId w:val="57"/>
  </w:num>
  <w:num w:numId="85">
    <w:abstractNumId w:val="118"/>
  </w:num>
  <w:num w:numId="86">
    <w:abstractNumId w:val="35"/>
  </w:num>
  <w:num w:numId="87">
    <w:abstractNumId w:val="91"/>
  </w:num>
  <w:num w:numId="88">
    <w:abstractNumId w:val="61"/>
  </w:num>
  <w:num w:numId="89">
    <w:abstractNumId w:val="20"/>
  </w:num>
  <w:num w:numId="90">
    <w:abstractNumId w:val="34"/>
  </w:num>
  <w:num w:numId="91">
    <w:abstractNumId w:val="112"/>
  </w:num>
  <w:num w:numId="92">
    <w:abstractNumId w:val="68"/>
  </w:num>
  <w:num w:numId="93">
    <w:abstractNumId w:val="87"/>
  </w:num>
  <w:num w:numId="94">
    <w:abstractNumId w:val="59"/>
  </w:num>
  <w:num w:numId="95">
    <w:abstractNumId w:val="8"/>
  </w:num>
  <w:num w:numId="96">
    <w:abstractNumId w:val="17"/>
  </w:num>
  <w:num w:numId="97">
    <w:abstractNumId w:val="28"/>
  </w:num>
  <w:num w:numId="98">
    <w:abstractNumId w:val="95"/>
  </w:num>
  <w:num w:numId="99">
    <w:abstractNumId w:val="48"/>
  </w:num>
  <w:num w:numId="100">
    <w:abstractNumId w:val="2"/>
  </w:num>
  <w:num w:numId="101">
    <w:abstractNumId w:val="111"/>
  </w:num>
  <w:num w:numId="102">
    <w:abstractNumId w:val="23"/>
  </w:num>
  <w:num w:numId="103">
    <w:abstractNumId w:val="125"/>
  </w:num>
  <w:num w:numId="104">
    <w:abstractNumId w:val="67"/>
  </w:num>
  <w:num w:numId="105">
    <w:abstractNumId w:val="58"/>
  </w:num>
  <w:num w:numId="106">
    <w:abstractNumId w:val="86"/>
  </w:num>
  <w:num w:numId="107">
    <w:abstractNumId w:val="82"/>
  </w:num>
  <w:num w:numId="108">
    <w:abstractNumId w:val="25"/>
  </w:num>
  <w:num w:numId="109">
    <w:abstractNumId w:val="5"/>
  </w:num>
  <w:num w:numId="110">
    <w:abstractNumId w:val="46"/>
  </w:num>
  <w:num w:numId="111">
    <w:abstractNumId w:val="30"/>
  </w:num>
  <w:num w:numId="112">
    <w:abstractNumId w:val="38"/>
  </w:num>
  <w:num w:numId="113">
    <w:abstractNumId w:val="104"/>
  </w:num>
  <w:num w:numId="114">
    <w:abstractNumId w:val="93"/>
  </w:num>
  <w:num w:numId="115">
    <w:abstractNumId w:val="80"/>
  </w:num>
  <w:num w:numId="116">
    <w:abstractNumId w:val="114"/>
  </w:num>
  <w:num w:numId="117">
    <w:abstractNumId w:val="90"/>
  </w:num>
  <w:num w:numId="118">
    <w:abstractNumId w:val="11"/>
  </w:num>
  <w:num w:numId="119">
    <w:abstractNumId w:val="24"/>
  </w:num>
  <w:num w:numId="120">
    <w:abstractNumId w:val="105"/>
  </w:num>
  <w:num w:numId="121">
    <w:abstractNumId w:val="129"/>
  </w:num>
  <w:num w:numId="122">
    <w:abstractNumId w:val="29"/>
  </w:num>
  <w:num w:numId="123">
    <w:abstractNumId w:val="126"/>
  </w:num>
  <w:num w:numId="124">
    <w:abstractNumId w:val="47"/>
  </w:num>
  <w:num w:numId="125">
    <w:abstractNumId w:val="78"/>
  </w:num>
  <w:num w:numId="126">
    <w:abstractNumId w:val="45"/>
  </w:num>
  <w:num w:numId="127">
    <w:abstractNumId w:val="27"/>
  </w:num>
  <w:num w:numId="128">
    <w:abstractNumId w:val="89"/>
  </w:num>
  <w:num w:numId="129">
    <w:abstractNumId w:val="1"/>
  </w:num>
  <w:num w:numId="130">
    <w:abstractNumId w:val="31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43"/>
    <w:rsid w:val="0001483D"/>
    <w:rsid w:val="0001708B"/>
    <w:rsid w:val="00017F0A"/>
    <w:rsid w:val="00021B1A"/>
    <w:rsid w:val="00036ED8"/>
    <w:rsid w:val="000434B9"/>
    <w:rsid w:val="00045A90"/>
    <w:rsid w:val="00053ECE"/>
    <w:rsid w:val="00064ACD"/>
    <w:rsid w:val="000773F9"/>
    <w:rsid w:val="000779FC"/>
    <w:rsid w:val="00091EE8"/>
    <w:rsid w:val="00092F84"/>
    <w:rsid w:val="0009409F"/>
    <w:rsid w:val="00094248"/>
    <w:rsid w:val="000A03AA"/>
    <w:rsid w:val="000A12ED"/>
    <w:rsid w:val="000A2989"/>
    <w:rsid w:val="000A3BEA"/>
    <w:rsid w:val="000A6686"/>
    <w:rsid w:val="000B368B"/>
    <w:rsid w:val="000C4033"/>
    <w:rsid w:val="000E5C2A"/>
    <w:rsid w:val="000E6C0B"/>
    <w:rsid w:val="000F41C7"/>
    <w:rsid w:val="00104C00"/>
    <w:rsid w:val="0011186B"/>
    <w:rsid w:val="00115379"/>
    <w:rsid w:val="00122A52"/>
    <w:rsid w:val="00126D7F"/>
    <w:rsid w:val="0015372B"/>
    <w:rsid w:val="00154A32"/>
    <w:rsid w:val="001716F6"/>
    <w:rsid w:val="00172E93"/>
    <w:rsid w:val="00174E78"/>
    <w:rsid w:val="0017573B"/>
    <w:rsid w:val="0017725A"/>
    <w:rsid w:val="00177BBA"/>
    <w:rsid w:val="001906CE"/>
    <w:rsid w:val="00195CF8"/>
    <w:rsid w:val="001A3FEE"/>
    <w:rsid w:val="001B32A7"/>
    <w:rsid w:val="001C2FD7"/>
    <w:rsid w:val="001C4B7C"/>
    <w:rsid w:val="001D0313"/>
    <w:rsid w:val="001D1FFB"/>
    <w:rsid w:val="001D4E38"/>
    <w:rsid w:val="001D692D"/>
    <w:rsid w:val="001D7546"/>
    <w:rsid w:val="001E2256"/>
    <w:rsid w:val="001E6D6F"/>
    <w:rsid w:val="001F1928"/>
    <w:rsid w:val="002009D3"/>
    <w:rsid w:val="0021393A"/>
    <w:rsid w:val="002171C1"/>
    <w:rsid w:val="00221AB7"/>
    <w:rsid w:val="00223246"/>
    <w:rsid w:val="0022414C"/>
    <w:rsid w:val="0023352E"/>
    <w:rsid w:val="00236239"/>
    <w:rsid w:val="002367A9"/>
    <w:rsid w:val="00237D02"/>
    <w:rsid w:val="00240EFA"/>
    <w:rsid w:val="00245A7A"/>
    <w:rsid w:val="00254AD3"/>
    <w:rsid w:val="0025665A"/>
    <w:rsid w:val="00262FEE"/>
    <w:rsid w:val="002635B0"/>
    <w:rsid w:val="00274DE0"/>
    <w:rsid w:val="002867DC"/>
    <w:rsid w:val="0029110E"/>
    <w:rsid w:val="0029315F"/>
    <w:rsid w:val="0029553E"/>
    <w:rsid w:val="0029663D"/>
    <w:rsid w:val="002A27C8"/>
    <w:rsid w:val="002A3BC4"/>
    <w:rsid w:val="002A4AB9"/>
    <w:rsid w:val="002B0A6B"/>
    <w:rsid w:val="002B4E98"/>
    <w:rsid w:val="002C245F"/>
    <w:rsid w:val="002D31A6"/>
    <w:rsid w:val="002D4E84"/>
    <w:rsid w:val="002D5260"/>
    <w:rsid w:val="002D6727"/>
    <w:rsid w:val="002E086A"/>
    <w:rsid w:val="002E24D4"/>
    <w:rsid w:val="002E2D39"/>
    <w:rsid w:val="002F4F43"/>
    <w:rsid w:val="00304BDE"/>
    <w:rsid w:val="0031796D"/>
    <w:rsid w:val="00317AA1"/>
    <w:rsid w:val="00343183"/>
    <w:rsid w:val="0034503F"/>
    <w:rsid w:val="00360DB9"/>
    <w:rsid w:val="00363549"/>
    <w:rsid w:val="0036564C"/>
    <w:rsid w:val="00367080"/>
    <w:rsid w:val="00374430"/>
    <w:rsid w:val="00375A56"/>
    <w:rsid w:val="00383B97"/>
    <w:rsid w:val="00384609"/>
    <w:rsid w:val="003954C7"/>
    <w:rsid w:val="003A53D6"/>
    <w:rsid w:val="003A6FB0"/>
    <w:rsid w:val="003B2008"/>
    <w:rsid w:val="003B5F37"/>
    <w:rsid w:val="003C514E"/>
    <w:rsid w:val="003C5E34"/>
    <w:rsid w:val="003D1771"/>
    <w:rsid w:val="003D727F"/>
    <w:rsid w:val="003E5CEF"/>
    <w:rsid w:val="003F09C3"/>
    <w:rsid w:val="003F639F"/>
    <w:rsid w:val="00401BEB"/>
    <w:rsid w:val="00411FB8"/>
    <w:rsid w:val="0041205E"/>
    <w:rsid w:val="00413720"/>
    <w:rsid w:val="0041461E"/>
    <w:rsid w:val="00436C34"/>
    <w:rsid w:val="004429A1"/>
    <w:rsid w:val="004463B1"/>
    <w:rsid w:val="004560FB"/>
    <w:rsid w:val="00460DA7"/>
    <w:rsid w:val="004763CB"/>
    <w:rsid w:val="0047675B"/>
    <w:rsid w:val="00484BA1"/>
    <w:rsid w:val="00491517"/>
    <w:rsid w:val="0049169B"/>
    <w:rsid w:val="00495B23"/>
    <w:rsid w:val="004A520A"/>
    <w:rsid w:val="004A78FB"/>
    <w:rsid w:val="004C0B87"/>
    <w:rsid w:val="004C5DE6"/>
    <w:rsid w:val="004E710B"/>
    <w:rsid w:val="004F06F0"/>
    <w:rsid w:val="004F6253"/>
    <w:rsid w:val="00503895"/>
    <w:rsid w:val="00507910"/>
    <w:rsid w:val="0051254E"/>
    <w:rsid w:val="00515250"/>
    <w:rsid w:val="00517D2F"/>
    <w:rsid w:val="005264C3"/>
    <w:rsid w:val="00534B54"/>
    <w:rsid w:val="00556719"/>
    <w:rsid w:val="00556B49"/>
    <w:rsid w:val="005616F7"/>
    <w:rsid w:val="0056391D"/>
    <w:rsid w:val="00563D8B"/>
    <w:rsid w:val="00570E29"/>
    <w:rsid w:val="00573DE3"/>
    <w:rsid w:val="005745C3"/>
    <w:rsid w:val="00591142"/>
    <w:rsid w:val="00591FA8"/>
    <w:rsid w:val="005A4C71"/>
    <w:rsid w:val="005A5570"/>
    <w:rsid w:val="005A721B"/>
    <w:rsid w:val="005B0536"/>
    <w:rsid w:val="005B19D1"/>
    <w:rsid w:val="005B48BD"/>
    <w:rsid w:val="005B7BF6"/>
    <w:rsid w:val="005C009B"/>
    <w:rsid w:val="005C7E58"/>
    <w:rsid w:val="005D15CD"/>
    <w:rsid w:val="005E2490"/>
    <w:rsid w:val="005E72A5"/>
    <w:rsid w:val="005F7C94"/>
    <w:rsid w:val="006021BC"/>
    <w:rsid w:val="00607BD6"/>
    <w:rsid w:val="00610502"/>
    <w:rsid w:val="006112EF"/>
    <w:rsid w:val="00612AA3"/>
    <w:rsid w:val="00614C61"/>
    <w:rsid w:val="00621C55"/>
    <w:rsid w:val="00622B92"/>
    <w:rsid w:val="006244E0"/>
    <w:rsid w:val="0063448A"/>
    <w:rsid w:val="006512FC"/>
    <w:rsid w:val="00661704"/>
    <w:rsid w:val="006677AD"/>
    <w:rsid w:val="00670AF4"/>
    <w:rsid w:val="0067144C"/>
    <w:rsid w:val="00673A4F"/>
    <w:rsid w:val="006840BF"/>
    <w:rsid w:val="00684B0D"/>
    <w:rsid w:val="006918FB"/>
    <w:rsid w:val="0069274E"/>
    <w:rsid w:val="006979D2"/>
    <w:rsid w:val="006B3DD8"/>
    <w:rsid w:val="006D496C"/>
    <w:rsid w:val="006D5FD9"/>
    <w:rsid w:val="006E0654"/>
    <w:rsid w:val="006E1460"/>
    <w:rsid w:val="006F77ED"/>
    <w:rsid w:val="00704194"/>
    <w:rsid w:val="0070604B"/>
    <w:rsid w:val="00712121"/>
    <w:rsid w:val="00715E4B"/>
    <w:rsid w:val="00716A91"/>
    <w:rsid w:val="007247BF"/>
    <w:rsid w:val="00726A6A"/>
    <w:rsid w:val="00727FAA"/>
    <w:rsid w:val="007314E5"/>
    <w:rsid w:val="00732D0A"/>
    <w:rsid w:val="00735398"/>
    <w:rsid w:val="0074069B"/>
    <w:rsid w:val="00741B3D"/>
    <w:rsid w:val="00751B8F"/>
    <w:rsid w:val="00760EB9"/>
    <w:rsid w:val="0076583B"/>
    <w:rsid w:val="00773B8C"/>
    <w:rsid w:val="007756EF"/>
    <w:rsid w:val="00784298"/>
    <w:rsid w:val="00791FED"/>
    <w:rsid w:val="007921EC"/>
    <w:rsid w:val="007930DC"/>
    <w:rsid w:val="007A2EDC"/>
    <w:rsid w:val="007A647D"/>
    <w:rsid w:val="007B1FBE"/>
    <w:rsid w:val="007B4558"/>
    <w:rsid w:val="007B7817"/>
    <w:rsid w:val="007C0066"/>
    <w:rsid w:val="007C1313"/>
    <w:rsid w:val="007C5007"/>
    <w:rsid w:val="007D251C"/>
    <w:rsid w:val="007E2577"/>
    <w:rsid w:val="007E4768"/>
    <w:rsid w:val="007E6AF0"/>
    <w:rsid w:val="007F4532"/>
    <w:rsid w:val="00800C25"/>
    <w:rsid w:val="00807316"/>
    <w:rsid w:val="008076D4"/>
    <w:rsid w:val="0081135B"/>
    <w:rsid w:val="00811526"/>
    <w:rsid w:val="00826675"/>
    <w:rsid w:val="00837F4E"/>
    <w:rsid w:val="0084288F"/>
    <w:rsid w:val="00842B0C"/>
    <w:rsid w:val="00845764"/>
    <w:rsid w:val="00852899"/>
    <w:rsid w:val="00856D02"/>
    <w:rsid w:val="00857513"/>
    <w:rsid w:val="00860EB1"/>
    <w:rsid w:val="00887370"/>
    <w:rsid w:val="00890282"/>
    <w:rsid w:val="00896FFC"/>
    <w:rsid w:val="008A1AB1"/>
    <w:rsid w:val="008A6BA9"/>
    <w:rsid w:val="008B34C0"/>
    <w:rsid w:val="008C0E4F"/>
    <w:rsid w:val="008C1F7B"/>
    <w:rsid w:val="008C51F3"/>
    <w:rsid w:val="008E17F2"/>
    <w:rsid w:val="008E48A7"/>
    <w:rsid w:val="008F5B9A"/>
    <w:rsid w:val="00905102"/>
    <w:rsid w:val="00906CFA"/>
    <w:rsid w:val="00912F06"/>
    <w:rsid w:val="00942822"/>
    <w:rsid w:val="009535E1"/>
    <w:rsid w:val="00963969"/>
    <w:rsid w:val="00965934"/>
    <w:rsid w:val="0097214C"/>
    <w:rsid w:val="00972BE1"/>
    <w:rsid w:val="00976A74"/>
    <w:rsid w:val="00976DB7"/>
    <w:rsid w:val="00983815"/>
    <w:rsid w:val="00995F03"/>
    <w:rsid w:val="009A4CCC"/>
    <w:rsid w:val="009B4ED3"/>
    <w:rsid w:val="009B6791"/>
    <w:rsid w:val="009C793E"/>
    <w:rsid w:val="009D1303"/>
    <w:rsid w:val="009D5EAE"/>
    <w:rsid w:val="009E01F6"/>
    <w:rsid w:val="009E6BA1"/>
    <w:rsid w:val="009F1E04"/>
    <w:rsid w:val="009F3113"/>
    <w:rsid w:val="009F421C"/>
    <w:rsid w:val="009F4901"/>
    <w:rsid w:val="00A1019E"/>
    <w:rsid w:val="00A24A63"/>
    <w:rsid w:val="00A26CA8"/>
    <w:rsid w:val="00A309EE"/>
    <w:rsid w:val="00A32B3E"/>
    <w:rsid w:val="00A4314D"/>
    <w:rsid w:val="00A45787"/>
    <w:rsid w:val="00A521CA"/>
    <w:rsid w:val="00A532C2"/>
    <w:rsid w:val="00A56B8A"/>
    <w:rsid w:val="00A6168F"/>
    <w:rsid w:val="00A63BAF"/>
    <w:rsid w:val="00A6441E"/>
    <w:rsid w:val="00A65BF7"/>
    <w:rsid w:val="00A853E3"/>
    <w:rsid w:val="00A90AA9"/>
    <w:rsid w:val="00A970DC"/>
    <w:rsid w:val="00AA6978"/>
    <w:rsid w:val="00AB00EB"/>
    <w:rsid w:val="00AB7948"/>
    <w:rsid w:val="00AC0789"/>
    <w:rsid w:val="00AC0978"/>
    <w:rsid w:val="00AC7181"/>
    <w:rsid w:val="00AD106C"/>
    <w:rsid w:val="00AD1B77"/>
    <w:rsid w:val="00AD2277"/>
    <w:rsid w:val="00AD4499"/>
    <w:rsid w:val="00AE0906"/>
    <w:rsid w:val="00AE0A91"/>
    <w:rsid w:val="00AE6105"/>
    <w:rsid w:val="00AE7EEB"/>
    <w:rsid w:val="00AF43D2"/>
    <w:rsid w:val="00B02E15"/>
    <w:rsid w:val="00B0318B"/>
    <w:rsid w:val="00B032D1"/>
    <w:rsid w:val="00B07861"/>
    <w:rsid w:val="00B14AAE"/>
    <w:rsid w:val="00B23D54"/>
    <w:rsid w:val="00B26BB3"/>
    <w:rsid w:val="00B27BCD"/>
    <w:rsid w:val="00B3150A"/>
    <w:rsid w:val="00B32A67"/>
    <w:rsid w:val="00B409EF"/>
    <w:rsid w:val="00B50E44"/>
    <w:rsid w:val="00B56C30"/>
    <w:rsid w:val="00B62E68"/>
    <w:rsid w:val="00B6304A"/>
    <w:rsid w:val="00B6600B"/>
    <w:rsid w:val="00B67D16"/>
    <w:rsid w:val="00B72FBA"/>
    <w:rsid w:val="00B863F3"/>
    <w:rsid w:val="00BA0A0B"/>
    <w:rsid w:val="00BA11CE"/>
    <w:rsid w:val="00BA3DB9"/>
    <w:rsid w:val="00BA4C90"/>
    <w:rsid w:val="00BB18D8"/>
    <w:rsid w:val="00BC0947"/>
    <w:rsid w:val="00BC74EA"/>
    <w:rsid w:val="00BE2EF5"/>
    <w:rsid w:val="00BF0FCF"/>
    <w:rsid w:val="00BF7FA8"/>
    <w:rsid w:val="00C0177E"/>
    <w:rsid w:val="00C12451"/>
    <w:rsid w:val="00C169A6"/>
    <w:rsid w:val="00C22F69"/>
    <w:rsid w:val="00C255B1"/>
    <w:rsid w:val="00C33929"/>
    <w:rsid w:val="00C56C0B"/>
    <w:rsid w:val="00C5728E"/>
    <w:rsid w:val="00C6169C"/>
    <w:rsid w:val="00C6281E"/>
    <w:rsid w:val="00C71F36"/>
    <w:rsid w:val="00C806CD"/>
    <w:rsid w:val="00C85B7F"/>
    <w:rsid w:val="00CA5EE7"/>
    <w:rsid w:val="00CB1EB9"/>
    <w:rsid w:val="00CC4772"/>
    <w:rsid w:val="00CD1C29"/>
    <w:rsid w:val="00CE1654"/>
    <w:rsid w:val="00CE3F5D"/>
    <w:rsid w:val="00D02C61"/>
    <w:rsid w:val="00D21692"/>
    <w:rsid w:val="00D21A26"/>
    <w:rsid w:val="00D21C15"/>
    <w:rsid w:val="00D23192"/>
    <w:rsid w:val="00D27260"/>
    <w:rsid w:val="00D2778C"/>
    <w:rsid w:val="00D3268F"/>
    <w:rsid w:val="00D328FC"/>
    <w:rsid w:val="00D42243"/>
    <w:rsid w:val="00D50263"/>
    <w:rsid w:val="00D50FB5"/>
    <w:rsid w:val="00D7731A"/>
    <w:rsid w:val="00D77334"/>
    <w:rsid w:val="00D773BC"/>
    <w:rsid w:val="00D81C6F"/>
    <w:rsid w:val="00D85C43"/>
    <w:rsid w:val="00D86B08"/>
    <w:rsid w:val="00D926DE"/>
    <w:rsid w:val="00D93A01"/>
    <w:rsid w:val="00D9517D"/>
    <w:rsid w:val="00DA0283"/>
    <w:rsid w:val="00DA15DA"/>
    <w:rsid w:val="00DC2616"/>
    <w:rsid w:val="00DC2E60"/>
    <w:rsid w:val="00DC5D06"/>
    <w:rsid w:val="00DC688D"/>
    <w:rsid w:val="00DC7D04"/>
    <w:rsid w:val="00DF250D"/>
    <w:rsid w:val="00DF51AA"/>
    <w:rsid w:val="00E04763"/>
    <w:rsid w:val="00E20F8A"/>
    <w:rsid w:val="00E23557"/>
    <w:rsid w:val="00E35C5B"/>
    <w:rsid w:val="00E45470"/>
    <w:rsid w:val="00E533D0"/>
    <w:rsid w:val="00E55BFD"/>
    <w:rsid w:val="00E5733F"/>
    <w:rsid w:val="00E660B8"/>
    <w:rsid w:val="00E67686"/>
    <w:rsid w:val="00E731CA"/>
    <w:rsid w:val="00E87BA3"/>
    <w:rsid w:val="00E92884"/>
    <w:rsid w:val="00EB261A"/>
    <w:rsid w:val="00EB2782"/>
    <w:rsid w:val="00EC1F4E"/>
    <w:rsid w:val="00EC6F53"/>
    <w:rsid w:val="00ED3218"/>
    <w:rsid w:val="00EF1BC0"/>
    <w:rsid w:val="00EF7955"/>
    <w:rsid w:val="00EF7FEA"/>
    <w:rsid w:val="00F0105A"/>
    <w:rsid w:val="00F11578"/>
    <w:rsid w:val="00F1542D"/>
    <w:rsid w:val="00F2138F"/>
    <w:rsid w:val="00F3358D"/>
    <w:rsid w:val="00F402E0"/>
    <w:rsid w:val="00F452D4"/>
    <w:rsid w:val="00F5017B"/>
    <w:rsid w:val="00F53261"/>
    <w:rsid w:val="00F57BA1"/>
    <w:rsid w:val="00F66C43"/>
    <w:rsid w:val="00F73292"/>
    <w:rsid w:val="00F83AC1"/>
    <w:rsid w:val="00F85A79"/>
    <w:rsid w:val="00F87928"/>
    <w:rsid w:val="00F91A53"/>
    <w:rsid w:val="00F97F60"/>
    <w:rsid w:val="00FA15A0"/>
    <w:rsid w:val="00FB09CE"/>
    <w:rsid w:val="00FB5699"/>
    <w:rsid w:val="00FC7EE4"/>
    <w:rsid w:val="00FD4BB3"/>
    <w:rsid w:val="00FD5067"/>
    <w:rsid w:val="00FD6DBD"/>
    <w:rsid w:val="00FE066E"/>
    <w:rsid w:val="00FE097A"/>
    <w:rsid w:val="00FE304A"/>
    <w:rsid w:val="00FE4C40"/>
    <w:rsid w:val="00FE768F"/>
    <w:rsid w:val="00FF202B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BFDE1"/>
  <w15:docId w15:val="{2B1AD307-DF02-4590-B0FB-3E364D3A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24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FE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607BD6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BD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7B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EDC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E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E04"/>
  </w:style>
  <w:style w:type="paragraph" w:styleId="Footer">
    <w:name w:val="footer"/>
    <w:basedOn w:val="Normal"/>
    <w:link w:val="FooterChar"/>
    <w:uiPriority w:val="99"/>
    <w:unhideWhenUsed/>
    <w:rsid w:val="009F1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E04"/>
  </w:style>
  <w:style w:type="character" w:styleId="Hyperlink">
    <w:name w:val="Hyperlink"/>
    <w:basedOn w:val="DefaultParagraphFont"/>
    <w:uiPriority w:val="99"/>
    <w:semiHidden/>
    <w:unhideWhenUsed/>
    <w:rsid w:val="008C1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9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310296-E49F-4A80-B627-F6EF49A19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98E59-19A1-4085-9258-D7288D0B8DAD}"/>
</file>

<file path=customXml/itemProps3.xml><?xml version="1.0" encoding="utf-8"?>
<ds:datastoreItem xmlns:ds="http://schemas.openxmlformats.org/officeDocument/2006/customXml" ds:itemID="{5FFED6C7-C25E-4C75-A2BA-BF6920D8B9DF}"/>
</file>

<file path=customXml/itemProps4.xml><?xml version="1.0" encoding="utf-8"?>
<ds:datastoreItem xmlns:ds="http://schemas.openxmlformats.org/officeDocument/2006/customXml" ds:itemID="{DFA1873D-B5E0-461F-BE8A-15DBB8278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14776</Words>
  <Characters>84226</Characters>
  <Application>Microsoft Office Word</Application>
  <DocSecurity>0</DocSecurity>
  <Lines>701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Arif</dc:creator>
  <cp:keywords/>
  <dc:description/>
  <cp:lastModifiedBy>Muhammad Arif</cp:lastModifiedBy>
  <cp:revision>3</cp:revision>
  <dcterms:created xsi:type="dcterms:W3CDTF">2021-06-25T08:07:00Z</dcterms:created>
  <dcterms:modified xsi:type="dcterms:W3CDTF">2021-06-25T08:07:00Z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