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3895" w14:textId="2F5F3154" w:rsidR="000E5C2A" w:rsidRPr="00556719" w:rsidRDefault="000E5C2A" w:rsidP="00D50FB5">
      <w:pPr>
        <w:spacing w:after="120" w:line="276" w:lineRule="auto"/>
        <w:jc w:val="center"/>
        <w:rPr>
          <w:rFonts w:ascii="Bookman Old Style" w:hAnsi="Bookman Old Style"/>
          <w:b/>
          <w:bCs/>
        </w:rPr>
      </w:pPr>
      <w:r w:rsidRPr="00556719">
        <w:rPr>
          <w:rFonts w:ascii="Bookman Old Style" w:hAnsi="Bookman Old Style"/>
          <w:b/>
          <w:bCs/>
        </w:rPr>
        <w:t>RPOJK TENTANG BATAS MAKSIMUM PENYALURAN DANA DAN PENYALURAN DA</w:t>
      </w:r>
      <w:r w:rsidR="00D50FB5" w:rsidRPr="00556719">
        <w:rPr>
          <w:rFonts w:ascii="Bookman Old Style" w:hAnsi="Bookman Old Style"/>
          <w:b/>
          <w:bCs/>
        </w:rPr>
        <w:t>NA BESAR BAGI BANK UMUM SYARIAH</w:t>
      </w:r>
    </w:p>
    <w:tbl>
      <w:tblPr>
        <w:tblStyle w:val="TableGrid"/>
        <w:tblW w:w="488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512"/>
        <w:gridCol w:w="7513"/>
      </w:tblGrid>
      <w:tr w:rsidR="00556719" w:rsidRPr="00556719" w14:paraId="55BF6C4C" w14:textId="1EF97FF2" w:rsidTr="00384609">
        <w:trPr>
          <w:trHeight w:val="450"/>
          <w:tblHeader/>
        </w:trPr>
        <w:tc>
          <w:tcPr>
            <w:tcW w:w="2500" w:type="pct"/>
            <w:shd w:val="clear" w:color="auto" w:fill="C5E0B3" w:themeFill="accent6" w:themeFillTint="66"/>
            <w:vAlign w:val="center"/>
          </w:tcPr>
          <w:p w14:paraId="4F172985" w14:textId="53FE43D0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b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b/>
                <w:sz w:val="20"/>
                <w:szCs w:val="20"/>
              </w:rPr>
              <w:t>Norma</w:t>
            </w:r>
          </w:p>
        </w:tc>
        <w:tc>
          <w:tcPr>
            <w:tcW w:w="2500" w:type="pct"/>
            <w:shd w:val="clear" w:color="auto" w:fill="C5E0B3" w:themeFill="accent6" w:themeFillTint="66"/>
            <w:vAlign w:val="center"/>
          </w:tcPr>
          <w:p w14:paraId="2BDEA15B" w14:textId="26386628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b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b/>
                <w:sz w:val="20"/>
                <w:szCs w:val="20"/>
              </w:rPr>
              <w:t>Penjelasan</w:t>
            </w:r>
            <w:proofErr w:type="spellEnd"/>
          </w:p>
        </w:tc>
      </w:tr>
      <w:tr w:rsidR="00556719" w:rsidRPr="00556719" w14:paraId="4FFF38E9" w14:textId="77777777" w:rsidTr="00384609">
        <w:trPr>
          <w:trHeight w:val="105"/>
        </w:trPr>
        <w:tc>
          <w:tcPr>
            <w:tcW w:w="2500" w:type="pct"/>
          </w:tcPr>
          <w:p w14:paraId="1DC94193" w14:textId="2E3771DE" w:rsidR="00556719" w:rsidRPr="00556719" w:rsidRDefault="0055671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Menimbang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:</w:t>
            </w:r>
          </w:p>
        </w:tc>
        <w:tc>
          <w:tcPr>
            <w:tcW w:w="2500" w:type="pct"/>
            <w:vMerge w:val="restart"/>
          </w:tcPr>
          <w:p w14:paraId="0D0AFAB2" w14:textId="77777777" w:rsidR="00556719" w:rsidRPr="00556719" w:rsidRDefault="0055671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Salah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penyebab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kegagalan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didukung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kemampuan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mengelola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konsentrasi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efektif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lawan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mengalami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wanprestasi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tiba-tiba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membahayakan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solvabilitas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Bank.</w:t>
            </w:r>
          </w:p>
          <w:p w14:paraId="79403CB4" w14:textId="77777777" w:rsidR="00556719" w:rsidRPr="00556719" w:rsidRDefault="0055671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  <w:p w14:paraId="3065AE84" w14:textId="77777777" w:rsidR="00556719" w:rsidRPr="00556719" w:rsidRDefault="0055671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mengurangi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potensi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kegagalan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akibat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konsentrasi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Dana,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diwajibkan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penyebaran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diversifikasi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portofolio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terutama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melalui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pembatasan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baik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maupun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selain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sebesar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persentase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Modal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Modal Inti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 xml:space="preserve">tier 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1) Bank,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dikenal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BMPD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Besar.</w:t>
            </w:r>
          </w:p>
          <w:p w14:paraId="47E4D1CC" w14:textId="77777777" w:rsidR="00556719" w:rsidRPr="00556719" w:rsidRDefault="0055671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  <w:p w14:paraId="305162C4" w14:textId="77777777" w:rsidR="00556719" w:rsidRPr="00556719" w:rsidRDefault="0055671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Pengalaman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krisis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global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terjadi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tahun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2008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menunjukkan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bahwa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pengukuran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metode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pengelompokan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pengendalian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konsisten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terutama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Besar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Fasilitas.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demikian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standar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serta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penetapan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disesuaikan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standar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internasional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berlaku</w:t>
            </w:r>
            <w:proofErr w:type="spellEnd"/>
            <w:r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 w:cstheme="majorHAnsi"/>
                <w:sz w:val="20"/>
                <w:szCs w:val="20"/>
              </w:rPr>
              <w:t>antara</w:t>
            </w:r>
            <w:proofErr w:type="spellEnd"/>
            <w:r>
              <w:rPr>
                <w:rFonts w:ascii="Bookman Old Style" w:hAnsi="Bookman Old Style" w:cstheme="majorHAnsi"/>
                <w:sz w:val="20"/>
                <w:szCs w:val="20"/>
              </w:rPr>
              <w:t xml:space="preserve"> lain 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Basel III: 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Supervisory framework for measuring and controlling large exposures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  <w:p w14:paraId="3D46C302" w14:textId="77777777" w:rsidR="00556719" w:rsidRPr="00556719" w:rsidRDefault="0055671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  <w:p w14:paraId="5EB3FA58" w14:textId="77777777" w:rsidR="00556719" w:rsidRPr="00556719" w:rsidRDefault="00556719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Kerangka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Besar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pelengkap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kerangka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56719">
              <w:rPr>
                <w:rFonts w:cstheme="majorHAnsi"/>
                <w:i/>
                <w:iCs/>
                <w:color w:val="auto"/>
                <w:sz w:val="20"/>
                <w:szCs w:val="20"/>
              </w:rPr>
              <w:t>risk based</w:t>
            </w:r>
            <w:proofErr w:type="gramEnd"/>
            <w:r w:rsidRPr="00556719">
              <w:rPr>
                <w:rFonts w:cstheme="majorHAnsi"/>
                <w:i/>
                <w:iCs/>
                <w:color w:val="auto"/>
                <w:sz w:val="20"/>
                <w:szCs w:val="20"/>
              </w:rPr>
              <w:t xml:space="preserve"> capital standard. 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Hal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disebabkan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karena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56719">
              <w:rPr>
                <w:rFonts w:cstheme="majorHAnsi"/>
                <w:i/>
                <w:iCs/>
                <w:color w:val="auto"/>
                <w:sz w:val="20"/>
                <w:szCs w:val="20"/>
              </w:rPr>
              <w:t>risk based</w:t>
            </w:r>
            <w:proofErr w:type="gramEnd"/>
            <w:r w:rsidRPr="00556719">
              <w:rPr>
                <w:rFonts w:cstheme="majorHAnsi"/>
                <w:i/>
                <w:iCs/>
                <w:color w:val="auto"/>
                <w:sz w:val="20"/>
                <w:szCs w:val="20"/>
              </w:rPr>
              <w:t xml:space="preserve"> capital standard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didesain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spesifik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melindungi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kerugian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disebabkan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wanprestasi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penyediaan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minimum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pilar 1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56719">
              <w:rPr>
                <w:rFonts w:cstheme="majorHAnsi"/>
                <w:i/>
                <w:iCs/>
                <w:color w:val="auto"/>
                <w:sz w:val="20"/>
                <w:szCs w:val="20"/>
              </w:rPr>
              <w:t>risk based</w:t>
            </w:r>
            <w:proofErr w:type="gramEnd"/>
            <w:r w:rsidRPr="00556719">
              <w:rPr>
                <w:rFonts w:cstheme="majorHAnsi"/>
                <w:i/>
                <w:iCs/>
                <w:color w:val="auto"/>
                <w:sz w:val="20"/>
                <w:szCs w:val="20"/>
              </w:rPr>
              <w:t xml:space="preserve"> capital standard framework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berasumsi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bahwa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portofolio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granular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sehingga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konsentrasi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dipertimbangkan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menghitung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penyediaan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minimum.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Namun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demikian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idiosinkratik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Besar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mungkin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portofolio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Bank.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demikian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kerangka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Pr="00556719">
              <w:rPr>
                <w:rFonts w:cstheme="majorHAnsi"/>
                <w:i/>
                <w:iCs/>
                <w:color w:val="auto"/>
                <w:sz w:val="20"/>
                <w:szCs w:val="20"/>
              </w:rPr>
              <w:t xml:space="preserve">large exposure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diperlukan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melindungi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kerugian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disebabkan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wanprestasi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. </w:t>
            </w:r>
          </w:p>
          <w:p w14:paraId="3997DAE9" w14:textId="77777777" w:rsidR="00556719" w:rsidRPr="00556719" w:rsidRDefault="00556719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  <w:p w14:paraId="11B5E76D" w14:textId="77777777" w:rsidR="00556719" w:rsidRPr="00556719" w:rsidRDefault="0055671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Sementara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meningkatkan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pertumbuhan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ekonomi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Indonesia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daya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saing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nasional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diperlukan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upaya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mendorong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fungsi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intermediasi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perbankan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dilakukan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memberikan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kelonggaran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pengecualian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penerapan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BMPD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Besar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tetap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memperhatikan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prinsip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kehati-hatian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0A7BFEB8" w14:textId="77777777" w:rsidR="00556719" w:rsidRPr="00556719" w:rsidRDefault="0055671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  <w:p w14:paraId="51E77C36" w14:textId="77777777" w:rsidR="00556719" w:rsidRPr="00556719" w:rsidRDefault="0055671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Kelonggaran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pengecualian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meliputi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BUMN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tujuan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pembangunan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termasuk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pembangunan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infrastruktur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sektor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prioritas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sektor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pariwisata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meningkatkan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devisa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melalui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berorientasi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ekspor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dijamin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Prime Bank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pola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kemitraan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inti-plasma.</w:t>
            </w:r>
          </w:p>
          <w:p w14:paraId="4FD71E9D" w14:textId="77777777" w:rsidR="00556719" w:rsidRPr="00556719" w:rsidRDefault="0055671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65A22EA" w14:textId="77777777" w:rsidTr="00384609">
        <w:tc>
          <w:tcPr>
            <w:tcW w:w="2500" w:type="pct"/>
          </w:tcPr>
          <w:p w14:paraId="37F52842" w14:textId="1182AE4B" w:rsidR="00556719" w:rsidRPr="00556719" w:rsidRDefault="00556719" w:rsidP="00976DB7">
            <w:pPr>
              <w:pStyle w:val="ListParagraph"/>
              <w:numPr>
                <w:ilvl w:val="0"/>
                <w:numId w:val="69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bahwa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konsentrasi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fasilitas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fasilitas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salah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penyebab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kegagalan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;</w:t>
            </w:r>
          </w:p>
        </w:tc>
        <w:tc>
          <w:tcPr>
            <w:tcW w:w="2500" w:type="pct"/>
            <w:vMerge/>
          </w:tcPr>
          <w:p w14:paraId="53162BD1" w14:textId="5DD75651" w:rsidR="00556719" w:rsidRPr="00556719" w:rsidRDefault="0055671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EC4A819" w14:textId="77777777" w:rsidTr="00384609">
        <w:tc>
          <w:tcPr>
            <w:tcW w:w="2500" w:type="pct"/>
          </w:tcPr>
          <w:p w14:paraId="4AAC7E1B" w14:textId="3D63447C" w:rsidR="00556719" w:rsidRPr="00556719" w:rsidRDefault="00556719" w:rsidP="00976DB7">
            <w:pPr>
              <w:pStyle w:val="ListParagraph"/>
              <w:numPr>
                <w:ilvl w:val="0"/>
                <w:numId w:val="69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bahwa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menghindari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kegagalan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umum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akibat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konsentrasi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dana,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umum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perlu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sesuai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prinsip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kehati-hatian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;</w:t>
            </w:r>
          </w:p>
        </w:tc>
        <w:tc>
          <w:tcPr>
            <w:tcW w:w="2500" w:type="pct"/>
            <w:vMerge/>
          </w:tcPr>
          <w:p w14:paraId="566EAAAD" w14:textId="4D44E1CF" w:rsidR="00556719" w:rsidRPr="00556719" w:rsidRDefault="0055671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FD3171C" w14:textId="77777777" w:rsidTr="00384609">
        <w:tc>
          <w:tcPr>
            <w:tcW w:w="2500" w:type="pct"/>
          </w:tcPr>
          <w:p w14:paraId="26EDFC96" w14:textId="46D7BC7D" w:rsidR="00556719" w:rsidRPr="00556719" w:rsidRDefault="00556719" w:rsidP="00976DB7">
            <w:pPr>
              <w:pStyle w:val="ListParagraph"/>
              <w:numPr>
                <w:ilvl w:val="0"/>
                <w:numId w:val="69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bahwa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sesuai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prinsip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kehati-hatian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diperlukan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penyebaran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diversifikasi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portofolio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diberikan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penetapan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serta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besar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;</w:t>
            </w:r>
          </w:p>
        </w:tc>
        <w:tc>
          <w:tcPr>
            <w:tcW w:w="2500" w:type="pct"/>
            <w:vMerge/>
          </w:tcPr>
          <w:p w14:paraId="12FFC1D7" w14:textId="77777777" w:rsidR="00556719" w:rsidRPr="00556719" w:rsidRDefault="0055671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65E478A" w14:textId="77777777" w:rsidTr="00384609">
        <w:tc>
          <w:tcPr>
            <w:tcW w:w="2500" w:type="pct"/>
          </w:tcPr>
          <w:p w14:paraId="17FBA134" w14:textId="0D92C93D" w:rsidR="00556719" w:rsidRPr="00556719" w:rsidRDefault="00556719" w:rsidP="00976DB7">
            <w:pPr>
              <w:pStyle w:val="ListParagraph"/>
              <w:numPr>
                <w:ilvl w:val="0"/>
                <w:numId w:val="69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bahwa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mendukung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tingkat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pertumbuhan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ekonomi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optimal,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umum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harus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mendukung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pembiayaan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sektor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riil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tetap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memperhatikan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prinsip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kehati-hatian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;</w:t>
            </w:r>
          </w:p>
        </w:tc>
        <w:tc>
          <w:tcPr>
            <w:tcW w:w="2500" w:type="pct"/>
            <w:vMerge/>
          </w:tcPr>
          <w:p w14:paraId="2B63FA18" w14:textId="77777777" w:rsidR="00556719" w:rsidRPr="00556719" w:rsidRDefault="0055671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5E3AD08" w14:textId="0908BF8B" w:rsidTr="00384609">
        <w:tc>
          <w:tcPr>
            <w:tcW w:w="2500" w:type="pct"/>
          </w:tcPr>
          <w:p w14:paraId="0E14E58F" w14:textId="77777777" w:rsidR="00556719" w:rsidRPr="00556719" w:rsidRDefault="00556719" w:rsidP="00976DB7">
            <w:pPr>
              <w:pStyle w:val="ListParagraph"/>
              <w:numPr>
                <w:ilvl w:val="0"/>
                <w:numId w:val="69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bahwa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pertimbangan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sampai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perlu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menetapkan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tentang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Maksimum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Besar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Umum Syariah;</w:t>
            </w:r>
          </w:p>
          <w:p w14:paraId="5F7CFEC6" w14:textId="77777777" w:rsidR="00556719" w:rsidRPr="00556719" w:rsidRDefault="00556719" w:rsidP="00556719"/>
          <w:p w14:paraId="0F9ECCBA" w14:textId="77777777" w:rsidR="00556719" w:rsidRPr="00556719" w:rsidRDefault="00556719" w:rsidP="00556719"/>
          <w:p w14:paraId="35D0AF89" w14:textId="77777777" w:rsidR="00556719" w:rsidRPr="00556719" w:rsidRDefault="00556719" w:rsidP="00556719"/>
          <w:p w14:paraId="4EAB2B5A" w14:textId="77777777" w:rsidR="00556719" w:rsidRPr="00556719" w:rsidRDefault="00556719" w:rsidP="00556719"/>
          <w:p w14:paraId="13C883E3" w14:textId="77777777" w:rsidR="00556719" w:rsidRPr="00556719" w:rsidRDefault="00556719" w:rsidP="00556719"/>
          <w:p w14:paraId="377F307A" w14:textId="77777777" w:rsidR="00556719" w:rsidRPr="00556719" w:rsidRDefault="00556719" w:rsidP="00556719"/>
          <w:p w14:paraId="59E6CCAA" w14:textId="77777777" w:rsidR="00556719" w:rsidRPr="00556719" w:rsidRDefault="00556719" w:rsidP="00556719"/>
          <w:p w14:paraId="5AC34942" w14:textId="77777777" w:rsidR="00556719" w:rsidRPr="00556719" w:rsidRDefault="00556719" w:rsidP="00556719"/>
          <w:p w14:paraId="395741DE" w14:textId="77777777" w:rsidR="00556719" w:rsidRPr="00556719" w:rsidRDefault="00556719" w:rsidP="00556719"/>
          <w:p w14:paraId="40247AFE" w14:textId="77777777" w:rsidR="00556719" w:rsidRPr="00556719" w:rsidRDefault="00556719" w:rsidP="00556719">
            <w:pPr>
              <w:rPr>
                <w:rFonts w:ascii="Bookman Old Style" w:hAnsi="Bookman Old Style" w:cstheme="majorHAnsi"/>
                <w:sz w:val="20"/>
                <w:szCs w:val="20"/>
              </w:rPr>
            </w:pPr>
          </w:p>
          <w:p w14:paraId="5A10AC94" w14:textId="77777777" w:rsidR="00556719" w:rsidRPr="00556719" w:rsidRDefault="00556719" w:rsidP="00556719"/>
          <w:p w14:paraId="0744DD17" w14:textId="77777777" w:rsidR="00556719" w:rsidRPr="00556719" w:rsidRDefault="00556719" w:rsidP="00556719"/>
          <w:p w14:paraId="47B6B10A" w14:textId="77777777" w:rsidR="00556719" w:rsidRPr="00556719" w:rsidRDefault="00556719" w:rsidP="00556719"/>
          <w:p w14:paraId="4D2812F5" w14:textId="77777777" w:rsidR="00556719" w:rsidRPr="00556719" w:rsidRDefault="00556719" w:rsidP="00556719">
            <w:pPr>
              <w:rPr>
                <w:rFonts w:ascii="Bookman Old Style" w:hAnsi="Bookman Old Style" w:cstheme="majorHAnsi"/>
                <w:sz w:val="20"/>
                <w:szCs w:val="20"/>
              </w:rPr>
            </w:pPr>
          </w:p>
          <w:p w14:paraId="718208CA" w14:textId="77777777" w:rsidR="00556719" w:rsidRPr="00556719" w:rsidRDefault="00556719" w:rsidP="00556719">
            <w:pPr>
              <w:rPr>
                <w:rFonts w:ascii="Bookman Old Style" w:hAnsi="Bookman Old Style" w:cstheme="majorHAnsi"/>
                <w:sz w:val="20"/>
                <w:szCs w:val="20"/>
              </w:rPr>
            </w:pPr>
          </w:p>
          <w:p w14:paraId="19265959" w14:textId="24982B0A" w:rsidR="00556719" w:rsidRPr="00556719" w:rsidRDefault="00556719" w:rsidP="00556719">
            <w:pPr>
              <w:tabs>
                <w:tab w:val="left" w:pos="4692"/>
              </w:tabs>
            </w:pPr>
            <w:r w:rsidRPr="00556719">
              <w:tab/>
            </w:r>
          </w:p>
        </w:tc>
        <w:tc>
          <w:tcPr>
            <w:tcW w:w="2500" w:type="pct"/>
            <w:vMerge/>
          </w:tcPr>
          <w:p w14:paraId="427ADC7C" w14:textId="6B268F32" w:rsidR="00556719" w:rsidRPr="00556719" w:rsidRDefault="0055671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C464192" w14:textId="77777777" w:rsidTr="00384609">
        <w:tc>
          <w:tcPr>
            <w:tcW w:w="2500" w:type="pct"/>
          </w:tcPr>
          <w:p w14:paraId="7A3BA686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5D7067AD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0A6B163" w14:textId="77777777" w:rsidTr="00384609">
        <w:tc>
          <w:tcPr>
            <w:tcW w:w="2500" w:type="pct"/>
          </w:tcPr>
          <w:p w14:paraId="48070E84" w14:textId="31FE72A6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Mengingat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2A496E37" w14:textId="4C8C0090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72F14CF" w14:textId="77777777" w:rsidTr="00384609">
        <w:tc>
          <w:tcPr>
            <w:tcW w:w="2500" w:type="pct"/>
          </w:tcPr>
          <w:p w14:paraId="3E856DD2" w14:textId="45B7553B" w:rsidR="000E5C2A" w:rsidRPr="00556719" w:rsidRDefault="000E5C2A" w:rsidP="0084288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Undang-Undang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Nomor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21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Tahun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2011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tentang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Lembaran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Negara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Republik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Indonesia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Tahun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2011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Nomor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111,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Tambahan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Lembaran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Negara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Republik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Indonesia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Nomor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5253);</w:t>
            </w:r>
          </w:p>
        </w:tc>
        <w:tc>
          <w:tcPr>
            <w:tcW w:w="2500" w:type="pct"/>
          </w:tcPr>
          <w:p w14:paraId="1FD2D94C" w14:textId="4A780380" w:rsidR="000E5C2A" w:rsidRPr="00556719" w:rsidRDefault="000E5C2A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</w:tr>
      <w:tr w:rsidR="00556719" w:rsidRPr="00556719" w14:paraId="7587B4EF" w14:textId="77777777" w:rsidTr="00384609">
        <w:tc>
          <w:tcPr>
            <w:tcW w:w="2500" w:type="pct"/>
          </w:tcPr>
          <w:p w14:paraId="434E61A2" w14:textId="2A7D854B" w:rsidR="000E5C2A" w:rsidRPr="00556719" w:rsidRDefault="000E5C2A" w:rsidP="0084288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Undang-Undang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Nomor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21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Tahun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2008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tentang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Perbankan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Lembaran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Negara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Republik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Indonesia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Tahun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2008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Nomor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94,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Tambahan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Lembaran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Negara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Republik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Indonesia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Nomor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4867)</w:t>
            </w:r>
            <w:r w:rsidR="00384609"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3104535A" w14:textId="792B3178" w:rsidR="000E5C2A" w:rsidRPr="00556719" w:rsidRDefault="000E5C2A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</w:tr>
      <w:tr w:rsidR="00556719" w:rsidRPr="00556719" w14:paraId="1D767A91" w14:textId="77777777" w:rsidTr="00384609">
        <w:tc>
          <w:tcPr>
            <w:tcW w:w="2500" w:type="pct"/>
          </w:tcPr>
          <w:p w14:paraId="29FBD1F0" w14:textId="153618E1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CB1AA05" w14:textId="77777777" w:rsidR="000E5C2A" w:rsidRPr="00556719" w:rsidRDefault="000E5C2A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</w:tr>
      <w:tr w:rsidR="00556719" w:rsidRPr="00556719" w14:paraId="2AEFD1F7" w14:textId="77777777" w:rsidTr="00384609">
        <w:tc>
          <w:tcPr>
            <w:tcW w:w="2500" w:type="pct"/>
          </w:tcPr>
          <w:p w14:paraId="3FE8B65D" w14:textId="251C517E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BAB I</w:t>
            </w:r>
          </w:p>
          <w:p w14:paraId="0F0F1177" w14:textId="5DA8EC7E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KETENTUAN UMUM</w:t>
            </w:r>
          </w:p>
        </w:tc>
        <w:tc>
          <w:tcPr>
            <w:tcW w:w="2500" w:type="pct"/>
          </w:tcPr>
          <w:p w14:paraId="6573D4C1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C00C52B" w14:textId="77777777" w:rsidTr="00384609">
        <w:tc>
          <w:tcPr>
            <w:tcW w:w="2500" w:type="pct"/>
          </w:tcPr>
          <w:p w14:paraId="1F745D12" w14:textId="2B4D7530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</w:t>
            </w:r>
          </w:p>
        </w:tc>
        <w:tc>
          <w:tcPr>
            <w:tcW w:w="2500" w:type="pct"/>
          </w:tcPr>
          <w:p w14:paraId="08A6328D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9E98778" w14:textId="77777777" w:rsidTr="00384609">
        <w:tc>
          <w:tcPr>
            <w:tcW w:w="2500" w:type="pct"/>
          </w:tcPr>
          <w:p w14:paraId="40082D3B" w14:textId="41A972E3" w:rsidR="000E5C2A" w:rsidRPr="00556719" w:rsidRDefault="000E5C2A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Dalam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  <w:p w14:paraId="3937665D" w14:textId="08779298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Umum Syariah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selanjutnya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disebut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melaksanakan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kegiatan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kegiatannya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memberikan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jasa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lalu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lintas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pembayaran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1D5ED647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29551F5" w14:textId="77777777" w:rsidTr="00384609">
        <w:tc>
          <w:tcPr>
            <w:tcW w:w="2500" w:type="pct"/>
          </w:tcPr>
          <w:p w14:paraId="3C8FBED2" w14:textId="5D117F65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Maksimum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selanjutnya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disingkat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persentase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maksimum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  <w:p w14:paraId="719862C4" w14:textId="77777777" w:rsidR="000E5C2A" w:rsidRPr="00556719" w:rsidRDefault="000E5C2A" w:rsidP="0084288F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modal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</w:p>
          <w:p w14:paraId="2BFF18B0" w14:textId="31747091" w:rsidR="000E5C2A" w:rsidRPr="00556719" w:rsidRDefault="000E5C2A" w:rsidP="0084288F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modal inti (</w:t>
            </w:r>
            <w:r w:rsidRPr="00556719">
              <w:rPr>
                <w:rFonts w:cstheme="majorHAnsi"/>
                <w:i/>
                <w:color w:val="auto"/>
                <w:sz w:val="20"/>
                <w:szCs w:val="20"/>
              </w:rPr>
              <w:t>tier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1)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selain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7462E91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CB89093" w14:textId="77777777" w:rsidTr="00384609">
        <w:tc>
          <w:tcPr>
            <w:tcW w:w="2500" w:type="pct"/>
          </w:tcPr>
          <w:p w14:paraId="27969D75" w14:textId="2E355607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Besar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nominal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fasilitas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fasilitas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selain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sebesar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10%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inti (</w:t>
            </w:r>
            <w:r w:rsidRPr="00556719">
              <w:rPr>
                <w:rFonts w:cstheme="majorHAnsi"/>
                <w:i/>
                <w:color w:val="auto"/>
                <w:sz w:val="20"/>
                <w:szCs w:val="20"/>
              </w:rPr>
              <w:t>tier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1) Bank.</w:t>
            </w:r>
          </w:p>
        </w:tc>
        <w:tc>
          <w:tcPr>
            <w:tcW w:w="2500" w:type="pct"/>
          </w:tcPr>
          <w:p w14:paraId="582347FA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39F1A90" w14:textId="77777777" w:rsidTr="00384609">
        <w:tc>
          <w:tcPr>
            <w:tcW w:w="2500" w:type="pct"/>
          </w:tcPr>
          <w:p w14:paraId="4184830E" w14:textId="422F1BFA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penanaman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  <w:p w14:paraId="13A476AC" w14:textId="77777777" w:rsidR="000E5C2A" w:rsidRPr="00556719" w:rsidRDefault="000E5C2A" w:rsidP="0084288F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penempatan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  <w:p w14:paraId="27695C02" w14:textId="77777777" w:rsidR="000E5C2A" w:rsidRPr="00556719" w:rsidRDefault="000E5C2A" w:rsidP="0084288F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lindung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  <w:p w14:paraId="0FFB830F" w14:textId="77777777" w:rsidR="000E5C2A" w:rsidRPr="00556719" w:rsidRDefault="000E5C2A" w:rsidP="0084288F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surat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  <w:p w14:paraId="1F668676" w14:textId="77777777" w:rsidR="000E5C2A" w:rsidRPr="00556719" w:rsidRDefault="000E5C2A" w:rsidP="0084288F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akseptasi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  <w:p w14:paraId="3B4128B2" w14:textId="77777777" w:rsidR="000E5C2A" w:rsidRPr="00556719" w:rsidRDefault="000E5C2A" w:rsidP="0084288F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pembiayaan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  <w:p w14:paraId="4DC3079C" w14:textId="77777777" w:rsidR="000E5C2A" w:rsidRPr="00556719" w:rsidRDefault="000E5C2A" w:rsidP="0084288F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penyertaan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modal;</w:t>
            </w:r>
          </w:p>
          <w:p w14:paraId="4E07C86F" w14:textId="77777777" w:rsidR="000E5C2A" w:rsidRPr="00556719" w:rsidRDefault="000E5C2A" w:rsidP="0084288F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penyertaan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sementara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  <w:p w14:paraId="1BA11F38" w14:textId="77777777" w:rsidR="000E5C2A" w:rsidRPr="00556719" w:rsidRDefault="000E5C2A" w:rsidP="0084288F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rekening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administratif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 dan</w:t>
            </w:r>
          </w:p>
          <w:p w14:paraId="581C2C1F" w14:textId="5146147B" w:rsidR="000E5C2A" w:rsidRPr="00556719" w:rsidRDefault="000E5C2A" w:rsidP="0084288F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lain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dipersamakan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sampai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j.</w:t>
            </w:r>
          </w:p>
        </w:tc>
        <w:tc>
          <w:tcPr>
            <w:tcW w:w="2500" w:type="pct"/>
          </w:tcPr>
          <w:p w14:paraId="4BD594F3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425CEC4" w14:textId="77777777" w:rsidTr="00384609">
        <w:tc>
          <w:tcPr>
            <w:tcW w:w="2500" w:type="pct"/>
          </w:tcPr>
          <w:p w14:paraId="448D9FF7" w14:textId="725FDCF3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Modal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inti dan modal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pelengkap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memperhitungkan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faktor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pengurang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mengatur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penyediaan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minimum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umum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083E98DB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691E515" w14:textId="77777777" w:rsidTr="00384609">
        <w:tc>
          <w:tcPr>
            <w:tcW w:w="2500" w:type="pct"/>
          </w:tcPr>
          <w:p w14:paraId="393D8B50" w14:textId="0E669645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Modal Inti (</w:t>
            </w:r>
            <w:r w:rsidRPr="00556719">
              <w:rPr>
                <w:rFonts w:cstheme="majorHAnsi"/>
                <w:i/>
                <w:color w:val="auto"/>
                <w:sz w:val="20"/>
                <w:szCs w:val="20"/>
              </w:rPr>
              <w:t xml:space="preserve">tier 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inti (</w:t>
            </w:r>
            <w:r w:rsidRPr="00556719">
              <w:rPr>
                <w:rFonts w:cstheme="majorHAnsi"/>
                <w:i/>
                <w:color w:val="auto"/>
                <w:sz w:val="20"/>
                <w:szCs w:val="20"/>
              </w:rPr>
              <w:t>tier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mengatur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penyediaan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minimum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umum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091640C7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4CB6327" w14:textId="77777777" w:rsidTr="00384609">
        <w:tc>
          <w:tcPr>
            <w:tcW w:w="2500" w:type="pct"/>
          </w:tcPr>
          <w:p w14:paraId="7673C5C9" w14:textId="463C1FCA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perorangan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mempunyai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langsung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maupun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langsung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melalui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kepemilikan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kepengurusan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,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5277AFC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5B1540C" w14:textId="77777777" w:rsidTr="00384609">
        <w:tc>
          <w:tcPr>
            <w:tcW w:w="2500" w:type="pct"/>
          </w:tcPr>
          <w:p w14:paraId="1D585887" w14:textId="3C2D64BC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Pelanggaran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selisih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persentase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persentase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  <w:p w14:paraId="6148F80D" w14:textId="77777777" w:rsidR="000E5C2A" w:rsidRPr="00556719" w:rsidRDefault="000E5C2A" w:rsidP="0084288F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Modal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</w:p>
          <w:p w14:paraId="4760EFBA" w14:textId="77777777" w:rsidR="000E5C2A" w:rsidRPr="00556719" w:rsidRDefault="000E5C2A" w:rsidP="0084288F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Modal Inti (</w:t>
            </w:r>
            <w:r w:rsidRPr="00556719">
              <w:rPr>
                <w:rFonts w:cstheme="majorHAnsi"/>
                <w:i/>
                <w:color w:val="auto"/>
                <w:sz w:val="20"/>
                <w:szCs w:val="20"/>
              </w:rPr>
              <w:t>tier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1)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selain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,</w:t>
            </w:r>
          </w:p>
          <w:p w14:paraId="03A322D6" w14:textId="7011F3A4" w:rsidR="000E5C2A" w:rsidRPr="00556719" w:rsidRDefault="000E5C2A" w:rsidP="000E5C2A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menggunakan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Inti (</w:t>
            </w:r>
            <w:r w:rsidRPr="00556719">
              <w:rPr>
                <w:rFonts w:cstheme="majorHAnsi"/>
                <w:i/>
                <w:color w:val="auto"/>
                <w:sz w:val="20"/>
                <w:szCs w:val="20"/>
              </w:rPr>
              <w:t>tier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terakhir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sebelum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realisasi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Dana.</w:t>
            </w:r>
          </w:p>
        </w:tc>
        <w:tc>
          <w:tcPr>
            <w:tcW w:w="2500" w:type="pct"/>
          </w:tcPr>
          <w:p w14:paraId="247C2331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0152450" w14:textId="77777777" w:rsidTr="00384609">
        <w:tc>
          <w:tcPr>
            <w:tcW w:w="2500" w:type="pct"/>
          </w:tcPr>
          <w:p w14:paraId="0E597E45" w14:textId="357B08D8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Pelampauan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selisih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persentase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persentase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  <w:p w14:paraId="1A4DCCF3" w14:textId="77777777" w:rsidR="000E5C2A" w:rsidRPr="00556719" w:rsidRDefault="000E5C2A" w:rsidP="0084288F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Modal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</w:p>
          <w:p w14:paraId="35BC3C60" w14:textId="77777777" w:rsidR="000E5C2A" w:rsidRPr="00556719" w:rsidRDefault="000E5C2A" w:rsidP="0084288F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Modal Inti (</w:t>
            </w:r>
            <w:r w:rsidRPr="00556719">
              <w:rPr>
                <w:rFonts w:cstheme="majorHAnsi"/>
                <w:i/>
                <w:color w:val="auto"/>
                <w:sz w:val="20"/>
                <w:szCs w:val="20"/>
              </w:rPr>
              <w:t xml:space="preserve">tier 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1)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selain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,</w:t>
            </w:r>
          </w:p>
          <w:p w14:paraId="713915B5" w14:textId="11650E43" w:rsidR="000E5C2A" w:rsidRPr="00556719" w:rsidRDefault="000E5C2A" w:rsidP="000E5C2A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 xml:space="preserve">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tanggal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termasuk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Pelanggaran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BMPD.</w:t>
            </w:r>
          </w:p>
        </w:tc>
        <w:tc>
          <w:tcPr>
            <w:tcW w:w="2500" w:type="pct"/>
          </w:tcPr>
          <w:p w14:paraId="3602A409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91B6566" w14:textId="77777777" w:rsidTr="00384609">
        <w:tc>
          <w:tcPr>
            <w:tcW w:w="2500" w:type="pct"/>
          </w:tcPr>
          <w:p w14:paraId="1F52697B" w14:textId="628C403E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Perusahaan Anak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dikendalikan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langsung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langsung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di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maupun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di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luar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negeri,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memenuhi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kriteria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mengatur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penerapan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manajemen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konsolidasi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37A55087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B6872B4" w14:textId="77777777" w:rsidTr="00384609">
        <w:tc>
          <w:tcPr>
            <w:tcW w:w="2500" w:type="pct"/>
          </w:tcPr>
          <w:p w14:paraId="7423DEB2" w14:textId="6EE42375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Teknik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Mitigasi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Risiko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selanjutnya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disebut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Teknik MRK,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metode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pengakuan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garansi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asuransi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pembiayaan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UMKM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menghitung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tertimbang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menurut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pendekatan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standar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1F233BB7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9A9C598" w14:textId="77777777" w:rsidTr="00384609">
        <w:tc>
          <w:tcPr>
            <w:tcW w:w="2500" w:type="pct"/>
          </w:tcPr>
          <w:p w14:paraId="69853791" w14:textId="16A1F0BE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Penempatan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penanaman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Bank pada bank lain,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giro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tabungan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deposito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berjangka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sertifikat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deposito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penanaman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lainnya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sejenis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termasuk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Penempatan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di Indonesia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melalui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Pasar Uang Antar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Prinsip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 (PUAS)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tujuan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manajemen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likuiditas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36B197AF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2F6A4C2" w14:textId="77777777" w:rsidTr="00384609">
        <w:tc>
          <w:tcPr>
            <w:tcW w:w="2500" w:type="pct"/>
          </w:tcPr>
          <w:p w14:paraId="64979D9F" w14:textId="45E94C96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Lindung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Nilai Syariah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prinsip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memitigasi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perubahan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di pasar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2786BA0D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8733A47" w14:textId="77777777" w:rsidTr="00384609">
        <w:tc>
          <w:tcPr>
            <w:tcW w:w="2500" w:type="pct"/>
          </w:tcPr>
          <w:p w14:paraId="20145663" w14:textId="296D17AB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surat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diterbitkan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prinsip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Bank Indonesia,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korporasi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bukti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penyertaan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kepemilikan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SBS,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uang rupiah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maupun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valuta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asing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4742D60D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4C929FB" w14:textId="77777777" w:rsidTr="00384609">
        <w:tc>
          <w:tcPr>
            <w:tcW w:w="2500" w:type="pct"/>
          </w:tcPr>
          <w:p w14:paraId="2715F758" w14:textId="6E89A37F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Akseptasi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timbul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akibat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akseptasi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wesel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berjangka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10BEA9B0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88FFDC7" w14:textId="77777777" w:rsidTr="00384609">
        <w:tc>
          <w:tcPr>
            <w:tcW w:w="2500" w:type="pct"/>
          </w:tcPr>
          <w:p w14:paraId="2A58F33A" w14:textId="652C2BA1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Pembiayaan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penyediaan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dipersamakan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hasil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sewa-menyewa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termasuk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sewa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menyewa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jasa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jual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pinjam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meminjam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persetujuan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kesepakatan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mewajibkan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dibiayai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diberi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fasilitas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mengembalikan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setelah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imbalan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ujrah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tanpa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imbalan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margin,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hasil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3177C6F9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D0F3402" w14:textId="77777777" w:rsidTr="00384609">
        <w:tc>
          <w:tcPr>
            <w:tcW w:w="2500" w:type="pct"/>
          </w:tcPr>
          <w:p w14:paraId="5E7AB4D4" w14:textId="271AA147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Penyertaan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penanaman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bergerak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di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bidang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termasuk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penanaman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surat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investasi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konversi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(mandatory 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 xml:space="preserve">convertible sukuk)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jenis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berakibat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bergerak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di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bidang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2478015C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8928E4E" w14:textId="77777777" w:rsidTr="00384609">
        <w:tc>
          <w:tcPr>
            <w:tcW w:w="2500" w:type="pct"/>
          </w:tcPr>
          <w:p w14:paraId="0DE5EC26" w14:textId="12A37AD6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Penyertaan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Sementara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penyertaan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oleh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debitur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akibat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kegagalan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pembiayaan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48A113A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F94D4A3" w14:textId="77777777" w:rsidTr="00384609">
        <w:tc>
          <w:tcPr>
            <w:tcW w:w="2500" w:type="pct"/>
          </w:tcPr>
          <w:p w14:paraId="2D8DA869" w14:textId="14ADC878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Rekening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Administratif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komitmen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kontinjensi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meliputi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penerbitan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, letter of credit (L/C), standby letter of credit (SBLC)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komitmen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kontinjensi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2E82952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A21C584" w14:textId="77777777" w:rsidTr="00384609">
        <w:tc>
          <w:tcPr>
            <w:tcW w:w="2500" w:type="pct"/>
          </w:tcPr>
          <w:p w14:paraId="6CF01B3F" w14:textId="0AD82BFC" w:rsidR="00384609" w:rsidRPr="00556719" w:rsidRDefault="000E5C2A" w:rsidP="00384609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perorangan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memperoleh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termasuk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52522A5C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0DE4452" w14:textId="77777777" w:rsidTr="00384609">
        <w:tc>
          <w:tcPr>
            <w:tcW w:w="2500" w:type="pct"/>
          </w:tcPr>
          <w:p w14:paraId="34A4873D" w14:textId="437A7198" w:rsidR="000E5C2A" w:rsidRPr="00556719" w:rsidRDefault="000E5C2A" w:rsidP="00976DB7">
            <w:pPr>
              <w:pStyle w:val="Default"/>
              <w:numPr>
                <w:ilvl w:val="0"/>
                <w:numId w:val="7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lawan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Penempatan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Lindung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Nilai Syariah;</w:t>
            </w:r>
          </w:p>
        </w:tc>
        <w:tc>
          <w:tcPr>
            <w:tcW w:w="2500" w:type="pct"/>
          </w:tcPr>
          <w:p w14:paraId="26E4FAFD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19D1ED1" w14:textId="77777777" w:rsidTr="00384609">
        <w:tc>
          <w:tcPr>
            <w:tcW w:w="2500" w:type="pct"/>
          </w:tcPr>
          <w:p w14:paraId="3976A681" w14:textId="516228B6" w:rsidR="000E5C2A" w:rsidRPr="00556719" w:rsidRDefault="000E5C2A" w:rsidP="00976DB7">
            <w:pPr>
              <w:pStyle w:val="Default"/>
              <w:numPr>
                <w:ilvl w:val="0"/>
                <w:numId w:val="7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penerbit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menjual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manajer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investasi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kontrak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investasi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kolektif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,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entitas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referensi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Syariah;</w:t>
            </w:r>
          </w:p>
        </w:tc>
        <w:tc>
          <w:tcPr>
            <w:tcW w:w="2500" w:type="pct"/>
          </w:tcPr>
          <w:p w14:paraId="17DE889E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54D89EB" w14:textId="77777777" w:rsidTr="00384609">
        <w:tc>
          <w:tcPr>
            <w:tcW w:w="2500" w:type="pct"/>
          </w:tcPr>
          <w:p w14:paraId="67640511" w14:textId="1CC54763" w:rsidR="000E5C2A" w:rsidRPr="00556719" w:rsidRDefault="000E5C2A" w:rsidP="00976DB7">
            <w:pPr>
              <w:pStyle w:val="Default"/>
              <w:numPr>
                <w:ilvl w:val="0"/>
                <w:numId w:val="7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Akseptasi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</w:tc>
        <w:tc>
          <w:tcPr>
            <w:tcW w:w="2500" w:type="pct"/>
          </w:tcPr>
          <w:p w14:paraId="03233C87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FBFAE71" w14:textId="77777777" w:rsidTr="00384609">
        <w:tc>
          <w:tcPr>
            <w:tcW w:w="2500" w:type="pct"/>
          </w:tcPr>
          <w:p w14:paraId="673F71AE" w14:textId="63814441" w:rsidR="000E5C2A" w:rsidRPr="00556719" w:rsidRDefault="000E5C2A" w:rsidP="00976DB7">
            <w:pPr>
              <w:pStyle w:val="Default"/>
              <w:numPr>
                <w:ilvl w:val="0"/>
                <w:numId w:val="7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Pembiayaan;</w:t>
            </w:r>
          </w:p>
        </w:tc>
        <w:tc>
          <w:tcPr>
            <w:tcW w:w="2500" w:type="pct"/>
          </w:tcPr>
          <w:p w14:paraId="07F8FB2D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E5889EC" w14:textId="77777777" w:rsidTr="00384609">
        <w:tc>
          <w:tcPr>
            <w:tcW w:w="2500" w:type="pct"/>
          </w:tcPr>
          <w:p w14:paraId="6F3A35A4" w14:textId="2DB64645" w:rsidR="000E5C2A" w:rsidRPr="00556719" w:rsidRDefault="000E5C2A" w:rsidP="00976DB7">
            <w:pPr>
              <w:pStyle w:val="Default"/>
              <w:numPr>
                <w:ilvl w:val="0"/>
                <w:numId w:val="7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tempat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Penyertaan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Penyertaan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Modal;</w:t>
            </w:r>
          </w:p>
        </w:tc>
        <w:tc>
          <w:tcPr>
            <w:tcW w:w="2500" w:type="pct"/>
          </w:tcPr>
          <w:p w14:paraId="2728BEC1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195E4FC" w14:textId="77777777" w:rsidTr="00384609">
        <w:tc>
          <w:tcPr>
            <w:tcW w:w="2500" w:type="pct"/>
          </w:tcPr>
          <w:p w14:paraId="11291F35" w14:textId="317097F8" w:rsidR="000E5C2A" w:rsidRPr="00556719" w:rsidRDefault="000E5C2A" w:rsidP="00976DB7">
            <w:pPr>
              <w:pStyle w:val="Default"/>
              <w:numPr>
                <w:ilvl w:val="0"/>
                <w:numId w:val="7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pemohon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letter of credit (L/C), standby letter of credit (SBLC)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instrumen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lain;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</w:p>
        </w:tc>
        <w:tc>
          <w:tcPr>
            <w:tcW w:w="2500" w:type="pct"/>
          </w:tcPr>
          <w:p w14:paraId="719EFA16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05AB777" w14:textId="77777777" w:rsidTr="00384609">
        <w:tc>
          <w:tcPr>
            <w:tcW w:w="2500" w:type="pct"/>
          </w:tcPr>
          <w:p w14:paraId="2B64305B" w14:textId="50EE073D" w:rsidR="000E5C2A" w:rsidRPr="00556719" w:rsidRDefault="000E5C2A" w:rsidP="00976DB7">
            <w:pPr>
              <w:pStyle w:val="Default"/>
              <w:numPr>
                <w:ilvl w:val="0"/>
                <w:numId w:val="7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melunasi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Bank.</w:t>
            </w:r>
          </w:p>
        </w:tc>
        <w:tc>
          <w:tcPr>
            <w:tcW w:w="2500" w:type="pct"/>
          </w:tcPr>
          <w:p w14:paraId="3D9FD598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5A75650" w14:textId="77777777" w:rsidTr="00384609">
        <w:tc>
          <w:tcPr>
            <w:tcW w:w="2500" w:type="pct"/>
          </w:tcPr>
          <w:p w14:paraId="3AEF4377" w14:textId="13AF51A4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Entitas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Referensi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fasilitas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mempunyai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membayar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mendasari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(underlying asset),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termasuk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penerbit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mendasari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(underlying asset).</w:t>
            </w:r>
          </w:p>
        </w:tc>
        <w:tc>
          <w:tcPr>
            <w:tcW w:w="2500" w:type="pct"/>
          </w:tcPr>
          <w:p w14:paraId="07FC12E3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885608F" w14:textId="77777777" w:rsidTr="00384609">
        <w:tc>
          <w:tcPr>
            <w:tcW w:w="2500" w:type="pct"/>
          </w:tcPr>
          <w:p w14:paraId="3DAC292A" w14:textId="50E0ECF1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Republik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Indonesia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  <w:p w14:paraId="10B41603" w14:textId="77777777" w:rsidR="000E5C2A" w:rsidRPr="00556719" w:rsidRDefault="000E5C2A" w:rsidP="0084288F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pusat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 dan</w:t>
            </w:r>
          </w:p>
          <w:p w14:paraId="1BE0A391" w14:textId="7411FF19" w:rsidR="000E5C2A" w:rsidRPr="00556719" w:rsidRDefault="000E5C2A" w:rsidP="0084288F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daerah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13EFACA6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7CF27E8" w14:textId="77777777" w:rsidTr="00384609">
        <w:tc>
          <w:tcPr>
            <w:tcW w:w="2500" w:type="pct"/>
          </w:tcPr>
          <w:p w14:paraId="17C67149" w14:textId="32583CBB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Badan Usaha Milik Negara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selanjutnya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disingkat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BUMN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seluruh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modalnya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 xml:space="preserve">negara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melalui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penyertaan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langsung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kekayaan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negara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dipisahkan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termasuk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langsung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holding company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BUMN.</w:t>
            </w:r>
          </w:p>
        </w:tc>
        <w:tc>
          <w:tcPr>
            <w:tcW w:w="2500" w:type="pct"/>
          </w:tcPr>
          <w:p w14:paraId="32F4BDA9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30F1880" w14:textId="77777777" w:rsidTr="00384609">
        <w:tc>
          <w:tcPr>
            <w:tcW w:w="2500" w:type="pct"/>
          </w:tcPr>
          <w:p w14:paraId="29238E4E" w14:textId="63E25015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Prime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  <w:p w14:paraId="541703A0" w14:textId="77777777" w:rsidR="000E5C2A" w:rsidRPr="00556719" w:rsidRDefault="000E5C2A" w:rsidP="0084288F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peringkat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investasi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diberikan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lembaga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pemeringkat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rendah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  <w:p w14:paraId="11F3014C" w14:textId="77777777" w:rsidR="000E5C2A" w:rsidRPr="00556719" w:rsidRDefault="000E5C2A" w:rsidP="0084288F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BBB-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penilaian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Standard and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Poors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  <w:p w14:paraId="328570DD" w14:textId="77777777" w:rsidR="000E5C2A" w:rsidRPr="00556719" w:rsidRDefault="000E5C2A" w:rsidP="0084288F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Baa3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penilaian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Moody's;</w:t>
            </w:r>
          </w:p>
          <w:p w14:paraId="4447A73A" w14:textId="77777777" w:rsidR="000E5C2A" w:rsidRPr="00556719" w:rsidRDefault="000E5C2A" w:rsidP="0084288F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BBB-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penilaian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Fitch;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</w:p>
          <w:p w14:paraId="0BE726DA" w14:textId="77777777" w:rsidR="000E5C2A" w:rsidRPr="00556719" w:rsidRDefault="000E5C2A" w:rsidP="0084288F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peringkat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investasi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setara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2),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3)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penilaian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lembaga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pemeringkat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diakui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,</w:t>
            </w:r>
          </w:p>
          <w:p w14:paraId="3DCA3750" w14:textId="77777777" w:rsidR="000E5C2A" w:rsidRPr="00556719" w:rsidRDefault="000E5C2A" w:rsidP="000E5C2A">
            <w:pPr>
              <w:pStyle w:val="Default"/>
              <w:spacing w:line="276" w:lineRule="auto"/>
              <w:ind w:left="720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penilaian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prospek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panjang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 dan</w:t>
            </w:r>
          </w:p>
          <w:p w14:paraId="4BE55FBC" w14:textId="5A997700" w:rsidR="000E5C2A" w:rsidRPr="00556719" w:rsidRDefault="000E5C2A" w:rsidP="0084288F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total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termasuk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200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dua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ratus)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dunia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informasi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tercantum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banker's almanac.</w:t>
            </w:r>
          </w:p>
        </w:tc>
        <w:tc>
          <w:tcPr>
            <w:tcW w:w="2500" w:type="pct"/>
          </w:tcPr>
          <w:p w14:paraId="39968A69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EB39A02" w14:textId="77777777" w:rsidTr="00384609">
        <w:tc>
          <w:tcPr>
            <w:tcW w:w="2500" w:type="pct"/>
          </w:tcPr>
          <w:p w14:paraId="12338A65" w14:textId="655E4035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Direksi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organ Bank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berwenang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bertanggung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jawab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pengurusan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kepentingan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sesuai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tujuan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serta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mewakili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di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maupun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di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luar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pengadilan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sesuai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ketentuan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Bank.</w:t>
            </w:r>
          </w:p>
        </w:tc>
        <w:tc>
          <w:tcPr>
            <w:tcW w:w="2500" w:type="pct"/>
          </w:tcPr>
          <w:p w14:paraId="5E50F52B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A5C29BE" w14:textId="77777777" w:rsidTr="00384609">
        <w:tc>
          <w:tcPr>
            <w:tcW w:w="2500" w:type="pct"/>
          </w:tcPr>
          <w:p w14:paraId="27E346E8" w14:textId="4F4F1D1A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  <w:u w:val="single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Dewan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organ Bank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bertugas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pengawasan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umum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khusus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sesuai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serta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memberi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nasihat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Direksi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500" w:type="pct"/>
          </w:tcPr>
          <w:p w14:paraId="55240B12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4105C95" w14:textId="3E276D40" w:rsidTr="00384609">
        <w:tc>
          <w:tcPr>
            <w:tcW w:w="2500" w:type="pct"/>
          </w:tcPr>
          <w:p w14:paraId="3792F555" w14:textId="01F8EE7C" w:rsidR="000E5C2A" w:rsidRPr="00556719" w:rsidRDefault="000E5C2A" w:rsidP="008428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  <w:u w:val="single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Pejabat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Eksekutif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pejabat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bertanggung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jawab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langsung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Direksi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mempunyai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pengaruh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signifikan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kebijakan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operasional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Bank.</w:t>
            </w:r>
          </w:p>
        </w:tc>
        <w:tc>
          <w:tcPr>
            <w:tcW w:w="2500" w:type="pct"/>
          </w:tcPr>
          <w:p w14:paraId="483CA018" w14:textId="20351ABA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  <w:u w:val="single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0AFDE543" w14:textId="77777777" w:rsidTr="00384609">
        <w:tc>
          <w:tcPr>
            <w:tcW w:w="2500" w:type="pct"/>
          </w:tcPr>
          <w:p w14:paraId="3AEB0AB0" w14:textId="77777777" w:rsidR="005A5570" w:rsidRPr="00556719" w:rsidRDefault="005A5570" w:rsidP="005A5570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605E3B8" w14:textId="77777777" w:rsidR="005A5570" w:rsidRPr="00556719" w:rsidRDefault="005A557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7F65C59" w14:textId="77777777" w:rsidTr="00384609">
        <w:tc>
          <w:tcPr>
            <w:tcW w:w="2500" w:type="pct"/>
          </w:tcPr>
          <w:p w14:paraId="2A299478" w14:textId="66D6E7F0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2</w:t>
            </w:r>
          </w:p>
        </w:tc>
        <w:tc>
          <w:tcPr>
            <w:tcW w:w="2500" w:type="pct"/>
          </w:tcPr>
          <w:p w14:paraId="3BC9BDB9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3417C5B" w14:textId="77777777" w:rsidTr="00384609">
        <w:tc>
          <w:tcPr>
            <w:tcW w:w="2500" w:type="pct"/>
          </w:tcPr>
          <w:p w14:paraId="53FCE97D" w14:textId="59078ED8" w:rsidR="000E5C2A" w:rsidRPr="00556719" w:rsidRDefault="000E5C2A" w:rsidP="00976DB7">
            <w:pPr>
              <w:pStyle w:val="Default"/>
              <w:numPr>
                <w:ilvl w:val="0"/>
                <w:numId w:val="7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Besar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setiap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individu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konsolidasi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334B6F7A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70005DDB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Besar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disebut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juga 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large exposure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2896312F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C6E0275" w14:textId="77777777" w:rsidTr="00384609">
        <w:tc>
          <w:tcPr>
            <w:tcW w:w="2500" w:type="pct"/>
          </w:tcPr>
          <w:p w14:paraId="53A52E6C" w14:textId="3F3AE7B9" w:rsidR="000E5C2A" w:rsidRPr="00556719" w:rsidRDefault="000E5C2A" w:rsidP="00976DB7">
            <w:pPr>
              <w:pStyle w:val="Default"/>
              <w:numPr>
                <w:ilvl w:val="0"/>
                <w:numId w:val="7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Besar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setiap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konsolidasi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termasuk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Perusahaan Anak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kegiatan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asuransi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170B091D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1D69658B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02F2D1CF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7B71790" w14:textId="01489318" w:rsidTr="00384609">
        <w:tc>
          <w:tcPr>
            <w:tcW w:w="2500" w:type="pct"/>
          </w:tcPr>
          <w:p w14:paraId="3E573159" w14:textId="1EB9FD5C" w:rsidR="000E5C2A" w:rsidRPr="00556719" w:rsidRDefault="000E5C2A" w:rsidP="00976DB7">
            <w:pPr>
              <w:pStyle w:val="Default"/>
              <w:numPr>
                <w:ilvl w:val="0"/>
                <w:numId w:val="7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Besar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konsolidasi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49A12B9E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(3) </w:t>
            </w:r>
          </w:p>
          <w:p w14:paraId="6427A30C" w14:textId="47133646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71381093" w14:textId="77777777" w:rsidTr="00384609">
        <w:tc>
          <w:tcPr>
            <w:tcW w:w="2500" w:type="pct"/>
          </w:tcPr>
          <w:p w14:paraId="590FCEEC" w14:textId="227E639D" w:rsidR="00384609" w:rsidRPr="00556719" w:rsidRDefault="00384609" w:rsidP="00976DB7">
            <w:pPr>
              <w:pStyle w:val="Default"/>
              <w:numPr>
                <w:ilvl w:val="0"/>
                <w:numId w:val="12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memperhitungkan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Perusahaan Anak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debitur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kesatuan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Bank; dan</w:t>
            </w:r>
          </w:p>
        </w:tc>
        <w:tc>
          <w:tcPr>
            <w:tcW w:w="2500" w:type="pct"/>
          </w:tcPr>
          <w:p w14:paraId="4E8220FB" w14:textId="77777777" w:rsidR="00384609" w:rsidRPr="00556719" w:rsidRDefault="0038460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8EB339B" w14:textId="77777777" w:rsidTr="00384609">
        <w:tc>
          <w:tcPr>
            <w:tcW w:w="2500" w:type="pct"/>
          </w:tcPr>
          <w:p w14:paraId="6E09F556" w14:textId="77777777" w:rsidR="00384609" w:rsidRPr="00556719" w:rsidRDefault="00384609" w:rsidP="00976DB7">
            <w:pPr>
              <w:pStyle w:val="Default"/>
              <w:numPr>
                <w:ilvl w:val="0"/>
                <w:numId w:val="12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menggunakan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  <w:p w14:paraId="0F15D4F0" w14:textId="77777777" w:rsidR="00384609" w:rsidRPr="00556719" w:rsidRDefault="00384609" w:rsidP="00976DB7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Modal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</w:p>
          <w:p w14:paraId="5396B5DB" w14:textId="77777777" w:rsidR="00384609" w:rsidRPr="00556719" w:rsidRDefault="00384609" w:rsidP="00976DB7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Modal Inti (</w:t>
            </w:r>
            <w:r w:rsidRPr="00556719">
              <w:rPr>
                <w:rFonts w:cstheme="majorHAnsi"/>
                <w:i/>
                <w:color w:val="auto"/>
                <w:sz w:val="20"/>
                <w:szCs w:val="20"/>
              </w:rPr>
              <w:t xml:space="preserve">tier 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1)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selain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,</w:t>
            </w:r>
          </w:p>
          <w:p w14:paraId="04916D49" w14:textId="57CB7503" w:rsidR="00384609" w:rsidRPr="00556719" w:rsidRDefault="00384609" w:rsidP="00384609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konsolidasi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5A1A2ADD" w14:textId="77777777" w:rsidR="00384609" w:rsidRPr="00556719" w:rsidRDefault="0038460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DF1BF0E" w14:textId="77777777" w:rsidTr="00384609">
        <w:tc>
          <w:tcPr>
            <w:tcW w:w="2500" w:type="pct"/>
          </w:tcPr>
          <w:p w14:paraId="0982FA48" w14:textId="77777777" w:rsidR="005A5570" w:rsidRPr="00556719" w:rsidRDefault="005A5570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0C84452" w14:textId="77777777" w:rsidR="005A5570" w:rsidRPr="00556719" w:rsidRDefault="005A557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89399B5" w14:textId="77777777" w:rsidTr="00384609">
        <w:tc>
          <w:tcPr>
            <w:tcW w:w="2500" w:type="pct"/>
          </w:tcPr>
          <w:p w14:paraId="347F3382" w14:textId="07D83AB9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3</w:t>
            </w:r>
          </w:p>
        </w:tc>
        <w:tc>
          <w:tcPr>
            <w:tcW w:w="2500" w:type="pct"/>
          </w:tcPr>
          <w:p w14:paraId="2094B2C9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5B60B6C" w14:textId="77777777" w:rsidTr="00384609">
        <w:tc>
          <w:tcPr>
            <w:tcW w:w="2500" w:type="pct"/>
          </w:tcPr>
          <w:p w14:paraId="0A693EEF" w14:textId="0BEBF16A" w:rsidR="000E5C2A" w:rsidRPr="00556719" w:rsidRDefault="000E5C2A" w:rsidP="00976DB7">
            <w:pPr>
              <w:pStyle w:val="Default"/>
              <w:numPr>
                <w:ilvl w:val="0"/>
                <w:numId w:val="7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menerapkan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prinsip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kehati-hatian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manajemen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memberikan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termasuk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Besar,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kepentingan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Bank.</w:t>
            </w:r>
          </w:p>
          <w:p w14:paraId="2F038E3D" w14:textId="77777777" w:rsidR="000E5C2A" w:rsidRPr="00556719" w:rsidRDefault="000E5C2A" w:rsidP="000E5C2A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11E5AB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448A9EC8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Penerapan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prinsip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kehati-hatian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manajemen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bertujuan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agar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Besar,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kepentingan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dilaksanakan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wajar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arm’s length basis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disesuaikan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kemampuan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permodalan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Bank,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terkonsentrasi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signifikan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36747C53" w14:textId="5CC3C3EA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kepentingan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pejabat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pegawai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beserta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keluarganya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4993DB7F" w14:textId="77777777" w:rsidTr="00384609">
        <w:tc>
          <w:tcPr>
            <w:tcW w:w="2500" w:type="pct"/>
          </w:tcPr>
          <w:p w14:paraId="15E6F50D" w14:textId="24AD0662" w:rsidR="000E5C2A" w:rsidRPr="00556719" w:rsidRDefault="000E5C2A" w:rsidP="00976DB7">
            <w:pPr>
              <w:pStyle w:val="Default"/>
              <w:numPr>
                <w:ilvl w:val="0"/>
                <w:numId w:val="7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Dalam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penerapan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prinsip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kehati-hatian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manajemen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kebijakan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pedoman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prosedur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tertulis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tentang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Besar,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kepentingan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Bank.</w:t>
            </w:r>
          </w:p>
        </w:tc>
        <w:tc>
          <w:tcPr>
            <w:tcW w:w="2500" w:type="pct"/>
          </w:tcPr>
          <w:p w14:paraId="066B9A1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6902C928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2AEBDFD8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  <w:p w14:paraId="5853A82C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373E94D" w14:textId="77777777" w:rsidTr="00384609">
        <w:tc>
          <w:tcPr>
            <w:tcW w:w="2500" w:type="pct"/>
          </w:tcPr>
          <w:p w14:paraId="161B182D" w14:textId="58E5F040" w:rsidR="000E5C2A" w:rsidRPr="00556719" w:rsidRDefault="000E5C2A" w:rsidP="00976DB7">
            <w:pPr>
              <w:pStyle w:val="Default"/>
              <w:numPr>
                <w:ilvl w:val="0"/>
                <w:numId w:val="7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Kebijakan,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pedoman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prosedur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tertulis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tentang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sedikit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meliputi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287B409A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77B4E54" w14:textId="77777777" w:rsidTr="00384609">
        <w:tc>
          <w:tcPr>
            <w:tcW w:w="2500" w:type="pct"/>
          </w:tcPr>
          <w:p w14:paraId="24C73EE1" w14:textId="389A7741" w:rsidR="000E5C2A" w:rsidRPr="00556719" w:rsidRDefault="000E5C2A" w:rsidP="00976DB7">
            <w:pPr>
              <w:pStyle w:val="Default"/>
              <w:numPr>
                <w:ilvl w:val="0"/>
                <w:numId w:val="7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standar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kriteria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penilaian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kelayakan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Fasilitas;</w:t>
            </w:r>
          </w:p>
        </w:tc>
        <w:tc>
          <w:tcPr>
            <w:tcW w:w="2500" w:type="pct"/>
          </w:tcPr>
          <w:p w14:paraId="3A26AC7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(3) </w:t>
            </w:r>
          </w:p>
          <w:p w14:paraId="78B2D02E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a </w:t>
            </w:r>
          </w:p>
          <w:p w14:paraId="0AC4017A" w14:textId="5A17EAB5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Dalam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seleksi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penilaian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kelayakan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harus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memastikan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tersedianya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informasi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data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informasi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pemegang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kepengurusan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struktur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kondisi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Fasilitas. </w:t>
            </w:r>
          </w:p>
        </w:tc>
      </w:tr>
      <w:tr w:rsidR="00556719" w:rsidRPr="00556719" w14:paraId="524D3A57" w14:textId="77777777" w:rsidTr="00384609">
        <w:tc>
          <w:tcPr>
            <w:tcW w:w="2500" w:type="pct"/>
          </w:tcPr>
          <w:p w14:paraId="7905F25B" w14:textId="3A2D0675" w:rsidR="000E5C2A" w:rsidRPr="00556719" w:rsidRDefault="000E5C2A" w:rsidP="00976DB7">
            <w:pPr>
              <w:pStyle w:val="Default"/>
              <w:numPr>
                <w:ilvl w:val="0"/>
                <w:numId w:val="7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standar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kriteria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penetapan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Dana;</w:t>
            </w:r>
          </w:p>
          <w:p w14:paraId="52A43056" w14:textId="77777777" w:rsidR="000E5C2A" w:rsidRPr="00556719" w:rsidRDefault="000E5C2A" w:rsidP="000E5C2A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369B47D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lastRenderedPageBreak/>
              <w:t xml:space="preserve">Huruf b </w:t>
            </w:r>
          </w:p>
          <w:p w14:paraId="693E0217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lastRenderedPageBreak/>
              <w:t xml:space="preserve">Batas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tinggi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sesuai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diatur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0AE30EAA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Batas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analisis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dampak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struktur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neraca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profil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Bank. </w:t>
            </w:r>
          </w:p>
          <w:p w14:paraId="7FDF4521" w14:textId="17D19C99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Analisis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dampak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struktur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neraca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profil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dilakukan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mempertimbangkan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besar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jenis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jangka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diversifikasi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portofolio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keseluruhan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sehingga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mencegah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portofolio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terkonsentrasi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</w:t>
            </w:r>
            <w:r w:rsidR="00B07861" w:rsidRPr="00556719">
              <w:rPr>
                <w:rFonts w:ascii="Bookman Old Style" w:hAnsi="Bookman Old Style" w:cstheme="majorHAnsi"/>
                <w:sz w:val="20"/>
                <w:szCs w:val="20"/>
              </w:rPr>
              <w:t>h</w:t>
            </w:r>
            <w:proofErr w:type="spellEnd"/>
            <w:r w:rsidR="00B07861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="00B07861"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="00B07861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</w:t>
            </w:r>
            <w:proofErr w:type="spellStart"/>
            <w:r w:rsidR="00B07861" w:rsidRPr="00556719">
              <w:rPr>
                <w:rFonts w:ascii="Bookman Old Style" w:hAnsi="Bookman Old Style" w:cstheme="majorHAnsi"/>
                <w:sz w:val="20"/>
                <w:szCs w:val="20"/>
              </w:rPr>
              <w:t>tertentu</w:t>
            </w:r>
            <w:proofErr w:type="spellEnd"/>
            <w:r w:rsidR="00B07861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1CDDBF8C" w14:textId="77777777" w:rsidTr="00384609">
        <w:tc>
          <w:tcPr>
            <w:tcW w:w="2500" w:type="pct"/>
          </w:tcPr>
          <w:p w14:paraId="5139B4E7" w14:textId="60AA0F7F" w:rsidR="000E5C2A" w:rsidRPr="00556719" w:rsidRDefault="000E5C2A" w:rsidP="00976DB7">
            <w:pPr>
              <w:pStyle w:val="Default"/>
              <w:numPr>
                <w:ilvl w:val="0"/>
                <w:numId w:val="7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sistem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informasi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manajemen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Dana;</w:t>
            </w:r>
          </w:p>
        </w:tc>
        <w:tc>
          <w:tcPr>
            <w:tcW w:w="2500" w:type="pct"/>
          </w:tcPr>
          <w:p w14:paraId="30F83F22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c </w:t>
            </w:r>
          </w:p>
          <w:p w14:paraId="52A1651D" w14:textId="484A4ECC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Sistem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informasi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manajemen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harus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memungkinkan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waktu</w:t>
            </w:r>
            <w:proofErr w:type="spellEnd"/>
            <w:r w:rsidR="00B07861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="00B07861" w:rsidRPr="00556719">
              <w:rPr>
                <w:rFonts w:ascii="Bookman Old Style" w:hAnsi="Bookman Old Style" w:cstheme="majorHAnsi"/>
                <w:sz w:val="20"/>
                <w:szCs w:val="20"/>
              </w:rPr>
              <w:t>mengidentifikasi</w:t>
            </w:r>
            <w:proofErr w:type="spellEnd"/>
            <w:r w:rsidR="00B07861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="00B07861" w:rsidRPr="00556719">
              <w:rPr>
                <w:rFonts w:ascii="Bookman Old Style" w:hAnsi="Bookman Old Style" w:cstheme="majorHAnsi"/>
                <w:sz w:val="20"/>
                <w:szCs w:val="20"/>
              </w:rPr>
              <w:t>konsentrasi</w:t>
            </w:r>
            <w:proofErr w:type="spellEnd"/>
            <w:r w:rsidR="00B07861"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  <w:p w14:paraId="2DDDE5CC" w14:textId="61BC23C9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khususnya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Besar,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kepentingan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Bank. Selain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sistem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informasi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manajemen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harus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mencakup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tersedianya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sistem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pelaporan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melampaui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diperkirakan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melampaui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Dana. </w:t>
            </w:r>
          </w:p>
        </w:tc>
      </w:tr>
      <w:tr w:rsidR="00556719" w:rsidRPr="00556719" w14:paraId="41265512" w14:textId="77777777" w:rsidTr="00384609">
        <w:tc>
          <w:tcPr>
            <w:tcW w:w="2500" w:type="pct"/>
          </w:tcPr>
          <w:p w14:paraId="5075A38F" w14:textId="64338DDB" w:rsidR="000E5C2A" w:rsidRPr="00556719" w:rsidRDefault="000E5C2A" w:rsidP="00976DB7">
            <w:pPr>
              <w:pStyle w:val="Default"/>
              <w:numPr>
                <w:ilvl w:val="0"/>
                <w:numId w:val="7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sistem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pemantauan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Dana; dan</w:t>
            </w:r>
          </w:p>
        </w:tc>
        <w:tc>
          <w:tcPr>
            <w:tcW w:w="2500" w:type="pct"/>
          </w:tcPr>
          <w:p w14:paraId="013D7347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d </w:t>
            </w:r>
          </w:p>
          <w:p w14:paraId="2D7C20BE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Sistem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pemantauan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Besar,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kepentingan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paling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sedikit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meliputi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: </w:t>
            </w:r>
          </w:p>
          <w:p w14:paraId="0E00EA7A" w14:textId="77777777" w:rsidR="000E5C2A" w:rsidRPr="00556719" w:rsidRDefault="000E5C2A" w:rsidP="00976DB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kepatuhan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Dana; </w:t>
            </w:r>
          </w:p>
          <w:p w14:paraId="39A42A2B" w14:textId="77777777" w:rsidR="000E5C2A" w:rsidRPr="00556719" w:rsidRDefault="000E5C2A" w:rsidP="00976DB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kecukupan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dibandingkan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Dana; dan </w:t>
            </w:r>
          </w:p>
          <w:p w14:paraId="4C108070" w14:textId="46D6CDDB" w:rsidR="000E5C2A" w:rsidRPr="00556719" w:rsidRDefault="000E5C2A" w:rsidP="00976DB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identifikasi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kualitas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Dana.</w:t>
            </w:r>
          </w:p>
        </w:tc>
      </w:tr>
      <w:tr w:rsidR="00556719" w:rsidRPr="00556719" w14:paraId="7DD21717" w14:textId="77777777" w:rsidTr="00384609">
        <w:tc>
          <w:tcPr>
            <w:tcW w:w="2500" w:type="pct"/>
          </w:tcPr>
          <w:p w14:paraId="764A46E5" w14:textId="0B7C8ACE" w:rsidR="000E5C2A" w:rsidRPr="00556719" w:rsidRDefault="000E5C2A" w:rsidP="00976DB7">
            <w:pPr>
              <w:pStyle w:val="Default"/>
              <w:numPr>
                <w:ilvl w:val="0"/>
                <w:numId w:val="7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penetapan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langkah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konsentrasi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Dana.</w:t>
            </w:r>
          </w:p>
        </w:tc>
        <w:tc>
          <w:tcPr>
            <w:tcW w:w="2500" w:type="pct"/>
          </w:tcPr>
          <w:p w14:paraId="622110CB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e </w:t>
            </w:r>
          </w:p>
          <w:p w14:paraId="298E253F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Langkah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pengendalian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meliputi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: </w:t>
            </w:r>
          </w:p>
          <w:p w14:paraId="4D37B222" w14:textId="77777777" w:rsidR="000E5C2A" w:rsidRPr="00556719" w:rsidRDefault="000E5C2A" w:rsidP="00976DB7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penambahan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Modal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mengatasi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peningkatan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eksposur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6CB9B0CB" w14:textId="77777777" w:rsidR="000E5C2A" w:rsidRPr="00556719" w:rsidRDefault="000E5C2A" w:rsidP="00976DB7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sindikasi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;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</w:p>
          <w:p w14:paraId="1A8EC6D0" w14:textId="1A82372B" w:rsidR="000E5C2A" w:rsidRPr="00556719" w:rsidRDefault="000E5C2A" w:rsidP="00976DB7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sekuritisasi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5A5595BA" w14:textId="77777777" w:rsidTr="00384609">
        <w:tc>
          <w:tcPr>
            <w:tcW w:w="2500" w:type="pct"/>
          </w:tcPr>
          <w:p w14:paraId="0AFB5ACE" w14:textId="15D885C9" w:rsidR="000E5C2A" w:rsidRPr="00556719" w:rsidRDefault="000E5C2A" w:rsidP="00976DB7">
            <w:pPr>
              <w:pStyle w:val="Default"/>
              <w:numPr>
                <w:ilvl w:val="0"/>
                <w:numId w:val="7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Kebijakan,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pedoman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prosedur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tertulis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tentang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(3)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sedikit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berhati-hati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dibandingkan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kebijakan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prosedur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pelaksanaan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manajemen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umum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7C859D9F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(4) </w:t>
            </w:r>
          </w:p>
          <w:p w14:paraId="2CFCDDB7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67D758D7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A2CB189" w14:textId="77777777" w:rsidTr="00384609">
        <w:tc>
          <w:tcPr>
            <w:tcW w:w="2500" w:type="pct"/>
          </w:tcPr>
          <w:p w14:paraId="68C6D61D" w14:textId="0D60C005" w:rsidR="000E5C2A" w:rsidRPr="00556719" w:rsidRDefault="000E5C2A" w:rsidP="00976DB7">
            <w:pPr>
              <w:pStyle w:val="Default"/>
              <w:numPr>
                <w:ilvl w:val="0"/>
                <w:numId w:val="7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 xml:space="preserve">Kebijakan,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pedoman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prosedur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tertulis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tentang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(3)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dikaji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ulang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periodik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sedikit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kali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3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tahun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frekuensi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tinggi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perubahan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signifikan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7FA257C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(5) </w:t>
            </w:r>
          </w:p>
          <w:p w14:paraId="2F10F7B8" w14:textId="44D502D3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Intensitas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frekuensi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kaji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ulang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ditingkatkan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sesuai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perkembangan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konsentrasi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Dana. </w:t>
            </w:r>
          </w:p>
        </w:tc>
      </w:tr>
      <w:tr w:rsidR="00556719" w:rsidRPr="00556719" w14:paraId="21794F87" w14:textId="77777777" w:rsidTr="00384609">
        <w:tc>
          <w:tcPr>
            <w:tcW w:w="2500" w:type="pct"/>
          </w:tcPr>
          <w:p w14:paraId="13EBC392" w14:textId="750D23D1" w:rsidR="000E5C2A" w:rsidRPr="00556719" w:rsidRDefault="000E5C2A" w:rsidP="00976DB7">
            <w:pPr>
              <w:pStyle w:val="Default"/>
              <w:numPr>
                <w:ilvl w:val="0"/>
                <w:numId w:val="7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Kebijakan,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pedoman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prosedur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tentang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(3)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terpisahkan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kebijakan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prosedur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penetapan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mengatur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penerapan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manajemen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umum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11B90EC2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(6) </w:t>
            </w:r>
          </w:p>
          <w:p w14:paraId="56BA7EB2" w14:textId="0377EED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4F6863D0" w14:textId="77777777" w:rsidTr="00384609">
        <w:tc>
          <w:tcPr>
            <w:tcW w:w="2500" w:type="pct"/>
          </w:tcPr>
          <w:p w14:paraId="6A01B36C" w14:textId="77777777" w:rsidR="005A5570" w:rsidRPr="00556719" w:rsidRDefault="005A5570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5E4D1D42" w14:textId="77777777" w:rsidR="005A5570" w:rsidRPr="00556719" w:rsidRDefault="005A557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7B6FBEB" w14:textId="77777777" w:rsidTr="00384609">
        <w:tc>
          <w:tcPr>
            <w:tcW w:w="2500" w:type="pct"/>
          </w:tcPr>
          <w:p w14:paraId="27C04494" w14:textId="57277A0B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4</w:t>
            </w:r>
          </w:p>
        </w:tc>
        <w:tc>
          <w:tcPr>
            <w:tcW w:w="2500" w:type="pct"/>
          </w:tcPr>
          <w:p w14:paraId="674B483D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4A2170A" w14:textId="77777777" w:rsidTr="00384609">
        <w:tc>
          <w:tcPr>
            <w:tcW w:w="2500" w:type="pct"/>
          </w:tcPr>
          <w:p w14:paraId="3E8FF7B7" w14:textId="372C25C3" w:rsidR="00384609" w:rsidRPr="00556719" w:rsidRDefault="00384609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dilarang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341F0225" w14:textId="77777777" w:rsidR="00384609" w:rsidRPr="00556719" w:rsidRDefault="0038460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1FC8C71" w14:textId="4D9A96F6" w:rsidTr="00384609">
        <w:tc>
          <w:tcPr>
            <w:tcW w:w="2500" w:type="pct"/>
          </w:tcPr>
          <w:p w14:paraId="38A77BE6" w14:textId="2FAB7319" w:rsidR="000E5C2A" w:rsidRPr="00556719" w:rsidRDefault="000E5C2A" w:rsidP="00976DB7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membuat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suatu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perikatan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perjanjian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mewajibkan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memberikan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mengakibatkan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terjadinya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pelanggaran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BMPD;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</w:p>
          <w:p w14:paraId="0DDD3D50" w14:textId="2E968993" w:rsidR="000E5C2A" w:rsidRPr="00556719" w:rsidRDefault="000E5C2A" w:rsidP="00384609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3D83FF2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a </w:t>
            </w:r>
          </w:p>
          <w:p w14:paraId="1EB66082" w14:textId="5707F21A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Perikatan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perjanjian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mencakup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perikatan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perjanjian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baik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tercatat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neraca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maupun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komitmen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kontijensi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79AE5AE1" w14:textId="77777777" w:rsidTr="00384609">
        <w:tc>
          <w:tcPr>
            <w:tcW w:w="2500" w:type="pct"/>
          </w:tcPr>
          <w:p w14:paraId="6B2D88AD" w14:textId="6028A0FF" w:rsidR="00384609" w:rsidRPr="00556719" w:rsidRDefault="00384609" w:rsidP="00976DB7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memberikan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mengakibatkan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pelanggaran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BMPD.</w:t>
            </w:r>
          </w:p>
        </w:tc>
        <w:tc>
          <w:tcPr>
            <w:tcW w:w="2500" w:type="pct"/>
          </w:tcPr>
          <w:p w14:paraId="4428B42C" w14:textId="77777777" w:rsidR="00384609" w:rsidRPr="00556719" w:rsidRDefault="00384609" w:rsidP="00384609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b </w:t>
            </w:r>
          </w:p>
          <w:p w14:paraId="4CE148B0" w14:textId="6894CA82" w:rsidR="00384609" w:rsidRPr="00556719" w:rsidRDefault="00384609" w:rsidP="00384609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1A8C254A" w14:textId="77777777" w:rsidTr="00384609">
        <w:tc>
          <w:tcPr>
            <w:tcW w:w="2500" w:type="pct"/>
          </w:tcPr>
          <w:p w14:paraId="012A2428" w14:textId="77777777" w:rsidR="005A5570" w:rsidRPr="00556719" w:rsidRDefault="005A5570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8B9CA21" w14:textId="77777777" w:rsidR="005A5570" w:rsidRPr="00556719" w:rsidRDefault="005A557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B953B2D" w14:textId="77777777" w:rsidTr="00384609">
        <w:tc>
          <w:tcPr>
            <w:tcW w:w="2500" w:type="pct"/>
          </w:tcPr>
          <w:p w14:paraId="189FC9C4" w14:textId="5E86A4D1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BAB II</w:t>
            </w:r>
          </w:p>
          <w:p w14:paraId="588459FA" w14:textId="1EC6B5B4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 DANA KEPADA PIHAK TERKAIT</w:t>
            </w:r>
          </w:p>
        </w:tc>
        <w:tc>
          <w:tcPr>
            <w:tcW w:w="2500" w:type="pct"/>
          </w:tcPr>
          <w:p w14:paraId="1F507A78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75E7036" w14:textId="77777777" w:rsidTr="00384609">
        <w:tc>
          <w:tcPr>
            <w:tcW w:w="2500" w:type="pct"/>
          </w:tcPr>
          <w:p w14:paraId="129582EE" w14:textId="07260F76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5</w:t>
            </w:r>
          </w:p>
        </w:tc>
        <w:tc>
          <w:tcPr>
            <w:tcW w:w="2500" w:type="pct"/>
          </w:tcPr>
          <w:p w14:paraId="0C5F1F76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65DF3AB" w14:textId="555DD015" w:rsidTr="00384609">
        <w:tc>
          <w:tcPr>
            <w:tcW w:w="2500" w:type="pct"/>
          </w:tcPr>
          <w:p w14:paraId="2071DDEA" w14:textId="0C773343" w:rsidR="000E5C2A" w:rsidRPr="00556719" w:rsidRDefault="00E55BFD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>Portofolio</w:t>
            </w:r>
            <w:proofErr w:type="spellEnd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>Terkait</w:t>
            </w:r>
            <w:proofErr w:type="spellEnd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>secara</w:t>
            </w:r>
            <w:proofErr w:type="spellEnd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>keseluruhan</w:t>
            </w:r>
            <w:proofErr w:type="spellEnd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>ditetapkan</w:t>
            </w:r>
            <w:proofErr w:type="spellEnd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 xml:space="preserve"> paling </w:t>
            </w:r>
            <w:proofErr w:type="spellStart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>tinggi</w:t>
            </w:r>
            <w:proofErr w:type="spellEnd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 xml:space="preserve"> 10% (</w:t>
            </w:r>
            <w:proofErr w:type="spellStart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>sepuluh</w:t>
            </w:r>
            <w:proofErr w:type="spellEnd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>persen</w:t>
            </w:r>
            <w:proofErr w:type="spellEnd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E55BFD">
              <w:rPr>
                <w:rFonts w:ascii="Bookman Old Style" w:hAnsi="Bookman Old Style" w:cstheme="majorHAnsi"/>
                <w:sz w:val="20"/>
                <w:szCs w:val="20"/>
              </w:rPr>
              <w:t xml:space="preserve"> Modal Bank.</w:t>
            </w:r>
          </w:p>
        </w:tc>
        <w:tc>
          <w:tcPr>
            <w:tcW w:w="2500" w:type="pct"/>
          </w:tcPr>
          <w:p w14:paraId="08FCF5C0" w14:textId="2EC113AE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578FE65" w14:textId="77777777" w:rsidTr="00384609">
        <w:tc>
          <w:tcPr>
            <w:tcW w:w="2500" w:type="pct"/>
          </w:tcPr>
          <w:p w14:paraId="048D52E7" w14:textId="77777777" w:rsidR="005A5570" w:rsidRPr="00556719" w:rsidRDefault="005A5570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CB20BBC" w14:textId="77777777" w:rsidR="005A5570" w:rsidRPr="00556719" w:rsidRDefault="005A557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FF04594" w14:textId="77777777" w:rsidTr="00384609">
        <w:tc>
          <w:tcPr>
            <w:tcW w:w="2500" w:type="pct"/>
          </w:tcPr>
          <w:p w14:paraId="7F661C9D" w14:textId="1602ABC3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6</w:t>
            </w:r>
          </w:p>
        </w:tc>
        <w:tc>
          <w:tcPr>
            <w:tcW w:w="2500" w:type="pct"/>
          </w:tcPr>
          <w:p w14:paraId="391BB174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5AD9454" w14:textId="77777777" w:rsidTr="00384609">
        <w:tc>
          <w:tcPr>
            <w:tcW w:w="2500" w:type="pct"/>
          </w:tcPr>
          <w:p w14:paraId="766E19F6" w14:textId="35BC38FB" w:rsidR="000E5C2A" w:rsidRPr="00556719" w:rsidRDefault="000E5C2A" w:rsidP="00976DB7">
            <w:pPr>
              <w:pStyle w:val="Default"/>
              <w:numPr>
                <w:ilvl w:val="0"/>
                <w:numId w:val="7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dilarang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memberikan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bertentangan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prosedur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umum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Dana.</w:t>
            </w:r>
          </w:p>
          <w:p w14:paraId="1A3E406D" w14:textId="77777777" w:rsidR="000E5C2A" w:rsidRPr="00556719" w:rsidRDefault="000E5C2A" w:rsidP="000E5C2A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8B8D24F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2568EA48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Prosedur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umum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prosedur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diterapkan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pada Bank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berlaku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semua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serta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tetap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memberikan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keuntungan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wajar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Bank.</w:t>
            </w:r>
          </w:p>
          <w:p w14:paraId="613A5669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2AD713E" w14:textId="77777777" w:rsidTr="00384609">
        <w:tc>
          <w:tcPr>
            <w:tcW w:w="2500" w:type="pct"/>
          </w:tcPr>
          <w:p w14:paraId="0572DD6B" w14:textId="7AE67778" w:rsidR="000E5C2A" w:rsidRPr="00556719" w:rsidRDefault="000E5C2A" w:rsidP="00976DB7">
            <w:pPr>
              <w:pStyle w:val="Default"/>
              <w:numPr>
                <w:ilvl w:val="0"/>
                <w:numId w:val="7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dilarang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memberikan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tanpa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persetujuan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Dewan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Bank.</w:t>
            </w:r>
          </w:p>
        </w:tc>
        <w:tc>
          <w:tcPr>
            <w:tcW w:w="2500" w:type="pct"/>
          </w:tcPr>
          <w:p w14:paraId="1CFD807A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22A50BDE" w14:textId="44368A42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2EAF8EFB" w14:textId="497F3A93" w:rsidTr="00384609">
        <w:tc>
          <w:tcPr>
            <w:tcW w:w="2500" w:type="pct"/>
          </w:tcPr>
          <w:p w14:paraId="2DD8E3F7" w14:textId="7A4A6E65" w:rsidR="000E5C2A" w:rsidRPr="00556719" w:rsidRDefault="000E5C2A" w:rsidP="00976DB7">
            <w:pPr>
              <w:pStyle w:val="Default"/>
              <w:numPr>
                <w:ilvl w:val="0"/>
                <w:numId w:val="7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dilarang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membeli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berkualitas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rendah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4BD3AD00" w14:textId="30484658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(3) </w:t>
            </w:r>
          </w:p>
          <w:p w14:paraId="12A0A41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Aset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berkualitas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rendah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yang: </w:t>
            </w:r>
          </w:p>
          <w:p w14:paraId="37C36D41" w14:textId="77777777" w:rsidR="000E5C2A" w:rsidRPr="00556719" w:rsidRDefault="000E5C2A" w:rsidP="00976DB7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kualitas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kurang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lancar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diragukan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macet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;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</w:p>
          <w:p w14:paraId="5F433638" w14:textId="77777777" w:rsidR="000E5C2A" w:rsidRPr="00556719" w:rsidRDefault="000E5C2A" w:rsidP="00976DB7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telah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dilakukan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restrukturisasi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</w:p>
          <w:p w14:paraId="486961B8" w14:textId="6F89C336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perundang-undangan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penilaian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kualitas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umum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0B01E4D5" w14:textId="77777777" w:rsidTr="00384609">
        <w:tc>
          <w:tcPr>
            <w:tcW w:w="2500" w:type="pct"/>
          </w:tcPr>
          <w:p w14:paraId="04927B0A" w14:textId="77777777" w:rsidR="005A5570" w:rsidRPr="00556719" w:rsidRDefault="005A5570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286DE11" w14:textId="77777777" w:rsidR="005A5570" w:rsidRPr="00556719" w:rsidRDefault="005A557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2F0E7D4" w14:textId="77777777" w:rsidTr="00384609">
        <w:tc>
          <w:tcPr>
            <w:tcW w:w="2500" w:type="pct"/>
          </w:tcPr>
          <w:p w14:paraId="5CB33072" w14:textId="17CBEB45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7</w:t>
            </w:r>
          </w:p>
        </w:tc>
        <w:tc>
          <w:tcPr>
            <w:tcW w:w="2500" w:type="pct"/>
          </w:tcPr>
          <w:p w14:paraId="7F4F6F3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9173B2D" w14:textId="0E5F91DE" w:rsidTr="00384609">
        <w:tc>
          <w:tcPr>
            <w:tcW w:w="2500" w:type="pct"/>
          </w:tcPr>
          <w:p w14:paraId="4BAD79F9" w14:textId="3077FE1F" w:rsidR="000E5C2A" w:rsidRPr="00556719" w:rsidRDefault="000E5C2A" w:rsidP="00384609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Dalam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kualitas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menurun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menjadi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kurang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lancar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diragukan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macet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mengambil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langkah-langkah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penyelesaian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memperbaiki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798EC5B6" w14:textId="63132251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Kualitas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kurang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lancar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diragukan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macet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kualitas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perundang-undangan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penilaian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kualitas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umum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3516D3FC" w14:textId="77777777" w:rsidTr="00384609">
        <w:tc>
          <w:tcPr>
            <w:tcW w:w="2500" w:type="pct"/>
          </w:tcPr>
          <w:p w14:paraId="2EB9879C" w14:textId="428F6737" w:rsidR="00384609" w:rsidRPr="00556719" w:rsidRDefault="00384609" w:rsidP="00976DB7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pelunasan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Pembiayaan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lambat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60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enam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sejak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penurunan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kualitas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Dana;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</w:p>
        </w:tc>
        <w:tc>
          <w:tcPr>
            <w:tcW w:w="2500" w:type="pct"/>
          </w:tcPr>
          <w:p w14:paraId="1E9429DD" w14:textId="77777777" w:rsidR="00384609" w:rsidRPr="00556719" w:rsidRDefault="0038460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8F408DC" w14:textId="77777777" w:rsidTr="00384609">
        <w:tc>
          <w:tcPr>
            <w:tcW w:w="2500" w:type="pct"/>
          </w:tcPr>
          <w:p w14:paraId="6B62547C" w14:textId="26A1387C" w:rsidR="00384609" w:rsidRPr="00556719" w:rsidRDefault="00384609" w:rsidP="00976DB7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restrukturisasi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Pembiayaan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sejak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penurunan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kualitas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Dana.</w:t>
            </w:r>
          </w:p>
        </w:tc>
        <w:tc>
          <w:tcPr>
            <w:tcW w:w="2500" w:type="pct"/>
          </w:tcPr>
          <w:p w14:paraId="365012F5" w14:textId="77777777" w:rsidR="00384609" w:rsidRPr="00556719" w:rsidRDefault="0038460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71464AF" w14:textId="77777777" w:rsidTr="00384609">
        <w:tc>
          <w:tcPr>
            <w:tcW w:w="2500" w:type="pct"/>
          </w:tcPr>
          <w:p w14:paraId="31E5C5FE" w14:textId="61E51C40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71E1129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F4A138A" w14:textId="77777777" w:rsidTr="00384609">
        <w:tc>
          <w:tcPr>
            <w:tcW w:w="2500" w:type="pct"/>
          </w:tcPr>
          <w:p w14:paraId="266E0A48" w14:textId="10B5119A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8</w:t>
            </w:r>
          </w:p>
        </w:tc>
        <w:tc>
          <w:tcPr>
            <w:tcW w:w="2500" w:type="pct"/>
          </w:tcPr>
          <w:p w14:paraId="06B38B5D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CBB88D8" w14:textId="571466FB" w:rsidTr="00384609">
        <w:tc>
          <w:tcPr>
            <w:tcW w:w="2500" w:type="pct"/>
          </w:tcPr>
          <w:p w14:paraId="54CE98CA" w14:textId="5D5B922B" w:rsidR="000E5C2A" w:rsidRPr="00556719" w:rsidRDefault="000E5C2A" w:rsidP="00384609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Dalam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memberikan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Penyertaan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mengakibatkan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tempat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Penyertaan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menjadi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memastikan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6F2283C6" w14:textId="3BC2636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49D6ED6E" w14:textId="77777777" w:rsidTr="00384609">
        <w:tc>
          <w:tcPr>
            <w:tcW w:w="2500" w:type="pct"/>
          </w:tcPr>
          <w:p w14:paraId="315553EC" w14:textId="1D9E2687" w:rsidR="00384609" w:rsidRPr="00556719" w:rsidRDefault="00384609" w:rsidP="00976DB7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rencana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tinggi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="00E55BFD">
              <w:rPr>
                <w:rFonts w:cstheme="majorHAnsi"/>
                <w:color w:val="auto"/>
                <w:sz w:val="20"/>
                <w:szCs w:val="20"/>
              </w:rPr>
              <w:t>1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>0% (</w:t>
            </w:r>
            <w:proofErr w:type="spellStart"/>
            <w:r w:rsidR="00E55BFD">
              <w:rPr>
                <w:rFonts w:cstheme="majorHAnsi"/>
                <w:color w:val="auto"/>
                <w:sz w:val="20"/>
                <w:szCs w:val="20"/>
              </w:rPr>
              <w:t>sepuluh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5;</w:t>
            </w:r>
          </w:p>
        </w:tc>
        <w:tc>
          <w:tcPr>
            <w:tcW w:w="2500" w:type="pct"/>
          </w:tcPr>
          <w:p w14:paraId="31815642" w14:textId="77777777" w:rsidR="00384609" w:rsidRPr="00556719" w:rsidRDefault="0038460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6AC6376" w14:textId="77777777" w:rsidTr="00384609">
        <w:tc>
          <w:tcPr>
            <w:tcW w:w="2500" w:type="pct"/>
          </w:tcPr>
          <w:p w14:paraId="1C2247C1" w14:textId="0B834A01" w:rsidR="00384609" w:rsidRPr="00E55BFD" w:rsidRDefault="00E55BFD" w:rsidP="00E55BFD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Dana yang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akan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telah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diberikan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tempat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melakukan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Penyertaan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Modal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setelah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ditambah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seluruh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portofolio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tinggi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10% (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sepuluh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Modal Bank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5; dan</w:t>
            </w:r>
          </w:p>
        </w:tc>
        <w:tc>
          <w:tcPr>
            <w:tcW w:w="2500" w:type="pct"/>
          </w:tcPr>
          <w:p w14:paraId="6A27747A" w14:textId="77777777" w:rsidR="00384609" w:rsidRPr="00556719" w:rsidRDefault="0038460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B6D3561" w14:textId="77777777" w:rsidTr="00384609">
        <w:tc>
          <w:tcPr>
            <w:tcW w:w="2500" w:type="pct"/>
          </w:tcPr>
          <w:p w14:paraId="57B421AE" w14:textId="0CB9772A" w:rsidR="00384609" w:rsidRPr="00556719" w:rsidRDefault="00384609" w:rsidP="00976DB7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memenuhi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ketentuan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6.</w:t>
            </w:r>
          </w:p>
        </w:tc>
        <w:tc>
          <w:tcPr>
            <w:tcW w:w="2500" w:type="pct"/>
          </w:tcPr>
          <w:p w14:paraId="347D0673" w14:textId="77777777" w:rsidR="00384609" w:rsidRPr="00556719" w:rsidRDefault="0038460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F7B002C" w14:textId="77777777" w:rsidTr="00384609">
        <w:tc>
          <w:tcPr>
            <w:tcW w:w="2500" w:type="pct"/>
          </w:tcPr>
          <w:p w14:paraId="0C90A402" w14:textId="77777777" w:rsidR="005A5570" w:rsidRPr="00556719" w:rsidRDefault="005A5570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3F0946E" w14:textId="77777777" w:rsidR="005A5570" w:rsidRPr="00556719" w:rsidRDefault="005A557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23C9974" w14:textId="77777777" w:rsidTr="00384609">
        <w:tc>
          <w:tcPr>
            <w:tcW w:w="2500" w:type="pct"/>
          </w:tcPr>
          <w:p w14:paraId="67FD1264" w14:textId="3BC0C0F5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9</w:t>
            </w:r>
          </w:p>
        </w:tc>
        <w:tc>
          <w:tcPr>
            <w:tcW w:w="2500" w:type="pct"/>
          </w:tcPr>
          <w:p w14:paraId="48016BA6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FA5F5E3" w14:textId="77777777" w:rsidTr="00384609">
        <w:tc>
          <w:tcPr>
            <w:tcW w:w="2500" w:type="pct"/>
          </w:tcPr>
          <w:p w14:paraId="59F2A91C" w14:textId="044A422D" w:rsidR="000E5C2A" w:rsidRPr="00556719" w:rsidRDefault="000E5C2A" w:rsidP="00976DB7">
            <w:pPr>
              <w:pStyle w:val="Default"/>
              <w:numPr>
                <w:ilvl w:val="0"/>
                <w:numId w:val="7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meliputi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4D4E7A27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786B1B8" w14:textId="77777777" w:rsidTr="00384609">
        <w:tc>
          <w:tcPr>
            <w:tcW w:w="2500" w:type="pct"/>
          </w:tcPr>
          <w:p w14:paraId="1438C6A0" w14:textId="2F2F30F5" w:rsidR="000E5C2A" w:rsidRPr="00556719" w:rsidRDefault="000E5C2A" w:rsidP="00976DB7">
            <w:pPr>
              <w:pStyle w:val="Default"/>
              <w:numPr>
                <w:ilvl w:val="0"/>
                <w:numId w:val="7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perorangan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Bank;</w:t>
            </w:r>
          </w:p>
        </w:tc>
        <w:tc>
          <w:tcPr>
            <w:tcW w:w="2500" w:type="pct"/>
          </w:tcPr>
          <w:p w14:paraId="3614E917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5B3EF038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a </w:t>
            </w:r>
          </w:p>
          <w:p w14:paraId="6128AB69" w14:textId="7300B26E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7D580F53" w14:textId="77777777" w:rsidTr="00384609">
        <w:tc>
          <w:tcPr>
            <w:tcW w:w="2500" w:type="pct"/>
          </w:tcPr>
          <w:p w14:paraId="7EC7BDF8" w14:textId="375A2786" w:rsidR="000E5C2A" w:rsidRPr="00556719" w:rsidRDefault="000E5C2A" w:rsidP="00976DB7">
            <w:pPr>
              <w:pStyle w:val="Default"/>
              <w:numPr>
                <w:ilvl w:val="0"/>
                <w:numId w:val="7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hukum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bertindak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</w:tc>
        <w:tc>
          <w:tcPr>
            <w:tcW w:w="2500" w:type="pct"/>
          </w:tcPr>
          <w:p w14:paraId="7330B9ED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b </w:t>
            </w:r>
          </w:p>
          <w:p w14:paraId="4FCFC6EF" w14:textId="1A2E6609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58436955" w14:textId="77777777" w:rsidTr="00384609">
        <w:tc>
          <w:tcPr>
            <w:tcW w:w="2500" w:type="pct"/>
          </w:tcPr>
          <w:p w14:paraId="0EC71B76" w14:textId="3B89EC9A" w:rsidR="000E5C2A" w:rsidRPr="00556719" w:rsidRDefault="000E5C2A" w:rsidP="00976DB7">
            <w:pPr>
              <w:pStyle w:val="Default"/>
              <w:numPr>
                <w:ilvl w:val="0"/>
                <w:numId w:val="7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perorangan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bertindak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</w:tc>
        <w:tc>
          <w:tcPr>
            <w:tcW w:w="2500" w:type="pct"/>
          </w:tcPr>
          <w:p w14:paraId="6D8273B2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c </w:t>
            </w:r>
          </w:p>
          <w:p w14:paraId="07753C10" w14:textId="409D61E3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24653921" w14:textId="77777777" w:rsidTr="00384609">
        <w:tc>
          <w:tcPr>
            <w:tcW w:w="2500" w:type="pct"/>
          </w:tcPr>
          <w:p w14:paraId="5CED0026" w14:textId="30246C20" w:rsidR="000E5C2A" w:rsidRPr="00556719" w:rsidRDefault="000E5C2A" w:rsidP="00976DB7">
            <w:pPr>
              <w:pStyle w:val="Default"/>
              <w:numPr>
                <w:ilvl w:val="0"/>
                <w:numId w:val="7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Direksi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Dewan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Pejabat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Eksekutif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Bank;</w:t>
            </w:r>
          </w:p>
        </w:tc>
        <w:tc>
          <w:tcPr>
            <w:tcW w:w="2500" w:type="pct"/>
          </w:tcPr>
          <w:p w14:paraId="441F3D7F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d </w:t>
            </w:r>
          </w:p>
          <w:p w14:paraId="0B2B886D" w14:textId="6F3200A0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Pejabat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Eksekutif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kepala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divisi,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kepala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kantor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wilayah,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kepala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kantor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cabang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kepala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kantor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fungsional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kedudukan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rendah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setara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kepala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kantor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cabang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kepala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satuan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kerja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manajemen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kepala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satuan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kerja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kepatuhan,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kepala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satuan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kerja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audit intern,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pejabat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lainnya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setara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68A9D318" w14:textId="77777777" w:rsidTr="00384609">
        <w:tc>
          <w:tcPr>
            <w:tcW w:w="2500" w:type="pct"/>
          </w:tcPr>
          <w:p w14:paraId="1B3F0F9B" w14:textId="77777777" w:rsidR="000E5C2A" w:rsidRPr="00556719" w:rsidRDefault="000E5C2A" w:rsidP="00976DB7">
            <w:pPr>
              <w:pStyle w:val="Default"/>
              <w:numPr>
                <w:ilvl w:val="0"/>
                <w:numId w:val="7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mempunyai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keluarga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horizontal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vertikal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  <w:p w14:paraId="22CA8894" w14:textId="77777777" w:rsidR="000E5C2A" w:rsidRPr="00556719" w:rsidRDefault="000E5C2A" w:rsidP="00976DB7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perorangan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a; dan</w:t>
            </w:r>
          </w:p>
          <w:p w14:paraId="2867EEF5" w14:textId="7026FD26" w:rsidR="000E5C2A" w:rsidRPr="00556719" w:rsidRDefault="000E5C2A" w:rsidP="00976DB7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Direksi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Dewan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d;</w:t>
            </w:r>
          </w:p>
        </w:tc>
        <w:tc>
          <w:tcPr>
            <w:tcW w:w="2500" w:type="pct"/>
          </w:tcPr>
          <w:p w14:paraId="1F512EE1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e </w:t>
            </w:r>
          </w:p>
          <w:p w14:paraId="08803094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keluarga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horizontal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vertikal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: </w:t>
            </w:r>
          </w:p>
          <w:p w14:paraId="38D45224" w14:textId="77777777" w:rsidR="000E5C2A" w:rsidRPr="00556719" w:rsidRDefault="000E5C2A" w:rsidP="00976DB7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orang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tua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kandung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angkat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446007A5" w14:textId="77777777" w:rsidR="000E5C2A" w:rsidRPr="00556719" w:rsidRDefault="000E5C2A" w:rsidP="00976DB7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saudara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kandung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angkat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3312133E" w14:textId="77777777" w:rsidR="000E5C2A" w:rsidRPr="00556719" w:rsidRDefault="000E5C2A" w:rsidP="00976DB7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kandung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angkat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5779043E" w14:textId="77777777" w:rsidR="000E5C2A" w:rsidRPr="00556719" w:rsidRDefault="000E5C2A" w:rsidP="00976DB7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kakek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nenek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kandung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angkat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58A4ACBE" w14:textId="77777777" w:rsidR="000E5C2A" w:rsidRPr="00556719" w:rsidRDefault="000E5C2A" w:rsidP="00976DB7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cucu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kandung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angkat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4083D648" w14:textId="77777777" w:rsidR="000E5C2A" w:rsidRPr="00556719" w:rsidRDefault="000E5C2A" w:rsidP="00976DB7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saudara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kandung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angkat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orang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tua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1CC05928" w14:textId="77777777" w:rsidR="000E5C2A" w:rsidRPr="00556719" w:rsidRDefault="000E5C2A" w:rsidP="00976DB7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suami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istri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1A291492" w14:textId="77777777" w:rsidR="000E5C2A" w:rsidRPr="00556719" w:rsidRDefault="000E5C2A" w:rsidP="00976DB7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mertua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3506F1FE" w14:textId="77777777" w:rsidR="000E5C2A" w:rsidRPr="00556719" w:rsidRDefault="000E5C2A" w:rsidP="00976DB7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suami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istri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kandung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angkat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667E65A7" w14:textId="77777777" w:rsidR="000E5C2A" w:rsidRPr="00556719" w:rsidRDefault="000E5C2A" w:rsidP="00976DB7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kakek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nenek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suami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istri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380EAA4D" w14:textId="77777777" w:rsidR="000E5C2A" w:rsidRPr="00556719" w:rsidRDefault="000E5C2A" w:rsidP="00976DB7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suami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istri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cucu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kandung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angkat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</w:p>
          <w:p w14:paraId="3646EDBE" w14:textId="16899B11" w:rsidR="000E5C2A" w:rsidRPr="00556719" w:rsidRDefault="000E5C2A" w:rsidP="00976DB7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saudara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kandung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angkat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suami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istri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beserta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suami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istri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saudara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bersangkutan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296F34A6" w14:textId="77777777" w:rsidTr="00384609">
        <w:tc>
          <w:tcPr>
            <w:tcW w:w="2500" w:type="pct"/>
          </w:tcPr>
          <w:p w14:paraId="40C33BF5" w14:textId="2898D646" w:rsidR="000E5C2A" w:rsidRPr="00556719" w:rsidRDefault="000E5C2A" w:rsidP="00976DB7">
            <w:pPr>
              <w:pStyle w:val="Default"/>
              <w:numPr>
                <w:ilvl w:val="0"/>
                <w:numId w:val="7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direksi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dewan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a,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b,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c;</w:t>
            </w:r>
          </w:p>
        </w:tc>
        <w:tc>
          <w:tcPr>
            <w:tcW w:w="2500" w:type="pct"/>
          </w:tcPr>
          <w:p w14:paraId="685535BB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f </w:t>
            </w:r>
          </w:p>
          <w:p w14:paraId="27FB366E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1CDFEFF6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7F3F9B4" w14:textId="77777777" w:rsidTr="00384609">
        <w:tc>
          <w:tcPr>
            <w:tcW w:w="2500" w:type="pct"/>
          </w:tcPr>
          <w:p w14:paraId="7B92BDEB" w14:textId="208E8A86" w:rsidR="000E5C2A" w:rsidRPr="00556719" w:rsidRDefault="000E5C2A" w:rsidP="00976DB7">
            <w:pPr>
              <w:pStyle w:val="Default"/>
              <w:numPr>
                <w:ilvl w:val="0"/>
                <w:numId w:val="7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direksi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dewan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Dewan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Bank;</w:t>
            </w:r>
          </w:p>
        </w:tc>
        <w:tc>
          <w:tcPr>
            <w:tcW w:w="2500" w:type="pct"/>
          </w:tcPr>
          <w:p w14:paraId="484A7FAB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g </w:t>
            </w:r>
          </w:p>
          <w:p w14:paraId="478CD269" w14:textId="2AE69149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22ED6607" w14:textId="77777777" w:rsidTr="00384609">
        <w:tc>
          <w:tcPr>
            <w:tcW w:w="2500" w:type="pct"/>
          </w:tcPr>
          <w:p w14:paraId="766B90C7" w14:textId="165FF701" w:rsidR="000E5C2A" w:rsidRPr="00556719" w:rsidRDefault="000E5C2A" w:rsidP="00976DB7">
            <w:pPr>
              <w:pStyle w:val="Default"/>
              <w:numPr>
                <w:ilvl w:val="0"/>
                <w:numId w:val="7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50% (lima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direksi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dewan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direksi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a,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b,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c;</w:t>
            </w:r>
          </w:p>
        </w:tc>
        <w:tc>
          <w:tcPr>
            <w:tcW w:w="2500" w:type="pct"/>
          </w:tcPr>
          <w:p w14:paraId="787B70CA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h </w:t>
            </w:r>
          </w:p>
          <w:p w14:paraId="32A2E4E1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Jumlah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50% (lima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dihitung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jumlah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kumulatif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direksi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dewan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179E2798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061431D" w14:textId="77777777" w:rsidTr="00384609">
        <w:tc>
          <w:tcPr>
            <w:tcW w:w="2500" w:type="pct"/>
          </w:tcPr>
          <w:p w14:paraId="0992E5C4" w14:textId="77777777" w:rsidR="000E5C2A" w:rsidRPr="00556719" w:rsidRDefault="000E5C2A" w:rsidP="00976DB7">
            <w:pPr>
              <w:pStyle w:val="Default"/>
              <w:numPr>
                <w:ilvl w:val="0"/>
                <w:numId w:val="7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yang:</w:t>
            </w:r>
          </w:p>
          <w:p w14:paraId="63853DAF" w14:textId="77777777" w:rsidR="000E5C2A" w:rsidRPr="00556719" w:rsidRDefault="000E5C2A" w:rsidP="00976DB7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Direksi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Dewan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,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Pejabat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Eksekutif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bertindak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 dan</w:t>
            </w:r>
          </w:p>
          <w:p w14:paraId="3CDB38FB" w14:textId="0D31B66F" w:rsidR="000E5C2A" w:rsidRPr="00556719" w:rsidRDefault="000E5C2A" w:rsidP="00976DB7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direksi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dewan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a,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b,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c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bertindak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</w:tc>
        <w:tc>
          <w:tcPr>
            <w:tcW w:w="2500" w:type="pct"/>
          </w:tcPr>
          <w:p w14:paraId="726E34E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lastRenderedPageBreak/>
              <w:t xml:space="preserve">Huruf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</w:p>
          <w:p w14:paraId="4125C92E" w14:textId="021AB6FF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4C57B1DD" w14:textId="77777777" w:rsidTr="00384609">
        <w:tc>
          <w:tcPr>
            <w:tcW w:w="2500" w:type="pct"/>
          </w:tcPr>
          <w:p w14:paraId="1C8AB5E8" w14:textId="6CD81FAF" w:rsidR="000E5C2A" w:rsidRPr="00556719" w:rsidRDefault="000E5C2A" w:rsidP="00976DB7">
            <w:pPr>
              <w:pStyle w:val="Default"/>
              <w:numPr>
                <w:ilvl w:val="0"/>
                <w:numId w:val="7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kontrak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investasi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kolektif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sampai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10%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manajer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investasi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kontrak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investasi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kolektif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</w:tc>
        <w:tc>
          <w:tcPr>
            <w:tcW w:w="2500" w:type="pct"/>
          </w:tcPr>
          <w:p w14:paraId="210BBB24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j </w:t>
            </w:r>
          </w:p>
          <w:p w14:paraId="5A171E8E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  <w:p w14:paraId="1071551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7065F60" w14:textId="77777777" w:rsidTr="00384609">
        <w:tc>
          <w:tcPr>
            <w:tcW w:w="2500" w:type="pct"/>
          </w:tcPr>
          <w:p w14:paraId="7D2FA76A" w14:textId="2C4D5B30" w:rsidR="000E5C2A" w:rsidRPr="00556719" w:rsidRDefault="000E5C2A" w:rsidP="00976DB7">
            <w:pPr>
              <w:pStyle w:val="Default"/>
              <w:numPr>
                <w:ilvl w:val="0"/>
                <w:numId w:val="7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sampai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</w:tc>
        <w:tc>
          <w:tcPr>
            <w:tcW w:w="2500" w:type="pct"/>
          </w:tcPr>
          <w:p w14:paraId="57F29881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k </w:t>
            </w:r>
          </w:p>
          <w:p w14:paraId="10D15F83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dianalisis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beberapa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faktor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: </w:t>
            </w:r>
          </w:p>
          <w:p w14:paraId="4B49E57A" w14:textId="77777777" w:rsidR="000E5C2A" w:rsidRPr="00556719" w:rsidRDefault="000E5C2A" w:rsidP="00976DB7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bantuan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bantuan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menyebabkan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memberikan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bantuan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mempunyai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kemampuan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menentukan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controlling influence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kebijakan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strategis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bantuan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6CF55EB2" w14:textId="77777777" w:rsidR="000E5C2A" w:rsidRPr="00556719" w:rsidRDefault="000E5C2A" w:rsidP="00976DB7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keterkaitan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rantai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bisnis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signifikan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operasional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sehingga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ketergantungan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mengakibatkan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: </w:t>
            </w:r>
          </w:p>
          <w:p w14:paraId="1C3EC9A7" w14:textId="77777777" w:rsidR="000E5C2A" w:rsidRPr="00556719" w:rsidRDefault="000E5C2A" w:rsidP="00976DB7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salah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mampu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mudah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mengalihkan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bisnis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lain; dan </w:t>
            </w:r>
          </w:p>
          <w:p w14:paraId="2FCAD03B" w14:textId="77777777" w:rsidR="000E5C2A" w:rsidRPr="00556719" w:rsidRDefault="000E5C2A" w:rsidP="00976DB7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ketidakmampuan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mudah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mengalihkan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bisnis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menyebabkan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arus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kas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cash flow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salah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mengalami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gangguan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signifikan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sehingga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mengalami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kesulitan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memenuhi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;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</w:p>
          <w:p w14:paraId="2836913C" w14:textId="12A322A1" w:rsidR="000E5C2A" w:rsidRPr="00556719" w:rsidRDefault="000E5C2A" w:rsidP="00976DB7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pengalihan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melalui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penjaminan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dimana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menjamin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mengambil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alih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keseluruhan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dijamin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53F73557" w14:textId="77777777" w:rsidTr="00384609">
        <w:tc>
          <w:tcPr>
            <w:tcW w:w="2500" w:type="pct"/>
          </w:tcPr>
          <w:p w14:paraId="1EFDB3A2" w14:textId="2240A45F" w:rsidR="000E5C2A" w:rsidRPr="00556719" w:rsidRDefault="000E5C2A" w:rsidP="00976DB7">
            <w:pPr>
              <w:pStyle w:val="Default"/>
              <w:numPr>
                <w:ilvl w:val="0"/>
                <w:numId w:val="7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Peminjam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perorangan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melalui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pemberian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</w:t>
            </w:r>
            <w:r w:rsidR="005A5570" w:rsidRPr="00556719">
              <w:rPr>
                <w:rFonts w:cstheme="majorHAnsi"/>
                <w:color w:val="auto"/>
                <w:sz w:val="20"/>
                <w:szCs w:val="20"/>
              </w:rPr>
              <w:t>m</w:t>
            </w:r>
            <w:proofErr w:type="spellEnd"/>
            <w:r w:rsidR="005A5570"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A5570"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="005A5570" w:rsidRPr="00556719">
              <w:rPr>
                <w:rFonts w:cstheme="majorHAnsi"/>
                <w:color w:val="auto"/>
                <w:sz w:val="20"/>
                <w:szCs w:val="20"/>
              </w:rPr>
              <w:t xml:space="preserve"> a </w:t>
            </w:r>
            <w:proofErr w:type="spellStart"/>
            <w:r w:rsidR="005A5570" w:rsidRPr="00556719">
              <w:rPr>
                <w:rFonts w:cstheme="majorHAnsi"/>
                <w:color w:val="auto"/>
                <w:sz w:val="20"/>
                <w:szCs w:val="20"/>
              </w:rPr>
              <w:t>sampai</w:t>
            </w:r>
            <w:proofErr w:type="spellEnd"/>
            <w:r w:rsidR="005A5570"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A5570"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="005A5570"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A5570"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="005A5570" w:rsidRPr="00556719">
              <w:rPr>
                <w:rFonts w:cstheme="majorHAnsi"/>
                <w:color w:val="auto"/>
                <w:sz w:val="20"/>
                <w:szCs w:val="20"/>
              </w:rPr>
              <w:t xml:space="preserve"> k;</w:t>
            </w:r>
          </w:p>
        </w:tc>
        <w:tc>
          <w:tcPr>
            <w:tcW w:w="2500" w:type="pct"/>
          </w:tcPr>
          <w:p w14:paraId="757A9650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l </w:t>
            </w:r>
          </w:p>
          <w:p w14:paraId="05E11BB5" w14:textId="12111598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janji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diterbitkan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mengambil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alih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melunasi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seluruh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berutang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berutang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gagal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</w:t>
            </w:r>
            <w:r w:rsidR="005A5570" w:rsidRPr="00556719">
              <w:rPr>
                <w:rFonts w:ascii="Bookman Old Style" w:hAnsi="Bookman Old Style" w:cstheme="majorHAnsi"/>
                <w:sz w:val="20"/>
                <w:szCs w:val="20"/>
              </w:rPr>
              <w:t>enuhi</w:t>
            </w:r>
            <w:proofErr w:type="spellEnd"/>
            <w:r w:rsidR="005A5570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="005A5570" w:rsidRPr="00556719">
              <w:rPr>
                <w:rFonts w:ascii="Bookman Old Style" w:hAnsi="Bookman Old Style" w:cstheme="majorHAnsi"/>
                <w:sz w:val="20"/>
                <w:szCs w:val="20"/>
              </w:rPr>
              <w:t>kewajiban</w:t>
            </w:r>
            <w:proofErr w:type="spellEnd"/>
            <w:r w:rsidR="005A5570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proofErr w:type="spellStart"/>
            <w:r w:rsidR="005A5570" w:rsidRPr="00556719">
              <w:rPr>
                <w:rFonts w:ascii="Bookman Old Style" w:hAnsi="Bookman Old Style" w:cstheme="majorHAnsi"/>
                <w:sz w:val="20"/>
                <w:szCs w:val="20"/>
              </w:rPr>
              <w:t>wanprestasi</w:t>
            </w:r>
            <w:proofErr w:type="spellEnd"/>
            <w:r w:rsidR="005A5570" w:rsidRPr="00556719">
              <w:rPr>
                <w:rFonts w:ascii="Bookman Old Style" w:hAnsi="Bookman Old Style" w:cstheme="majorHAnsi"/>
                <w:sz w:val="20"/>
                <w:szCs w:val="20"/>
              </w:rPr>
              <w:t>).</w:t>
            </w:r>
          </w:p>
        </w:tc>
      </w:tr>
      <w:tr w:rsidR="00556719" w:rsidRPr="00556719" w14:paraId="3053B36E" w14:textId="77777777" w:rsidTr="00384609">
        <w:tc>
          <w:tcPr>
            <w:tcW w:w="2500" w:type="pct"/>
          </w:tcPr>
          <w:p w14:paraId="54FD384F" w14:textId="0B909D37" w:rsidR="000E5C2A" w:rsidRPr="00556719" w:rsidRDefault="000E5C2A" w:rsidP="00976DB7">
            <w:pPr>
              <w:pStyle w:val="Default"/>
              <w:numPr>
                <w:ilvl w:val="0"/>
                <w:numId w:val="7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Peminjam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melalui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diberikan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sampai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k;</w:t>
            </w:r>
          </w:p>
        </w:tc>
        <w:tc>
          <w:tcPr>
            <w:tcW w:w="2500" w:type="pct"/>
          </w:tcPr>
          <w:p w14:paraId="3C4F6DF0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m </w:t>
            </w:r>
          </w:p>
          <w:p w14:paraId="4E397677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116623D1" w14:textId="6A605C3B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80D0E18" w14:textId="77777777" w:rsidTr="00384609">
        <w:tc>
          <w:tcPr>
            <w:tcW w:w="2500" w:type="pct"/>
          </w:tcPr>
          <w:p w14:paraId="62B77DFB" w14:textId="41332843" w:rsidR="000E5C2A" w:rsidRPr="00556719" w:rsidRDefault="000E5C2A" w:rsidP="00976DB7">
            <w:pPr>
              <w:pStyle w:val="Default"/>
              <w:numPr>
                <w:ilvl w:val="0"/>
                <w:numId w:val="7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 xml:space="preserve">bank lain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melalui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pemberian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sampai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kembali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(counter guarantee)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sampai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 dan</w:t>
            </w:r>
          </w:p>
        </w:tc>
        <w:tc>
          <w:tcPr>
            <w:tcW w:w="2500" w:type="pct"/>
          </w:tcPr>
          <w:p w14:paraId="0BF182DC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n </w:t>
            </w:r>
          </w:p>
          <w:p w14:paraId="4B35DFED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  <w:p w14:paraId="6CDC752A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</w:p>
          <w:p w14:paraId="3468EC03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64975EB" w14:textId="77777777" w:rsidTr="00384609">
        <w:tc>
          <w:tcPr>
            <w:tcW w:w="2500" w:type="pct"/>
          </w:tcPr>
          <w:p w14:paraId="0270F9F6" w14:textId="17731C0C" w:rsidR="000E5C2A" w:rsidRPr="00556719" w:rsidRDefault="000E5C2A" w:rsidP="00976DB7">
            <w:pPr>
              <w:pStyle w:val="Default"/>
              <w:numPr>
                <w:ilvl w:val="0"/>
                <w:numId w:val="7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didalamnya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kepentingan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kepemilikan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sebesar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10%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sendiri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bersama-sama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e.</w:t>
            </w:r>
          </w:p>
        </w:tc>
        <w:tc>
          <w:tcPr>
            <w:tcW w:w="2500" w:type="pct"/>
          </w:tcPr>
          <w:p w14:paraId="2B8C83EF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o </w:t>
            </w:r>
          </w:p>
          <w:p w14:paraId="48AE2963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  <w:p w14:paraId="433213EE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597DD89" w14:textId="77777777" w:rsidTr="00384609">
        <w:tc>
          <w:tcPr>
            <w:tcW w:w="2500" w:type="pct"/>
          </w:tcPr>
          <w:p w14:paraId="69C2B353" w14:textId="1CFDBFF3" w:rsidR="000E5C2A" w:rsidRPr="00556719" w:rsidRDefault="000E5C2A" w:rsidP="00976DB7">
            <w:pPr>
              <w:pStyle w:val="Default"/>
              <w:numPr>
                <w:ilvl w:val="0"/>
                <w:numId w:val="7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a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perorangan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langsung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langsung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57CBF058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45D04C64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Pengendalian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bersama-sama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pengendalian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bersama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para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pemilik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didasarkan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perjanjian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kontraktual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630F6BCC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Pengendalian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bersama-sama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harus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dibuktikan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adanya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kesepakatan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komitmen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tertulis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para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pemilik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memberikan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dukungan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sesuai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kepemilikan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masing-masing. </w:t>
            </w:r>
          </w:p>
          <w:p w14:paraId="61A75849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langsung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mengendalikan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bersama-sama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melalui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lain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termasuk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: </w:t>
            </w:r>
          </w:p>
          <w:p w14:paraId="6BF2C6ED" w14:textId="77777777" w:rsidR="000E5C2A" w:rsidRPr="00556719" w:rsidRDefault="000E5C2A" w:rsidP="00976DB7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suaranya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digunakan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dikendalikan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5BC66D34" w14:textId="77777777" w:rsidR="000E5C2A" w:rsidRPr="00556719" w:rsidRDefault="000E5C2A" w:rsidP="00976DB7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dikendalikan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66584E83" w14:textId="77777777" w:rsidR="000E5C2A" w:rsidRPr="00556719" w:rsidRDefault="000E5C2A" w:rsidP="00976DB7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terafiliasi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64C8E3A2" w14:textId="77777777" w:rsidR="000E5C2A" w:rsidRPr="00556719" w:rsidRDefault="000E5C2A" w:rsidP="00976DB7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dikendalikan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09D1BB36" w14:textId="77777777" w:rsidR="000E5C2A" w:rsidRPr="00556719" w:rsidRDefault="000E5C2A" w:rsidP="00976DB7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bertindak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nominee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perjanjian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4E07B5AC" w14:textId="77777777" w:rsidR="000E5C2A" w:rsidRPr="00556719" w:rsidRDefault="000E5C2A" w:rsidP="00976DB7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pemindahtanganannya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memerlukan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persetujuan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18D16406" w14:textId="77777777" w:rsidR="000E5C2A" w:rsidRPr="00556719" w:rsidRDefault="000E5C2A" w:rsidP="00976DB7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melalui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dikendalikan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berjenjang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sampai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terakhir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ultimate subsidiary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); </w:t>
            </w:r>
          </w:p>
          <w:p w14:paraId="33F6FA2B" w14:textId="77777777" w:rsidR="000E5C2A" w:rsidRPr="00556719" w:rsidRDefault="000E5C2A" w:rsidP="00976DB7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lastRenderedPageBreak/>
              <w:t>saham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selain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angka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sampai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angka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7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dikendalikan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  <w:p w14:paraId="070EB98E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terafiliasi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angka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3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: </w:t>
            </w:r>
          </w:p>
          <w:p w14:paraId="5AF1330F" w14:textId="77777777" w:rsidR="000E5C2A" w:rsidRPr="00556719" w:rsidRDefault="000E5C2A" w:rsidP="00976DB7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dewan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direksi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setara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kuasanya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pejabat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karyawan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7240A24F" w14:textId="77777777" w:rsidR="000E5C2A" w:rsidRPr="00556719" w:rsidRDefault="000E5C2A" w:rsidP="00976DB7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pengurus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pengawas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pengelola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kuasanya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pejabat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karyawan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khusus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berbadan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hukum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koperasi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349FA510" w14:textId="77777777" w:rsidR="000E5C2A" w:rsidRPr="00556719" w:rsidRDefault="000E5C2A" w:rsidP="00976DB7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memberikan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jasa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dewan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pengawas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akuntan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publik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konsultan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hukum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konsultan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terbukti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dikendalikan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6B8C3419" w14:textId="77777777" w:rsidR="000E5C2A" w:rsidRPr="00556719" w:rsidRDefault="000E5C2A" w:rsidP="00976DB7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mempunyai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keluarga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karena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perkawinan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keturunan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</w:p>
          <w:p w14:paraId="7CB78263" w14:textId="77777777" w:rsidR="000E5C2A" w:rsidRPr="00556719" w:rsidRDefault="000E5C2A" w:rsidP="00976DB7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menurut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penilaian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turut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serta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memengaruhi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pengelolaan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pemegang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keluarganya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keluarga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dewan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keluarga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pengawas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keluarga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direksi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keluarga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pengurus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6D667541" w14:textId="6FA5F76C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Saham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semua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jenis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="005A5570" w:rsidRPr="00556719">
              <w:rPr>
                <w:rFonts w:ascii="Bookman Old Style" w:hAnsi="Bookman Old Style" w:cstheme="majorHAnsi"/>
                <w:sz w:val="20"/>
                <w:szCs w:val="20"/>
              </w:rPr>
              <w:t>saham</w:t>
            </w:r>
            <w:proofErr w:type="spellEnd"/>
            <w:r w:rsidR="005A5570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="005A5570" w:rsidRPr="00556719">
              <w:rPr>
                <w:rFonts w:ascii="Bookman Old Style" w:hAnsi="Bookman Old Style" w:cstheme="majorHAnsi"/>
                <w:sz w:val="20"/>
                <w:szCs w:val="20"/>
              </w:rPr>
              <w:t>memiliki</w:t>
            </w:r>
            <w:proofErr w:type="spellEnd"/>
            <w:r w:rsidR="005A5570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="005A5570" w:rsidRPr="00556719">
              <w:rPr>
                <w:rFonts w:ascii="Bookman Old Style" w:hAnsi="Bookman Old Style" w:cstheme="majorHAnsi"/>
                <w:sz w:val="20"/>
                <w:szCs w:val="20"/>
              </w:rPr>
              <w:t>hak</w:t>
            </w:r>
            <w:proofErr w:type="spellEnd"/>
            <w:r w:rsidR="005A5570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="005A5570" w:rsidRPr="00556719">
              <w:rPr>
                <w:rFonts w:ascii="Bookman Old Style" w:hAnsi="Bookman Old Style" w:cstheme="majorHAnsi"/>
                <w:sz w:val="20"/>
                <w:szCs w:val="20"/>
              </w:rPr>
              <w:t>suara</w:t>
            </w:r>
            <w:proofErr w:type="spellEnd"/>
            <w:r w:rsidR="005A5570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53987ACB" w14:textId="77777777" w:rsidTr="00384609">
        <w:tc>
          <w:tcPr>
            <w:tcW w:w="2500" w:type="pct"/>
          </w:tcPr>
          <w:p w14:paraId="06E8C7A5" w14:textId="05113803" w:rsidR="000E5C2A" w:rsidRPr="00556719" w:rsidRDefault="000E5C2A" w:rsidP="00976DB7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10%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sendiri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bersama-sama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</w:tc>
        <w:tc>
          <w:tcPr>
            <w:tcW w:w="2500" w:type="pct"/>
          </w:tcPr>
          <w:p w14:paraId="2BB76AFB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a </w:t>
            </w:r>
          </w:p>
          <w:p w14:paraId="2B3FB92B" w14:textId="7DC373AF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08885977" w14:textId="77777777" w:rsidTr="00384609">
        <w:tc>
          <w:tcPr>
            <w:tcW w:w="2500" w:type="pct"/>
          </w:tcPr>
          <w:p w14:paraId="5B92E9F4" w14:textId="5DE8E85B" w:rsidR="000E5C2A" w:rsidRPr="00556719" w:rsidRDefault="000E5C2A" w:rsidP="00976DB7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opsi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jika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dieksekusi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menyebabkan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mengendalikan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10%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sendiri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bersama-sama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</w:tc>
        <w:tc>
          <w:tcPr>
            <w:tcW w:w="2500" w:type="pct"/>
          </w:tcPr>
          <w:p w14:paraId="47E06EC8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b </w:t>
            </w:r>
          </w:p>
          <w:p w14:paraId="0806CD8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2E262C41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32336F0" w14:textId="77777777" w:rsidTr="00384609">
        <w:tc>
          <w:tcPr>
            <w:tcW w:w="2500" w:type="pct"/>
          </w:tcPr>
          <w:p w14:paraId="413B2B51" w14:textId="0CEB6B72" w:rsidR="000E5C2A" w:rsidRPr="00556719" w:rsidRDefault="000E5C2A" w:rsidP="00976DB7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kerjasama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tindakan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sejalan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mencapai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tujuan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mengendalikan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(acting in concert),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tanpa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perjanjian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tertulis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sehingga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bersama-sama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mengendalikan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10%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lain;</w:t>
            </w:r>
          </w:p>
        </w:tc>
        <w:tc>
          <w:tcPr>
            <w:tcW w:w="2500" w:type="pct"/>
          </w:tcPr>
          <w:p w14:paraId="5C985BAA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c </w:t>
            </w:r>
          </w:p>
          <w:p w14:paraId="5C01751A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15F997B2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D788839" w14:textId="77777777" w:rsidTr="00384609">
        <w:tc>
          <w:tcPr>
            <w:tcW w:w="2500" w:type="pct"/>
          </w:tcPr>
          <w:p w14:paraId="51C4C534" w14:textId="021027A2" w:rsidR="000E5C2A" w:rsidRPr="00556719" w:rsidRDefault="000E5C2A" w:rsidP="00976DB7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kerjasama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tindakan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sejalan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mencapai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tujuan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mengendalikan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(acting in concert),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tanpa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perjanjian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tertulis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sehingga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bersama-sama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mempunyai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opsi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jika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dieksekusi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menyebabkan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mengendalikan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10%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bersama-sama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</w:tc>
        <w:tc>
          <w:tcPr>
            <w:tcW w:w="2500" w:type="pct"/>
          </w:tcPr>
          <w:p w14:paraId="55F812AC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lastRenderedPageBreak/>
              <w:t xml:space="preserve">Huruf d </w:t>
            </w:r>
          </w:p>
          <w:p w14:paraId="28F128C0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04CE2FE4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D199129" w14:textId="77777777" w:rsidTr="00384609">
        <w:tc>
          <w:tcPr>
            <w:tcW w:w="2500" w:type="pct"/>
          </w:tcPr>
          <w:p w14:paraId="34AE07C7" w14:textId="26B22ECF" w:rsidR="000E5C2A" w:rsidRPr="00556719" w:rsidRDefault="000E5C2A" w:rsidP="00976DB7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kewenangan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kemampuan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menyetujui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mengangkat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,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memberhentikan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Dewan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Direksi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lain;</w:t>
            </w:r>
          </w:p>
        </w:tc>
        <w:tc>
          <w:tcPr>
            <w:tcW w:w="2500" w:type="pct"/>
          </w:tcPr>
          <w:p w14:paraId="0D1A52F7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e </w:t>
            </w:r>
          </w:p>
          <w:p w14:paraId="45ED96B6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136D33FD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B79D4C8" w14:textId="77777777" w:rsidTr="00384609">
        <w:tc>
          <w:tcPr>
            <w:tcW w:w="2500" w:type="pct"/>
          </w:tcPr>
          <w:p w14:paraId="6A8C2400" w14:textId="59CA2B70" w:rsidR="000E5C2A" w:rsidRPr="00556719" w:rsidRDefault="000E5C2A" w:rsidP="00976DB7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kemampuan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menentukan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(controlling influence)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kebijakan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strategis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lain;</w:t>
            </w:r>
          </w:p>
        </w:tc>
        <w:tc>
          <w:tcPr>
            <w:tcW w:w="2500" w:type="pct"/>
          </w:tcPr>
          <w:p w14:paraId="6DA890DE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f </w:t>
            </w:r>
          </w:p>
          <w:p w14:paraId="1D4DF6AF" w14:textId="643C669B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Kebijakan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strategis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kebijakan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menyangkut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penetapan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arah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tujuan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pelaksanaan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us</w:t>
            </w:r>
            <w:r w:rsidR="005A5570" w:rsidRPr="00556719">
              <w:rPr>
                <w:rFonts w:ascii="Bookman Old Style" w:hAnsi="Bookman Old Style" w:cstheme="majorHAnsi"/>
                <w:sz w:val="20"/>
                <w:szCs w:val="20"/>
              </w:rPr>
              <w:t>aha</w:t>
            </w:r>
            <w:proofErr w:type="spellEnd"/>
            <w:r w:rsidR="005A5570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="005A5570" w:rsidRPr="00556719">
              <w:rPr>
                <w:rFonts w:ascii="Bookman Old Style" w:hAnsi="Bookman Old Style" w:cstheme="majorHAnsi"/>
                <w:sz w:val="20"/>
                <w:szCs w:val="20"/>
              </w:rPr>
              <w:t>berdampak</w:t>
            </w:r>
            <w:proofErr w:type="spellEnd"/>
            <w:r w:rsidR="005A5570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="005A5570" w:rsidRPr="00556719">
              <w:rPr>
                <w:rFonts w:ascii="Bookman Old Style" w:hAnsi="Bookman Old Style" w:cstheme="majorHAnsi"/>
                <w:sz w:val="20"/>
                <w:szCs w:val="20"/>
              </w:rPr>
              <w:t>signifikan</w:t>
            </w:r>
            <w:proofErr w:type="spellEnd"/>
            <w:r w:rsidR="005A5570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03694584" w14:textId="77777777" w:rsidTr="00384609">
        <w:tc>
          <w:tcPr>
            <w:tcW w:w="2500" w:type="pct"/>
          </w:tcPr>
          <w:p w14:paraId="75B4C83F" w14:textId="4DF62DC7" w:rsidR="000E5C2A" w:rsidRPr="00556719" w:rsidRDefault="000E5C2A" w:rsidP="00976DB7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mengendalikan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keseluruhan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mengendalikan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bersama-sama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10%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lain;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</w:p>
        </w:tc>
        <w:tc>
          <w:tcPr>
            <w:tcW w:w="2500" w:type="pct"/>
          </w:tcPr>
          <w:p w14:paraId="4C1388FA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g </w:t>
            </w:r>
          </w:p>
          <w:p w14:paraId="247ACE77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33731681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4864807" w14:textId="77777777" w:rsidTr="00384609">
        <w:tc>
          <w:tcPr>
            <w:tcW w:w="2500" w:type="pct"/>
          </w:tcPr>
          <w:p w14:paraId="326835C3" w14:textId="0BD79259" w:rsidR="000E5C2A" w:rsidRPr="00556719" w:rsidRDefault="000E5C2A" w:rsidP="00976DB7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a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g.</w:t>
            </w:r>
          </w:p>
        </w:tc>
        <w:tc>
          <w:tcPr>
            <w:tcW w:w="2500" w:type="pct"/>
          </w:tcPr>
          <w:p w14:paraId="1345E00D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h </w:t>
            </w:r>
          </w:p>
          <w:p w14:paraId="62E33B53" w14:textId="7AB11EB2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567B604E" w14:textId="77777777" w:rsidTr="00384609">
        <w:tc>
          <w:tcPr>
            <w:tcW w:w="2500" w:type="pct"/>
          </w:tcPr>
          <w:p w14:paraId="6F7F4D4A" w14:textId="68513B5D" w:rsidR="000E5C2A" w:rsidRPr="00556719" w:rsidRDefault="000E5C2A" w:rsidP="00976DB7">
            <w:pPr>
              <w:pStyle w:val="Default"/>
              <w:numPr>
                <w:ilvl w:val="0"/>
                <w:numId w:val="7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c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perorangan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langsung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langsung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01C500BB" w14:textId="4E56664F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Ayat (3)</w:t>
            </w:r>
          </w:p>
        </w:tc>
      </w:tr>
      <w:tr w:rsidR="00556719" w:rsidRPr="00556719" w14:paraId="5BFBBABC" w14:textId="77777777" w:rsidTr="00384609">
        <w:tc>
          <w:tcPr>
            <w:tcW w:w="2500" w:type="pct"/>
          </w:tcPr>
          <w:p w14:paraId="775BC683" w14:textId="3DA867D6" w:rsidR="000E5C2A" w:rsidRPr="00556719" w:rsidRDefault="000E5C2A" w:rsidP="00976DB7">
            <w:pPr>
              <w:pStyle w:val="Default"/>
              <w:numPr>
                <w:ilvl w:val="0"/>
                <w:numId w:val="2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10%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porsi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kepemilikan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terbesar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</w:tc>
        <w:tc>
          <w:tcPr>
            <w:tcW w:w="2500" w:type="pct"/>
          </w:tcPr>
          <w:p w14:paraId="02F11797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a </w:t>
            </w:r>
          </w:p>
          <w:p w14:paraId="7622C0DD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16DB8DEC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CF05559" w14:textId="77777777" w:rsidTr="00384609">
        <w:tc>
          <w:tcPr>
            <w:tcW w:w="2500" w:type="pct"/>
          </w:tcPr>
          <w:p w14:paraId="4E814B26" w14:textId="6251CC8B" w:rsidR="000E5C2A" w:rsidRPr="00556719" w:rsidRDefault="000E5C2A" w:rsidP="00976DB7">
            <w:pPr>
              <w:pStyle w:val="Default"/>
              <w:numPr>
                <w:ilvl w:val="0"/>
                <w:numId w:val="2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sendiri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bersama-sama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25%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dua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lima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lain;</w:t>
            </w:r>
          </w:p>
        </w:tc>
        <w:tc>
          <w:tcPr>
            <w:tcW w:w="2500" w:type="pct"/>
          </w:tcPr>
          <w:p w14:paraId="2E4DC34B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Huruf b</w:t>
            </w:r>
          </w:p>
          <w:p w14:paraId="7849D91A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512CCC11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88EC876" w14:textId="77777777" w:rsidTr="00384609">
        <w:tc>
          <w:tcPr>
            <w:tcW w:w="2500" w:type="pct"/>
          </w:tcPr>
          <w:p w14:paraId="4EE3048D" w14:textId="6992BB30" w:rsidR="000E5C2A" w:rsidRPr="00556719" w:rsidRDefault="000E5C2A" w:rsidP="00976DB7">
            <w:pPr>
              <w:pStyle w:val="Default"/>
              <w:numPr>
                <w:ilvl w:val="0"/>
                <w:numId w:val="2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opsi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jika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dieksekusi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menyebabkan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mengendalikan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56719">
              <w:rPr>
                <w:rFonts w:cstheme="majorHAnsi"/>
                <w:color w:val="auto"/>
                <w:sz w:val="20"/>
                <w:szCs w:val="20"/>
              </w:rPr>
              <w:t>a</w:t>
            </w:r>
            <w:proofErr w:type="gram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b;</w:t>
            </w:r>
          </w:p>
        </w:tc>
        <w:tc>
          <w:tcPr>
            <w:tcW w:w="2500" w:type="pct"/>
          </w:tcPr>
          <w:p w14:paraId="441AB7E0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Huruf c</w:t>
            </w:r>
          </w:p>
          <w:p w14:paraId="500CE8E9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763269AA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191A9A2" w14:textId="77777777" w:rsidTr="00384609">
        <w:tc>
          <w:tcPr>
            <w:tcW w:w="2500" w:type="pct"/>
          </w:tcPr>
          <w:p w14:paraId="01005223" w14:textId="3CF77ACF" w:rsidR="000E5C2A" w:rsidRPr="00556719" w:rsidRDefault="000E5C2A" w:rsidP="00976DB7">
            <w:pPr>
              <w:pStyle w:val="Default"/>
              <w:numPr>
                <w:ilvl w:val="0"/>
                <w:numId w:val="2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kerjasama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tindakan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sejalan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mencapai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tujuan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mengendalikan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(acting in concert),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tanpa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perjanjian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tertulis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sehingga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bersama-sama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mengendalikan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56719">
              <w:rPr>
                <w:rFonts w:cstheme="majorHAnsi"/>
                <w:color w:val="auto"/>
                <w:sz w:val="20"/>
                <w:szCs w:val="20"/>
              </w:rPr>
              <w:t>a</w:t>
            </w:r>
            <w:proofErr w:type="gram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b;</w:t>
            </w:r>
          </w:p>
        </w:tc>
        <w:tc>
          <w:tcPr>
            <w:tcW w:w="2500" w:type="pct"/>
          </w:tcPr>
          <w:p w14:paraId="1A501900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Huruf d</w:t>
            </w:r>
          </w:p>
          <w:p w14:paraId="0DDBCD20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045BAEA2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7FA6A34" w14:textId="77777777" w:rsidTr="00384609">
        <w:tc>
          <w:tcPr>
            <w:tcW w:w="2500" w:type="pct"/>
          </w:tcPr>
          <w:p w14:paraId="7A262F7A" w14:textId="75E5F7A2" w:rsidR="000E5C2A" w:rsidRPr="00556719" w:rsidRDefault="000E5C2A" w:rsidP="00976DB7">
            <w:pPr>
              <w:pStyle w:val="Default"/>
              <w:numPr>
                <w:ilvl w:val="0"/>
                <w:numId w:val="2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melakukan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kerjasama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tindakan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sejalan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mencapai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tujuan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mengendalikan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(acting in concert),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tanpa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perjanjian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tertulis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sehingga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bersama-sama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mempunyai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opsi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jika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dieksekusi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menyebabkan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mengendalikan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bersama-sama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56719">
              <w:rPr>
                <w:rFonts w:cstheme="majorHAnsi"/>
                <w:color w:val="auto"/>
                <w:sz w:val="20"/>
                <w:szCs w:val="20"/>
              </w:rPr>
              <w:t>a</w:t>
            </w:r>
            <w:proofErr w:type="gram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b;</w:t>
            </w:r>
          </w:p>
        </w:tc>
        <w:tc>
          <w:tcPr>
            <w:tcW w:w="2500" w:type="pct"/>
          </w:tcPr>
          <w:p w14:paraId="4458F9F9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Huruf e</w:t>
            </w:r>
          </w:p>
          <w:p w14:paraId="247AABE3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25F84E56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0B0069B" w14:textId="77777777" w:rsidTr="00384609">
        <w:tc>
          <w:tcPr>
            <w:tcW w:w="2500" w:type="pct"/>
          </w:tcPr>
          <w:p w14:paraId="1D98B6DA" w14:textId="2FCE683A" w:rsidR="000E5C2A" w:rsidRPr="00556719" w:rsidRDefault="000E5C2A" w:rsidP="00976DB7">
            <w:pPr>
              <w:pStyle w:val="Default"/>
              <w:numPr>
                <w:ilvl w:val="0"/>
                <w:numId w:val="2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kewenangan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kemampuan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menyetujui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mengangkat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memberhentikan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dewan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direksi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lain;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</w:p>
        </w:tc>
        <w:tc>
          <w:tcPr>
            <w:tcW w:w="2500" w:type="pct"/>
          </w:tcPr>
          <w:p w14:paraId="1120E28F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Huruf f</w:t>
            </w:r>
          </w:p>
          <w:p w14:paraId="35A0392E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06AB94E0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7470892" w14:textId="77777777" w:rsidTr="00384609">
        <w:tc>
          <w:tcPr>
            <w:tcW w:w="2500" w:type="pct"/>
          </w:tcPr>
          <w:p w14:paraId="321843DB" w14:textId="216182B7" w:rsidR="000E5C2A" w:rsidRPr="00556719" w:rsidRDefault="000E5C2A" w:rsidP="00976DB7">
            <w:pPr>
              <w:pStyle w:val="Default"/>
              <w:numPr>
                <w:ilvl w:val="0"/>
                <w:numId w:val="2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kemampuan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menentukan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(controlling influence)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kebijakan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operasional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kebijakan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lain.</w:t>
            </w:r>
          </w:p>
        </w:tc>
        <w:tc>
          <w:tcPr>
            <w:tcW w:w="2500" w:type="pct"/>
          </w:tcPr>
          <w:p w14:paraId="51E4330D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g </w:t>
            </w:r>
          </w:p>
          <w:p w14:paraId="67F00984" w14:textId="77B0CD89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Kebijakan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strategis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kebijakan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menyangkut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penetapan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arah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tujuan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pelaksanaan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berdampak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signifikan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38F47B34" w14:textId="77777777" w:rsidTr="00384609">
        <w:tc>
          <w:tcPr>
            <w:tcW w:w="2500" w:type="pct"/>
          </w:tcPr>
          <w:p w14:paraId="1938C562" w14:textId="77777777" w:rsidR="005A5570" w:rsidRPr="00556719" w:rsidRDefault="005A5570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1F902FD" w14:textId="77777777" w:rsidR="005A5570" w:rsidRPr="00556719" w:rsidRDefault="005A557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47FDB4A" w14:textId="77777777" w:rsidTr="00384609">
        <w:tc>
          <w:tcPr>
            <w:tcW w:w="2500" w:type="pct"/>
          </w:tcPr>
          <w:p w14:paraId="5EE50FC2" w14:textId="7C29A8CA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10</w:t>
            </w:r>
          </w:p>
        </w:tc>
        <w:tc>
          <w:tcPr>
            <w:tcW w:w="2500" w:type="pct"/>
          </w:tcPr>
          <w:p w14:paraId="141A76BF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B44A1DA" w14:textId="77777777" w:rsidTr="00384609">
        <w:tc>
          <w:tcPr>
            <w:tcW w:w="2500" w:type="pct"/>
          </w:tcPr>
          <w:p w14:paraId="789EBABF" w14:textId="1FE6D3FE" w:rsidR="000E5C2A" w:rsidRPr="00556719" w:rsidRDefault="000E5C2A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Dalam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penetapan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9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sampai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berlaku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7C6F32A2" w14:textId="48E38522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28A33C4" w14:textId="77777777" w:rsidTr="00384609">
        <w:tc>
          <w:tcPr>
            <w:tcW w:w="2500" w:type="pct"/>
          </w:tcPr>
          <w:p w14:paraId="0BA9F2AC" w14:textId="6FEB254C" w:rsidR="000E5C2A" w:rsidRPr="00556719" w:rsidRDefault="000E5C2A" w:rsidP="00976DB7">
            <w:pPr>
              <w:pStyle w:val="Default"/>
              <w:numPr>
                <w:ilvl w:val="0"/>
                <w:numId w:val="2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fasilitas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diberikan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debitur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kegiatan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umumnya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 dan</w:t>
            </w:r>
          </w:p>
        </w:tc>
        <w:tc>
          <w:tcPr>
            <w:tcW w:w="2500" w:type="pct"/>
          </w:tcPr>
          <w:p w14:paraId="0E80EB5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a </w:t>
            </w:r>
          </w:p>
          <w:p w14:paraId="02D0CED6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Fasilitas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diberikan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debitur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kegiatan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pada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umumnya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pinjaman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penjaminan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diberikan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11CF7546" w14:textId="143A8C1A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Contoh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penjaminan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diberikan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performance bond, bid bond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akseptasi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54D35EFD" w14:textId="6A76C72F" w:rsidTr="00384609">
        <w:tc>
          <w:tcPr>
            <w:tcW w:w="2500" w:type="pct"/>
          </w:tcPr>
          <w:p w14:paraId="02A06895" w14:textId="429B6CCE" w:rsidR="000E5C2A" w:rsidRPr="00556719" w:rsidRDefault="000E5C2A" w:rsidP="00976DB7">
            <w:pPr>
              <w:pStyle w:val="Default"/>
              <w:numPr>
                <w:ilvl w:val="0"/>
                <w:numId w:val="2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pemberian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asuransi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Republik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Indonesia,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negara lain.</w:t>
            </w:r>
          </w:p>
        </w:tc>
        <w:tc>
          <w:tcPr>
            <w:tcW w:w="2500" w:type="pct"/>
          </w:tcPr>
          <w:p w14:paraId="712439C1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b </w:t>
            </w:r>
          </w:p>
          <w:p w14:paraId="789490B2" w14:textId="15C88778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7E69E788" w14:textId="77777777" w:rsidTr="00384609">
        <w:tc>
          <w:tcPr>
            <w:tcW w:w="2500" w:type="pct"/>
          </w:tcPr>
          <w:p w14:paraId="73613B12" w14:textId="2FCF408C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9C13F08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3DBB15C" w14:textId="77777777" w:rsidTr="00384609">
        <w:tc>
          <w:tcPr>
            <w:tcW w:w="2500" w:type="pct"/>
          </w:tcPr>
          <w:p w14:paraId="25FC0CB4" w14:textId="360CB2D8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</w:t>
            </w:r>
            <w:r w:rsidR="00E55BFD">
              <w:rPr>
                <w:rFonts w:ascii="Bookman Old Style" w:hAnsi="Bookman Old Style" w:cstheme="majorHAnsi"/>
                <w:sz w:val="20"/>
                <w:szCs w:val="20"/>
              </w:rPr>
              <w:t>1</w:t>
            </w:r>
          </w:p>
        </w:tc>
        <w:tc>
          <w:tcPr>
            <w:tcW w:w="2500" w:type="pct"/>
          </w:tcPr>
          <w:p w14:paraId="1C65ABBF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EFE3CAD" w14:textId="77777777" w:rsidTr="00384609">
        <w:tc>
          <w:tcPr>
            <w:tcW w:w="2500" w:type="pct"/>
          </w:tcPr>
          <w:p w14:paraId="2A4F0975" w14:textId="2865CF4D" w:rsidR="005A5570" w:rsidRPr="00556719" w:rsidRDefault="005A5570" w:rsidP="00976DB7">
            <w:pPr>
              <w:pStyle w:val="Default"/>
              <w:numPr>
                <w:ilvl w:val="0"/>
                <w:numId w:val="7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Pembiayaan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Pejabat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Eksekutif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dikecualikan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Pembiayaan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9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sepanjang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diberikan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kesejahteraan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sumber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daya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manusia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kebijakan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tunjangan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fasilitas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jabatan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serta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diberikan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352A9E0E" w14:textId="7B355EA6" w:rsidR="005A5570" w:rsidRPr="00556719" w:rsidRDefault="005A557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031DE26C" w14:textId="691BC5D3" w:rsidTr="00384609">
        <w:tc>
          <w:tcPr>
            <w:tcW w:w="2500" w:type="pct"/>
          </w:tcPr>
          <w:p w14:paraId="3D72BE2D" w14:textId="7EE4C29F" w:rsidR="000E5C2A" w:rsidRPr="00556719" w:rsidRDefault="000E5C2A" w:rsidP="00976DB7">
            <w:pPr>
              <w:pStyle w:val="Default"/>
              <w:numPr>
                <w:ilvl w:val="0"/>
                <w:numId w:val="7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Kriteria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diberikan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sedikit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memenuhi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0FFE0874" w14:textId="6334C9FA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10A5BB7" w14:textId="77777777" w:rsidTr="00384609">
        <w:tc>
          <w:tcPr>
            <w:tcW w:w="2500" w:type="pct"/>
          </w:tcPr>
          <w:p w14:paraId="7B3A47F9" w14:textId="5F2213D9" w:rsidR="005A5570" w:rsidRPr="00556719" w:rsidRDefault="002A4AB9" w:rsidP="00976DB7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Pejabat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Eksekutif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kemampuan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mengembalikan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Pembiayaan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</w:tc>
        <w:tc>
          <w:tcPr>
            <w:tcW w:w="2500" w:type="pct"/>
          </w:tcPr>
          <w:p w14:paraId="05E804BC" w14:textId="77777777" w:rsidR="005A5570" w:rsidRPr="00556719" w:rsidRDefault="005A557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8A5E926" w14:textId="77777777" w:rsidTr="00384609">
        <w:tc>
          <w:tcPr>
            <w:tcW w:w="2500" w:type="pct"/>
          </w:tcPr>
          <w:p w14:paraId="0E9EC40A" w14:textId="075E8FC9" w:rsidR="005A5570" w:rsidRPr="00556719" w:rsidRDefault="002A4AB9" w:rsidP="00976DB7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penilaian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pemberian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Pembiayaan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memperhatikan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prinsip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kehati-hatian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setara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pemberian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Pembiayaan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Pejabat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Eksekutif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Bank;</w:t>
            </w:r>
          </w:p>
        </w:tc>
        <w:tc>
          <w:tcPr>
            <w:tcW w:w="2500" w:type="pct"/>
          </w:tcPr>
          <w:p w14:paraId="7BD36A67" w14:textId="77777777" w:rsidR="005A5570" w:rsidRPr="00556719" w:rsidRDefault="005A557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0E9DFB8" w14:textId="77777777" w:rsidTr="00384609">
        <w:tc>
          <w:tcPr>
            <w:tcW w:w="2500" w:type="pct"/>
          </w:tcPr>
          <w:p w14:paraId="581C7872" w14:textId="77FD422A" w:rsidR="005A5570" w:rsidRPr="00556719" w:rsidRDefault="002A4AB9" w:rsidP="00976DB7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perlakuan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khusus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antar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Pejabat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Eksekutif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pemberian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Pembiayaan; dan</w:t>
            </w:r>
          </w:p>
        </w:tc>
        <w:tc>
          <w:tcPr>
            <w:tcW w:w="2500" w:type="pct"/>
          </w:tcPr>
          <w:p w14:paraId="5745841B" w14:textId="77777777" w:rsidR="005A5570" w:rsidRPr="00556719" w:rsidRDefault="005A557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94AC14C" w14:textId="77777777" w:rsidTr="00384609">
        <w:tc>
          <w:tcPr>
            <w:tcW w:w="2500" w:type="pct"/>
          </w:tcPr>
          <w:p w14:paraId="35372234" w14:textId="290B3EFB" w:rsidR="002A4AB9" w:rsidRPr="00556719" w:rsidRDefault="002A4AB9" w:rsidP="00976DB7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tata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pemberian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Pembiayaan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diatur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kepegawaian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berlaku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umum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1F27EA0D" w14:textId="77777777" w:rsidR="002A4AB9" w:rsidRPr="00556719" w:rsidRDefault="002A4AB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E7AADE0" w14:textId="77777777" w:rsidTr="00384609">
        <w:tc>
          <w:tcPr>
            <w:tcW w:w="2500" w:type="pct"/>
          </w:tcPr>
          <w:p w14:paraId="3EF05086" w14:textId="77777777" w:rsidR="002A4AB9" w:rsidRPr="00556719" w:rsidRDefault="002A4AB9" w:rsidP="002A4AB9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44DF9F3" w14:textId="77777777" w:rsidR="002A4AB9" w:rsidRPr="00556719" w:rsidRDefault="002A4AB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A67F564" w14:textId="77777777" w:rsidTr="00384609">
        <w:tc>
          <w:tcPr>
            <w:tcW w:w="2500" w:type="pct"/>
          </w:tcPr>
          <w:p w14:paraId="0F703C83" w14:textId="4C633773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</w:t>
            </w:r>
            <w:r w:rsidR="00E55BFD">
              <w:rPr>
                <w:rFonts w:ascii="Bookman Old Style" w:hAnsi="Bookman Old Style" w:cstheme="majorHAnsi"/>
                <w:sz w:val="20"/>
                <w:szCs w:val="20"/>
              </w:rPr>
              <w:t>2</w:t>
            </w:r>
          </w:p>
        </w:tc>
        <w:tc>
          <w:tcPr>
            <w:tcW w:w="2500" w:type="pct"/>
          </w:tcPr>
          <w:p w14:paraId="00B44F3E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2075A07" w14:textId="77777777" w:rsidTr="00384609">
        <w:tc>
          <w:tcPr>
            <w:tcW w:w="2500" w:type="pct"/>
          </w:tcPr>
          <w:p w14:paraId="7ED0CE03" w14:textId="764C3134" w:rsidR="000E5C2A" w:rsidRPr="00556719" w:rsidRDefault="000E5C2A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hukum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9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dikendalikan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melalui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pensiun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dikecualikan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sepanjang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memenuhi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2B7C3477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3758A76" w14:textId="77777777" w:rsidTr="00384609">
        <w:tc>
          <w:tcPr>
            <w:tcW w:w="2500" w:type="pct"/>
          </w:tcPr>
          <w:p w14:paraId="0F97656C" w14:textId="7F2D1B5D" w:rsidR="000E5C2A" w:rsidRPr="00556719" w:rsidRDefault="000E5C2A" w:rsidP="00976DB7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dikendalikan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pensiun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semata-mata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disebabkan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adanya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kepemilikan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pensiun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dikendalikan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 dan</w:t>
            </w:r>
          </w:p>
        </w:tc>
        <w:tc>
          <w:tcPr>
            <w:tcW w:w="2500" w:type="pct"/>
          </w:tcPr>
          <w:p w14:paraId="76B073A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a </w:t>
            </w:r>
          </w:p>
          <w:p w14:paraId="6A517EE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Contoh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: </w:t>
            </w:r>
          </w:p>
          <w:p w14:paraId="537DFE11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Bank “A”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mengendalikan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pensiun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“B”. Badan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hukum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pensiun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“B”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“A”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sepanjang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: </w:t>
            </w:r>
          </w:p>
          <w:p w14:paraId="2388BB14" w14:textId="77777777" w:rsidR="000E5C2A" w:rsidRPr="00556719" w:rsidRDefault="000E5C2A" w:rsidP="00976DB7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pengendalian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langsung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“A”;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</w:p>
          <w:p w14:paraId="3E1A9164" w14:textId="557034FF" w:rsidR="000E5C2A" w:rsidRPr="00556719" w:rsidRDefault="000E5C2A" w:rsidP="00976DB7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pengendalian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pensiun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“B”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selain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karena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kepemilikan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1F36DA5E" w14:textId="1855A16E" w:rsidTr="00384609">
        <w:tc>
          <w:tcPr>
            <w:tcW w:w="2500" w:type="pct"/>
          </w:tcPr>
          <w:p w14:paraId="026CD420" w14:textId="0187A721" w:rsidR="000E5C2A" w:rsidRPr="00556719" w:rsidRDefault="000E5C2A" w:rsidP="00976DB7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diberikan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sesuai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prosedur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umum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Penyediaan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Dana.</w:t>
            </w:r>
          </w:p>
        </w:tc>
        <w:tc>
          <w:tcPr>
            <w:tcW w:w="2500" w:type="pct"/>
          </w:tcPr>
          <w:p w14:paraId="36F3A49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b </w:t>
            </w:r>
          </w:p>
          <w:p w14:paraId="54B9C69E" w14:textId="3BFDB9E0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08BA1937" w14:textId="77777777" w:rsidTr="00384609">
        <w:tc>
          <w:tcPr>
            <w:tcW w:w="2500" w:type="pct"/>
          </w:tcPr>
          <w:p w14:paraId="03A8CBA8" w14:textId="77777777" w:rsidR="002A4AB9" w:rsidRPr="00556719" w:rsidRDefault="002A4AB9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D999A1C" w14:textId="77777777" w:rsidR="002A4AB9" w:rsidRPr="00556719" w:rsidRDefault="002A4AB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BDC00D2" w14:textId="77777777" w:rsidTr="00384609">
        <w:tc>
          <w:tcPr>
            <w:tcW w:w="2500" w:type="pct"/>
          </w:tcPr>
          <w:p w14:paraId="778C737A" w14:textId="0905E265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</w:t>
            </w:r>
            <w:r w:rsidR="00E55BFD">
              <w:rPr>
                <w:rFonts w:ascii="Bookman Old Style" w:hAnsi="Bookman Old Style" w:cstheme="majorHAnsi"/>
                <w:sz w:val="20"/>
                <w:szCs w:val="20"/>
              </w:rPr>
              <w:t>3</w:t>
            </w:r>
          </w:p>
        </w:tc>
        <w:tc>
          <w:tcPr>
            <w:tcW w:w="2500" w:type="pct"/>
          </w:tcPr>
          <w:p w14:paraId="4C343280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734D7F9" w14:textId="77777777" w:rsidTr="00384609">
        <w:tc>
          <w:tcPr>
            <w:tcW w:w="2500" w:type="pct"/>
          </w:tcPr>
          <w:p w14:paraId="45C60435" w14:textId="6FC2FBE8" w:rsidR="000E5C2A" w:rsidRPr="00556719" w:rsidRDefault="000E5C2A" w:rsidP="00976DB7">
            <w:pPr>
              <w:pStyle w:val="Default"/>
              <w:numPr>
                <w:ilvl w:val="0"/>
                <w:numId w:val="2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direksi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dewan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459F1080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589C4EAD" w14:textId="39AE37CF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46D35811" w14:textId="77777777" w:rsidTr="00384609">
        <w:tc>
          <w:tcPr>
            <w:tcW w:w="2500" w:type="pct"/>
          </w:tcPr>
          <w:p w14:paraId="71B5685A" w14:textId="02C65A79" w:rsidR="000E5C2A" w:rsidRPr="00556719" w:rsidRDefault="000E5C2A" w:rsidP="00976DB7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Dewan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Bank,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9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d;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</w:p>
        </w:tc>
        <w:tc>
          <w:tcPr>
            <w:tcW w:w="2500" w:type="pct"/>
          </w:tcPr>
          <w:p w14:paraId="57712BB8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6515F68" w14:textId="77777777" w:rsidTr="00384609">
        <w:tc>
          <w:tcPr>
            <w:tcW w:w="2500" w:type="pct"/>
          </w:tcPr>
          <w:p w14:paraId="73732224" w14:textId="56AA6D71" w:rsidR="000E5C2A" w:rsidRPr="00556719" w:rsidRDefault="000E5C2A" w:rsidP="00976DB7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keluarga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Dewan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9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e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2,</w:t>
            </w:r>
          </w:p>
        </w:tc>
        <w:tc>
          <w:tcPr>
            <w:tcW w:w="2500" w:type="pct"/>
          </w:tcPr>
          <w:p w14:paraId="22F1BB20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0EC3358" w14:textId="77777777" w:rsidTr="00384609">
        <w:tc>
          <w:tcPr>
            <w:tcW w:w="2500" w:type="pct"/>
          </w:tcPr>
          <w:p w14:paraId="72F472BB" w14:textId="5A7D170B" w:rsidR="000E5C2A" w:rsidRPr="00556719" w:rsidRDefault="000E5C2A" w:rsidP="002A4AB9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dikecualikan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sepanjang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memenuh</w:t>
            </w:r>
            <w:r w:rsidR="002A4AB9" w:rsidRPr="00556719">
              <w:rPr>
                <w:rFonts w:cstheme="majorHAnsi"/>
                <w:color w:val="auto"/>
                <w:sz w:val="20"/>
                <w:szCs w:val="20"/>
              </w:rPr>
              <w:t>i</w:t>
            </w:r>
            <w:proofErr w:type="spellEnd"/>
            <w:r w:rsidR="002A4AB9"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A4AB9"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="002A4AB9"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A4AB9"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="002A4AB9"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26E2625A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D52E9B8" w14:textId="77777777" w:rsidTr="00384609">
        <w:tc>
          <w:tcPr>
            <w:tcW w:w="2500" w:type="pct"/>
          </w:tcPr>
          <w:p w14:paraId="234936FE" w14:textId="5C0D9F18" w:rsidR="000E5C2A" w:rsidRPr="00556719" w:rsidRDefault="000E5C2A" w:rsidP="00976DB7">
            <w:pPr>
              <w:pStyle w:val="Default"/>
              <w:numPr>
                <w:ilvl w:val="0"/>
                <w:numId w:val="2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4ACF6100" w14:textId="47BEA324" w:rsidR="000E5C2A" w:rsidRPr="00556719" w:rsidRDefault="0038460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</w:tc>
      </w:tr>
      <w:tr w:rsidR="00556719" w:rsidRPr="00556719" w14:paraId="6B539CBE" w14:textId="77777777" w:rsidTr="00384609">
        <w:tc>
          <w:tcPr>
            <w:tcW w:w="2500" w:type="pct"/>
          </w:tcPr>
          <w:p w14:paraId="15553011" w14:textId="77777777" w:rsidR="000E5C2A" w:rsidRPr="00556719" w:rsidRDefault="000E5C2A" w:rsidP="00976DB7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Dewan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independen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  <w:p w14:paraId="2F5BD6BA" w14:textId="77777777" w:rsidR="000E5C2A" w:rsidRPr="00556719" w:rsidRDefault="000E5C2A" w:rsidP="000E5C2A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D06F80E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a </w:t>
            </w:r>
          </w:p>
          <w:p w14:paraId="71496A25" w14:textId="4E9C7D76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independen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independen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perundangan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penerapan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tata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kelola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umum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32AFCC7A" w14:textId="77777777" w:rsidTr="00384609">
        <w:tc>
          <w:tcPr>
            <w:tcW w:w="2500" w:type="pct"/>
          </w:tcPr>
          <w:p w14:paraId="5A18AC8B" w14:textId="36820E8B" w:rsidR="000E5C2A" w:rsidRPr="00556719" w:rsidRDefault="000E5C2A" w:rsidP="00976DB7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Penyediaan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diberikan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sesuai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prosedur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umum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Dana;</w:t>
            </w:r>
          </w:p>
        </w:tc>
        <w:tc>
          <w:tcPr>
            <w:tcW w:w="2500" w:type="pct"/>
          </w:tcPr>
          <w:p w14:paraId="1ACF6F2D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Huruf b</w:t>
            </w:r>
          </w:p>
          <w:p w14:paraId="7FA03DAA" w14:textId="22E8C44D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308BC200" w14:textId="77777777" w:rsidTr="00384609">
        <w:tc>
          <w:tcPr>
            <w:tcW w:w="2500" w:type="pct"/>
          </w:tcPr>
          <w:p w14:paraId="21CBF478" w14:textId="4E43C53B" w:rsidR="000E5C2A" w:rsidRPr="00556719" w:rsidRDefault="000E5C2A" w:rsidP="00976DB7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independen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terlibat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langsung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langsung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pengambilan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keputusan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Dana; dan</w:t>
            </w:r>
          </w:p>
        </w:tc>
        <w:tc>
          <w:tcPr>
            <w:tcW w:w="2500" w:type="pct"/>
          </w:tcPr>
          <w:p w14:paraId="56BF853A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c </w:t>
            </w:r>
          </w:p>
          <w:p w14:paraId="286E60C8" w14:textId="0C66F850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257B8A94" w14:textId="77777777" w:rsidTr="00384609">
        <w:tc>
          <w:tcPr>
            <w:tcW w:w="2500" w:type="pct"/>
          </w:tcPr>
          <w:p w14:paraId="1C78BD1E" w14:textId="13C636A2" w:rsidR="000E5C2A" w:rsidRPr="00556719" w:rsidRDefault="000E5C2A" w:rsidP="00976DB7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6550BA4D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Huruf d</w:t>
            </w:r>
          </w:p>
          <w:p w14:paraId="5EFBF73F" w14:textId="65080060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2DDB1624" w14:textId="77777777" w:rsidTr="00384609">
        <w:tc>
          <w:tcPr>
            <w:tcW w:w="2500" w:type="pct"/>
          </w:tcPr>
          <w:p w14:paraId="056DAE50" w14:textId="77777777" w:rsidR="002A4AB9" w:rsidRPr="00556719" w:rsidRDefault="002A4AB9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5BC4F440" w14:textId="77777777" w:rsidR="002A4AB9" w:rsidRPr="00556719" w:rsidRDefault="002A4AB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A0E8CED" w14:textId="77777777" w:rsidTr="00384609">
        <w:tc>
          <w:tcPr>
            <w:tcW w:w="2500" w:type="pct"/>
          </w:tcPr>
          <w:p w14:paraId="23CD44FC" w14:textId="22B7046C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</w:t>
            </w:r>
            <w:r w:rsidR="00E55BFD">
              <w:rPr>
                <w:rFonts w:ascii="Bookman Old Style" w:hAnsi="Bookman Old Style" w:cstheme="majorHAnsi"/>
                <w:sz w:val="20"/>
                <w:szCs w:val="20"/>
              </w:rPr>
              <w:t>4</w:t>
            </w:r>
          </w:p>
        </w:tc>
        <w:tc>
          <w:tcPr>
            <w:tcW w:w="2500" w:type="pct"/>
          </w:tcPr>
          <w:p w14:paraId="63CB8054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B5A9A3E" w14:textId="77777777" w:rsidTr="00384609">
        <w:tc>
          <w:tcPr>
            <w:tcW w:w="2500" w:type="pct"/>
          </w:tcPr>
          <w:p w14:paraId="4172B7CB" w14:textId="5E466EEF" w:rsidR="000E5C2A" w:rsidRPr="00556719" w:rsidRDefault="000E5C2A" w:rsidP="002A4AB9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Penyertaan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Sementara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kegagalan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Pembiayaan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mengatur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prinsip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kehati-hatian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</w:t>
            </w:r>
            <w:r w:rsidR="002A4AB9" w:rsidRPr="00556719">
              <w:rPr>
                <w:rFonts w:cstheme="majorHAnsi"/>
                <w:color w:val="auto"/>
                <w:sz w:val="20"/>
                <w:szCs w:val="20"/>
              </w:rPr>
              <w:t>ertaan</w:t>
            </w:r>
            <w:proofErr w:type="spellEnd"/>
            <w:r w:rsidR="002A4AB9" w:rsidRPr="00556719">
              <w:rPr>
                <w:rFonts w:cstheme="majorHAnsi"/>
                <w:color w:val="auto"/>
                <w:sz w:val="20"/>
                <w:szCs w:val="20"/>
              </w:rPr>
              <w:t xml:space="preserve"> modal </w:t>
            </w:r>
            <w:proofErr w:type="spellStart"/>
            <w:r w:rsidR="002A4AB9" w:rsidRPr="00556719">
              <w:rPr>
                <w:rFonts w:cstheme="majorHAnsi"/>
                <w:color w:val="auto"/>
                <w:sz w:val="20"/>
                <w:szCs w:val="20"/>
              </w:rPr>
              <w:t>dikecualikan</w:t>
            </w:r>
            <w:proofErr w:type="spellEnd"/>
            <w:r w:rsidR="002A4AB9"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A4AB9"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="002A4AB9"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6901C23B" w14:textId="594668EF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56E507FD" w14:textId="77777777" w:rsidTr="00384609">
        <w:tc>
          <w:tcPr>
            <w:tcW w:w="2500" w:type="pct"/>
          </w:tcPr>
          <w:p w14:paraId="080FFFE4" w14:textId="6B234DC3" w:rsidR="002A4AB9" w:rsidRPr="00556719" w:rsidRDefault="002A4AB9" w:rsidP="00976DB7">
            <w:pPr>
              <w:pStyle w:val="Default"/>
              <w:numPr>
                <w:ilvl w:val="0"/>
                <w:numId w:val="3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5; dan</w:t>
            </w:r>
          </w:p>
        </w:tc>
        <w:tc>
          <w:tcPr>
            <w:tcW w:w="2500" w:type="pct"/>
          </w:tcPr>
          <w:p w14:paraId="68D88EA4" w14:textId="77777777" w:rsidR="002A4AB9" w:rsidRPr="00556719" w:rsidRDefault="002A4AB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BFAA45B" w14:textId="77777777" w:rsidTr="00384609">
        <w:tc>
          <w:tcPr>
            <w:tcW w:w="2500" w:type="pct"/>
          </w:tcPr>
          <w:p w14:paraId="11B20110" w14:textId="2D7D9120" w:rsidR="002A4AB9" w:rsidRPr="00556719" w:rsidRDefault="002A4AB9" w:rsidP="00976DB7">
            <w:pPr>
              <w:pStyle w:val="Default"/>
              <w:numPr>
                <w:ilvl w:val="0"/>
                <w:numId w:val="3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penetapan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9.</w:t>
            </w:r>
          </w:p>
        </w:tc>
        <w:tc>
          <w:tcPr>
            <w:tcW w:w="2500" w:type="pct"/>
          </w:tcPr>
          <w:p w14:paraId="74DF778F" w14:textId="77777777" w:rsidR="002A4AB9" w:rsidRPr="00556719" w:rsidRDefault="002A4AB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F78B7B1" w14:textId="1588CC01" w:rsidTr="00384609">
        <w:tc>
          <w:tcPr>
            <w:tcW w:w="2500" w:type="pct"/>
          </w:tcPr>
          <w:p w14:paraId="5FFAB95D" w14:textId="38529218" w:rsidR="000E5C2A" w:rsidRPr="00556719" w:rsidRDefault="000E5C2A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578C67B0" w14:textId="6F66E404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2A94A7B" w14:textId="77777777" w:rsidTr="00384609">
        <w:tc>
          <w:tcPr>
            <w:tcW w:w="2500" w:type="pct"/>
          </w:tcPr>
          <w:p w14:paraId="5A7E9ECA" w14:textId="057F82CC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BAB III</w:t>
            </w:r>
          </w:p>
          <w:p w14:paraId="6E0030F2" w14:textId="37963416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 DANA KEPADA SELAIN PIHAK TERKAIT</w:t>
            </w:r>
          </w:p>
        </w:tc>
        <w:tc>
          <w:tcPr>
            <w:tcW w:w="2500" w:type="pct"/>
          </w:tcPr>
          <w:p w14:paraId="0ACBE516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94B30BD" w14:textId="77777777" w:rsidTr="00384609">
        <w:tc>
          <w:tcPr>
            <w:tcW w:w="2500" w:type="pct"/>
          </w:tcPr>
          <w:p w14:paraId="1BEFC84E" w14:textId="1D7E8BC3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</w:t>
            </w:r>
            <w:r w:rsidR="00E55BFD">
              <w:rPr>
                <w:rFonts w:ascii="Bookman Old Style" w:hAnsi="Bookman Old Style" w:cstheme="majorHAnsi"/>
                <w:sz w:val="20"/>
                <w:szCs w:val="20"/>
              </w:rPr>
              <w:t>5</w:t>
            </w:r>
          </w:p>
        </w:tc>
        <w:tc>
          <w:tcPr>
            <w:tcW w:w="2500" w:type="pct"/>
          </w:tcPr>
          <w:p w14:paraId="2EB0A918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2954602" w14:textId="715A130D" w:rsidTr="00384609">
        <w:tc>
          <w:tcPr>
            <w:tcW w:w="2500" w:type="pct"/>
          </w:tcPr>
          <w:p w14:paraId="4282FB42" w14:textId="2BBD2A12" w:rsidR="000E5C2A" w:rsidRPr="00556719" w:rsidRDefault="002A4AB9" w:rsidP="002A4AB9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0914CD94" w14:textId="3B82E502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0D123287" w14:textId="77777777" w:rsidTr="00384609">
        <w:tc>
          <w:tcPr>
            <w:tcW w:w="2500" w:type="pct"/>
          </w:tcPr>
          <w:p w14:paraId="7C6CF2C9" w14:textId="21DCB94B" w:rsidR="002A4AB9" w:rsidRPr="00556719" w:rsidRDefault="002A4AB9" w:rsidP="00976DB7">
            <w:pPr>
              <w:pStyle w:val="Default"/>
              <w:numPr>
                <w:ilvl w:val="0"/>
                <w:numId w:val="3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1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Peminjam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selain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</w:p>
        </w:tc>
        <w:tc>
          <w:tcPr>
            <w:tcW w:w="2500" w:type="pct"/>
          </w:tcPr>
          <w:p w14:paraId="7AAAFF54" w14:textId="77777777" w:rsidR="002A4AB9" w:rsidRPr="00556719" w:rsidRDefault="002A4AB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1DC5D5B" w14:textId="77777777" w:rsidTr="00384609">
        <w:tc>
          <w:tcPr>
            <w:tcW w:w="2500" w:type="pct"/>
          </w:tcPr>
          <w:p w14:paraId="26EEB67E" w14:textId="4AD5C6CA" w:rsidR="002A4AB9" w:rsidRPr="00556719" w:rsidRDefault="002A4AB9" w:rsidP="00976DB7">
            <w:pPr>
              <w:pStyle w:val="Default"/>
              <w:numPr>
                <w:ilvl w:val="0"/>
                <w:numId w:val="3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1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Peminjam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selain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,</w:t>
            </w:r>
          </w:p>
        </w:tc>
        <w:tc>
          <w:tcPr>
            <w:tcW w:w="2500" w:type="pct"/>
          </w:tcPr>
          <w:p w14:paraId="2EDBD08C" w14:textId="77777777" w:rsidR="002A4AB9" w:rsidRPr="00556719" w:rsidRDefault="002A4AB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CF644B3" w14:textId="77777777" w:rsidTr="00384609">
        <w:tc>
          <w:tcPr>
            <w:tcW w:w="2500" w:type="pct"/>
          </w:tcPr>
          <w:p w14:paraId="38F0729F" w14:textId="3DF64560" w:rsidR="002A4AB9" w:rsidRPr="00556719" w:rsidRDefault="002A4AB9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tinggi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25%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dua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lima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Inti (</w:t>
            </w:r>
            <w:r w:rsidRPr="00556719">
              <w:rPr>
                <w:rFonts w:cstheme="majorHAnsi"/>
                <w:i/>
                <w:color w:val="auto"/>
                <w:sz w:val="20"/>
                <w:szCs w:val="20"/>
              </w:rPr>
              <w:t>tier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1) Bank.</w:t>
            </w:r>
          </w:p>
        </w:tc>
        <w:tc>
          <w:tcPr>
            <w:tcW w:w="2500" w:type="pct"/>
          </w:tcPr>
          <w:p w14:paraId="7B6A02B1" w14:textId="77777777" w:rsidR="002A4AB9" w:rsidRPr="00556719" w:rsidRDefault="002A4AB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33A9E77" w14:textId="77777777" w:rsidTr="00384609">
        <w:tc>
          <w:tcPr>
            <w:tcW w:w="2500" w:type="pct"/>
          </w:tcPr>
          <w:p w14:paraId="401417AC" w14:textId="77777777" w:rsidR="002A4AB9" w:rsidRPr="00556719" w:rsidRDefault="002A4AB9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5DDD05F6" w14:textId="77777777" w:rsidR="002A4AB9" w:rsidRPr="00556719" w:rsidRDefault="002A4AB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20C3C86" w14:textId="77777777" w:rsidTr="00384609">
        <w:tc>
          <w:tcPr>
            <w:tcW w:w="2500" w:type="pct"/>
          </w:tcPr>
          <w:p w14:paraId="014FDA5F" w14:textId="586A6AB9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lastRenderedPageBreak/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</w:t>
            </w:r>
            <w:r w:rsidR="00E55BFD">
              <w:rPr>
                <w:rFonts w:ascii="Bookman Old Style" w:hAnsi="Bookman Old Style" w:cstheme="majorHAnsi"/>
                <w:sz w:val="20"/>
                <w:szCs w:val="20"/>
              </w:rPr>
              <w:t>6</w:t>
            </w:r>
          </w:p>
        </w:tc>
        <w:tc>
          <w:tcPr>
            <w:tcW w:w="2500" w:type="pct"/>
          </w:tcPr>
          <w:p w14:paraId="15A1B982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142A28F" w14:textId="77777777" w:rsidTr="00384609">
        <w:tc>
          <w:tcPr>
            <w:tcW w:w="2500" w:type="pct"/>
          </w:tcPr>
          <w:p w14:paraId="3543AAA7" w14:textId="10FFD870" w:rsidR="000E5C2A" w:rsidRPr="00556719" w:rsidRDefault="000E5C2A" w:rsidP="00976DB7">
            <w:pPr>
              <w:pStyle w:val="Default"/>
              <w:numPr>
                <w:ilvl w:val="0"/>
                <w:numId w:val="3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penggolongan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suatu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</w:t>
            </w:r>
            <w:r w:rsidR="00E55BFD">
              <w:rPr>
                <w:rFonts w:cstheme="majorHAnsi"/>
                <w:color w:val="auto"/>
                <w:sz w:val="20"/>
                <w:szCs w:val="20"/>
              </w:rPr>
              <w:t>5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mempunyai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melalui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kepemilikan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kepengurusan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,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3E9BE172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7FF693BE" w14:textId="7D24AFEC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pengendalian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pengendalian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menyebabkan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apabila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salah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mengalami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gagal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bayar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seluruh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juga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mengalami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gagal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bayar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demikian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harus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diperlakukan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0FF5BED8" w14:textId="77777777" w:rsidTr="00384609">
        <w:tc>
          <w:tcPr>
            <w:tcW w:w="2500" w:type="pct"/>
          </w:tcPr>
          <w:p w14:paraId="309E157C" w14:textId="5DA06C7D" w:rsidR="000E5C2A" w:rsidRPr="00556719" w:rsidRDefault="000E5C2A" w:rsidP="00976DB7">
            <w:pPr>
              <w:pStyle w:val="Default"/>
              <w:numPr>
                <w:ilvl w:val="0"/>
                <w:numId w:val="3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kepemilikan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kepengurusan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,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meliputi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kriteria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33ADE999" w14:textId="77777777" w:rsidR="00845764" w:rsidRPr="00556719" w:rsidRDefault="00845764" w:rsidP="00845764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3BAB12CF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8D89DE5" w14:textId="77777777" w:rsidTr="00384609">
        <w:tc>
          <w:tcPr>
            <w:tcW w:w="2500" w:type="pct"/>
          </w:tcPr>
          <w:p w14:paraId="48C3A3E6" w14:textId="7E8DE89E" w:rsidR="000E5C2A" w:rsidRPr="00556719" w:rsidRDefault="000E5C2A" w:rsidP="00976DB7">
            <w:pPr>
              <w:pStyle w:val="Default"/>
              <w:numPr>
                <w:ilvl w:val="0"/>
                <w:numId w:val="3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lain;</w:t>
            </w:r>
          </w:p>
        </w:tc>
        <w:tc>
          <w:tcPr>
            <w:tcW w:w="2500" w:type="pct"/>
          </w:tcPr>
          <w:p w14:paraId="659B4A7C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a </w:t>
            </w:r>
          </w:p>
          <w:p w14:paraId="14738AA5" w14:textId="118560B3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78CF046A" w14:textId="77777777" w:rsidTr="00384609">
        <w:tc>
          <w:tcPr>
            <w:tcW w:w="2500" w:type="pct"/>
          </w:tcPr>
          <w:p w14:paraId="35DA7F42" w14:textId="72AB18BA" w:rsidR="000E5C2A" w:rsidRPr="00556719" w:rsidRDefault="000E5C2A" w:rsidP="00976DB7">
            <w:pPr>
              <w:pStyle w:val="Default"/>
              <w:numPr>
                <w:ilvl w:val="0"/>
                <w:numId w:val="3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1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beberapa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Fasilitas;</w:t>
            </w:r>
          </w:p>
        </w:tc>
        <w:tc>
          <w:tcPr>
            <w:tcW w:w="2500" w:type="pct"/>
          </w:tcPr>
          <w:p w14:paraId="46C1B06A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b </w:t>
            </w:r>
          </w:p>
          <w:p w14:paraId="0F99BF02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Contoh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: </w:t>
            </w:r>
          </w:p>
          <w:p w14:paraId="1A50D2CE" w14:textId="1F9E9288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Perusahaan “A”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“B”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mendapatkan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dan masing-masing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25%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dua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lima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sahamnya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“C”. Oleh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karena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“A”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“B”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dikelompokkan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Fasilitas. Dalam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“C”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pada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maka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“A”,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“B”,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“C”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dikelompokkan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Fasilitas. </w:t>
            </w:r>
          </w:p>
        </w:tc>
      </w:tr>
      <w:tr w:rsidR="00556719" w:rsidRPr="00556719" w14:paraId="0C04B1CB" w14:textId="77777777" w:rsidTr="00384609">
        <w:tc>
          <w:tcPr>
            <w:tcW w:w="2500" w:type="pct"/>
          </w:tcPr>
          <w:p w14:paraId="30A0AB30" w14:textId="782C110B" w:rsidR="000E5C2A" w:rsidRPr="00556719" w:rsidRDefault="000E5C2A" w:rsidP="00976DB7">
            <w:pPr>
              <w:pStyle w:val="Default"/>
              <w:numPr>
                <w:ilvl w:val="0"/>
                <w:numId w:val="3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50% (lima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direksi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dewan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menjadi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direksi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dewan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lain;</w:t>
            </w:r>
          </w:p>
        </w:tc>
        <w:tc>
          <w:tcPr>
            <w:tcW w:w="2500" w:type="pct"/>
          </w:tcPr>
          <w:p w14:paraId="05B423A3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c </w:t>
            </w:r>
          </w:p>
          <w:p w14:paraId="6AC7E001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1ED4234F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C54046D" w14:textId="77777777" w:rsidTr="00384609">
        <w:tc>
          <w:tcPr>
            <w:tcW w:w="2500" w:type="pct"/>
          </w:tcPr>
          <w:p w14:paraId="5EBB777F" w14:textId="77777777" w:rsidR="000E5C2A" w:rsidRPr="00556719" w:rsidRDefault="000E5C2A" w:rsidP="00976DB7">
            <w:pPr>
              <w:pStyle w:val="Default"/>
              <w:numPr>
                <w:ilvl w:val="0"/>
                <w:numId w:val="3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lain;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</w:p>
          <w:p w14:paraId="022766F5" w14:textId="77777777" w:rsidR="000E5C2A" w:rsidRPr="00556719" w:rsidRDefault="000E5C2A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5D3F9B8D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d </w:t>
            </w:r>
          </w:p>
          <w:p w14:paraId="6C3F53CD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antar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dianalisis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beberapa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faktor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: </w:t>
            </w:r>
          </w:p>
          <w:p w14:paraId="547EC8AC" w14:textId="77777777" w:rsidR="000E5C2A" w:rsidRPr="00556719" w:rsidRDefault="000E5C2A" w:rsidP="00976DB7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bantuan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lain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menyebabkan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memberikan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bantuan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mempunyai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kemampuan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menentukan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 xml:space="preserve">controlling 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lastRenderedPageBreak/>
              <w:t>influence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kebijakan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strategis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bantuan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1EE5493A" w14:textId="77777777" w:rsidR="000E5C2A" w:rsidRPr="00556719" w:rsidRDefault="000E5C2A" w:rsidP="00976DB7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keterkaitan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rantai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bisnis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signifikan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operasional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lain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sehingga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ketergantungan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antar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mengakibatkan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: </w:t>
            </w:r>
          </w:p>
          <w:p w14:paraId="5D36E845" w14:textId="77777777" w:rsidR="000E5C2A" w:rsidRPr="00556719" w:rsidRDefault="000E5C2A" w:rsidP="00976DB7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salah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mampu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mudah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mengalihkan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bisnis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lain; dan </w:t>
            </w:r>
          </w:p>
          <w:p w14:paraId="1E7993BB" w14:textId="77777777" w:rsidR="000E5C2A" w:rsidRPr="00556719" w:rsidRDefault="000E5C2A" w:rsidP="00976DB7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ketidakmampuan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mudah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mengalihkan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bisnis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menyebabkan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arus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kas salah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mengalami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gangguan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signifikan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sehingga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mengalami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kesulitan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memenuhi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;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</w:p>
          <w:p w14:paraId="3CA58585" w14:textId="586BCCAB" w:rsidR="000E5C2A" w:rsidRPr="00556719" w:rsidRDefault="000E5C2A" w:rsidP="00976DB7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pengalihan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melalui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penjaminan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dimana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salah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menjamin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mengambil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alih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keseluruhan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dijamin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2EC58F24" w14:textId="77777777" w:rsidTr="00384609">
        <w:tc>
          <w:tcPr>
            <w:tcW w:w="2500" w:type="pct"/>
          </w:tcPr>
          <w:p w14:paraId="423E9F73" w14:textId="20F5155C" w:rsidR="000E5C2A" w:rsidRPr="00556719" w:rsidRDefault="000E5C2A" w:rsidP="00976DB7">
            <w:pPr>
              <w:pStyle w:val="Default"/>
              <w:numPr>
                <w:ilvl w:val="0"/>
                <w:numId w:val="3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penerbitan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mengambil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alih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melunasi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seluruh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gagal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memenuhi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Bank.</w:t>
            </w:r>
          </w:p>
        </w:tc>
        <w:tc>
          <w:tcPr>
            <w:tcW w:w="2500" w:type="pct"/>
          </w:tcPr>
          <w:p w14:paraId="4C16694A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e </w:t>
            </w:r>
          </w:p>
          <w:p w14:paraId="12D214FA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janji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diterbitkan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mengambil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alih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melunasi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seluruh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lain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terjadi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gagal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bayar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7777C548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9AD5692" w14:textId="77777777" w:rsidTr="00384609">
        <w:tc>
          <w:tcPr>
            <w:tcW w:w="2500" w:type="pct"/>
          </w:tcPr>
          <w:p w14:paraId="3E068375" w14:textId="5D43AE28" w:rsidR="000E5C2A" w:rsidRPr="00556719" w:rsidRDefault="000E5C2A" w:rsidP="00976DB7">
            <w:pPr>
              <w:pStyle w:val="Default"/>
              <w:numPr>
                <w:ilvl w:val="0"/>
                <w:numId w:val="3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a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9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(3).</w:t>
            </w:r>
          </w:p>
        </w:tc>
        <w:tc>
          <w:tcPr>
            <w:tcW w:w="2500" w:type="pct"/>
          </w:tcPr>
          <w:p w14:paraId="72A7E969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(3) </w:t>
            </w:r>
          </w:p>
          <w:p w14:paraId="2EB2577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1AEE0496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0853328" w14:textId="5380F3E5" w:rsidTr="00384609">
        <w:tc>
          <w:tcPr>
            <w:tcW w:w="2500" w:type="pct"/>
          </w:tcPr>
          <w:p w14:paraId="166449B7" w14:textId="0735F058" w:rsidR="000E5C2A" w:rsidRPr="00556719" w:rsidRDefault="000E5C2A" w:rsidP="00976DB7">
            <w:pPr>
              <w:pStyle w:val="Default"/>
              <w:numPr>
                <w:ilvl w:val="0"/>
                <w:numId w:val="3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Penggolongan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melalui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e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berlaku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4660D722" w14:textId="31E75618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(4) </w:t>
            </w:r>
          </w:p>
          <w:p w14:paraId="241C4EFF" w14:textId="0C2A03C1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  <w:u w:val="single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61A47BF1" w14:textId="77777777" w:rsidTr="00384609">
        <w:tc>
          <w:tcPr>
            <w:tcW w:w="2500" w:type="pct"/>
          </w:tcPr>
          <w:p w14:paraId="15C86B34" w14:textId="125D7A67" w:rsidR="002A4AB9" w:rsidRPr="00556719" w:rsidRDefault="002A4AB9" w:rsidP="00976DB7">
            <w:pPr>
              <w:pStyle w:val="Default"/>
              <w:numPr>
                <w:ilvl w:val="0"/>
                <w:numId w:val="11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0" w:name="_Hlk61438150"/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fasilitas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diberikan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debitur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kegiatan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umumnya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 dan</w:t>
            </w:r>
            <w:bookmarkEnd w:id="0"/>
          </w:p>
        </w:tc>
        <w:tc>
          <w:tcPr>
            <w:tcW w:w="2500" w:type="pct"/>
          </w:tcPr>
          <w:p w14:paraId="44C556EC" w14:textId="77777777" w:rsidR="002A4AB9" w:rsidRPr="00556719" w:rsidRDefault="002A4AB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81EAD60" w14:textId="77777777" w:rsidTr="00384609">
        <w:tc>
          <w:tcPr>
            <w:tcW w:w="2500" w:type="pct"/>
          </w:tcPr>
          <w:p w14:paraId="596F2C40" w14:textId="1EBE00DC" w:rsidR="002A4AB9" w:rsidRPr="00556719" w:rsidRDefault="002A4AB9" w:rsidP="00976DB7">
            <w:pPr>
              <w:pStyle w:val="Default"/>
              <w:numPr>
                <w:ilvl w:val="0"/>
                <w:numId w:val="11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pemberian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asuransi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Republik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Indonesia,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negara lain.</w:t>
            </w:r>
          </w:p>
        </w:tc>
        <w:tc>
          <w:tcPr>
            <w:tcW w:w="2500" w:type="pct"/>
          </w:tcPr>
          <w:p w14:paraId="19017628" w14:textId="77777777" w:rsidR="002A4AB9" w:rsidRPr="00556719" w:rsidRDefault="002A4AB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AA07E33" w14:textId="77777777" w:rsidTr="00384609">
        <w:tc>
          <w:tcPr>
            <w:tcW w:w="2500" w:type="pct"/>
          </w:tcPr>
          <w:p w14:paraId="26E6CBFB" w14:textId="77777777" w:rsidR="002A4AB9" w:rsidRPr="00556719" w:rsidRDefault="002A4AB9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F2C1EA4" w14:textId="77777777" w:rsidR="002A4AB9" w:rsidRPr="00556719" w:rsidRDefault="002A4AB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6A37F29" w14:textId="77777777" w:rsidTr="00384609">
        <w:tc>
          <w:tcPr>
            <w:tcW w:w="2500" w:type="pct"/>
          </w:tcPr>
          <w:p w14:paraId="02A520D1" w14:textId="3E210E78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</w:t>
            </w:r>
            <w:r w:rsidR="00E55BFD">
              <w:rPr>
                <w:rFonts w:ascii="Bookman Old Style" w:hAnsi="Bookman Old Style" w:cstheme="majorHAnsi"/>
                <w:sz w:val="20"/>
                <w:szCs w:val="20"/>
              </w:rPr>
              <w:t>7</w:t>
            </w:r>
          </w:p>
        </w:tc>
        <w:tc>
          <w:tcPr>
            <w:tcW w:w="2500" w:type="pct"/>
          </w:tcPr>
          <w:p w14:paraId="01543996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DDC2DF6" w14:textId="77777777" w:rsidTr="00384609">
        <w:tc>
          <w:tcPr>
            <w:tcW w:w="2500" w:type="pct"/>
          </w:tcPr>
          <w:p w14:paraId="2D60B7B0" w14:textId="29CE77C8" w:rsidR="000E5C2A" w:rsidRPr="00556719" w:rsidRDefault="000E5C2A" w:rsidP="00976DB7">
            <w:pPr>
              <w:pStyle w:val="Default"/>
              <w:numPr>
                <w:ilvl w:val="0"/>
                <w:numId w:val="7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Pemberian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Pembiayaan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melalui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metode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penerusan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dikecualikan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penggolongan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</w:t>
            </w:r>
            <w:r w:rsidR="00E55BFD">
              <w:rPr>
                <w:rFonts w:cstheme="majorHAnsi"/>
                <w:color w:val="auto"/>
                <w:sz w:val="20"/>
                <w:szCs w:val="20"/>
              </w:rPr>
              <w:t>6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sepanjang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memenuhi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4C7F48D8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4A1A658D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Debitur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melalui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metode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penerusan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proofErr w:type="spellStart"/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channelling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debitur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end-user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). </w:t>
            </w:r>
          </w:p>
          <w:p w14:paraId="7273AE08" w14:textId="02312642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Perusahaan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metode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penerusan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proofErr w:type="spellStart"/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chanelling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</w:t>
            </w:r>
            <w:r w:rsidR="00845764" w:rsidRPr="00556719">
              <w:rPr>
                <w:rFonts w:ascii="Bookman Old Style" w:hAnsi="Bookman Old Style" w:cstheme="majorHAnsi"/>
                <w:sz w:val="20"/>
                <w:szCs w:val="20"/>
              </w:rPr>
              <w:t>haan</w:t>
            </w:r>
            <w:proofErr w:type="spellEnd"/>
            <w:r w:rsidR="00845764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="00845764" w:rsidRPr="00556719">
              <w:rPr>
                <w:rFonts w:ascii="Bookman Old Style" w:hAnsi="Bookman Old Style" w:cstheme="majorHAnsi"/>
                <w:sz w:val="20"/>
                <w:szCs w:val="20"/>
              </w:rPr>
              <w:t>pembiayaan</w:t>
            </w:r>
            <w:proofErr w:type="spellEnd"/>
            <w:r w:rsidR="00845764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="00845764"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="00845764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="00845764" w:rsidRPr="00556719">
              <w:rPr>
                <w:rFonts w:ascii="Bookman Old Style" w:hAnsi="Bookman Old Style" w:cstheme="majorHAnsi"/>
                <w:sz w:val="20"/>
                <w:szCs w:val="20"/>
              </w:rPr>
              <w:t>koperasi</w:t>
            </w:r>
            <w:proofErr w:type="spellEnd"/>
            <w:r w:rsidR="00845764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5CC21288" w14:textId="77777777" w:rsidTr="00384609">
        <w:tc>
          <w:tcPr>
            <w:tcW w:w="2500" w:type="pct"/>
          </w:tcPr>
          <w:p w14:paraId="19A9831E" w14:textId="4267A50D" w:rsidR="000E5C2A" w:rsidRPr="00556719" w:rsidRDefault="000E5C2A" w:rsidP="00976DB7">
            <w:pPr>
              <w:pStyle w:val="Default"/>
              <w:numPr>
                <w:ilvl w:val="0"/>
                <w:numId w:val="7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1717D0B8" w14:textId="5A98D9DF" w:rsidR="000E5C2A" w:rsidRPr="00556719" w:rsidRDefault="00845764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</w:tc>
      </w:tr>
      <w:tr w:rsidR="00556719" w:rsidRPr="00556719" w14:paraId="01D5467E" w14:textId="77777777" w:rsidTr="00384609">
        <w:tc>
          <w:tcPr>
            <w:tcW w:w="2500" w:type="pct"/>
          </w:tcPr>
          <w:p w14:paraId="155750F4" w14:textId="79423E9F" w:rsidR="000E5C2A" w:rsidRPr="00556719" w:rsidRDefault="000E5C2A" w:rsidP="00976DB7">
            <w:pPr>
              <w:pStyle w:val="Default"/>
              <w:numPr>
                <w:ilvl w:val="0"/>
                <w:numId w:val="3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pengawasan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penilaian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kelayakan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debitur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</w:tc>
        <w:tc>
          <w:tcPr>
            <w:tcW w:w="2500" w:type="pct"/>
          </w:tcPr>
          <w:p w14:paraId="7EAA7AF9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a </w:t>
            </w:r>
          </w:p>
          <w:p w14:paraId="51C96E1E" w14:textId="7A618D13" w:rsidR="000E5C2A" w:rsidRPr="00556719" w:rsidRDefault="002A4AB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3A3A1701" w14:textId="77777777" w:rsidTr="00384609">
        <w:tc>
          <w:tcPr>
            <w:tcW w:w="2500" w:type="pct"/>
          </w:tcPr>
          <w:p w14:paraId="5570F800" w14:textId="2EA69622" w:rsidR="000E5C2A" w:rsidRPr="00556719" w:rsidRDefault="000E5C2A" w:rsidP="00976DB7">
            <w:pPr>
              <w:pStyle w:val="Default"/>
              <w:numPr>
                <w:ilvl w:val="0"/>
                <w:numId w:val="3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langsung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disalurkan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debitur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</w:tc>
        <w:tc>
          <w:tcPr>
            <w:tcW w:w="2500" w:type="pct"/>
          </w:tcPr>
          <w:p w14:paraId="4E858BC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b </w:t>
            </w:r>
          </w:p>
          <w:p w14:paraId="69E7041F" w14:textId="744FF269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langsung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apabila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kualitas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disalurkan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debitur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end-user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metode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penerusan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channeling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melalui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lembaga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pembiayaan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mencerminkan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langsung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terkini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masing-masing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debitur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end-user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).</w:t>
            </w:r>
          </w:p>
        </w:tc>
      </w:tr>
      <w:tr w:rsidR="00556719" w:rsidRPr="00556719" w14:paraId="42920464" w14:textId="77777777" w:rsidTr="00384609">
        <w:tc>
          <w:tcPr>
            <w:tcW w:w="2500" w:type="pct"/>
          </w:tcPr>
          <w:p w14:paraId="02A7065D" w14:textId="2F43401B" w:rsidR="000E5C2A" w:rsidRPr="00556719" w:rsidRDefault="000E5C2A" w:rsidP="00976DB7">
            <w:pPr>
              <w:pStyle w:val="Default"/>
              <w:numPr>
                <w:ilvl w:val="0"/>
                <w:numId w:val="3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perjanjian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Pembiayaan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debitur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diberi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kuasa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bertindak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Bank;</w:t>
            </w:r>
          </w:p>
        </w:tc>
        <w:tc>
          <w:tcPr>
            <w:tcW w:w="2500" w:type="pct"/>
          </w:tcPr>
          <w:p w14:paraId="778220EC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c </w:t>
            </w:r>
          </w:p>
          <w:p w14:paraId="5CABD6CE" w14:textId="5635EC7A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diberikan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debitur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diikat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kepentingan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sehingga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langsung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eksekusi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terjadi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wanprestasi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31E3651F" w14:textId="77777777" w:rsidTr="00384609">
        <w:tc>
          <w:tcPr>
            <w:tcW w:w="2500" w:type="pct"/>
          </w:tcPr>
          <w:p w14:paraId="47B58FF7" w14:textId="15579D6F" w:rsidR="000E5C2A" w:rsidRPr="00556719" w:rsidRDefault="000E5C2A" w:rsidP="00976DB7">
            <w:pPr>
              <w:pStyle w:val="Default"/>
              <w:numPr>
                <w:ilvl w:val="0"/>
                <w:numId w:val="3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pembayaran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debitur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keuntungan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Bank; dan</w:t>
            </w:r>
          </w:p>
        </w:tc>
        <w:tc>
          <w:tcPr>
            <w:tcW w:w="2500" w:type="pct"/>
          </w:tcPr>
          <w:p w14:paraId="2FE4BDEE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d </w:t>
            </w:r>
          </w:p>
          <w:p w14:paraId="1B60D7B1" w14:textId="75571B04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Tidak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termasuk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pembayaran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debitur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end-user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keuntungan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 xml:space="preserve">spread 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timbul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perbedaan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tingkat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imbal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hasil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lembaga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pembiayaan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jasa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lembaga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pembiayaan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pengelolaan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Pembiayaan.</w:t>
            </w:r>
          </w:p>
        </w:tc>
      </w:tr>
      <w:tr w:rsidR="00556719" w:rsidRPr="00556719" w14:paraId="0BDC7883" w14:textId="77777777" w:rsidTr="00384609">
        <w:tc>
          <w:tcPr>
            <w:tcW w:w="2500" w:type="pct"/>
          </w:tcPr>
          <w:p w14:paraId="24E0D04E" w14:textId="1105000A" w:rsidR="000E5C2A" w:rsidRPr="00556719" w:rsidRDefault="000E5C2A" w:rsidP="00976DB7">
            <w:pPr>
              <w:pStyle w:val="Default"/>
              <w:numPr>
                <w:ilvl w:val="0"/>
                <w:numId w:val="3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menjamin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mengambil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alih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melunasi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seluruh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debitur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debitur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gagal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memenuhi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Bank.</w:t>
            </w:r>
          </w:p>
        </w:tc>
        <w:tc>
          <w:tcPr>
            <w:tcW w:w="2500" w:type="pct"/>
          </w:tcPr>
          <w:p w14:paraId="18A08DD1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e </w:t>
            </w:r>
          </w:p>
          <w:p w14:paraId="5FA40618" w14:textId="626D5C4C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62A1BC0C" w14:textId="77777777" w:rsidTr="00384609">
        <w:tc>
          <w:tcPr>
            <w:tcW w:w="2500" w:type="pct"/>
          </w:tcPr>
          <w:p w14:paraId="1C365954" w14:textId="77777777" w:rsidR="002A4AB9" w:rsidRPr="00556719" w:rsidRDefault="002A4AB9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C0DA5E2" w14:textId="77777777" w:rsidR="002A4AB9" w:rsidRPr="00556719" w:rsidRDefault="002A4AB9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</w:tr>
      <w:tr w:rsidR="00556719" w:rsidRPr="00556719" w14:paraId="709DB950" w14:textId="77777777" w:rsidTr="00384609">
        <w:tc>
          <w:tcPr>
            <w:tcW w:w="2500" w:type="pct"/>
          </w:tcPr>
          <w:p w14:paraId="7544B31C" w14:textId="19ECA31A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</w:t>
            </w:r>
            <w:r w:rsidR="00E55BFD">
              <w:rPr>
                <w:rFonts w:cstheme="maj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2500" w:type="pct"/>
          </w:tcPr>
          <w:p w14:paraId="56C9BD57" w14:textId="77777777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</w:tr>
      <w:tr w:rsidR="00556719" w:rsidRPr="00556719" w14:paraId="278D92E4" w14:textId="09954D56" w:rsidTr="00384609">
        <w:tc>
          <w:tcPr>
            <w:tcW w:w="2500" w:type="pct"/>
          </w:tcPr>
          <w:p w14:paraId="53CFE136" w14:textId="14771090" w:rsidR="000E5C2A" w:rsidRPr="00556719" w:rsidRDefault="000E5C2A" w:rsidP="00976DB7">
            <w:pPr>
              <w:pStyle w:val="Default"/>
              <w:numPr>
                <w:ilvl w:val="0"/>
                <w:numId w:val="4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Pembiayaan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pola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kemitraan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inti-plasma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skema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inti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menjamin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Pembiayaan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plasma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dikecualikan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penggolongan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</w:t>
            </w:r>
            <w:r w:rsidR="00E55BFD">
              <w:rPr>
                <w:rFonts w:cstheme="majorHAnsi"/>
                <w:color w:val="auto"/>
                <w:sz w:val="20"/>
                <w:szCs w:val="20"/>
              </w:rPr>
              <w:t>6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sepanjang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memenuhi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30717B2A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63F799A5" w14:textId="47E08B64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Pola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kemitraan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pola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pengembangan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menggunakan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inti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membantu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membimbing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rakyat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sekitarnya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plasma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sistem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kerjasama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saling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menguntungka</w:t>
            </w:r>
            <w:r w:rsidR="002A4AB9" w:rsidRPr="00556719">
              <w:rPr>
                <w:rFonts w:ascii="Bookman Old Style" w:hAnsi="Bookman Old Style" w:cstheme="majorHAnsi"/>
                <w:sz w:val="20"/>
                <w:szCs w:val="20"/>
              </w:rPr>
              <w:t>n</w:t>
            </w:r>
            <w:proofErr w:type="spellEnd"/>
            <w:r w:rsidR="002A4AB9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="002A4AB9" w:rsidRPr="00556719">
              <w:rPr>
                <w:rFonts w:ascii="Bookman Old Style" w:hAnsi="Bookman Old Style" w:cstheme="majorHAnsi"/>
                <w:sz w:val="20"/>
                <w:szCs w:val="20"/>
              </w:rPr>
              <w:t>utuh</w:t>
            </w:r>
            <w:proofErr w:type="spellEnd"/>
            <w:r w:rsidR="002A4AB9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dan </w:t>
            </w:r>
            <w:proofErr w:type="spellStart"/>
            <w:r w:rsidR="002A4AB9" w:rsidRPr="00556719">
              <w:rPr>
                <w:rFonts w:ascii="Bookman Old Style" w:hAnsi="Bookman Old Style" w:cstheme="majorHAnsi"/>
                <w:sz w:val="20"/>
                <w:szCs w:val="20"/>
              </w:rPr>
              <w:t>berkesinambungan</w:t>
            </w:r>
            <w:proofErr w:type="spellEnd"/>
            <w:r w:rsidR="002A4AB9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718F7FC7" w14:textId="77777777" w:rsidTr="00384609">
        <w:tc>
          <w:tcPr>
            <w:tcW w:w="2500" w:type="pct"/>
          </w:tcPr>
          <w:p w14:paraId="3F8587F2" w14:textId="2C951E21" w:rsidR="002A4AB9" w:rsidRPr="00556719" w:rsidRDefault="002A4AB9" w:rsidP="00976DB7">
            <w:pPr>
              <w:pStyle w:val="Default"/>
              <w:numPr>
                <w:ilvl w:val="0"/>
                <w:numId w:val="4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0C505518" w14:textId="77777777" w:rsidR="002A4AB9" w:rsidRPr="00556719" w:rsidRDefault="002A4AB9" w:rsidP="002A4AB9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00BD19B2" w14:textId="4396C0BF" w:rsidR="002A4AB9" w:rsidRPr="00556719" w:rsidRDefault="002A4AB9" w:rsidP="002A4AB9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404B3346" w14:textId="77777777" w:rsidTr="00384609">
        <w:tc>
          <w:tcPr>
            <w:tcW w:w="2500" w:type="pct"/>
          </w:tcPr>
          <w:p w14:paraId="3439CE2E" w14:textId="010A9B5D" w:rsidR="002A4AB9" w:rsidRPr="00556719" w:rsidRDefault="002A4AB9" w:rsidP="00976DB7">
            <w:pPr>
              <w:pStyle w:val="Default"/>
              <w:numPr>
                <w:ilvl w:val="0"/>
                <w:numId w:val="11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1" w:name="_Hlk61438908"/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inti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Bank;</w:t>
            </w:r>
            <w:bookmarkEnd w:id="1"/>
          </w:p>
        </w:tc>
        <w:tc>
          <w:tcPr>
            <w:tcW w:w="2500" w:type="pct"/>
          </w:tcPr>
          <w:p w14:paraId="28A796A6" w14:textId="77777777" w:rsidR="002A4AB9" w:rsidRPr="00556719" w:rsidRDefault="002A4AB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C6BFE36" w14:textId="77777777" w:rsidTr="00384609">
        <w:tc>
          <w:tcPr>
            <w:tcW w:w="2500" w:type="pct"/>
          </w:tcPr>
          <w:p w14:paraId="07A0DF26" w14:textId="408A0750" w:rsidR="002A4AB9" w:rsidRPr="00556719" w:rsidRDefault="002A4AB9" w:rsidP="00976DB7">
            <w:pPr>
              <w:pStyle w:val="Default"/>
              <w:numPr>
                <w:ilvl w:val="0"/>
                <w:numId w:val="11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plasma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cabang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dikuasai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berafiliasi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inti;</w:t>
            </w:r>
          </w:p>
        </w:tc>
        <w:tc>
          <w:tcPr>
            <w:tcW w:w="2500" w:type="pct"/>
          </w:tcPr>
          <w:p w14:paraId="419D58FF" w14:textId="77777777" w:rsidR="002A4AB9" w:rsidRPr="00556719" w:rsidRDefault="002A4AB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1CB97C4" w14:textId="77777777" w:rsidTr="00384609">
        <w:tc>
          <w:tcPr>
            <w:tcW w:w="2500" w:type="pct"/>
          </w:tcPr>
          <w:p w14:paraId="2B9FCA35" w14:textId="23A388FF" w:rsidR="002A4AB9" w:rsidRPr="00556719" w:rsidRDefault="002A4AB9" w:rsidP="00976DB7">
            <w:pPr>
              <w:pStyle w:val="Default"/>
              <w:numPr>
                <w:ilvl w:val="0"/>
                <w:numId w:val="11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plasma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memproduksi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komponen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diperlukan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inti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produksi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inti; dan</w:t>
            </w:r>
          </w:p>
        </w:tc>
        <w:tc>
          <w:tcPr>
            <w:tcW w:w="2500" w:type="pct"/>
          </w:tcPr>
          <w:p w14:paraId="2C1D0EC0" w14:textId="77777777" w:rsidR="002A4AB9" w:rsidRPr="00556719" w:rsidRDefault="002A4AB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4F3F10A" w14:textId="77777777" w:rsidTr="00384609">
        <w:tc>
          <w:tcPr>
            <w:tcW w:w="2500" w:type="pct"/>
          </w:tcPr>
          <w:p w14:paraId="53D60ED9" w14:textId="2FCC1D8C" w:rsidR="002A4AB9" w:rsidRPr="00556719" w:rsidRDefault="002A4AB9" w:rsidP="00976DB7">
            <w:pPr>
              <w:pStyle w:val="Default"/>
              <w:numPr>
                <w:ilvl w:val="0"/>
                <w:numId w:val="11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perjanjian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Pembiayaan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plasma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langsung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plasma.</w:t>
            </w:r>
          </w:p>
        </w:tc>
        <w:tc>
          <w:tcPr>
            <w:tcW w:w="2500" w:type="pct"/>
          </w:tcPr>
          <w:p w14:paraId="56047B1D" w14:textId="77777777" w:rsidR="002A4AB9" w:rsidRPr="00556719" w:rsidRDefault="002A4AB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762BA54" w14:textId="77777777" w:rsidTr="00384609">
        <w:tc>
          <w:tcPr>
            <w:tcW w:w="2500" w:type="pct"/>
          </w:tcPr>
          <w:p w14:paraId="6A711CDA" w14:textId="77777777" w:rsidR="002A4AB9" w:rsidRPr="00556719" w:rsidRDefault="002A4AB9" w:rsidP="002A4AB9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106CC232" w14:textId="77777777" w:rsidR="002A4AB9" w:rsidRPr="00556719" w:rsidRDefault="002A4AB9" w:rsidP="002A4AB9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26AD6A3" w14:textId="77777777" w:rsidTr="00384609">
        <w:tc>
          <w:tcPr>
            <w:tcW w:w="2500" w:type="pct"/>
          </w:tcPr>
          <w:p w14:paraId="1543244F" w14:textId="7CF09420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E55BFD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E55BFD">
              <w:rPr>
                <w:rFonts w:cstheme="majorHAnsi"/>
                <w:color w:val="auto"/>
                <w:sz w:val="20"/>
                <w:szCs w:val="20"/>
              </w:rPr>
              <w:t xml:space="preserve"> 19</w:t>
            </w:r>
          </w:p>
        </w:tc>
        <w:tc>
          <w:tcPr>
            <w:tcW w:w="2500" w:type="pct"/>
          </w:tcPr>
          <w:p w14:paraId="4BD49914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202E3F7" w14:textId="77777777" w:rsidTr="00384609">
        <w:tc>
          <w:tcPr>
            <w:tcW w:w="2500" w:type="pct"/>
          </w:tcPr>
          <w:p w14:paraId="2FAB83BB" w14:textId="14DE8FF1" w:rsidR="000E5C2A" w:rsidRPr="00556719" w:rsidRDefault="00826675" w:rsidP="00976DB7">
            <w:pPr>
              <w:pStyle w:val="Default"/>
              <w:numPr>
                <w:ilvl w:val="0"/>
                <w:numId w:val="6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826675">
              <w:rPr>
                <w:rFonts w:cstheme="majorHAnsi"/>
                <w:color w:val="auto"/>
                <w:sz w:val="20"/>
                <w:szCs w:val="20"/>
                <w:lang w:val="fi-FI"/>
              </w:rPr>
              <w:t xml:space="preserve">Penyaluran Pembiayaan kepada beberapa nasabah penerima fasilitas yang merupakan organisasi sosial yang dikendalikan oleh 1 (satu) pihak dikecualikan dari penggolongan kelompok Nasabah Penerima Fasilitas </w:t>
            </w:r>
            <w:r w:rsidR="00684B0D" w:rsidRPr="00684B0D">
              <w:rPr>
                <w:rFonts w:cstheme="majorHAnsi"/>
                <w:color w:val="auto"/>
                <w:sz w:val="20"/>
                <w:szCs w:val="20"/>
                <w:lang w:val="fi-FI"/>
              </w:rPr>
              <w:t xml:space="preserve">sebagaimana dimaksud dalam Pasal 16 </w:t>
            </w:r>
            <w:r w:rsidR="00C255B1">
              <w:rPr>
                <w:rFonts w:cstheme="majorHAnsi"/>
                <w:color w:val="auto"/>
                <w:sz w:val="20"/>
                <w:szCs w:val="20"/>
                <w:lang w:val="fi-FI"/>
              </w:rPr>
              <w:t xml:space="preserve">ayat (2) huruf b </w:t>
            </w:r>
            <w:r w:rsidR="00684B0D" w:rsidRPr="00684B0D">
              <w:rPr>
                <w:rFonts w:cstheme="majorHAnsi"/>
                <w:color w:val="auto"/>
                <w:sz w:val="20"/>
                <w:szCs w:val="20"/>
                <w:lang w:val="fi-FI"/>
              </w:rPr>
              <w:t>sepanjang memenuhi persyaratan tertentu</w:t>
            </w:r>
            <w:r w:rsidR="000E5C2A"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61E96277" w14:textId="7AE53223" w:rsidR="000E5C2A" w:rsidRPr="00826675" w:rsidRDefault="00826675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  <w:lang w:val="en-ID"/>
              </w:rPr>
            </w:pPr>
            <w:r w:rsidRPr="00826675">
              <w:rPr>
                <w:rFonts w:ascii="Bookman Old Style" w:hAnsi="Bookman Old Style" w:cstheme="majorHAnsi"/>
                <w:sz w:val="20"/>
                <w:szCs w:val="20"/>
                <w:lang w:val="fi-FI"/>
              </w:rPr>
              <w:t>Organisasi sosial antara lain yang bergerak di bidang pendidikan dan kesehatan.</w:t>
            </w:r>
          </w:p>
        </w:tc>
      </w:tr>
      <w:tr w:rsidR="00556719" w:rsidRPr="00556719" w14:paraId="650BD0AB" w14:textId="77777777" w:rsidTr="00384609">
        <w:tc>
          <w:tcPr>
            <w:tcW w:w="2500" w:type="pct"/>
          </w:tcPr>
          <w:p w14:paraId="7AE5B112" w14:textId="2C89D771" w:rsidR="002A4AB9" w:rsidRPr="00556719" w:rsidRDefault="002A4AB9" w:rsidP="00976DB7">
            <w:pPr>
              <w:pStyle w:val="Default"/>
              <w:numPr>
                <w:ilvl w:val="0"/>
                <w:numId w:val="6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58C6FE04" w14:textId="77777777" w:rsidR="002A4AB9" w:rsidRPr="00556719" w:rsidRDefault="002A4AB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DE51E40" w14:textId="77777777" w:rsidTr="00384609">
        <w:tc>
          <w:tcPr>
            <w:tcW w:w="2500" w:type="pct"/>
          </w:tcPr>
          <w:p w14:paraId="39FD3154" w14:textId="09171D9D" w:rsidR="002A4AB9" w:rsidRPr="00556719" w:rsidRDefault="002A4AB9" w:rsidP="00976DB7">
            <w:pPr>
              <w:pStyle w:val="Default"/>
              <w:numPr>
                <w:ilvl w:val="0"/>
                <w:numId w:val="11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Bank;</w:t>
            </w:r>
          </w:p>
        </w:tc>
        <w:tc>
          <w:tcPr>
            <w:tcW w:w="2500" w:type="pct"/>
          </w:tcPr>
          <w:p w14:paraId="415A3D0E" w14:textId="77777777" w:rsidR="002A4AB9" w:rsidRPr="00556719" w:rsidRDefault="002A4AB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826675" w:rsidRPr="00556719" w14:paraId="6D710DFB" w14:textId="77777777" w:rsidTr="00384609">
        <w:tc>
          <w:tcPr>
            <w:tcW w:w="2500" w:type="pct"/>
          </w:tcPr>
          <w:p w14:paraId="0701C30E" w14:textId="0B627270" w:rsidR="00826675" w:rsidRPr="00556719" w:rsidRDefault="00826675" w:rsidP="00976DB7">
            <w:pPr>
              <w:pStyle w:val="Default"/>
              <w:numPr>
                <w:ilvl w:val="0"/>
                <w:numId w:val="11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826675">
              <w:rPr>
                <w:rFonts w:cstheme="majorHAnsi"/>
                <w:color w:val="auto"/>
                <w:sz w:val="20"/>
                <w:szCs w:val="20"/>
                <w:lang w:val="fi-FI"/>
              </w:rPr>
              <w:t>pihak pengendali bukan sebagai pemegang saham nasabah penerima fasilitas</w:t>
            </w:r>
            <w:r>
              <w:rPr>
                <w:rFonts w:cstheme="majorHAnsi"/>
                <w:color w:val="auto"/>
                <w:sz w:val="20"/>
                <w:szCs w:val="20"/>
                <w:lang w:val="fi-FI"/>
              </w:rPr>
              <w:t>;</w:t>
            </w:r>
          </w:p>
        </w:tc>
        <w:tc>
          <w:tcPr>
            <w:tcW w:w="2500" w:type="pct"/>
          </w:tcPr>
          <w:p w14:paraId="69A4AC40" w14:textId="77777777" w:rsidR="00826675" w:rsidRPr="00556719" w:rsidRDefault="00826675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770F583" w14:textId="77777777" w:rsidTr="00384609">
        <w:tc>
          <w:tcPr>
            <w:tcW w:w="2500" w:type="pct"/>
          </w:tcPr>
          <w:p w14:paraId="100CA585" w14:textId="026A2224" w:rsidR="002A4AB9" w:rsidRPr="00556719" w:rsidRDefault="002A4AB9" w:rsidP="00976DB7">
            <w:pPr>
              <w:pStyle w:val="Default"/>
              <w:numPr>
                <w:ilvl w:val="0"/>
                <w:numId w:val="11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hanya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penerapan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tata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kelola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 dan</w:t>
            </w:r>
          </w:p>
        </w:tc>
        <w:tc>
          <w:tcPr>
            <w:tcW w:w="2500" w:type="pct"/>
          </w:tcPr>
          <w:p w14:paraId="50368AA0" w14:textId="77777777" w:rsidR="002A4AB9" w:rsidRPr="00556719" w:rsidRDefault="002A4AB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80D7D3B" w14:textId="77777777" w:rsidTr="00384609">
        <w:tc>
          <w:tcPr>
            <w:tcW w:w="2500" w:type="pct"/>
          </w:tcPr>
          <w:p w14:paraId="06562036" w14:textId="4D557043" w:rsidR="002A4AB9" w:rsidRPr="00556719" w:rsidRDefault="00826675" w:rsidP="00976DB7">
            <w:pPr>
              <w:pStyle w:val="Default"/>
              <w:numPr>
                <w:ilvl w:val="0"/>
                <w:numId w:val="11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826675">
              <w:rPr>
                <w:rFonts w:cstheme="majorHAnsi"/>
                <w:color w:val="auto"/>
                <w:sz w:val="20"/>
                <w:szCs w:val="20"/>
                <w:lang w:val="fi-FI"/>
              </w:rPr>
              <w:t>laporan keuangan nasabah penerima fasilitas tidak wajib dikonsolidasikan dalam laporan keuangan pihak pengendali</w:t>
            </w:r>
            <w:r w:rsidR="002A4AB9"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311E7223" w14:textId="77777777" w:rsidR="002A4AB9" w:rsidRPr="00556719" w:rsidRDefault="002A4AB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C0F93F8" w14:textId="77777777" w:rsidTr="00384609">
        <w:tc>
          <w:tcPr>
            <w:tcW w:w="2500" w:type="pct"/>
          </w:tcPr>
          <w:p w14:paraId="7F19E5A6" w14:textId="77777777" w:rsidR="002A4AB9" w:rsidRPr="00556719" w:rsidRDefault="002A4AB9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1F8C1508" w14:textId="77777777" w:rsidR="002A4AB9" w:rsidRPr="00556719" w:rsidRDefault="002A4AB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B5D4865" w14:textId="77777777" w:rsidTr="00384609">
        <w:tc>
          <w:tcPr>
            <w:tcW w:w="2500" w:type="pct"/>
          </w:tcPr>
          <w:p w14:paraId="378C055F" w14:textId="7207D592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20</w:t>
            </w:r>
          </w:p>
        </w:tc>
        <w:tc>
          <w:tcPr>
            <w:tcW w:w="2500" w:type="pct"/>
          </w:tcPr>
          <w:p w14:paraId="7CD6E8A0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7DF0FC4" w14:textId="741D8841" w:rsidTr="00384609">
        <w:tc>
          <w:tcPr>
            <w:tcW w:w="2500" w:type="pct"/>
          </w:tcPr>
          <w:p w14:paraId="2D91BF01" w14:textId="4EC2FA95" w:rsidR="000E5C2A" w:rsidRPr="00556719" w:rsidRDefault="000E5C2A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provinsi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kabupaten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serta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masing-masing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kabupaten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dikecualikan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penggolongan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17.</w:t>
            </w:r>
          </w:p>
        </w:tc>
        <w:tc>
          <w:tcPr>
            <w:tcW w:w="2500" w:type="pct"/>
          </w:tcPr>
          <w:p w14:paraId="3A43C6B7" w14:textId="6551432C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Undang-Undang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pemerintahan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daerah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pemerintahan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provinsi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pemerintahan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kabupaten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kota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diselenggarakan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asas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otonomi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dituangkan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penyelenggaraan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urusan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menjadi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kewenangan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daerah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masing-masing,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termasuk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penyerahan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sumber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daerah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anggaran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pendapatan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belanja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daerah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0A71B146" w14:textId="77777777" w:rsidTr="00384609">
        <w:tc>
          <w:tcPr>
            <w:tcW w:w="2500" w:type="pct"/>
          </w:tcPr>
          <w:p w14:paraId="17BF31AC" w14:textId="77777777" w:rsidR="002A4AB9" w:rsidRPr="00556719" w:rsidRDefault="002A4AB9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1CE14DC8" w14:textId="77777777" w:rsidR="002A4AB9" w:rsidRPr="00556719" w:rsidRDefault="002A4AB9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F8AB319" w14:textId="77777777" w:rsidTr="00384609">
        <w:tc>
          <w:tcPr>
            <w:tcW w:w="2500" w:type="pct"/>
          </w:tcPr>
          <w:p w14:paraId="2E666785" w14:textId="6933D411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BAB IV</w:t>
            </w:r>
          </w:p>
          <w:p w14:paraId="3AECE55B" w14:textId="32BDD38D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PERHITUNGAN PENYALURAN DANA</w:t>
            </w:r>
          </w:p>
        </w:tc>
        <w:tc>
          <w:tcPr>
            <w:tcW w:w="2500" w:type="pct"/>
          </w:tcPr>
          <w:p w14:paraId="74103024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0496569" w14:textId="77777777" w:rsidTr="00384609">
        <w:tc>
          <w:tcPr>
            <w:tcW w:w="2500" w:type="pct"/>
          </w:tcPr>
          <w:p w14:paraId="33544BC4" w14:textId="4B6BB08A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Bagian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Kesatu</w:t>
            </w:r>
            <w:proofErr w:type="spellEnd"/>
          </w:p>
          <w:p w14:paraId="62842D8D" w14:textId="43EB7AAA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Umum</w:t>
            </w:r>
          </w:p>
        </w:tc>
        <w:tc>
          <w:tcPr>
            <w:tcW w:w="2500" w:type="pct"/>
          </w:tcPr>
          <w:p w14:paraId="0F06E70C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E96E4FC" w14:textId="77777777" w:rsidTr="00384609">
        <w:tc>
          <w:tcPr>
            <w:tcW w:w="2500" w:type="pct"/>
          </w:tcPr>
          <w:p w14:paraId="03845D2B" w14:textId="39B1A147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21</w:t>
            </w:r>
          </w:p>
        </w:tc>
        <w:tc>
          <w:tcPr>
            <w:tcW w:w="2500" w:type="pct"/>
          </w:tcPr>
          <w:p w14:paraId="56FBE5FD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7B8E1F8" w14:textId="3F20C232" w:rsidTr="00384609">
        <w:tc>
          <w:tcPr>
            <w:tcW w:w="2500" w:type="pct"/>
          </w:tcPr>
          <w:p w14:paraId="294F4D47" w14:textId="6DB38235" w:rsidR="000E5C2A" w:rsidRPr="00556719" w:rsidRDefault="000E5C2A" w:rsidP="00976DB7">
            <w:pPr>
              <w:pStyle w:val="Default"/>
              <w:numPr>
                <w:ilvl w:val="0"/>
                <w:numId w:val="7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2" w:name="_Hlk61439209"/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diperhitungkan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Besar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seluruh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banking book dan trading book</w:t>
            </w:r>
            <w:bookmarkEnd w:id="2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47BB2E98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23BAA30E" w14:textId="5AF6025F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 xml:space="preserve">banking book 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dan 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 xml:space="preserve">trading book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mengacu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penyediaan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modal minimum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umum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syariah</w:t>
            </w:r>
            <w:proofErr w:type="spellEnd"/>
            <w:r w:rsidR="002A4AB9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2DAD9EC7" w14:textId="77777777" w:rsidTr="00384609">
        <w:tc>
          <w:tcPr>
            <w:tcW w:w="2500" w:type="pct"/>
          </w:tcPr>
          <w:p w14:paraId="5473BA0E" w14:textId="6275BE81" w:rsidR="002A4AB9" w:rsidRPr="00556719" w:rsidRDefault="002A4AB9" w:rsidP="00976DB7">
            <w:pPr>
              <w:pStyle w:val="Default"/>
              <w:numPr>
                <w:ilvl w:val="0"/>
                <w:numId w:val="7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3" w:name="_Hlk61439231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Nilai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tercatat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digunakan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tercatat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ditambah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imbalan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jika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sebelum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dikurangi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cadangan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kerugian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penurunan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sesuai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standar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akuntansi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  <w:bookmarkEnd w:id="3"/>
          </w:p>
        </w:tc>
        <w:tc>
          <w:tcPr>
            <w:tcW w:w="2500" w:type="pct"/>
          </w:tcPr>
          <w:p w14:paraId="7154B09B" w14:textId="77777777" w:rsidR="002A4AB9" w:rsidRPr="00556719" w:rsidRDefault="002A4AB9" w:rsidP="002A4AB9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76B58B4A" w14:textId="59081B26" w:rsidR="002A4AB9" w:rsidRPr="00556719" w:rsidRDefault="002A4AB9" w:rsidP="002A4AB9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2DA92453" w14:textId="77777777" w:rsidTr="00384609">
        <w:tc>
          <w:tcPr>
            <w:tcW w:w="2500" w:type="pct"/>
          </w:tcPr>
          <w:p w14:paraId="1CB8C61D" w14:textId="77777777" w:rsidR="002A4AB9" w:rsidRPr="00556719" w:rsidRDefault="002A4AB9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795173B" w14:textId="77777777" w:rsidR="002A4AB9" w:rsidRPr="00556719" w:rsidRDefault="002A4AB9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</w:tr>
      <w:tr w:rsidR="00556719" w:rsidRPr="00556719" w14:paraId="142ACBB4" w14:textId="77777777" w:rsidTr="00384609">
        <w:tc>
          <w:tcPr>
            <w:tcW w:w="2500" w:type="pct"/>
          </w:tcPr>
          <w:p w14:paraId="5C582208" w14:textId="55F15F57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22</w:t>
            </w:r>
          </w:p>
        </w:tc>
        <w:tc>
          <w:tcPr>
            <w:tcW w:w="2500" w:type="pct"/>
          </w:tcPr>
          <w:p w14:paraId="188B8764" w14:textId="77777777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</w:tr>
      <w:tr w:rsidR="00556719" w:rsidRPr="00556719" w14:paraId="1188CA04" w14:textId="74596332" w:rsidTr="00384609">
        <w:tc>
          <w:tcPr>
            <w:tcW w:w="2500" w:type="pct"/>
          </w:tcPr>
          <w:p w14:paraId="78803AB7" w14:textId="43661778" w:rsidR="000E5C2A" w:rsidRPr="00556719" w:rsidRDefault="000E5C2A" w:rsidP="00976DB7">
            <w:pPr>
              <w:pStyle w:val="Default"/>
              <w:numPr>
                <w:ilvl w:val="0"/>
                <w:numId w:val="8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4" w:name="_Hlk61439280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dilarang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proses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saling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hapus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(offset)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banking book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trading book.</w:t>
            </w:r>
            <w:bookmarkEnd w:id="4"/>
          </w:p>
        </w:tc>
        <w:tc>
          <w:tcPr>
            <w:tcW w:w="2500" w:type="pct"/>
          </w:tcPr>
          <w:p w14:paraId="75CC24BB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33AA029C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11B41F47" w14:textId="46DEBF10" w:rsidR="000E5C2A" w:rsidRPr="00556719" w:rsidRDefault="00845764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</w:p>
        </w:tc>
      </w:tr>
      <w:tr w:rsidR="00556719" w:rsidRPr="00556719" w14:paraId="4575E7A8" w14:textId="77777777" w:rsidTr="00384609">
        <w:tc>
          <w:tcPr>
            <w:tcW w:w="2500" w:type="pct"/>
          </w:tcPr>
          <w:p w14:paraId="71FDC2D7" w14:textId="1883D123" w:rsidR="00845764" w:rsidRPr="00556719" w:rsidRDefault="00845764" w:rsidP="00976DB7">
            <w:pPr>
              <w:pStyle w:val="Default"/>
              <w:numPr>
                <w:ilvl w:val="0"/>
                <w:numId w:val="8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5" w:name="_Hlk61439333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proses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saling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hapus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(offset)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long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short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trading book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sehingga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menghasilkan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neto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bersifat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identik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  <w:bookmarkEnd w:id="5"/>
          </w:p>
        </w:tc>
        <w:tc>
          <w:tcPr>
            <w:tcW w:w="2500" w:type="pct"/>
          </w:tcPr>
          <w:p w14:paraId="2054F3BD" w14:textId="77777777" w:rsidR="00845764" w:rsidRPr="00556719" w:rsidRDefault="00845764" w:rsidP="00845764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2F28A605" w14:textId="6C574123" w:rsidR="00845764" w:rsidRPr="00556719" w:rsidRDefault="00845764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Bersifat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identik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sedikit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kesamaan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penerbit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issuer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tingkat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bunga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kupon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coupon rate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jatuh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tempo,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jenis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valuta. </w:t>
            </w:r>
          </w:p>
        </w:tc>
      </w:tr>
      <w:tr w:rsidR="00556719" w:rsidRPr="00556719" w14:paraId="5DD2CB89" w14:textId="77777777" w:rsidTr="00384609">
        <w:tc>
          <w:tcPr>
            <w:tcW w:w="2500" w:type="pct"/>
          </w:tcPr>
          <w:p w14:paraId="148134CB" w14:textId="77777777" w:rsidR="00845764" w:rsidRPr="00556719" w:rsidRDefault="00845764" w:rsidP="00976DB7">
            <w:pPr>
              <w:pStyle w:val="Default"/>
              <w:numPr>
                <w:ilvl w:val="0"/>
                <w:numId w:val="8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proses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saling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hapus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(offset)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long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short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lawan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trading book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bersifat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identik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sepanjang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memenuhi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  <w:p w14:paraId="1DEE01E2" w14:textId="77777777" w:rsidR="00845764" w:rsidRPr="00556719" w:rsidRDefault="00845764" w:rsidP="00845764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7049BFF" w14:textId="77777777" w:rsidR="00845764" w:rsidRPr="00556719" w:rsidRDefault="00845764" w:rsidP="00845764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(3) </w:t>
            </w:r>
          </w:p>
          <w:p w14:paraId="46E144F3" w14:textId="77777777" w:rsidR="00845764" w:rsidRPr="00556719" w:rsidRDefault="00845764" w:rsidP="00845764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4ECB06DA" w14:textId="77777777" w:rsidR="00845764" w:rsidRPr="00556719" w:rsidRDefault="00845764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8A3C6E4" w14:textId="77777777" w:rsidTr="00384609">
        <w:tc>
          <w:tcPr>
            <w:tcW w:w="2500" w:type="pct"/>
          </w:tcPr>
          <w:p w14:paraId="7A0F3514" w14:textId="44FB5718" w:rsidR="00845764" w:rsidRPr="00556719" w:rsidRDefault="00845764" w:rsidP="00976DB7">
            <w:pPr>
              <w:pStyle w:val="Default"/>
              <w:numPr>
                <w:ilvl w:val="0"/>
                <w:numId w:val="8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(3)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347431B5" w14:textId="41D460FB" w:rsidR="00845764" w:rsidRPr="00556719" w:rsidRDefault="00845764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(4) </w:t>
            </w:r>
          </w:p>
        </w:tc>
      </w:tr>
      <w:tr w:rsidR="00556719" w:rsidRPr="00556719" w14:paraId="2601E53E" w14:textId="77777777" w:rsidTr="00384609">
        <w:tc>
          <w:tcPr>
            <w:tcW w:w="2500" w:type="pct"/>
          </w:tcPr>
          <w:p w14:paraId="241CC071" w14:textId="77777777" w:rsidR="00845764" w:rsidRPr="00556719" w:rsidRDefault="00845764" w:rsidP="00976DB7">
            <w:pPr>
              <w:pStyle w:val="Default"/>
              <w:numPr>
                <w:ilvl w:val="0"/>
                <w:numId w:val="12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menentukan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tingkatan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senioritas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instrumen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 dan</w:t>
            </w:r>
          </w:p>
          <w:p w14:paraId="31001D75" w14:textId="77777777" w:rsidR="00845764" w:rsidRPr="00556719" w:rsidRDefault="00845764" w:rsidP="00845764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E0CFD41" w14:textId="77777777" w:rsidR="00845764" w:rsidRPr="00556719" w:rsidRDefault="00845764" w:rsidP="00845764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a </w:t>
            </w:r>
          </w:p>
          <w:p w14:paraId="035C95D0" w14:textId="77777777" w:rsidR="00845764" w:rsidRPr="00556719" w:rsidRDefault="00845764" w:rsidP="00845764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Dalam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menentukan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tingkatan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senioritas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instrumen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mengalokasikan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instrumen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umum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tingkatan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senioritas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mencerminkan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prioritas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tagih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11EBEEF5" w14:textId="77777777" w:rsidR="00845764" w:rsidRPr="00556719" w:rsidRDefault="00845764" w:rsidP="00845764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Contoh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: </w:t>
            </w:r>
          </w:p>
          <w:p w14:paraId="6C76D623" w14:textId="20179D91" w:rsidR="00845764" w:rsidRPr="00556719" w:rsidRDefault="00845764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Surat utang senior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tingkatan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senioritas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tinggi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dibandingkan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surat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utang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subordinasi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3E0FEF7F" w14:textId="77777777" w:rsidTr="00384609">
        <w:tc>
          <w:tcPr>
            <w:tcW w:w="2500" w:type="pct"/>
          </w:tcPr>
          <w:p w14:paraId="77932E01" w14:textId="592AFD66" w:rsidR="00845764" w:rsidRPr="00556719" w:rsidRDefault="00845764" w:rsidP="00976DB7">
            <w:pPr>
              <w:pStyle w:val="Default"/>
              <w:numPr>
                <w:ilvl w:val="0"/>
                <w:numId w:val="12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short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tingkatan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junior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tingkatan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dibandingkan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long.</w:t>
            </w:r>
          </w:p>
        </w:tc>
        <w:tc>
          <w:tcPr>
            <w:tcW w:w="2500" w:type="pct"/>
          </w:tcPr>
          <w:p w14:paraId="370E1CC9" w14:textId="77777777" w:rsidR="00845764" w:rsidRPr="00556719" w:rsidRDefault="00845764" w:rsidP="00845764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b </w:t>
            </w:r>
          </w:p>
          <w:p w14:paraId="6458CF27" w14:textId="33731DE4" w:rsidR="00845764" w:rsidRPr="00556719" w:rsidRDefault="00845764" w:rsidP="00845764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3F891242" w14:textId="77777777" w:rsidTr="00384609">
        <w:tc>
          <w:tcPr>
            <w:tcW w:w="2500" w:type="pct"/>
          </w:tcPr>
          <w:p w14:paraId="1DC82107" w14:textId="15E54054" w:rsidR="00845764" w:rsidRPr="00556719" w:rsidRDefault="00845764" w:rsidP="00976DB7">
            <w:pPr>
              <w:pStyle w:val="Default"/>
              <w:numPr>
                <w:ilvl w:val="0"/>
                <w:numId w:val="8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Dalam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proses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saling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hapus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(offset)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trading book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(3)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menghasilkan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neto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short,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diperhitungkan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BMPD.</w:t>
            </w:r>
          </w:p>
        </w:tc>
        <w:tc>
          <w:tcPr>
            <w:tcW w:w="2500" w:type="pct"/>
          </w:tcPr>
          <w:p w14:paraId="112C7056" w14:textId="77777777" w:rsidR="00845764" w:rsidRPr="00556719" w:rsidRDefault="00845764" w:rsidP="00845764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(5) </w:t>
            </w:r>
          </w:p>
          <w:p w14:paraId="21A7DAFE" w14:textId="70DE4165" w:rsidR="00845764" w:rsidRPr="00556719" w:rsidRDefault="00845764" w:rsidP="00845764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69C511C1" w14:textId="77777777" w:rsidTr="00384609">
        <w:tc>
          <w:tcPr>
            <w:tcW w:w="2500" w:type="pct"/>
          </w:tcPr>
          <w:p w14:paraId="4806AD70" w14:textId="77777777" w:rsidR="00845764" w:rsidRPr="00556719" w:rsidRDefault="00845764" w:rsidP="00845764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338814C" w14:textId="77777777" w:rsidR="00845764" w:rsidRPr="00556719" w:rsidRDefault="00845764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E00D7FC" w14:textId="77777777" w:rsidTr="00384609">
        <w:tc>
          <w:tcPr>
            <w:tcW w:w="2500" w:type="pct"/>
          </w:tcPr>
          <w:p w14:paraId="119C3CEE" w14:textId="086DC481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 xml:space="preserve">Bagian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Kedua</w:t>
            </w:r>
            <w:proofErr w:type="spellEnd"/>
          </w:p>
          <w:p w14:paraId="053B7E76" w14:textId="31DA3E05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Penempatan</w:t>
            </w:r>
            <w:proofErr w:type="spellEnd"/>
          </w:p>
        </w:tc>
        <w:tc>
          <w:tcPr>
            <w:tcW w:w="2500" w:type="pct"/>
          </w:tcPr>
          <w:p w14:paraId="6D88A6B1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465F7C2" w14:textId="77777777" w:rsidTr="00384609">
        <w:tc>
          <w:tcPr>
            <w:tcW w:w="2500" w:type="pct"/>
          </w:tcPr>
          <w:p w14:paraId="02939C53" w14:textId="30C79A29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23</w:t>
            </w:r>
          </w:p>
        </w:tc>
        <w:tc>
          <w:tcPr>
            <w:tcW w:w="2500" w:type="pct"/>
          </w:tcPr>
          <w:p w14:paraId="0F69B661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BC292A3" w14:textId="31444BCC" w:rsidTr="00384609">
        <w:tc>
          <w:tcPr>
            <w:tcW w:w="2500" w:type="pct"/>
          </w:tcPr>
          <w:p w14:paraId="121A0A36" w14:textId="4119B659" w:rsidR="000E5C2A" w:rsidRPr="00556719" w:rsidRDefault="000E5C2A" w:rsidP="00976DB7">
            <w:pPr>
              <w:pStyle w:val="Default"/>
              <w:numPr>
                <w:ilvl w:val="0"/>
                <w:numId w:val="4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6" w:name="_Hlk61511247"/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Penempatan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lawan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  <w:bookmarkEnd w:id="6"/>
          </w:p>
        </w:tc>
        <w:tc>
          <w:tcPr>
            <w:tcW w:w="2500" w:type="pct"/>
          </w:tcPr>
          <w:p w14:paraId="29C4E21A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70A5F561" w14:textId="7665DF4A" w:rsidR="000E5C2A" w:rsidRPr="00556719" w:rsidRDefault="00845764" w:rsidP="00845764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441FF0C1" w14:textId="77777777" w:rsidTr="00384609">
        <w:tc>
          <w:tcPr>
            <w:tcW w:w="2500" w:type="pct"/>
          </w:tcPr>
          <w:p w14:paraId="1147B249" w14:textId="00E2F5D9" w:rsidR="00845764" w:rsidRPr="00556719" w:rsidRDefault="00845764" w:rsidP="00976DB7">
            <w:pPr>
              <w:pStyle w:val="Default"/>
              <w:numPr>
                <w:ilvl w:val="0"/>
                <w:numId w:val="4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Penyediaan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Penempatan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dihitung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tercatat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53448914" w14:textId="77777777" w:rsidR="00845764" w:rsidRPr="00556719" w:rsidRDefault="00845764" w:rsidP="00845764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068F5797" w14:textId="7CFCEC75" w:rsidR="00845764" w:rsidRPr="00556719" w:rsidRDefault="00845764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21F0C29B" w14:textId="77777777" w:rsidTr="00384609">
        <w:tc>
          <w:tcPr>
            <w:tcW w:w="2500" w:type="pct"/>
          </w:tcPr>
          <w:p w14:paraId="22A2BB41" w14:textId="2C6686BB" w:rsidR="00845764" w:rsidRPr="00556719" w:rsidRDefault="00845764" w:rsidP="00976DB7">
            <w:pPr>
              <w:pStyle w:val="Default"/>
              <w:numPr>
                <w:ilvl w:val="0"/>
                <w:numId w:val="4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Penempatan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termasuk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Penempatan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Bank lain di Indonesia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melalui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PUAS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tujuan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manajemen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likuiditas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7335C7DC" w14:textId="77777777" w:rsidR="00845764" w:rsidRPr="00556719" w:rsidRDefault="00845764" w:rsidP="00845764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(3) </w:t>
            </w:r>
          </w:p>
          <w:p w14:paraId="57F660E9" w14:textId="7141393B" w:rsidR="00845764" w:rsidRPr="00556719" w:rsidRDefault="00845764" w:rsidP="00845764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Penempatan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pada Bank lain di Indonesia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tujuan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manajemen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likuiditas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harian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paling lama 14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empat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59665026" w14:textId="77BAC1C5" w:rsidTr="00384609">
        <w:tc>
          <w:tcPr>
            <w:tcW w:w="2500" w:type="pct"/>
          </w:tcPr>
          <w:p w14:paraId="2A546608" w14:textId="332CD8CD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F6E6E0F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6E8CFB5" w14:textId="77777777" w:rsidTr="00384609">
        <w:tc>
          <w:tcPr>
            <w:tcW w:w="2500" w:type="pct"/>
          </w:tcPr>
          <w:p w14:paraId="67DADF47" w14:textId="10F29DA5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Bagian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Ketiga</w:t>
            </w:r>
            <w:proofErr w:type="spellEnd"/>
          </w:p>
          <w:p w14:paraId="267932C8" w14:textId="31F3D0B6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Lindung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Nilai Syariah</w:t>
            </w:r>
          </w:p>
        </w:tc>
        <w:tc>
          <w:tcPr>
            <w:tcW w:w="2500" w:type="pct"/>
          </w:tcPr>
          <w:p w14:paraId="0020EA81" w14:textId="0E58F5DA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E4457F4" w14:textId="77777777" w:rsidTr="00384609">
        <w:tc>
          <w:tcPr>
            <w:tcW w:w="2500" w:type="pct"/>
          </w:tcPr>
          <w:p w14:paraId="4FC77583" w14:textId="7EB946DD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</w:t>
            </w:r>
            <w:r w:rsidR="00684B0D">
              <w:rPr>
                <w:rFonts w:cstheme="maj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2500" w:type="pct"/>
          </w:tcPr>
          <w:p w14:paraId="336C9E72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F93AB5C" w14:textId="77777777" w:rsidTr="00384609">
        <w:tc>
          <w:tcPr>
            <w:tcW w:w="2500" w:type="pct"/>
          </w:tcPr>
          <w:p w14:paraId="28F1C692" w14:textId="00CA7B95" w:rsidR="000E5C2A" w:rsidRPr="00556719" w:rsidRDefault="000E5C2A" w:rsidP="00845764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Lindung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Nilai Syariah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lawan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5E5B8A28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342833B" w14:textId="77777777" w:rsidTr="00384609">
        <w:tc>
          <w:tcPr>
            <w:tcW w:w="2500" w:type="pct"/>
          </w:tcPr>
          <w:p w14:paraId="79B487C8" w14:textId="3009465F" w:rsidR="000E5C2A" w:rsidRPr="00556719" w:rsidRDefault="000E5C2A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558420AB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A1E1280" w14:textId="77777777" w:rsidTr="00384609">
        <w:tc>
          <w:tcPr>
            <w:tcW w:w="2500" w:type="pct"/>
          </w:tcPr>
          <w:p w14:paraId="76316ED4" w14:textId="474933FD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</w:t>
            </w:r>
            <w:r w:rsidR="00684B0D">
              <w:rPr>
                <w:rFonts w:cstheme="maj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2500" w:type="pct"/>
          </w:tcPr>
          <w:p w14:paraId="2265E30E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608E553" w14:textId="66F446E2" w:rsidTr="00384609">
        <w:tc>
          <w:tcPr>
            <w:tcW w:w="2500" w:type="pct"/>
          </w:tcPr>
          <w:p w14:paraId="7BB90F3B" w14:textId="16FCCA4B" w:rsidR="000E5C2A" w:rsidRPr="00556719" w:rsidRDefault="000E5C2A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Lindung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Nilai Syariah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</w:t>
            </w:r>
            <w:r w:rsidR="00684B0D">
              <w:rPr>
                <w:rFonts w:cstheme="majorHAnsi"/>
                <w:color w:val="auto"/>
                <w:sz w:val="20"/>
                <w:szCs w:val="20"/>
              </w:rPr>
              <w:t>4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akibat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kegagalan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lawan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dihitung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banking book dan trading book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akibat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kegagalan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lawan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3752701E" w14:textId="6DB40FC3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Definisi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 xml:space="preserve">banking book 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dan 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 xml:space="preserve">trading book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mengacu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penyediaan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modal minimum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umum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3B3B07A5" w14:textId="64C14FAD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Penyediaan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akibat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kegagalan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lawan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counterparty credit risk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mengacu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ketentuan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pedoman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bersih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lindung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tertimbang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menurut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menggunakan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pendekatan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standar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umum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794DF969" w14:textId="77777777" w:rsidTr="00384609">
        <w:tc>
          <w:tcPr>
            <w:tcW w:w="2500" w:type="pct"/>
          </w:tcPr>
          <w:p w14:paraId="712395AB" w14:textId="77777777" w:rsidR="00845764" w:rsidRPr="00556719" w:rsidRDefault="00845764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D31C48B" w14:textId="77777777" w:rsidR="00845764" w:rsidRPr="00556719" w:rsidRDefault="00845764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8A19E77" w14:textId="77777777" w:rsidTr="00384609">
        <w:tc>
          <w:tcPr>
            <w:tcW w:w="2500" w:type="pct"/>
          </w:tcPr>
          <w:p w14:paraId="2258E3D4" w14:textId="24F19CAE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  <w:highlight w:val="cyan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  <w:highlight w:val="cyan"/>
              </w:rPr>
              <w:t xml:space="preserve"> 2</w:t>
            </w:r>
            <w:r w:rsidR="00684B0D">
              <w:rPr>
                <w:rFonts w:cstheme="maj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2500" w:type="pct"/>
          </w:tcPr>
          <w:p w14:paraId="5BAABEDE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B933675" w14:textId="559514A4" w:rsidTr="00384609">
        <w:tc>
          <w:tcPr>
            <w:tcW w:w="2500" w:type="pct"/>
          </w:tcPr>
          <w:p w14:paraId="09E59606" w14:textId="603BA450" w:rsidR="000E5C2A" w:rsidRPr="00556719" w:rsidRDefault="000E5C2A" w:rsidP="00976DB7">
            <w:pPr>
              <w:pStyle w:val="Default"/>
              <w:numPr>
                <w:ilvl w:val="0"/>
                <w:numId w:val="11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84B0D">
              <w:rPr>
                <w:rFonts w:cstheme="majorHAnsi"/>
                <w:color w:val="auto"/>
                <w:sz w:val="20"/>
                <w:szCs w:val="20"/>
              </w:rPr>
              <w:t>Lindung</w:t>
            </w:r>
            <w:proofErr w:type="spellEnd"/>
            <w:r w:rsidR="00684B0D">
              <w:rPr>
                <w:rFonts w:cstheme="majorHAnsi"/>
                <w:color w:val="auto"/>
                <w:sz w:val="20"/>
                <w:szCs w:val="20"/>
              </w:rPr>
              <w:t xml:space="preserve"> Nilai Syariah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forward dan swap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trading book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dihitung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leg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cakupan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Penyediaan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long.</w:t>
            </w:r>
          </w:p>
        </w:tc>
        <w:tc>
          <w:tcPr>
            <w:tcW w:w="2500" w:type="pct"/>
          </w:tcPr>
          <w:p w14:paraId="4C7EC0DF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35B9F830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Pendekatan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gramStart"/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two legged</w:t>
            </w:r>
            <w:proofErr w:type="gramEnd"/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 xml:space="preserve"> approach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ketentuan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pedoman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penggunaan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metode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standar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penyediaan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modal minimum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umum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memperhitungkan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pasar. </w:t>
            </w:r>
          </w:p>
          <w:p w14:paraId="3A7326B9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  <w:p w14:paraId="6EA16683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40E6B197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lastRenderedPageBreak/>
              <w:t xml:space="preserve">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konsolidasi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juga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memperhitungkan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ekuitas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komoditas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Perusahaan Anak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terekspos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ekuitas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komoditas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namun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hanya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 xml:space="preserve">leg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cakupan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Penyediaan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 xml:space="preserve">long 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diperhitungkan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BMPK. </w:t>
            </w:r>
          </w:p>
          <w:p w14:paraId="6D37CD63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Contoh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1: </w:t>
            </w:r>
          </w:p>
          <w:p w14:paraId="10CF3F83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Perusahaan Anak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 xml:space="preserve">future 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pada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PT “X”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dilaporkan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 xml:space="preserve">long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PT “X”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 xml:space="preserve">short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suku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bunga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risk-free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79C43178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Contoh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2: </w:t>
            </w:r>
          </w:p>
          <w:p w14:paraId="76AAC13A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 xml:space="preserve">interest-rate swap 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dilakukan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suku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bunga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mengambang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floating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membayar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suku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bunga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tetap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fixed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dilaporkan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 xml:space="preserve">long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instrumen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suku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bunga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mengambang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floating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 xml:space="preserve">short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instrumen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suku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bunga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tetap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fixed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). </w:t>
            </w:r>
          </w:p>
          <w:p w14:paraId="0FC3B8FF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  <w:p w14:paraId="629CC9E7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(3) </w:t>
            </w:r>
          </w:p>
          <w:p w14:paraId="1F7560E2" w14:textId="278E78F3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2E174D61" w14:textId="77777777" w:rsidTr="00384609">
        <w:tc>
          <w:tcPr>
            <w:tcW w:w="2500" w:type="pct"/>
          </w:tcPr>
          <w:p w14:paraId="08819F7F" w14:textId="18847333" w:rsidR="00845764" w:rsidRPr="00556719" w:rsidRDefault="00845764" w:rsidP="00976DB7">
            <w:pPr>
              <w:pStyle w:val="Default"/>
              <w:numPr>
                <w:ilvl w:val="0"/>
                <w:numId w:val="11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</w:t>
            </w:r>
            <w:r w:rsidR="00684B0D">
              <w:rPr>
                <w:rFonts w:cstheme="majorHAnsi"/>
                <w:color w:val="auto"/>
                <w:sz w:val="20"/>
                <w:szCs w:val="20"/>
              </w:rPr>
              <w:t>D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trading book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mengacu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Lampiran I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terpisahkan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6FD088A6" w14:textId="77777777" w:rsidR="00845764" w:rsidRPr="00556719" w:rsidRDefault="00845764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E7C8A46" w14:textId="77777777" w:rsidTr="00384609">
        <w:tc>
          <w:tcPr>
            <w:tcW w:w="2500" w:type="pct"/>
          </w:tcPr>
          <w:p w14:paraId="1ECD9352" w14:textId="77777777" w:rsidR="00845764" w:rsidRPr="00556719" w:rsidRDefault="00845764" w:rsidP="00845764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F997DD1" w14:textId="77777777" w:rsidR="00845764" w:rsidRPr="00556719" w:rsidRDefault="00845764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8FDAB05" w14:textId="77777777" w:rsidTr="00384609">
        <w:tc>
          <w:tcPr>
            <w:tcW w:w="2500" w:type="pct"/>
          </w:tcPr>
          <w:p w14:paraId="24CA22D0" w14:textId="3FAB8AF5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2</w:t>
            </w:r>
            <w:r w:rsidR="00684B0D">
              <w:rPr>
                <w:rFonts w:ascii="Bookman Old Style" w:hAnsi="Bookman Old Style" w:cstheme="majorHAnsi"/>
                <w:sz w:val="20"/>
                <w:szCs w:val="20"/>
              </w:rPr>
              <w:t>7</w:t>
            </w:r>
          </w:p>
        </w:tc>
        <w:tc>
          <w:tcPr>
            <w:tcW w:w="2500" w:type="pct"/>
          </w:tcPr>
          <w:p w14:paraId="60FD9C87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C9A659A" w14:textId="327AD5A4" w:rsidTr="00384609">
        <w:tc>
          <w:tcPr>
            <w:tcW w:w="2500" w:type="pct"/>
          </w:tcPr>
          <w:p w14:paraId="7E8165C4" w14:textId="3B773B44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BMP</w:t>
            </w:r>
            <w:r w:rsidR="00684B0D">
              <w:rPr>
                <w:rFonts w:ascii="Bookman Old Style" w:hAnsi="Bookman Old Style" w:cstheme="majorHAnsi"/>
                <w:sz w:val="20"/>
                <w:szCs w:val="20"/>
              </w:rPr>
              <w:t>D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Derivatif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trading book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penjumlahan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seluruh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2</w:t>
            </w:r>
            <w:r w:rsidR="00684B0D">
              <w:rPr>
                <w:rFonts w:ascii="Bookman Old Style" w:hAnsi="Bookman Old Style" w:cstheme="majorHAnsi"/>
                <w:sz w:val="20"/>
                <w:szCs w:val="20"/>
              </w:rPr>
              <w:t>5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2</w:t>
            </w:r>
            <w:r w:rsidR="00684B0D">
              <w:rPr>
                <w:rFonts w:ascii="Bookman Old Style" w:hAnsi="Bookman Old Style" w:cstheme="majorHAnsi"/>
                <w:sz w:val="20"/>
                <w:szCs w:val="20"/>
              </w:rPr>
              <w:t>6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2AEE7C4E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A1E768E" w14:textId="77777777" w:rsidTr="00384609">
        <w:tc>
          <w:tcPr>
            <w:tcW w:w="2500" w:type="pct"/>
          </w:tcPr>
          <w:p w14:paraId="75DD8A80" w14:textId="77777777" w:rsidR="00845764" w:rsidRPr="00556719" w:rsidRDefault="00845764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F1740D1" w14:textId="77777777" w:rsidR="00845764" w:rsidRPr="00556719" w:rsidRDefault="00845764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5CA2715" w14:textId="77777777" w:rsidTr="00384609">
        <w:tc>
          <w:tcPr>
            <w:tcW w:w="2500" w:type="pct"/>
          </w:tcPr>
          <w:p w14:paraId="1291FF16" w14:textId="384A373F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Bagian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Keempat</w:t>
            </w:r>
            <w:proofErr w:type="spellEnd"/>
          </w:p>
          <w:p w14:paraId="7BFD5DEB" w14:textId="6E456ABC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</w:t>
            </w:r>
          </w:p>
        </w:tc>
        <w:tc>
          <w:tcPr>
            <w:tcW w:w="2500" w:type="pct"/>
          </w:tcPr>
          <w:p w14:paraId="5DDE40B7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BFF8126" w14:textId="77777777" w:rsidTr="00384609">
        <w:tc>
          <w:tcPr>
            <w:tcW w:w="2500" w:type="pct"/>
          </w:tcPr>
          <w:p w14:paraId="4334F0A6" w14:textId="38D93C64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</w:t>
            </w:r>
            <w:r w:rsidR="00684B0D">
              <w:rPr>
                <w:rFonts w:cstheme="maj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2500" w:type="pct"/>
          </w:tcPr>
          <w:p w14:paraId="43F90222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925EAAA" w14:textId="40D82497" w:rsidTr="00384609">
        <w:tc>
          <w:tcPr>
            <w:tcW w:w="2500" w:type="pct"/>
          </w:tcPr>
          <w:p w14:paraId="797FB1FE" w14:textId="0A52B04E" w:rsidR="000E5C2A" w:rsidRPr="00556719" w:rsidRDefault="000E5C2A" w:rsidP="00976DB7">
            <w:pPr>
              <w:pStyle w:val="Default"/>
              <w:numPr>
                <w:ilvl w:val="0"/>
                <w:numId w:val="8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7" w:name="_Hlk61514404"/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Penyediaan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penerbit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Syariah.</w:t>
            </w:r>
            <w:bookmarkEnd w:id="7"/>
          </w:p>
        </w:tc>
        <w:tc>
          <w:tcPr>
            <w:tcW w:w="2500" w:type="pct"/>
          </w:tcPr>
          <w:p w14:paraId="4B681DA8" w14:textId="44D9CE62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0F674BFD" w14:textId="77777777" w:rsidTr="00384609">
        <w:tc>
          <w:tcPr>
            <w:tcW w:w="2500" w:type="pct"/>
          </w:tcPr>
          <w:p w14:paraId="6A6F93A0" w14:textId="1D7F2D94" w:rsidR="00845764" w:rsidRPr="00556719" w:rsidRDefault="00845764" w:rsidP="00976DB7">
            <w:pPr>
              <w:pStyle w:val="Default"/>
              <w:numPr>
                <w:ilvl w:val="0"/>
                <w:numId w:val="8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banking book dan trading book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dihitung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tercatat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557F4AD9" w14:textId="77777777" w:rsidR="00845764" w:rsidRPr="00556719" w:rsidRDefault="00845764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B5A7B92" w14:textId="77777777" w:rsidTr="00384609">
        <w:tc>
          <w:tcPr>
            <w:tcW w:w="2500" w:type="pct"/>
          </w:tcPr>
          <w:p w14:paraId="4917F8CB" w14:textId="57A09501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527A4AA4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2B36050" w14:textId="115B4C44" w:rsidTr="00384609">
        <w:tc>
          <w:tcPr>
            <w:tcW w:w="2500" w:type="pct"/>
          </w:tcPr>
          <w:p w14:paraId="054226D0" w14:textId="63C98F37" w:rsidR="000E5C2A" w:rsidRPr="00556719" w:rsidRDefault="000E5C2A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5645ABC" w14:textId="46812732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88EA6CB" w14:textId="77777777" w:rsidTr="00384609">
        <w:tc>
          <w:tcPr>
            <w:tcW w:w="2500" w:type="pct"/>
          </w:tcPr>
          <w:p w14:paraId="3517FF0C" w14:textId="2DC8C12D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="00684B0D">
              <w:rPr>
                <w:rFonts w:cstheme="majorHAnsi"/>
                <w:color w:val="auto"/>
                <w:sz w:val="20"/>
                <w:szCs w:val="20"/>
              </w:rPr>
              <w:t>29</w:t>
            </w:r>
          </w:p>
        </w:tc>
        <w:tc>
          <w:tcPr>
            <w:tcW w:w="2500" w:type="pct"/>
          </w:tcPr>
          <w:p w14:paraId="585FD007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989F34D" w14:textId="76C34DF8" w:rsidTr="00384609">
        <w:tc>
          <w:tcPr>
            <w:tcW w:w="2500" w:type="pct"/>
          </w:tcPr>
          <w:p w14:paraId="42590FE4" w14:textId="3F11ECA7" w:rsidR="000E5C2A" w:rsidRPr="00556719" w:rsidRDefault="000E5C2A" w:rsidP="00976DB7">
            <w:pPr>
              <w:pStyle w:val="Default"/>
              <w:numPr>
                <w:ilvl w:val="0"/>
                <w:numId w:val="8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Penetapan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lawan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bookmarkStart w:id="8" w:name="_Hlk61515443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dihubungkan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dijamin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mendasari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banking book dan trading book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ditentukan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jumlah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Syariah.</w:t>
            </w:r>
            <w:bookmarkEnd w:id="8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14:paraId="19598303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4E082B6E" w14:textId="3BAAE0FD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Surat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Syariah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dihubungkan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dijamin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mendasari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Syariah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harga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Syariah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ditentukan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harga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instrumen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mendasari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Contoh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Syariah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Efek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Beragun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Aset (EBA)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reksa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syariah</w:t>
            </w:r>
            <w:proofErr w:type="spellEnd"/>
            <w:r w:rsidR="006B3DD8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1ADC9695" w14:textId="77777777" w:rsidTr="00384609">
        <w:tc>
          <w:tcPr>
            <w:tcW w:w="2500" w:type="pct"/>
          </w:tcPr>
          <w:p w14:paraId="0685B1F1" w14:textId="260CEF66" w:rsidR="00845764" w:rsidRPr="00556719" w:rsidRDefault="00845764" w:rsidP="00976DB7">
            <w:pPr>
              <w:pStyle w:val="Default"/>
              <w:numPr>
                <w:ilvl w:val="0"/>
                <w:numId w:val="8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dihubungkan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dijamin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mendasari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total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nominal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bookmarkStart w:id="9" w:name="_Hlk61515563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kurang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0,25%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dua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lima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Inti (</w:t>
            </w:r>
            <w:r w:rsidRPr="00556719">
              <w:rPr>
                <w:rFonts w:cstheme="majorHAnsi"/>
                <w:i/>
                <w:color w:val="auto"/>
                <w:sz w:val="20"/>
                <w:szCs w:val="20"/>
              </w:rPr>
              <w:t>tier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1)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penerbit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dihubungkan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dijamin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mendasari</w:t>
            </w:r>
            <w:bookmarkEnd w:id="9"/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500" w:type="pct"/>
          </w:tcPr>
          <w:p w14:paraId="2ABB92E1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52081363" w14:textId="569258D6" w:rsidR="00845764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Contoh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: Bank “A”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membeli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EBA “XYZ”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reksa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“PQR”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PT “B”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total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nominal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pembelian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kurang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0,25%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nol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dua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lima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Modal Inti (</w:t>
            </w:r>
            <w:r w:rsidRPr="00556719">
              <w:rPr>
                <w:rFonts w:ascii="Bookman Old Style" w:hAnsi="Bookman Old Style" w:cstheme="majorHAnsi"/>
                <w:i/>
                <w:sz w:val="20"/>
                <w:szCs w:val="20"/>
              </w:rPr>
              <w:t>tier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1) Bank “A”.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pembelian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EBA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reksa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penerbit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EBA “XYZ”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manajer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investasi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reksa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“PQR”. </w:t>
            </w:r>
          </w:p>
        </w:tc>
      </w:tr>
      <w:tr w:rsidR="00556719" w:rsidRPr="00556719" w14:paraId="2F2410FF" w14:textId="77777777" w:rsidTr="00384609">
        <w:tc>
          <w:tcPr>
            <w:tcW w:w="2500" w:type="pct"/>
          </w:tcPr>
          <w:p w14:paraId="1C322D05" w14:textId="2A11B73B" w:rsidR="00845764" w:rsidRPr="00556719" w:rsidRDefault="00845764" w:rsidP="00976DB7">
            <w:pPr>
              <w:pStyle w:val="Default"/>
              <w:numPr>
                <w:ilvl w:val="0"/>
                <w:numId w:val="8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dihubungkan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dijamin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mendasari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total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nominal </w:t>
            </w:r>
            <w:bookmarkStart w:id="10" w:name="_Hlk61515645"/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0,25%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dua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lima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Inti (</w:t>
            </w:r>
            <w:r w:rsidRPr="00556719">
              <w:rPr>
                <w:rFonts w:cstheme="majorHAnsi"/>
                <w:i/>
                <w:color w:val="auto"/>
                <w:sz w:val="20"/>
                <w:szCs w:val="20"/>
              </w:rPr>
              <w:t>tier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1)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Entitas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Referensi. </w:t>
            </w:r>
            <w:bookmarkEnd w:id="10"/>
          </w:p>
        </w:tc>
        <w:tc>
          <w:tcPr>
            <w:tcW w:w="2500" w:type="pct"/>
          </w:tcPr>
          <w:p w14:paraId="3407D0DB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(3) </w:t>
            </w:r>
          </w:p>
          <w:p w14:paraId="2AE433E8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Contoh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1: Bank “A”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membeli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EBA “XYZ”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PT “B”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total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nominal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pembelian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0,25%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nol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dua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lima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Modal Inti (</w:t>
            </w:r>
            <w:r w:rsidRPr="00556719">
              <w:rPr>
                <w:rFonts w:ascii="Bookman Old Style" w:hAnsi="Bookman Old Style" w:cstheme="majorHAnsi"/>
                <w:i/>
                <w:sz w:val="20"/>
                <w:szCs w:val="20"/>
              </w:rPr>
              <w:t>tier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1) Bank “A”. Aset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mendasari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EBA “XYZ”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portofolio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pinjaman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terdiri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pinjaman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PT “Alfa”, PT “Beta”, dan PT “Gama”.</w:t>
            </w:r>
          </w:p>
          <w:p w14:paraId="0FA816AA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demikian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pembelian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EBA “XYZ”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PT “Alfa”, PT “Beta”, dan PT “Gama”. </w:t>
            </w:r>
          </w:p>
          <w:p w14:paraId="3E7A20E5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Contoh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2: Bank “A”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membeli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reksa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“PQR”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PT “B”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total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nominal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pembelian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0,25%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nol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dua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lima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Modal Inti (</w:t>
            </w:r>
            <w:r w:rsidRPr="00556719">
              <w:rPr>
                <w:rFonts w:ascii="Bookman Old Style" w:hAnsi="Bookman Old Style" w:cstheme="majorHAnsi"/>
                <w:i/>
                <w:sz w:val="20"/>
                <w:szCs w:val="20"/>
              </w:rPr>
              <w:t>tier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1) Bank “A”. Aset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mendasari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reksa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“PQR”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obligasi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PT “Alfa”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obligasi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PT “Beta”. </w:t>
            </w:r>
          </w:p>
          <w:p w14:paraId="4BF5C8C5" w14:textId="2BA7B7DE" w:rsidR="00845764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demikian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pembelian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reksa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“PQR”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PT “Alfa” dan PT “Beta”.</w:t>
            </w:r>
          </w:p>
        </w:tc>
      </w:tr>
      <w:tr w:rsidR="00556719" w:rsidRPr="00556719" w14:paraId="1AF8A450" w14:textId="77777777" w:rsidTr="00384609">
        <w:tc>
          <w:tcPr>
            <w:tcW w:w="2500" w:type="pct"/>
          </w:tcPr>
          <w:p w14:paraId="088ABA97" w14:textId="18542C81" w:rsidR="00845764" w:rsidRPr="00556719" w:rsidRDefault="00845764" w:rsidP="00976DB7">
            <w:pPr>
              <w:pStyle w:val="Default"/>
              <w:numPr>
                <w:ilvl w:val="0"/>
                <w:numId w:val="8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dihubungkan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dijamin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mendasari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dihitung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menggunakan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7224645A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(4) </w:t>
            </w:r>
          </w:p>
          <w:p w14:paraId="4D24E1D6" w14:textId="77777777" w:rsidR="00845764" w:rsidRPr="00556719" w:rsidRDefault="00845764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B68000D" w14:textId="77777777" w:rsidTr="00384609">
        <w:tc>
          <w:tcPr>
            <w:tcW w:w="2500" w:type="pct"/>
          </w:tcPr>
          <w:p w14:paraId="339B5DE9" w14:textId="21DEB6BD" w:rsidR="006B3DD8" w:rsidRPr="00556719" w:rsidRDefault="006B3DD8" w:rsidP="00976DB7">
            <w:pPr>
              <w:pStyle w:val="Default"/>
              <w:numPr>
                <w:ilvl w:val="0"/>
                <w:numId w:val="12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11" w:name="_Hlk61515827"/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nominal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</w:t>
            </w:r>
            <w:bookmarkEnd w:id="11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(2);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14:paraId="04A07778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a </w:t>
            </w:r>
          </w:p>
          <w:p w14:paraId="6A6E7AC0" w14:textId="67DC1121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ab/>
            </w:r>
          </w:p>
        </w:tc>
      </w:tr>
      <w:tr w:rsidR="00556719" w:rsidRPr="00556719" w14:paraId="02BED29E" w14:textId="77777777" w:rsidTr="00384609">
        <w:tc>
          <w:tcPr>
            <w:tcW w:w="2500" w:type="pct"/>
          </w:tcPr>
          <w:p w14:paraId="13F062B0" w14:textId="36AEAE62" w:rsidR="006B3DD8" w:rsidRPr="00556719" w:rsidRDefault="006B3DD8" w:rsidP="00976DB7">
            <w:pPr>
              <w:pStyle w:val="Default"/>
              <w:numPr>
                <w:ilvl w:val="0"/>
                <w:numId w:val="12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i/>
                <w:color w:val="auto"/>
                <w:sz w:val="20"/>
                <w:szCs w:val="20"/>
              </w:rPr>
              <w:lastRenderedPageBreak/>
              <w:t>look-through approach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dihitung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proporsional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proporsi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mendasari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masing-masing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Entitas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Referensi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(3).</w:t>
            </w:r>
          </w:p>
        </w:tc>
        <w:tc>
          <w:tcPr>
            <w:tcW w:w="2500" w:type="pct"/>
          </w:tcPr>
          <w:p w14:paraId="726CC68A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Huruf b</w:t>
            </w:r>
          </w:p>
          <w:p w14:paraId="0806AA45" w14:textId="55E4125C" w:rsidR="006B3DD8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Contoh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r w:rsidRPr="00556719">
              <w:rPr>
                <w:rFonts w:ascii="Bookman Old Style" w:hAnsi="Bookman Old Style" w:cstheme="majorHAnsi"/>
                <w:i/>
                <w:sz w:val="20"/>
                <w:szCs w:val="20"/>
              </w:rPr>
              <w:t>look-through approach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pada Lampiran I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bagian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terpisahkan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3CDE8D48" w14:textId="77777777" w:rsidTr="00384609">
        <w:tc>
          <w:tcPr>
            <w:tcW w:w="2500" w:type="pct"/>
          </w:tcPr>
          <w:p w14:paraId="538E12F4" w14:textId="2776D22F" w:rsidR="00845764" w:rsidRPr="00556719" w:rsidRDefault="00845764" w:rsidP="00976DB7">
            <w:pPr>
              <w:pStyle w:val="Default"/>
              <w:numPr>
                <w:ilvl w:val="0"/>
                <w:numId w:val="8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Dalam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mengidentifikasi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mendasari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(4)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500" w:type="pct"/>
          </w:tcPr>
          <w:p w14:paraId="52E4C21C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(5) </w:t>
            </w:r>
          </w:p>
          <w:p w14:paraId="2CF79DFD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Dalam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dipersyaratkan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menggunakan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look-through approach,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menunjukkan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bahwa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pertimbangan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regulatory arbitrage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memengaruhi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keputusan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penggunaan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look-through approach. </w:t>
            </w:r>
          </w:p>
          <w:p w14:paraId="0C79EF50" w14:textId="4F92728B" w:rsidR="00845764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contoh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menghindari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penetapan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limit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Besar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investasi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beberapa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individu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material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mendasari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identik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20EFDA49" w14:textId="77777777" w:rsidTr="00384609">
        <w:tc>
          <w:tcPr>
            <w:tcW w:w="2500" w:type="pct"/>
          </w:tcPr>
          <w:p w14:paraId="320B3BD1" w14:textId="226FBA1E" w:rsidR="00845764" w:rsidRPr="00556719" w:rsidRDefault="00845764" w:rsidP="00976DB7">
            <w:pPr>
              <w:pStyle w:val="Default"/>
              <w:numPr>
                <w:ilvl w:val="0"/>
                <w:numId w:val="12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12" w:name="_Hlk61516578"/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penerbit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proporsi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nominal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kurang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0,25%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dua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lima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Inti (</w:t>
            </w:r>
            <w:r w:rsidRPr="00556719">
              <w:rPr>
                <w:rFonts w:cstheme="majorHAnsi"/>
                <w:i/>
                <w:color w:val="auto"/>
                <w:sz w:val="20"/>
                <w:szCs w:val="20"/>
              </w:rPr>
              <w:t xml:space="preserve">tier 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1) Bank;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bookmarkEnd w:id="12"/>
          </w:p>
        </w:tc>
        <w:tc>
          <w:tcPr>
            <w:tcW w:w="2500" w:type="pct"/>
          </w:tcPr>
          <w:p w14:paraId="74028D33" w14:textId="77777777" w:rsidR="00845764" w:rsidRPr="00556719" w:rsidRDefault="00845764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69C60CD" w14:textId="77777777" w:rsidTr="00384609">
        <w:tc>
          <w:tcPr>
            <w:tcW w:w="2500" w:type="pct"/>
          </w:tcPr>
          <w:p w14:paraId="3BC7A8D1" w14:textId="1BA2CB25" w:rsidR="00845764" w:rsidRPr="00556719" w:rsidRDefault="00845764" w:rsidP="00976DB7">
            <w:pPr>
              <w:pStyle w:val="Default"/>
              <w:numPr>
                <w:ilvl w:val="0"/>
                <w:numId w:val="12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unknown client,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proporsi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nominal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0,25%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dua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lima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Inti (</w:t>
            </w:r>
            <w:r w:rsidRPr="00556719">
              <w:rPr>
                <w:rFonts w:cstheme="majorHAnsi"/>
                <w:i/>
                <w:color w:val="auto"/>
                <w:sz w:val="20"/>
                <w:szCs w:val="20"/>
              </w:rPr>
              <w:t xml:space="preserve">tier 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>1) Bank.</w:t>
            </w:r>
          </w:p>
        </w:tc>
        <w:tc>
          <w:tcPr>
            <w:tcW w:w="2500" w:type="pct"/>
          </w:tcPr>
          <w:p w14:paraId="75A42E98" w14:textId="77777777" w:rsidR="00845764" w:rsidRPr="00556719" w:rsidRDefault="00845764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5AF0DAC" w14:textId="77777777" w:rsidTr="00384609">
        <w:tc>
          <w:tcPr>
            <w:tcW w:w="2500" w:type="pct"/>
          </w:tcPr>
          <w:p w14:paraId="6CC857A7" w14:textId="0DCF2566" w:rsidR="00845764" w:rsidRPr="00556719" w:rsidRDefault="00845764" w:rsidP="00976DB7">
            <w:pPr>
              <w:pStyle w:val="Default"/>
              <w:numPr>
                <w:ilvl w:val="0"/>
                <w:numId w:val="8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13" w:name="_Hlk61516620"/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unknown client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(5)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dihitung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keseluruhan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unknown client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tetap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memperhitungkan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batasan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Peminjam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16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b. </w:t>
            </w:r>
            <w:bookmarkEnd w:id="13"/>
          </w:p>
        </w:tc>
        <w:tc>
          <w:tcPr>
            <w:tcW w:w="2500" w:type="pct"/>
          </w:tcPr>
          <w:p w14:paraId="0A60BFF8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(6) </w:t>
            </w:r>
          </w:p>
          <w:p w14:paraId="3CB1400C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5CD79654" w14:textId="77777777" w:rsidR="00845764" w:rsidRPr="00556719" w:rsidRDefault="00845764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B3271E2" w14:textId="77777777" w:rsidTr="00384609">
        <w:tc>
          <w:tcPr>
            <w:tcW w:w="2500" w:type="pct"/>
          </w:tcPr>
          <w:p w14:paraId="486AF022" w14:textId="7F36C4BB" w:rsidR="00845764" w:rsidRPr="00556719" w:rsidRDefault="00845764" w:rsidP="00976DB7">
            <w:pPr>
              <w:pStyle w:val="Default"/>
              <w:numPr>
                <w:ilvl w:val="0"/>
                <w:numId w:val="8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14" w:name="_Hlk61516692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Dalam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dihubungkan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dijamin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mendasari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harus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identifikasi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ketiga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menimbulkan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faktor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tambahan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Syariah. </w:t>
            </w:r>
            <w:bookmarkEnd w:id="14"/>
          </w:p>
        </w:tc>
        <w:tc>
          <w:tcPr>
            <w:tcW w:w="2500" w:type="pct"/>
          </w:tcPr>
          <w:p w14:paraId="79555D2E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(7) </w:t>
            </w:r>
          </w:p>
          <w:p w14:paraId="498B2C61" w14:textId="2C20C43C" w:rsidR="00845764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bookmarkStart w:id="15" w:name="_Hlk61516746"/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Contoh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ketiga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kreditur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(originator),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manajer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investasi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penyedia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fasilitas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likuiditas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penyedia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proteksi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  <w:bookmarkEnd w:id="15"/>
          </w:p>
        </w:tc>
      </w:tr>
      <w:tr w:rsidR="00556719" w:rsidRPr="00556719" w14:paraId="1BF8943E" w14:textId="77777777" w:rsidTr="00384609">
        <w:tc>
          <w:tcPr>
            <w:tcW w:w="2500" w:type="pct"/>
          </w:tcPr>
          <w:p w14:paraId="21C239C2" w14:textId="62DBC984" w:rsidR="00845764" w:rsidRPr="00556719" w:rsidRDefault="00845764" w:rsidP="00976DB7">
            <w:pPr>
              <w:pStyle w:val="Default"/>
              <w:numPr>
                <w:ilvl w:val="0"/>
                <w:numId w:val="8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mempertimbangkan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beberapa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ketiga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menimbulkan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potensi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faktor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tambahan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(7). </w:t>
            </w:r>
          </w:p>
        </w:tc>
        <w:tc>
          <w:tcPr>
            <w:tcW w:w="2500" w:type="pct"/>
          </w:tcPr>
          <w:p w14:paraId="51F0DDD6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(8) </w:t>
            </w:r>
          </w:p>
          <w:p w14:paraId="332E8D89" w14:textId="321004A1" w:rsidR="00845764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7C217060" w14:textId="77777777" w:rsidTr="00384609">
        <w:tc>
          <w:tcPr>
            <w:tcW w:w="2500" w:type="pct"/>
          </w:tcPr>
          <w:p w14:paraId="410F7F6A" w14:textId="58CFE690" w:rsidR="00845764" w:rsidRPr="00556719" w:rsidRDefault="00845764" w:rsidP="00976DB7">
            <w:pPr>
              <w:pStyle w:val="Default"/>
              <w:numPr>
                <w:ilvl w:val="0"/>
                <w:numId w:val="8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Dalam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beberapa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ketiga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menimbulkan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faktor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tambahan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(8), </w:t>
            </w:r>
            <w:bookmarkStart w:id="16" w:name="_Hlk61516788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menjumlahkan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eksposur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dihubungkan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dijamin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mendasari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masing-masing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ketiga</w:t>
            </w:r>
            <w:bookmarkEnd w:id="16"/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3B3B40FA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lastRenderedPageBreak/>
              <w:t xml:space="preserve">Ayat (9) </w:t>
            </w:r>
          </w:p>
          <w:p w14:paraId="0A97C9B2" w14:textId="6B387D8D" w:rsidR="00845764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1CF03B4D" w14:textId="77777777" w:rsidTr="00384609">
        <w:tc>
          <w:tcPr>
            <w:tcW w:w="2500" w:type="pct"/>
          </w:tcPr>
          <w:p w14:paraId="553B53B8" w14:textId="77777777" w:rsidR="00845764" w:rsidRPr="00556719" w:rsidRDefault="00845764" w:rsidP="00845764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0078E70" w14:textId="77777777" w:rsidR="00845764" w:rsidRPr="00556719" w:rsidRDefault="00845764" w:rsidP="00845764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DEE454F" w14:textId="77777777" w:rsidTr="00384609">
        <w:tc>
          <w:tcPr>
            <w:tcW w:w="2500" w:type="pct"/>
          </w:tcPr>
          <w:p w14:paraId="7FDB20E4" w14:textId="25CCFB24" w:rsidR="000E5C2A" w:rsidRPr="00556719" w:rsidRDefault="00845764" w:rsidP="00845764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3</w:t>
            </w:r>
            <w:r w:rsidR="00D21692">
              <w:rPr>
                <w:rFonts w:ascii="Bookman Old Style" w:hAnsi="Bookman Old Style" w:cstheme="majorHAnsi"/>
                <w:sz w:val="20"/>
                <w:szCs w:val="20"/>
              </w:rPr>
              <w:t>0</w:t>
            </w:r>
          </w:p>
        </w:tc>
        <w:tc>
          <w:tcPr>
            <w:tcW w:w="2500" w:type="pct"/>
          </w:tcPr>
          <w:p w14:paraId="3118A87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A310383" w14:textId="50FD2983" w:rsidTr="00384609">
        <w:tc>
          <w:tcPr>
            <w:tcW w:w="2500" w:type="pct"/>
          </w:tcPr>
          <w:p w14:paraId="05DFBC6A" w14:textId="334B17B0" w:rsidR="000E5C2A" w:rsidRPr="00556719" w:rsidRDefault="000E5C2A" w:rsidP="00976DB7">
            <w:pPr>
              <w:pStyle w:val="Default"/>
              <w:numPr>
                <w:ilvl w:val="0"/>
                <w:numId w:val="11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berbentuk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Pr="00556719">
              <w:rPr>
                <w:rFonts w:cstheme="majorHAnsi"/>
                <w:i/>
                <w:iCs/>
                <w:color w:val="auto"/>
                <w:sz w:val="20"/>
                <w:szCs w:val="20"/>
              </w:rPr>
              <w:t>covered sukuk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penerbit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berbentuk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Pr="00556719">
              <w:rPr>
                <w:rFonts w:cstheme="majorHAnsi"/>
                <w:i/>
                <w:iCs/>
                <w:color w:val="auto"/>
                <w:sz w:val="20"/>
                <w:szCs w:val="20"/>
              </w:rPr>
              <w:t>covered sukuk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706A62B3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0BD4F487" w14:textId="0B348E29" w:rsidR="000E5C2A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55CEFE98" w14:textId="77777777" w:rsidTr="00384609">
        <w:tc>
          <w:tcPr>
            <w:tcW w:w="2500" w:type="pct"/>
          </w:tcPr>
          <w:p w14:paraId="7081AEF9" w14:textId="3D5C5588" w:rsidR="006B3DD8" w:rsidRPr="00556719" w:rsidRDefault="006B3DD8" w:rsidP="00976DB7">
            <w:pPr>
              <w:pStyle w:val="Default"/>
              <w:numPr>
                <w:ilvl w:val="0"/>
                <w:numId w:val="11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berbentuk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Pr="00556719">
              <w:rPr>
                <w:rFonts w:cstheme="majorHAnsi"/>
                <w:i/>
                <w:iCs/>
                <w:color w:val="auto"/>
                <w:sz w:val="20"/>
                <w:szCs w:val="20"/>
              </w:rPr>
              <w:t>covered sukuk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dihitung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nominal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berbentuk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c</w:t>
            </w:r>
            <w:r w:rsidRPr="00556719">
              <w:rPr>
                <w:rFonts w:cstheme="majorHAnsi"/>
                <w:i/>
                <w:iCs/>
                <w:color w:val="auto"/>
                <w:sz w:val="20"/>
                <w:szCs w:val="20"/>
              </w:rPr>
              <w:t>overed sukuk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kecuali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berbentuk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Pr="00556719">
              <w:rPr>
                <w:rFonts w:cstheme="majorHAnsi"/>
                <w:i/>
                <w:iCs/>
                <w:color w:val="auto"/>
                <w:sz w:val="20"/>
                <w:szCs w:val="20"/>
              </w:rPr>
              <w:t>covered sukuk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memenuhi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6AA0CCF1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35E32F1D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3A226D7C" w14:textId="77777777" w:rsidR="006B3DD8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74D39D8" w14:textId="77777777" w:rsidTr="00384609">
        <w:tc>
          <w:tcPr>
            <w:tcW w:w="2500" w:type="pct"/>
          </w:tcPr>
          <w:p w14:paraId="4C83E1E4" w14:textId="1BC186DC" w:rsidR="006B3DD8" w:rsidRPr="00556719" w:rsidRDefault="006B3DD8" w:rsidP="00976DB7">
            <w:pPr>
              <w:pStyle w:val="Default"/>
              <w:numPr>
                <w:ilvl w:val="0"/>
                <w:numId w:val="11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7A7DCDCD" w14:textId="03F4AC27" w:rsidR="006B3DD8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(3) </w:t>
            </w:r>
          </w:p>
        </w:tc>
      </w:tr>
      <w:tr w:rsidR="00556719" w:rsidRPr="00556719" w14:paraId="70FB4EE5" w14:textId="77777777" w:rsidTr="00384609">
        <w:tc>
          <w:tcPr>
            <w:tcW w:w="2500" w:type="pct"/>
          </w:tcPr>
          <w:p w14:paraId="241C9C6C" w14:textId="77777777" w:rsidR="006B3DD8" w:rsidRPr="00556719" w:rsidRDefault="006B3DD8" w:rsidP="00976DB7">
            <w:pPr>
              <w:pStyle w:val="Default"/>
              <w:numPr>
                <w:ilvl w:val="0"/>
                <w:numId w:val="11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penerbitan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berbentuk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Pr="00556719">
              <w:rPr>
                <w:rFonts w:cstheme="majorHAnsi"/>
                <w:i/>
                <w:iCs/>
                <w:color w:val="auto"/>
                <w:sz w:val="20"/>
                <w:szCs w:val="20"/>
              </w:rPr>
              <w:t>covered sukuk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memenuhi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kriteria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  <w:p w14:paraId="78A9A376" w14:textId="77777777" w:rsidR="006B3DD8" w:rsidRPr="00556719" w:rsidRDefault="006B3DD8" w:rsidP="00976DB7">
            <w:pPr>
              <w:pStyle w:val="Default"/>
              <w:numPr>
                <w:ilvl w:val="0"/>
                <w:numId w:val="11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obligasi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diterbitkan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institusi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Pembiayaan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pemilikan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rumah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(mortgage institution)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dilindungi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hukum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memproteksi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pemegang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  <w:p w14:paraId="1EF0E9F8" w14:textId="77777777" w:rsidR="006B3DD8" w:rsidRPr="00556719" w:rsidRDefault="006B3DD8" w:rsidP="00976DB7">
            <w:pPr>
              <w:pStyle w:val="Default"/>
              <w:numPr>
                <w:ilvl w:val="0"/>
                <w:numId w:val="11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hasil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penerbitan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berbentuk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covered sukuk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diinvestasikan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suatu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mampu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menutup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klaim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melekat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obligasi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periode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obligasi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 dan</w:t>
            </w:r>
          </w:p>
          <w:p w14:paraId="7E93823A" w14:textId="0DDB0028" w:rsidR="006B3DD8" w:rsidRPr="00556719" w:rsidRDefault="006B3DD8" w:rsidP="00976DB7">
            <w:pPr>
              <w:pStyle w:val="Default"/>
              <w:numPr>
                <w:ilvl w:val="0"/>
                <w:numId w:val="11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penerbit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obligasi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mengalami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gagal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bayar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hasil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investasi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diperoleh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digunakan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prioritas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penggantian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pokok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pembayaran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imbal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hasil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</w:tc>
        <w:tc>
          <w:tcPr>
            <w:tcW w:w="2500" w:type="pct"/>
          </w:tcPr>
          <w:p w14:paraId="7DDB4521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a </w:t>
            </w:r>
          </w:p>
          <w:p w14:paraId="5FF7F33B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7BF7EAE5" w14:textId="77777777" w:rsidR="006B3DD8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B2B1874" w14:textId="77777777" w:rsidTr="00384609">
        <w:tc>
          <w:tcPr>
            <w:tcW w:w="2500" w:type="pct"/>
          </w:tcPr>
          <w:p w14:paraId="36864665" w14:textId="77777777" w:rsidR="006B3DD8" w:rsidRPr="00556719" w:rsidRDefault="006B3DD8" w:rsidP="00976DB7">
            <w:pPr>
              <w:pStyle w:val="Default"/>
              <w:numPr>
                <w:ilvl w:val="0"/>
                <w:numId w:val="11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kumpulan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utama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mendasari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terdiri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: </w:t>
            </w:r>
          </w:p>
          <w:p w14:paraId="58475074" w14:textId="77777777" w:rsidR="006B3DD8" w:rsidRPr="00556719" w:rsidRDefault="006B3DD8" w:rsidP="00976DB7">
            <w:pPr>
              <w:pStyle w:val="Default"/>
              <w:numPr>
                <w:ilvl w:val="0"/>
                <w:numId w:val="11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dijamin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pusat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entitas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sektor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publik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pembangunan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multilateral; </w:t>
            </w:r>
          </w:p>
          <w:p w14:paraId="42E66215" w14:textId="77777777" w:rsidR="006B3DD8" w:rsidRPr="00556719" w:rsidRDefault="006B3DD8" w:rsidP="00976DB7">
            <w:pPr>
              <w:pStyle w:val="Default"/>
              <w:numPr>
                <w:ilvl w:val="0"/>
                <w:numId w:val="11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Pembiayaan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beragun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rumah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tinggal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bobot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tinggi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35%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lima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loan to value ratio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tinggi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80%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delapan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);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</w:p>
          <w:p w14:paraId="04E2423F" w14:textId="334C23A4" w:rsidR="006B3DD8" w:rsidRPr="00556719" w:rsidRDefault="006B3DD8" w:rsidP="00976DB7">
            <w:pPr>
              <w:pStyle w:val="Default"/>
              <w:numPr>
                <w:ilvl w:val="0"/>
                <w:numId w:val="11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Pembiayaan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beragun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properti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komersial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bobot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tinggi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100%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seratus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loan to value ratio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tinggi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60%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enam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); dan</w:t>
            </w:r>
          </w:p>
        </w:tc>
        <w:tc>
          <w:tcPr>
            <w:tcW w:w="2500" w:type="pct"/>
          </w:tcPr>
          <w:p w14:paraId="111EFAED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b </w:t>
            </w:r>
          </w:p>
          <w:p w14:paraId="6C8CFE55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pusat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entitas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sektor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publik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pembangunan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multilateral;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beragun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rumah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tinggal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beragun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properti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komersial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ketentuan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pedoman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tertimbang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menurut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menggunakan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pendekatan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standar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umum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  <w:p w14:paraId="7714270D" w14:textId="77777777" w:rsidR="006B3DD8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A6F4FFB" w14:textId="77777777" w:rsidTr="00384609">
        <w:tc>
          <w:tcPr>
            <w:tcW w:w="2500" w:type="pct"/>
          </w:tcPr>
          <w:p w14:paraId="7F86EE34" w14:textId="3A816CAE" w:rsidR="006B3DD8" w:rsidRPr="00556719" w:rsidRDefault="006B3DD8" w:rsidP="00976DB7">
            <w:pPr>
              <w:pStyle w:val="Default"/>
              <w:numPr>
                <w:ilvl w:val="0"/>
                <w:numId w:val="11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nominal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sekumpulan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digunakan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menerbitkan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berbentuk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covered sukuk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harus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melebihi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outstanding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berbentuk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covered sukuk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rendah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10%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). </w:t>
            </w:r>
          </w:p>
        </w:tc>
        <w:tc>
          <w:tcPr>
            <w:tcW w:w="2500" w:type="pct"/>
          </w:tcPr>
          <w:p w14:paraId="186E81CD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c </w:t>
            </w:r>
          </w:p>
          <w:p w14:paraId="62764FB1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Sekumpulan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digunakan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dasar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menerbitkan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berbentuk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covered sukuk juga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: </w:t>
            </w:r>
          </w:p>
          <w:p w14:paraId="6FDC184F" w14:textId="77777777" w:rsidR="006B3DD8" w:rsidRPr="00556719" w:rsidRDefault="006B3DD8" w:rsidP="00976DB7">
            <w:pPr>
              <w:pStyle w:val="ListParagraph"/>
              <w:numPr>
                <w:ilvl w:val="0"/>
                <w:numId w:val="115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substitusi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kas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jangka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pendek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likuid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substitusi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kumpulan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utama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(primary asset)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tujuan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meningkatkan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kumpulan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(cover pool);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</w:p>
          <w:p w14:paraId="766D4EA7" w14:textId="073BDE46" w:rsidR="006B3DD8" w:rsidRPr="00556719" w:rsidRDefault="006B3DD8" w:rsidP="00976DB7">
            <w:pPr>
              <w:pStyle w:val="ListParagraph"/>
              <w:numPr>
                <w:ilvl w:val="0"/>
                <w:numId w:val="115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Derivatif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dilakukan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lindung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muncul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berbentuk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covered sukuk.</w:t>
            </w:r>
          </w:p>
        </w:tc>
      </w:tr>
      <w:tr w:rsidR="00556719" w:rsidRPr="00556719" w14:paraId="5BB36AB2" w14:textId="77777777" w:rsidTr="00384609">
        <w:tc>
          <w:tcPr>
            <w:tcW w:w="2500" w:type="pct"/>
          </w:tcPr>
          <w:p w14:paraId="51B5CB1F" w14:textId="7B7B1018" w:rsidR="006B3DD8" w:rsidRPr="00556719" w:rsidRDefault="006B3DD8" w:rsidP="00976DB7">
            <w:pPr>
              <w:pStyle w:val="Default"/>
              <w:numPr>
                <w:ilvl w:val="0"/>
                <w:numId w:val="11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(3)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harus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dipenuhi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sejak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awal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berbentuk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covered sukuk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sampai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sisa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berbentuk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covered sukuk. </w:t>
            </w:r>
          </w:p>
        </w:tc>
        <w:tc>
          <w:tcPr>
            <w:tcW w:w="2500" w:type="pct"/>
          </w:tcPr>
          <w:p w14:paraId="38AB0A2D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(4) </w:t>
            </w:r>
          </w:p>
          <w:p w14:paraId="463E363C" w14:textId="12E826B3" w:rsidR="006B3DD8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1A5B6892" w14:textId="77777777" w:rsidTr="00384609">
        <w:tc>
          <w:tcPr>
            <w:tcW w:w="2500" w:type="pct"/>
          </w:tcPr>
          <w:p w14:paraId="0C69222F" w14:textId="108875C8" w:rsidR="006B3DD8" w:rsidRPr="00556719" w:rsidRDefault="006B3DD8" w:rsidP="00976DB7">
            <w:pPr>
              <w:pStyle w:val="Default"/>
              <w:numPr>
                <w:ilvl w:val="0"/>
                <w:numId w:val="11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berbentuk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covered sukuk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memenuhi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(3)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dihitung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rendah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20%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dua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nominal covered sukuk.</w:t>
            </w:r>
          </w:p>
        </w:tc>
        <w:tc>
          <w:tcPr>
            <w:tcW w:w="2500" w:type="pct"/>
          </w:tcPr>
          <w:p w14:paraId="1937C0F6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(5) </w:t>
            </w:r>
          </w:p>
          <w:p w14:paraId="385119E6" w14:textId="0AF24DA0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546780CB" w14:textId="77777777" w:rsidTr="00384609">
        <w:tc>
          <w:tcPr>
            <w:tcW w:w="2500" w:type="pct"/>
          </w:tcPr>
          <w:p w14:paraId="42D93974" w14:textId="77777777" w:rsidR="006B3DD8" w:rsidRPr="00556719" w:rsidRDefault="006B3DD8" w:rsidP="006B3DD8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27DEFDC" w14:textId="77777777" w:rsidR="006B3DD8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389946D" w14:textId="77777777" w:rsidTr="00384609">
        <w:tc>
          <w:tcPr>
            <w:tcW w:w="2500" w:type="pct"/>
          </w:tcPr>
          <w:p w14:paraId="420C6801" w14:textId="6CB23425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3</w:t>
            </w:r>
            <w:r w:rsidR="00D21692">
              <w:rPr>
                <w:rFonts w:ascii="Bookman Old Style" w:hAnsi="Bookman Old Style" w:cstheme="majorHAnsi"/>
                <w:sz w:val="20"/>
                <w:szCs w:val="20"/>
              </w:rPr>
              <w:t>1</w:t>
            </w:r>
          </w:p>
        </w:tc>
        <w:tc>
          <w:tcPr>
            <w:tcW w:w="2500" w:type="pct"/>
          </w:tcPr>
          <w:p w14:paraId="6B2CA2AC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8D2562C" w14:textId="5C199A6F" w:rsidTr="00384609">
        <w:tc>
          <w:tcPr>
            <w:tcW w:w="2500" w:type="pct"/>
          </w:tcPr>
          <w:p w14:paraId="76792569" w14:textId="2E997C8D" w:rsidR="000E5C2A" w:rsidRPr="00556719" w:rsidRDefault="000E5C2A" w:rsidP="00976DB7">
            <w:pPr>
              <w:pStyle w:val="Default"/>
              <w:numPr>
                <w:ilvl w:val="0"/>
                <w:numId w:val="8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Pengambilalihan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negosiasi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wesel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ekspor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berjangka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dikecualikan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9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sepanjang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memenuhi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2D6F3DEA" w14:textId="4BFF2C0B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17BB4647" w14:textId="77777777" w:rsidTr="00384609">
        <w:tc>
          <w:tcPr>
            <w:tcW w:w="2500" w:type="pct"/>
          </w:tcPr>
          <w:p w14:paraId="29C4CF20" w14:textId="08A85877" w:rsidR="006B3DD8" w:rsidRPr="00556719" w:rsidRDefault="006B3DD8" w:rsidP="00976DB7">
            <w:pPr>
              <w:pStyle w:val="Default"/>
              <w:numPr>
                <w:ilvl w:val="0"/>
                <w:numId w:val="8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7E4AD431" w14:textId="77777777" w:rsidR="006B3DD8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9D7EA6F" w14:textId="77777777" w:rsidTr="00384609">
        <w:tc>
          <w:tcPr>
            <w:tcW w:w="2500" w:type="pct"/>
          </w:tcPr>
          <w:p w14:paraId="3F5D5EB5" w14:textId="5BB2626E" w:rsidR="006B3DD8" w:rsidRPr="00556719" w:rsidRDefault="006B3DD8" w:rsidP="00976DB7">
            <w:pPr>
              <w:pStyle w:val="Default"/>
              <w:numPr>
                <w:ilvl w:val="0"/>
                <w:numId w:val="12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wesel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ekspor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berjangka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diterbitkan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letter of credit (L/C)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berjangka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(usance L/C)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sesuai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Uniform Customs and Practice for Documentary Credits (UCP)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berlaku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 dan</w:t>
            </w:r>
          </w:p>
        </w:tc>
        <w:tc>
          <w:tcPr>
            <w:tcW w:w="2500" w:type="pct"/>
          </w:tcPr>
          <w:p w14:paraId="7C0729B4" w14:textId="77777777" w:rsidR="006B3DD8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ABACA50" w14:textId="77777777" w:rsidTr="00384609">
        <w:tc>
          <w:tcPr>
            <w:tcW w:w="2500" w:type="pct"/>
          </w:tcPr>
          <w:p w14:paraId="2BF33E80" w14:textId="03016A56" w:rsidR="006B3DD8" w:rsidRPr="00556719" w:rsidRDefault="006B3DD8" w:rsidP="00976DB7">
            <w:pPr>
              <w:pStyle w:val="Default"/>
              <w:numPr>
                <w:ilvl w:val="0"/>
                <w:numId w:val="12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diaksep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Prime Bank.</w:t>
            </w:r>
          </w:p>
        </w:tc>
        <w:tc>
          <w:tcPr>
            <w:tcW w:w="2500" w:type="pct"/>
          </w:tcPr>
          <w:p w14:paraId="2DB16D4C" w14:textId="77777777" w:rsidR="006B3DD8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6449AA1" w14:textId="77777777" w:rsidTr="00384609">
        <w:tc>
          <w:tcPr>
            <w:tcW w:w="2500" w:type="pct"/>
          </w:tcPr>
          <w:p w14:paraId="11DB8300" w14:textId="77777777" w:rsidR="006B3DD8" w:rsidRPr="00556719" w:rsidRDefault="006B3DD8" w:rsidP="006B3DD8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D3D5DCF" w14:textId="77777777" w:rsidR="006B3DD8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5F91531" w14:textId="77777777" w:rsidTr="00384609">
        <w:tc>
          <w:tcPr>
            <w:tcW w:w="2500" w:type="pct"/>
          </w:tcPr>
          <w:p w14:paraId="2F6BFEAC" w14:textId="0CA98A7A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Bagian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Kelima</w:t>
            </w:r>
            <w:proofErr w:type="spellEnd"/>
          </w:p>
          <w:p w14:paraId="44B43130" w14:textId="5D15E31A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Akseptasi</w:t>
            </w:r>
            <w:proofErr w:type="spellEnd"/>
          </w:p>
        </w:tc>
        <w:tc>
          <w:tcPr>
            <w:tcW w:w="2500" w:type="pct"/>
          </w:tcPr>
          <w:p w14:paraId="672A239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2D2DD6B" w14:textId="77777777" w:rsidTr="00384609">
        <w:tc>
          <w:tcPr>
            <w:tcW w:w="2500" w:type="pct"/>
          </w:tcPr>
          <w:p w14:paraId="746984CC" w14:textId="431CDCB0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3</w:t>
            </w:r>
            <w:r w:rsidR="00D21692">
              <w:rPr>
                <w:rFonts w:cstheme="maj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2500" w:type="pct"/>
          </w:tcPr>
          <w:p w14:paraId="68CA6D4E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91D7B7D" w14:textId="759209AC" w:rsidTr="00384609">
        <w:tc>
          <w:tcPr>
            <w:tcW w:w="2500" w:type="pct"/>
          </w:tcPr>
          <w:p w14:paraId="39B1EA93" w14:textId="5947C1B3" w:rsidR="000E5C2A" w:rsidRPr="00556719" w:rsidRDefault="000E5C2A" w:rsidP="00976DB7">
            <w:pPr>
              <w:pStyle w:val="Default"/>
              <w:numPr>
                <w:ilvl w:val="0"/>
                <w:numId w:val="8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17" w:name="_Hlk61522387"/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Akseptasi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  <w:bookmarkEnd w:id="17"/>
          </w:p>
        </w:tc>
        <w:tc>
          <w:tcPr>
            <w:tcW w:w="2500" w:type="pct"/>
          </w:tcPr>
          <w:p w14:paraId="17ADA386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2954684C" w14:textId="4E625F81" w:rsidR="000E5C2A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0AFE6230" w14:textId="77777777" w:rsidTr="00384609">
        <w:tc>
          <w:tcPr>
            <w:tcW w:w="2500" w:type="pct"/>
          </w:tcPr>
          <w:p w14:paraId="707F9A7B" w14:textId="23437F69" w:rsidR="006B3DD8" w:rsidRPr="00556719" w:rsidRDefault="006B3DD8" w:rsidP="00976DB7">
            <w:pPr>
              <w:pStyle w:val="Default"/>
              <w:numPr>
                <w:ilvl w:val="0"/>
                <w:numId w:val="12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jika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melunasi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lain;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</w:p>
        </w:tc>
        <w:tc>
          <w:tcPr>
            <w:tcW w:w="2500" w:type="pct"/>
          </w:tcPr>
          <w:p w14:paraId="6A564768" w14:textId="77777777" w:rsidR="006B3DD8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7C0FCCE" w14:textId="77777777" w:rsidTr="00384609">
        <w:tc>
          <w:tcPr>
            <w:tcW w:w="2500" w:type="pct"/>
          </w:tcPr>
          <w:p w14:paraId="3D6303C4" w14:textId="3DF5603B" w:rsidR="006B3DD8" w:rsidRPr="00556719" w:rsidRDefault="006B3DD8" w:rsidP="00976DB7">
            <w:pPr>
              <w:pStyle w:val="Default"/>
              <w:numPr>
                <w:ilvl w:val="0"/>
                <w:numId w:val="12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jika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melunasi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1A945657" w14:textId="77777777" w:rsidR="006B3DD8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1DDD64C" w14:textId="77777777" w:rsidTr="00384609">
        <w:tc>
          <w:tcPr>
            <w:tcW w:w="2500" w:type="pct"/>
          </w:tcPr>
          <w:p w14:paraId="3B44BFAD" w14:textId="21F4F7EC" w:rsidR="006B3DD8" w:rsidRPr="00556719" w:rsidRDefault="006B3DD8" w:rsidP="00976DB7">
            <w:pPr>
              <w:pStyle w:val="Default"/>
              <w:numPr>
                <w:ilvl w:val="0"/>
                <w:numId w:val="8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Akseptasi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dihitung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sebesar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tercatat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wesel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diaksep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7CD7636E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577A1754" w14:textId="6E0E623A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Nilai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tercatat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wesel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diaksep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debitur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applicant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menjamin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54A810E5" w14:textId="77777777" w:rsidTr="00384609">
        <w:tc>
          <w:tcPr>
            <w:tcW w:w="2500" w:type="pct"/>
          </w:tcPr>
          <w:p w14:paraId="67E820FB" w14:textId="77777777" w:rsidR="006B3DD8" w:rsidRPr="00556719" w:rsidRDefault="006B3DD8" w:rsidP="006B3DD8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F463D3C" w14:textId="77777777" w:rsidR="006B3DD8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8CA7959" w14:textId="77777777" w:rsidTr="00384609">
        <w:tc>
          <w:tcPr>
            <w:tcW w:w="2500" w:type="pct"/>
          </w:tcPr>
          <w:p w14:paraId="16803802" w14:textId="5529D3B0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Bagian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Keenam</w:t>
            </w:r>
            <w:proofErr w:type="spellEnd"/>
          </w:p>
          <w:p w14:paraId="5DA0D577" w14:textId="4ED6289F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Pembiayaan</w:t>
            </w:r>
          </w:p>
        </w:tc>
        <w:tc>
          <w:tcPr>
            <w:tcW w:w="2500" w:type="pct"/>
          </w:tcPr>
          <w:p w14:paraId="676405D2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2BB4251" w14:textId="77777777" w:rsidTr="00384609">
        <w:tc>
          <w:tcPr>
            <w:tcW w:w="2500" w:type="pct"/>
          </w:tcPr>
          <w:p w14:paraId="3157F5F3" w14:textId="13BE4777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3</w:t>
            </w:r>
            <w:r w:rsidR="00D21692">
              <w:rPr>
                <w:rFonts w:cstheme="maj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2500" w:type="pct"/>
          </w:tcPr>
          <w:p w14:paraId="4F34534A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66E7C0C" w14:textId="0F54231B" w:rsidTr="00384609">
        <w:tc>
          <w:tcPr>
            <w:tcW w:w="2500" w:type="pct"/>
          </w:tcPr>
          <w:p w14:paraId="4424EB66" w14:textId="71A98373" w:rsidR="000E5C2A" w:rsidRPr="00556719" w:rsidRDefault="000E5C2A" w:rsidP="00976DB7">
            <w:pPr>
              <w:pStyle w:val="Default"/>
              <w:numPr>
                <w:ilvl w:val="0"/>
                <w:numId w:val="8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18" w:name="_Hlk61522538"/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Pembiayaan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Penyediaan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  <w:bookmarkEnd w:id="18"/>
          </w:p>
        </w:tc>
        <w:tc>
          <w:tcPr>
            <w:tcW w:w="2500" w:type="pct"/>
          </w:tcPr>
          <w:p w14:paraId="269338C4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3E10A5CE" w14:textId="18FD265A" w:rsidR="000E5C2A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254DF05E" w14:textId="77777777" w:rsidTr="00384609">
        <w:tc>
          <w:tcPr>
            <w:tcW w:w="2500" w:type="pct"/>
          </w:tcPr>
          <w:p w14:paraId="6D81819A" w14:textId="74A709BE" w:rsidR="006B3DD8" w:rsidRPr="00556719" w:rsidRDefault="006B3DD8" w:rsidP="00976DB7">
            <w:pPr>
              <w:pStyle w:val="Default"/>
              <w:numPr>
                <w:ilvl w:val="0"/>
                <w:numId w:val="8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Pembiayaan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dihitung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tercatat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602269BE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1C55DEB8" w14:textId="584A43E6" w:rsidR="006B3DD8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575A11DE" w14:textId="77777777" w:rsidTr="00384609">
        <w:tc>
          <w:tcPr>
            <w:tcW w:w="2500" w:type="pct"/>
          </w:tcPr>
          <w:p w14:paraId="4301D427" w14:textId="3E9EEBCF" w:rsidR="006B3DD8" w:rsidRPr="00556719" w:rsidRDefault="006B3DD8" w:rsidP="00976DB7">
            <w:pPr>
              <w:pStyle w:val="Default"/>
              <w:numPr>
                <w:ilvl w:val="0"/>
                <w:numId w:val="8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pengambilalihan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anjak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piutang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Pembiayaan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tanpa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janji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membeli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kembali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(without recourse)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berkewajiban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melunasi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piutang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4CC8BA50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(3) </w:t>
            </w:r>
          </w:p>
          <w:p w14:paraId="4BA0660E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Contoh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: </w:t>
            </w:r>
          </w:p>
          <w:p w14:paraId="3834A992" w14:textId="6F54D867" w:rsidR="006B3DD8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Bank “A”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mengambil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alih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PT “Z”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PT “X”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 xml:space="preserve">without recourse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sebesar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Rp150.000.000,00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seratus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lima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juta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rupiah)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maka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BMPK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Penyediaan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PT “X”. </w:t>
            </w:r>
          </w:p>
        </w:tc>
      </w:tr>
      <w:tr w:rsidR="00556719" w:rsidRPr="00556719" w14:paraId="546FD4CD" w14:textId="77777777" w:rsidTr="00384609">
        <w:tc>
          <w:tcPr>
            <w:tcW w:w="2500" w:type="pct"/>
          </w:tcPr>
          <w:p w14:paraId="5D8C0D13" w14:textId="2A9CE0A6" w:rsidR="006B3DD8" w:rsidRPr="00556719" w:rsidRDefault="006B3DD8" w:rsidP="00976DB7">
            <w:pPr>
              <w:pStyle w:val="Default"/>
              <w:numPr>
                <w:ilvl w:val="0"/>
                <w:numId w:val="8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pengambilalihan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anjak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piutang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Pembiayaan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janji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membeli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kembali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(with recourse)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menjual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Pembiayaan.</w:t>
            </w:r>
          </w:p>
        </w:tc>
        <w:tc>
          <w:tcPr>
            <w:tcW w:w="2500" w:type="pct"/>
          </w:tcPr>
          <w:p w14:paraId="51F22A12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(4) </w:t>
            </w:r>
          </w:p>
          <w:p w14:paraId="5244CBC1" w14:textId="77777777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Contoh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: </w:t>
            </w:r>
          </w:p>
          <w:p w14:paraId="60DE8A63" w14:textId="34499570" w:rsidR="006B3DD8" w:rsidRPr="00556719" w:rsidRDefault="006B3DD8" w:rsidP="006B3DD8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Bank “A”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mengambil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alih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PT “Z”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PT “X”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 xml:space="preserve">with recourse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sebesar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Rp150.000.000,00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seratus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lima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juta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rupiah)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maka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BMPK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Penyediaan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PT “Z”.</w:t>
            </w:r>
          </w:p>
        </w:tc>
      </w:tr>
      <w:tr w:rsidR="00556719" w:rsidRPr="00556719" w14:paraId="5EF2ED0C" w14:textId="77777777" w:rsidTr="00384609">
        <w:tc>
          <w:tcPr>
            <w:tcW w:w="2500" w:type="pct"/>
          </w:tcPr>
          <w:p w14:paraId="70FBCCBB" w14:textId="77777777" w:rsidR="006B3DD8" w:rsidRPr="00556719" w:rsidRDefault="006B3DD8" w:rsidP="006B3DD8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6EA20A4" w14:textId="77777777" w:rsidR="006B3DD8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C16135A" w14:textId="77777777" w:rsidTr="00384609">
        <w:tc>
          <w:tcPr>
            <w:tcW w:w="2500" w:type="pct"/>
          </w:tcPr>
          <w:p w14:paraId="731D9FE5" w14:textId="09C751CD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Bagian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Ketujuh</w:t>
            </w:r>
            <w:proofErr w:type="spellEnd"/>
          </w:p>
          <w:p w14:paraId="39CF35C7" w14:textId="528C1272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Penyertaan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Modal</w:t>
            </w:r>
          </w:p>
        </w:tc>
        <w:tc>
          <w:tcPr>
            <w:tcW w:w="2500" w:type="pct"/>
          </w:tcPr>
          <w:p w14:paraId="182C98A9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FB25A2C" w14:textId="77777777" w:rsidTr="00384609">
        <w:tc>
          <w:tcPr>
            <w:tcW w:w="2500" w:type="pct"/>
          </w:tcPr>
          <w:p w14:paraId="35AD1CE4" w14:textId="5900BD58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3</w:t>
            </w:r>
            <w:r w:rsidR="00D21692">
              <w:rPr>
                <w:rFonts w:cstheme="maj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2500" w:type="pct"/>
          </w:tcPr>
          <w:p w14:paraId="6BEA0502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A0281B8" w14:textId="327308EA" w:rsidTr="00384609">
        <w:tc>
          <w:tcPr>
            <w:tcW w:w="2500" w:type="pct"/>
          </w:tcPr>
          <w:p w14:paraId="4961C4B6" w14:textId="7A695C1F" w:rsidR="000E5C2A" w:rsidRPr="00556719" w:rsidRDefault="000E5C2A" w:rsidP="00976DB7">
            <w:pPr>
              <w:pStyle w:val="Default"/>
              <w:numPr>
                <w:ilvl w:val="0"/>
                <w:numId w:val="8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19" w:name="_Hlk61522981"/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Penyertaan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tempat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Penyertaan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Modal.</w:t>
            </w:r>
            <w:bookmarkEnd w:id="19"/>
          </w:p>
        </w:tc>
        <w:tc>
          <w:tcPr>
            <w:tcW w:w="2500" w:type="pct"/>
          </w:tcPr>
          <w:p w14:paraId="23492150" w14:textId="68D6D512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753D3B55" w14:textId="77777777" w:rsidTr="00384609">
        <w:tc>
          <w:tcPr>
            <w:tcW w:w="2500" w:type="pct"/>
          </w:tcPr>
          <w:p w14:paraId="5283B55B" w14:textId="4A8DCEB9" w:rsidR="006B3DD8" w:rsidRPr="00556719" w:rsidRDefault="00AE6105" w:rsidP="00976DB7">
            <w:pPr>
              <w:pStyle w:val="Default"/>
              <w:numPr>
                <w:ilvl w:val="0"/>
                <w:numId w:val="8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Penyertaan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faktor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pengurang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mengatur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penyediaan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minimum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umum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syariah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21D14B29" w14:textId="77777777" w:rsidR="006B3DD8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BFC6F74" w14:textId="77777777" w:rsidTr="00384609">
        <w:tc>
          <w:tcPr>
            <w:tcW w:w="2500" w:type="pct"/>
          </w:tcPr>
          <w:p w14:paraId="410A0986" w14:textId="61401A24" w:rsidR="006B3DD8" w:rsidRPr="00556719" w:rsidRDefault="00AE6105" w:rsidP="00976DB7">
            <w:pPr>
              <w:pStyle w:val="Default"/>
              <w:numPr>
                <w:ilvl w:val="0"/>
                <w:numId w:val="8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 xml:space="preserve">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Penyertaan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dihitung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tercatat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penyertaan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391C4128" w14:textId="77777777" w:rsidR="006B3DD8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6D69047" w14:textId="77777777" w:rsidTr="00384609">
        <w:tc>
          <w:tcPr>
            <w:tcW w:w="2500" w:type="pct"/>
          </w:tcPr>
          <w:p w14:paraId="7A8DFE95" w14:textId="77777777" w:rsidR="006B3DD8" w:rsidRPr="00556719" w:rsidRDefault="006B3DD8" w:rsidP="00AE6105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46CA3D9" w14:textId="77777777" w:rsidR="006B3DD8" w:rsidRPr="00556719" w:rsidRDefault="006B3DD8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917A7B8" w14:textId="77777777" w:rsidTr="00384609">
        <w:tc>
          <w:tcPr>
            <w:tcW w:w="2500" w:type="pct"/>
          </w:tcPr>
          <w:p w14:paraId="028CE200" w14:textId="793A5948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Bagian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Kedelapan</w:t>
            </w:r>
            <w:proofErr w:type="spellEnd"/>
          </w:p>
          <w:p w14:paraId="74CA3031" w14:textId="71C6CB00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Rekening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Administratif</w:t>
            </w:r>
            <w:proofErr w:type="spellEnd"/>
          </w:p>
        </w:tc>
        <w:tc>
          <w:tcPr>
            <w:tcW w:w="2500" w:type="pct"/>
          </w:tcPr>
          <w:p w14:paraId="6E493592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5418056" w14:textId="77777777" w:rsidTr="00384609">
        <w:tc>
          <w:tcPr>
            <w:tcW w:w="2500" w:type="pct"/>
          </w:tcPr>
          <w:p w14:paraId="3B5806A6" w14:textId="42BB0DDC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3</w:t>
            </w:r>
            <w:r w:rsidR="00D21692">
              <w:rPr>
                <w:rFonts w:cstheme="maj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2500" w:type="pct"/>
          </w:tcPr>
          <w:p w14:paraId="4EC14484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5ECFA39" w14:textId="178AF787" w:rsidTr="00384609">
        <w:tc>
          <w:tcPr>
            <w:tcW w:w="2500" w:type="pct"/>
          </w:tcPr>
          <w:p w14:paraId="20F8F917" w14:textId="041FFA66" w:rsidR="000E5C2A" w:rsidRPr="00556719" w:rsidRDefault="000E5C2A" w:rsidP="00976DB7">
            <w:pPr>
              <w:pStyle w:val="Default"/>
              <w:numPr>
                <w:ilvl w:val="0"/>
                <w:numId w:val="8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20" w:name="_Hlk61523644"/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Rekening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Administratif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, letter of credit (L/C), st</w:t>
            </w:r>
            <w:r w:rsidR="00AE6105" w:rsidRPr="00556719">
              <w:rPr>
                <w:rFonts w:cstheme="majorHAnsi"/>
                <w:color w:val="auto"/>
                <w:sz w:val="20"/>
                <w:szCs w:val="20"/>
              </w:rPr>
              <w:t xml:space="preserve">andby letter of credit (SBLC),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instrumen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pemohon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  <w:bookmarkEnd w:id="20"/>
          </w:p>
        </w:tc>
        <w:tc>
          <w:tcPr>
            <w:tcW w:w="2500" w:type="pct"/>
          </w:tcPr>
          <w:p w14:paraId="61D5BF2D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60140A8C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0D265235" w14:textId="2D470B53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96F170D" w14:textId="77777777" w:rsidTr="00384609">
        <w:tc>
          <w:tcPr>
            <w:tcW w:w="2500" w:type="pct"/>
          </w:tcPr>
          <w:p w14:paraId="65F0D302" w14:textId="0A5AF4E7" w:rsidR="00AE6105" w:rsidRPr="00556719" w:rsidRDefault="00AE6105" w:rsidP="00976DB7">
            <w:pPr>
              <w:pStyle w:val="Default"/>
              <w:numPr>
                <w:ilvl w:val="0"/>
                <w:numId w:val="8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Rekening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Administratif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dihitung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sebesar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hasil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perkalian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tercatat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komitmen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kontinjensi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faktor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konversi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037C4C65" w14:textId="77777777" w:rsidR="00AE6105" w:rsidRPr="00556719" w:rsidRDefault="00AE6105" w:rsidP="00AE6105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62DBE863" w14:textId="7CA01BE8" w:rsidR="00AE6105" w:rsidRPr="00556719" w:rsidRDefault="00AE6105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Faktor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konversi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ketentuan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pedoman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tertimbang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menurut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menggunakan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pendekatan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standar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61A9A2B3" w14:textId="77777777" w:rsidTr="00384609">
        <w:tc>
          <w:tcPr>
            <w:tcW w:w="2500" w:type="pct"/>
          </w:tcPr>
          <w:p w14:paraId="1D09A72E" w14:textId="7C01151B" w:rsidR="00AE6105" w:rsidRPr="00556719" w:rsidRDefault="00AE6105" w:rsidP="00976DB7">
            <w:pPr>
              <w:pStyle w:val="Default"/>
              <w:numPr>
                <w:ilvl w:val="0"/>
                <w:numId w:val="8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Nilai minimum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faktor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konversi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10%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).</w:t>
            </w:r>
          </w:p>
        </w:tc>
        <w:tc>
          <w:tcPr>
            <w:tcW w:w="2500" w:type="pct"/>
          </w:tcPr>
          <w:p w14:paraId="1040B502" w14:textId="77777777" w:rsidR="00AE6105" w:rsidRPr="00556719" w:rsidRDefault="00AE6105" w:rsidP="00AE6105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(3) </w:t>
            </w:r>
          </w:p>
          <w:p w14:paraId="165F50C0" w14:textId="1D6CD283" w:rsidR="00AE6105" w:rsidRPr="00556719" w:rsidRDefault="00AE6105" w:rsidP="00AE6105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6F5373E3" w14:textId="77777777" w:rsidTr="00384609">
        <w:tc>
          <w:tcPr>
            <w:tcW w:w="2500" w:type="pct"/>
          </w:tcPr>
          <w:p w14:paraId="65DABEAC" w14:textId="77777777" w:rsidR="00AE6105" w:rsidRPr="00556719" w:rsidRDefault="00AE6105" w:rsidP="00AE6105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13D1B683" w14:textId="77777777" w:rsidR="00AE6105" w:rsidRPr="00556719" w:rsidRDefault="00AE6105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B3E2E17" w14:textId="77777777" w:rsidTr="00384609">
        <w:tc>
          <w:tcPr>
            <w:tcW w:w="2500" w:type="pct"/>
          </w:tcPr>
          <w:p w14:paraId="2463F44D" w14:textId="4D089198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Bagian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Kesembilan</w:t>
            </w:r>
            <w:proofErr w:type="spellEnd"/>
          </w:p>
          <w:p w14:paraId="4FD5CF2E" w14:textId="680E76E4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bookmarkStart w:id="21" w:name="_Hlk61524078"/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Central Counterparty</w:t>
            </w:r>
            <w:bookmarkEnd w:id="21"/>
          </w:p>
        </w:tc>
        <w:tc>
          <w:tcPr>
            <w:tcW w:w="2500" w:type="pct"/>
          </w:tcPr>
          <w:p w14:paraId="5010918B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6DF9EFA" w14:textId="77777777" w:rsidTr="00384609">
        <w:tc>
          <w:tcPr>
            <w:tcW w:w="2500" w:type="pct"/>
          </w:tcPr>
          <w:p w14:paraId="59C1598E" w14:textId="3A33C4FC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  <w:highlight w:val="cyan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  <w:highlight w:val="cyan"/>
              </w:rPr>
              <w:t xml:space="preserve"> 3</w:t>
            </w:r>
            <w:r w:rsidR="00D21692">
              <w:rPr>
                <w:rFonts w:cstheme="maj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2500" w:type="pct"/>
          </w:tcPr>
          <w:p w14:paraId="3B5E7941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679C991" w14:textId="378334C0" w:rsidTr="00384609">
        <w:tc>
          <w:tcPr>
            <w:tcW w:w="2500" w:type="pct"/>
          </w:tcPr>
          <w:p w14:paraId="14622598" w14:textId="1DB1D354" w:rsidR="000E5C2A" w:rsidRPr="00556719" w:rsidRDefault="000E5C2A" w:rsidP="00976DB7">
            <w:pPr>
              <w:pStyle w:val="Default"/>
              <w:numPr>
                <w:ilvl w:val="0"/>
                <w:numId w:val="8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22" w:name="_Hlk61524099"/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central counterparty di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negeri dan di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luar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negeri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terdiri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  <w:p w14:paraId="1448FE48" w14:textId="68CF6758" w:rsidR="000E5C2A" w:rsidRPr="00556719" w:rsidRDefault="000E5C2A" w:rsidP="00976DB7">
            <w:pPr>
              <w:pStyle w:val="Default"/>
              <w:numPr>
                <w:ilvl w:val="0"/>
                <w:numId w:val="4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kegiatan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kliring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 dan</w:t>
            </w:r>
          </w:p>
          <w:p w14:paraId="2A17754B" w14:textId="09BC3E7C" w:rsidR="000E5C2A" w:rsidRPr="00556719" w:rsidRDefault="000E5C2A" w:rsidP="00976DB7">
            <w:pPr>
              <w:pStyle w:val="Default"/>
              <w:numPr>
                <w:ilvl w:val="0"/>
                <w:numId w:val="4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kegiatan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nonkliring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  <w:bookmarkEnd w:id="22"/>
          </w:p>
        </w:tc>
        <w:tc>
          <w:tcPr>
            <w:tcW w:w="2500" w:type="pct"/>
          </w:tcPr>
          <w:p w14:paraId="214DA0C2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6E9882D2" w14:textId="35D50DD2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Central counterparty di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negeri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mengacu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perundang-undangan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penyelenggaraan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central counterparty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derivatif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suku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bunga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</w:t>
            </w:r>
            <w:r w:rsidR="00AE6105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="00AE6105"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="00AE6105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="00AE6105" w:rsidRPr="00556719">
              <w:rPr>
                <w:rFonts w:ascii="Bookman Old Style" w:hAnsi="Bookman Old Style" w:cstheme="majorHAnsi"/>
                <w:sz w:val="20"/>
                <w:szCs w:val="20"/>
              </w:rPr>
              <w:t>tukar</w:t>
            </w:r>
            <w:proofErr w:type="spellEnd"/>
            <w:r w:rsidR="00AE6105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over-the-counter. </w:t>
            </w:r>
          </w:p>
        </w:tc>
      </w:tr>
      <w:tr w:rsidR="00556719" w:rsidRPr="00556719" w14:paraId="64C102EA" w14:textId="77777777" w:rsidTr="00384609">
        <w:tc>
          <w:tcPr>
            <w:tcW w:w="2500" w:type="pct"/>
          </w:tcPr>
          <w:p w14:paraId="01DAF4FB" w14:textId="77777777" w:rsidR="00AE6105" w:rsidRPr="00556719" w:rsidRDefault="00AE6105" w:rsidP="00976DB7">
            <w:pPr>
              <w:pStyle w:val="Default"/>
              <w:numPr>
                <w:ilvl w:val="0"/>
                <w:numId w:val="8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kegiatan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kliring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terdiri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  <w:p w14:paraId="47F500B9" w14:textId="77777777" w:rsidR="00AE6105" w:rsidRPr="00556719" w:rsidRDefault="00AE6105" w:rsidP="00976DB7">
            <w:pPr>
              <w:pStyle w:val="Default"/>
              <w:numPr>
                <w:ilvl w:val="0"/>
                <w:numId w:val="4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23" w:name="_Hlk61524465"/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eksposur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trade;</w:t>
            </w:r>
          </w:p>
          <w:p w14:paraId="1D299440" w14:textId="77777777" w:rsidR="00AE6105" w:rsidRPr="00556719" w:rsidRDefault="00AE6105" w:rsidP="00976DB7">
            <w:pPr>
              <w:pStyle w:val="Default"/>
              <w:numPr>
                <w:ilvl w:val="0"/>
                <w:numId w:val="4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segregated initial margin;</w:t>
            </w:r>
          </w:p>
          <w:p w14:paraId="5F2919F7" w14:textId="77777777" w:rsidR="00AE6105" w:rsidRPr="00556719" w:rsidRDefault="00AE6105" w:rsidP="00976DB7">
            <w:pPr>
              <w:pStyle w:val="Default"/>
              <w:numPr>
                <w:ilvl w:val="0"/>
                <w:numId w:val="4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non-segregated initial margin;</w:t>
            </w:r>
          </w:p>
          <w:p w14:paraId="46D5F3D8" w14:textId="77777777" w:rsidR="00AE6105" w:rsidRPr="00556719" w:rsidRDefault="00AE6105" w:rsidP="00976DB7">
            <w:pPr>
              <w:pStyle w:val="Default"/>
              <w:numPr>
                <w:ilvl w:val="0"/>
                <w:numId w:val="4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pre-funded default fund contribution;</w:t>
            </w:r>
          </w:p>
          <w:p w14:paraId="18F87A84" w14:textId="77777777" w:rsidR="00AE6105" w:rsidRPr="00556719" w:rsidRDefault="00AE6105" w:rsidP="00976DB7">
            <w:pPr>
              <w:pStyle w:val="Default"/>
              <w:numPr>
                <w:ilvl w:val="0"/>
                <w:numId w:val="4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unfunded default fund contribution; dan</w:t>
            </w:r>
          </w:p>
          <w:p w14:paraId="32D083F4" w14:textId="6E4642D6" w:rsidR="00AE6105" w:rsidRPr="00556719" w:rsidRDefault="00AE6105" w:rsidP="00976DB7">
            <w:pPr>
              <w:pStyle w:val="Default"/>
              <w:numPr>
                <w:ilvl w:val="0"/>
                <w:numId w:val="4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equity stakes.</w:t>
            </w:r>
            <w:bookmarkEnd w:id="23"/>
          </w:p>
        </w:tc>
        <w:tc>
          <w:tcPr>
            <w:tcW w:w="2500" w:type="pct"/>
          </w:tcPr>
          <w:p w14:paraId="4292B7CA" w14:textId="77777777" w:rsidR="00AE6105" w:rsidRPr="00556719" w:rsidRDefault="00AE6105" w:rsidP="00AE6105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11A1A251" w14:textId="77777777" w:rsidR="00AE6105" w:rsidRPr="00556719" w:rsidRDefault="00AE6105" w:rsidP="00AE6105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0462FE43" w14:textId="77777777" w:rsidR="00AE6105" w:rsidRPr="00556719" w:rsidRDefault="00AE6105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71CD69E" w14:textId="77777777" w:rsidTr="00384609">
        <w:tc>
          <w:tcPr>
            <w:tcW w:w="2500" w:type="pct"/>
          </w:tcPr>
          <w:p w14:paraId="629CD43F" w14:textId="752DFD0C" w:rsidR="00AE6105" w:rsidRPr="00556719" w:rsidRDefault="00AE6105" w:rsidP="00976DB7">
            <w:pPr>
              <w:pStyle w:val="Default"/>
              <w:numPr>
                <w:ilvl w:val="0"/>
                <w:numId w:val="8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24" w:name="_Hlk61524500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identifikasi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kegiatan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kliring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menjumlahkan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seluruh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setiap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Pr="00556719">
              <w:rPr>
                <w:rFonts w:cstheme="majorHAnsi"/>
                <w:i/>
                <w:color w:val="auto"/>
                <w:sz w:val="20"/>
                <w:szCs w:val="20"/>
              </w:rPr>
              <w:t>central counterparty</w:t>
            </w:r>
            <w:bookmarkEnd w:id="24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4E8BCA5D" w14:textId="77777777" w:rsidR="00AE6105" w:rsidRPr="00556719" w:rsidRDefault="00AE6105" w:rsidP="00AE6105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lastRenderedPageBreak/>
              <w:t xml:space="preserve">Ayat (3) </w:t>
            </w:r>
          </w:p>
          <w:p w14:paraId="63DF3836" w14:textId="77777777" w:rsidR="00AE6105" w:rsidRPr="00556719" w:rsidRDefault="00AE6105" w:rsidP="00AE6105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35876AE6" w14:textId="77777777" w:rsidR="00AE6105" w:rsidRPr="00556719" w:rsidRDefault="00AE6105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B1D127C" w14:textId="77777777" w:rsidTr="00384609">
        <w:tc>
          <w:tcPr>
            <w:tcW w:w="2500" w:type="pct"/>
          </w:tcPr>
          <w:p w14:paraId="24F4BD4B" w14:textId="1AD7459E" w:rsidR="00AE6105" w:rsidRPr="00556719" w:rsidRDefault="00AE6105" w:rsidP="00976DB7">
            <w:pPr>
              <w:pStyle w:val="Default"/>
              <w:numPr>
                <w:ilvl w:val="0"/>
                <w:numId w:val="8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menjumlahkan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seluruh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kegiatan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nonkliring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setiap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Pr="00556719">
              <w:rPr>
                <w:rFonts w:cstheme="majorHAnsi"/>
                <w:i/>
                <w:color w:val="auto"/>
                <w:sz w:val="20"/>
                <w:szCs w:val="20"/>
              </w:rPr>
              <w:t>central counterparty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5F46246C" w14:textId="77777777" w:rsidR="00AE6105" w:rsidRPr="00556719" w:rsidRDefault="00AE6105" w:rsidP="00AE6105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(4) </w:t>
            </w:r>
          </w:p>
          <w:p w14:paraId="5C0EB405" w14:textId="20F03F05" w:rsidR="00AE6105" w:rsidRPr="00556719" w:rsidRDefault="00AE6105" w:rsidP="00AE6105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lain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kegiatan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nonkliring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fasilitas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pendanaan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garansi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10BC9145" w14:textId="77777777" w:rsidTr="00384609">
        <w:tc>
          <w:tcPr>
            <w:tcW w:w="2500" w:type="pct"/>
          </w:tcPr>
          <w:p w14:paraId="2A408841" w14:textId="77777777" w:rsidR="00AE6105" w:rsidRPr="00556719" w:rsidRDefault="00AE6105" w:rsidP="00AE6105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8B7DD97" w14:textId="77777777" w:rsidR="00AE6105" w:rsidRPr="00556719" w:rsidRDefault="00AE6105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A674E16" w14:textId="77777777" w:rsidTr="00384609">
        <w:tc>
          <w:tcPr>
            <w:tcW w:w="2500" w:type="pct"/>
          </w:tcPr>
          <w:p w14:paraId="2A0CEEF5" w14:textId="7ACDB2CC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  <w:highlight w:val="cyan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  <w:highlight w:val="cyan"/>
              </w:rPr>
              <w:t xml:space="preserve"> 3</w:t>
            </w:r>
            <w:r w:rsidR="00D21692">
              <w:rPr>
                <w:rFonts w:cstheme="maj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2500" w:type="pct"/>
          </w:tcPr>
          <w:p w14:paraId="7E8A8C35" w14:textId="77777777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</w:tr>
      <w:tr w:rsidR="00556719" w:rsidRPr="00556719" w14:paraId="1D7F6F91" w14:textId="64BFFAFC" w:rsidTr="00384609">
        <w:tc>
          <w:tcPr>
            <w:tcW w:w="2500" w:type="pct"/>
          </w:tcPr>
          <w:p w14:paraId="76FB9A34" w14:textId="78C590B6" w:rsidR="000E5C2A" w:rsidRPr="00556719" w:rsidRDefault="000E5C2A" w:rsidP="00976DB7">
            <w:pPr>
              <w:pStyle w:val="Default"/>
              <w:numPr>
                <w:ilvl w:val="0"/>
                <w:numId w:val="9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25" w:name="_Hlk61524599"/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central counterparty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penjumlahan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seluruh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kegiatan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kliring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kegiatan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nonkliring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3</w:t>
            </w:r>
            <w:r w:rsidR="00D21692">
              <w:rPr>
                <w:rFonts w:cstheme="majorHAnsi"/>
                <w:color w:val="auto"/>
                <w:sz w:val="20"/>
                <w:szCs w:val="20"/>
              </w:rPr>
              <w:t>6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(3)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(4).</w:t>
            </w:r>
            <w:bookmarkEnd w:id="25"/>
          </w:p>
        </w:tc>
        <w:tc>
          <w:tcPr>
            <w:tcW w:w="2500" w:type="pct"/>
          </w:tcPr>
          <w:p w14:paraId="22B874E1" w14:textId="5ABAA403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76E50FD2" w14:textId="77777777" w:rsidTr="00384609">
        <w:tc>
          <w:tcPr>
            <w:tcW w:w="2500" w:type="pct"/>
          </w:tcPr>
          <w:p w14:paraId="6BC27E81" w14:textId="5673B492" w:rsidR="00AE6105" w:rsidRPr="00556719" w:rsidRDefault="00AE6105" w:rsidP="00976DB7">
            <w:pPr>
              <w:pStyle w:val="Default"/>
              <w:numPr>
                <w:ilvl w:val="0"/>
                <w:numId w:val="9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central counterparty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tinggi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25%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dua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lima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Inti (</w:t>
            </w:r>
            <w:r w:rsidRPr="00556719">
              <w:rPr>
                <w:rFonts w:cstheme="majorHAnsi"/>
                <w:i/>
                <w:color w:val="auto"/>
                <w:sz w:val="20"/>
                <w:szCs w:val="20"/>
              </w:rPr>
              <w:t>tier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1) Bank.</w:t>
            </w:r>
          </w:p>
        </w:tc>
        <w:tc>
          <w:tcPr>
            <w:tcW w:w="2500" w:type="pct"/>
          </w:tcPr>
          <w:p w14:paraId="1F7C1958" w14:textId="77777777" w:rsidR="00AE6105" w:rsidRPr="00556719" w:rsidRDefault="00AE6105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87FD9C3" w14:textId="77777777" w:rsidTr="00384609">
        <w:tc>
          <w:tcPr>
            <w:tcW w:w="2500" w:type="pct"/>
          </w:tcPr>
          <w:p w14:paraId="2DBCA4D5" w14:textId="77777777" w:rsidR="00AE6105" w:rsidRPr="00556719" w:rsidRDefault="00AE6105" w:rsidP="00AE6105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90C50AD" w14:textId="77777777" w:rsidR="00AE6105" w:rsidRPr="00556719" w:rsidRDefault="00AE6105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74F93E7" w14:textId="77777777" w:rsidTr="00384609">
        <w:tc>
          <w:tcPr>
            <w:tcW w:w="2500" w:type="pct"/>
          </w:tcPr>
          <w:p w14:paraId="15F621D2" w14:textId="40514142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  <w:highlight w:val="cyan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  <w:highlight w:val="cyan"/>
              </w:rPr>
              <w:t xml:space="preserve"> 38</w:t>
            </w:r>
          </w:p>
        </w:tc>
        <w:tc>
          <w:tcPr>
            <w:tcW w:w="2500" w:type="pct"/>
          </w:tcPr>
          <w:p w14:paraId="5BDD9C0E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3351ED5" w14:textId="5EEB7A2D" w:rsidTr="00384609">
        <w:tc>
          <w:tcPr>
            <w:tcW w:w="2500" w:type="pct"/>
          </w:tcPr>
          <w:p w14:paraId="1F623447" w14:textId="503BC0F6" w:rsidR="000E5C2A" w:rsidRPr="00556719" w:rsidRDefault="000E5C2A" w:rsidP="00976DB7">
            <w:pPr>
              <w:pStyle w:val="Default"/>
              <w:numPr>
                <w:ilvl w:val="0"/>
                <w:numId w:val="9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central counterparty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kegiatan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kliring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="00D21692">
              <w:rPr>
                <w:rFonts w:cstheme="majorHAnsi"/>
                <w:color w:val="auto"/>
                <w:sz w:val="20"/>
                <w:szCs w:val="20"/>
              </w:rPr>
              <w:t>36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dikecualikan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penggolongan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Peminjam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</w:t>
            </w:r>
            <w:r w:rsidR="00D21692">
              <w:rPr>
                <w:rFonts w:cstheme="majorHAnsi"/>
                <w:color w:val="auto"/>
                <w:sz w:val="20"/>
                <w:szCs w:val="20"/>
              </w:rPr>
              <w:t>6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14F3171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4CC94BB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616A38BE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  <w:p w14:paraId="4BA3FA04" w14:textId="37C9263D" w:rsidR="000E5C2A" w:rsidRPr="00556719" w:rsidRDefault="000E5C2A" w:rsidP="00AE6105">
            <w:pPr>
              <w:pStyle w:val="ListParagraph"/>
              <w:spacing w:line="276" w:lineRule="auto"/>
              <w:ind w:left="360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22A557D" w14:textId="77777777" w:rsidTr="00384609">
        <w:tc>
          <w:tcPr>
            <w:tcW w:w="2500" w:type="pct"/>
          </w:tcPr>
          <w:p w14:paraId="77B5F9EE" w14:textId="5F5AD9B6" w:rsidR="00AE6105" w:rsidRPr="00556719" w:rsidRDefault="00AE6105" w:rsidP="00976DB7">
            <w:pPr>
              <w:pStyle w:val="Default"/>
              <w:numPr>
                <w:ilvl w:val="0"/>
                <w:numId w:val="9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central counterparty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kategori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qualifying central counterparty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kegiatan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kliring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="00D21692">
              <w:rPr>
                <w:rFonts w:cstheme="majorHAnsi"/>
                <w:color w:val="auto"/>
                <w:sz w:val="20"/>
                <w:szCs w:val="20"/>
              </w:rPr>
              <w:t>36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dikecualikan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BMPD.</w:t>
            </w:r>
          </w:p>
        </w:tc>
        <w:tc>
          <w:tcPr>
            <w:tcW w:w="2500" w:type="pct"/>
          </w:tcPr>
          <w:p w14:paraId="3ACCB43F" w14:textId="77777777" w:rsidR="00AE6105" w:rsidRPr="00556719" w:rsidRDefault="00AE6105" w:rsidP="00AE6105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5A2BB6AB" w14:textId="77777777" w:rsidR="00AE6105" w:rsidRPr="00556719" w:rsidRDefault="00AE6105" w:rsidP="00AE6105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i/>
                <w:sz w:val="20"/>
                <w:szCs w:val="20"/>
              </w:rPr>
              <w:t>Qualifying central counterparty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entitas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izin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beroperasi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central counterparty,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termasuk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izin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memperoleh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pengecualian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memperoleh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izin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regulator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pengawas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sesuai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beroperasi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central counterparty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sesuai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produk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ditawarkan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Hal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mengacu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ketentuan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bahwa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central counterparty:</w:t>
            </w:r>
          </w:p>
          <w:p w14:paraId="0CC87850" w14:textId="77777777" w:rsidR="00AE6105" w:rsidRPr="00556719" w:rsidRDefault="00AE6105" w:rsidP="00976DB7">
            <w:pPr>
              <w:pStyle w:val="ListParagraph"/>
              <w:numPr>
                <w:ilvl w:val="0"/>
                <w:numId w:val="44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berbasis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ketentuan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diterbitkan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regulator; dan</w:t>
            </w:r>
          </w:p>
          <w:p w14:paraId="1B421B9F" w14:textId="1BAB116E" w:rsidR="00AE6105" w:rsidRPr="00556719" w:rsidRDefault="00AE6105" w:rsidP="00976DB7">
            <w:pPr>
              <w:pStyle w:val="ListParagraph"/>
              <w:numPr>
                <w:ilvl w:val="0"/>
                <w:numId w:val="44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diawasi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prudensial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pengawas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relevan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pada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yurisdiksi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ketentuan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konsisten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Committee on Payment and Settlement Systems – International Organization of Securities Commissions Principles for Financial Market Infrastructures,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serta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telah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diterapkan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berkelanjutan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4C59FA6A" w14:textId="77777777" w:rsidTr="00384609">
        <w:tc>
          <w:tcPr>
            <w:tcW w:w="2500" w:type="pct"/>
          </w:tcPr>
          <w:p w14:paraId="53AC70C3" w14:textId="77777777" w:rsidR="00AE6105" w:rsidRPr="00556719" w:rsidRDefault="00AE6105" w:rsidP="00AE6105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196ED7D0" w14:textId="77777777" w:rsidR="00AE6105" w:rsidRPr="00556719" w:rsidRDefault="00AE6105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35B58E3" w14:textId="77777777" w:rsidTr="00384609">
        <w:tc>
          <w:tcPr>
            <w:tcW w:w="2500" w:type="pct"/>
          </w:tcPr>
          <w:p w14:paraId="5D5BD0CF" w14:textId="3CAE9291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  <w:highlight w:val="cyan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  <w:highlight w:val="cyan"/>
              </w:rPr>
              <w:t xml:space="preserve"> 3</w:t>
            </w:r>
            <w:r w:rsidR="00D21692">
              <w:rPr>
                <w:rFonts w:cstheme="maj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2500" w:type="pct"/>
          </w:tcPr>
          <w:p w14:paraId="67164326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CECE03A" w14:textId="3FDC636E" w:rsidTr="00384609">
        <w:tc>
          <w:tcPr>
            <w:tcW w:w="2500" w:type="pct"/>
          </w:tcPr>
          <w:p w14:paraId="468198FB" w14:textId="1555C193" w:rsidR="000E5C2A" w:rsidRPr="00556719" w:rsidRDefault="000E5C2A" w:rsidP="00976DB7">
            <w:pPr>
              <w:pStyle w:val="Default"/>
              <w:numPr>
                <w:ilvl w:val="0"/>
                <w:numId w:val="9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central counterparty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kegiatan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kliring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3</w:t>
            </w:r>
            <w:r w:rsidR="00D21692">
              <w:rPr>
                <w:rFonts w:cstheme="majorHAnsi"/>
                <w:color w:val="auto"/>
                <w:sz w:val="20"/>
                <w:szCs w:val="20"/>
              </w:rPr>
              <w:t>6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500" w:type="pct"/>
          </w:tcPr>
          <w:p w14:paraId="5C800040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125838DF" w14:textId="55931245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3905DB2" w14:textId="77777777" w:rsidTr="00384609">
        <w:tc>
          <w:tcPr>
            <w:tcW w:w="2500" w:type="pct"/>
          </w:tcPr>
          <w:p w14:paraId="4F6EA878" w14:textId="0D60CFF6" w:rsidR="00AE6105" w:rsidRPr="00556719" w:rsidRDefault="00AE6105" w:rsidP="00976DB7">
            <w:pPr>
              <w:pStyle w:val="Default"/>
              <w:numPr>
                <w:ilvl w:val="0"/>
                <w:numId w:val="12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trade exposures,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dihitung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jenis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diatur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; </w:t>
            </w:r>
          </w:p>
        </w:tc>
        <w:tc>
          <w:tcPr>
            <w:tcW w:w="2500" w:type="pct"/>
          </w:tcPr>
          <w:p w14:paraId="72E3873E" w14:textId="77777777" w:rsidR="00AE6105" w:rsidRPr="00556719" w:rsidRDefault="00AE6105" w:rsidP="00AE6105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a </w:t>
            </w:r>
          </w:p>
          <w:p w14:paraId="6341EF90" w14:textId="433AD792" w:rsidR="00AE6105" w:rsidRPr="00556719" w:rsidRDefault="00AE6105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Contoh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: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Derivatif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dihitung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akibat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kegagalan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lawan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3CC0CDAB" w14:textId="77777777" w:rsidTr="00384609">
        <w:tc>
          <w:tcPr>
            <w:tcW w:w="2500" w:type="pct"/>
          </w:tcPr>
          <w:p w14:paraId="3AA0367D" w14:textId="67ECE945" w:rsidR="00AE6105" w:rsidRPr="00556719" w:rsidRDefault="00AE6105" w:rsidP="00976DB7">
            <w:pPr>
              <w:pStyle w:val="Default"/>
              <w:numPr>
                <w:ilvl w:val="0"/>
                <w:numId w:val="12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segregated initial margin,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sebesar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0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); </w:t>
            </w:r>
          </w:p>
        </w:tc>
        <w:tc>
          <w:tcPr>
            <w:tcW w:w="2500" w:type="pct"/>
          </w:tcPr>
          <w:p w14:paraId="46EB1C23" w14:textId="77777777" w:rsidR="00AE6105" w:rsidRPr="00556719" w:rsidRDefault="00AE6105" w:rsidP="00AE6105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b </w:t>
            </w:r>
          </w:p>
          <w:p w14:paraId="2F572204" w14:textId="3B992049" w:rsidR="00AE6105" w:rsidRPr="00556719" w:rsidRDefault="00AE6105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Dalam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initial margin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diserahkan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telah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terhindar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kepailitan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dialami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central counterparty,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initial margin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terpisah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pencatatan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central counterparty,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kehilangan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initial margin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jika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central counterparty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mengalami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wanprestasi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demikian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initial margin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diserahkan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central counterparty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dikecualikan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BMPD. </w:t>
            </w:r>
          </w:p>
        </w:tc>
      </w:tr>
      <w:tr w:rsidR="00556719" w:rsidRPr="00556719" w14:paraId="309665F9" w14:textId="77777777" w:rsidTr="00384609">
        <w:tc>
          <w:tcPr>
            <w:tcW w:w="2500" w:type="pct"/>
          </w:tcPr>
          <w:p w14:paraId="6FA26714" w14:textId="719C76AA" w:rsidR="00AE6105" w:rsidRPr="00556719" w:rsidRDefault="00AE6105" w:rsidP="00976DB7">
            <w:pPr>
              <w:pStyle w:val="Default"/>
              <w:numPr>
                <w:ilvl w:val="0"/>
                <w:numId w:val="12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non-segregated initial margin,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sebesar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nominal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initial margin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ditempatkan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; </w:t>
            </w:r>
          </w:p>
        </w:tc>
        <w:tc>
          <w:tcPr>
            <w:tcW w:w="2500" w:type="pct"/>
          </w:tcPr>
          <w:p w14:paraId="21D437D1" w14:textId="77777777" w:rsidR="00AE6105" w:rsidRPr="00556719" w:rsidRDefault="00AE6105" w:rsidP="00AE6105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c </w:t>
            </w:r>
          </w:p>
          <w:p w14:paraId="44594AC6" w14:textId="495CD238" w:rsidR="00AE6105" w:rsidRPr="00556719" w:rsidRDefault="00AE6105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101E6CA2" w14:textId="77777777" w:rsidTr="00384609">
        <w:tc>
          <w:tcPr>
            <w:tcW w:w="2500" w:type="pct"/>
          </w:tcPr>
          <w:p w14:paraId="3E66A595" w14:textId="1056DA8D" w:rsidR="00AE6105" w:rsidRPr="00556719" w:rsidRDefault="00AE6105" w:rsidP="00976DB7">
            <w:pPr>
              <w:pStyle w:val="Default"/>
              <w:numPr>
                <w:ilvl w:val="0"/>
                <w:numId w:val="12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pre-funded default fund contributions,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sebesar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nominal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default fund contributions; </w:t>
            </w:r>
          </w:p>
        </w:tc>
        <w:tc>
          <w:tcPr>
            <w:tcW w:w="2500" w:type="pct"/>
          </w:tcPr>
          <w:p w14:paraId="13ECD33A" w14:textId="77777777" w:rsidR="00AE6105" w:rsidRPr="00556719" w:rsidRDefault="00AE6105" w:rsidP="00AE6105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Huruf d</w:t>
            </w:r>
          </w:p>
          <w:p w14:paraId="02EB18AE" w14:textId="08A0AD04" w:rsidR="00AE6105" w:rsidRPr="00556719" w:rsidRDefault="00AE6105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Nilai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pre-funded default fund contributions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diubah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jika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diberikan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qualifying central counterparty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hanya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diberikan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selain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qualifying central counterparty. </w:t>
            </w:r>
          </w:p>
        </w:tc>
      </w:tr>
      <w:tr w:rsidR="00556719" w:rsidRPr="00556719" w14:paraId="34C619A2" w14:textId="77777777" w:rsidTr="00384609">
        <w:tc>
          <w:tcPr>
            <w:tcW w:w="2500" w:type="pct"/>
          </w:tcPr>
          <w:p w14:paraId="0D6A2C8C" w14:textId="0AC5D9F3" w:rsidR="00AE6105" w:rsidRPr="00556719" w:rsidRDefault="00AE6105" w:rsidP="00976DB7">
            <w:pPr>
              <w:pStyle w:val="Default"/>
              <w:numPr>
                <w:ilvl w:val="0"/>
                <w:numId w:val="12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unfunded default fund contributions,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sebesar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0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); dan </w:t>
            </w:r>
          </w:p>
        </w:tc>
        <w:tc>
          <w:tcPr>
            <w:tcW w:w="2500" w:type="pct"/>
          </w:tcPr>
          <w:p w14:paraId="5B5C35CA" w14:textId="77777777" w:rsidR="00AE6105" w:rsidRPr="00556719" w:rsidRDefault="00AE6105" w:rsidP="00AE6105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e </w:t>
            </w:r>
          </w:p>
          <w:p w14:paraId="3D3BA8C3" w14:textId="39A6BEF7" w:rsidR="00AE6105" w:rsidRPr="00556719" w:rsidRDefault="00AE6105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0F06C767" w14:textId="77777777" w:rsidTr="00384609">
        <w:tc>
          <w:tcPr>
            <w:tcW w:w="2500" w:type="pct"/>
          </w:tcPr>
          <w:p w14:paraId="1A214E2A" w14:textId="329D1227" w:rsidR="00AE6105" w:rsidRPr="00556719" w:rsidRDefault="00AE6105" w:rsidP="00976DB7">
            <w:pPr>
              <w:pStyle w:val="Default"/>
              <w:numPr>
                <w:ilvl w:val="0"/>
                <w:numId w:val="12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equity stakes,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sebesar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nominal.</w:t>
            </w:r>
          </w:p>
        </w:tc>
        <w:tc>
          <w:tcPr>
            <w:tcW w:w="2500" w:type="pct"/>
          </w:tcPr>
          <w:p w14:paraId="2CFDCCA3" w14:textId="77777777" w:rsidR="00AE6105" w:rsidRPr="00556719" w:rsidRDefault="00AE6105" w:rsidP="00AE6105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f </w:t>
            </w:r>
          </w:p>
          <w:p w14:paraId="0AC05197" w14:textId="63926975" w:rsidR="00AE6105" w:rsidRPr="00556719" w:rsidRDefault="00AE6105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7A496249" w14:textId="77777777" w:rsidTr="00384609">
        <w:tc>
          <w:tcPr>
            <w:tcW w:w="2500" w:type="pct"/>
          </w:tcPr>
          <w:p w14:paraId="4D8F4A7A" w14:textId="772C798B" w:rsidR="00AE6105" w:rsidRPr="00556719" w:rsidRDefault="00AE6105" w:rsidP="00976DB7">
            <w:pPr>
              <w:pStyle w:val="Default"/>
              <w:numPr>
                <w:ilvl w:val="0"/>
                <w:numId w:val="9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Dalam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equity stakes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menjadi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faktor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pengurang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Inti (</w:t>
            </w:r>
            <w:r w:rsidRPr="00556719">
              <w:rPr>
                <w:rFonts w:cstheme="majorHAnsi"/>
                <w:i/>
                <w:color w:val="auto"/>
                <w:sz w:val="20"/>
                <w:szCs w:val="20"/>
              </w:rPr>
              <w:t>tier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dikategorikan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central counterparty. </w:t>
            </w:r>
          </w:p>
        </w:tc>
        <w:tc>
          <w:tcPr>
            <w:tcW w:w="2500" w:type="pct"/>
          </w:tcPr>
          <w:p w14:paraId="0EB63A76" w14:textId="77777777" w:rsidR="00AE6105" w:rsidRPr="00556719" w:rsidRDefault="00AE6105" w:rsidP="00AE6105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7FED711E" w14:textId="77777777" w:rsidR="00AE6105" w:rsidRPr="00556719" w:rsidRDefault="00AE6105" w:rsidP="00AE6105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0D2908F5" w14:textId="77777777" w:rsidR="00AE6105" w:rsidRPr="00556719" w:rsidRDefault="00AE6105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445843A" w14:textId="77777777" w:rsidTr="00384609">
        <w:tc>
          <w:tcPr>
            <w:tcW w:w="2500" w:type="pct"/>
          </w:tcPr>
          <w:p w14:paraId="7955EABB" w14:textId="7EE95527" w:rsidR="00AE6105" w:rsidRPr="00556719" w:rsidRDefault="00AE6105" w:rsidP="00976DB7">
            <w:pPr>
              <w:pStyle w:val="Default"/>
              <w:numPr>
                <w:ilvl w:val="0"/>
                <w:numId w:val="9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Dalam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bertindak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kliring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klien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anggota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kliring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penetapan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lawan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kegiatan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kliring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standar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permodalan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berbasis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central counterparty. </w:t>
            </w:r>
          </w:p>
        </w:tc>
        <w:tc>
          <w:tcPr>
            <w:tcW w:w="2500" w:type="pct"/>
          </w:tcPr>
          <w:p w14:paraId="1A9DE7D0" w14:textId="77777777" w:rsidR="00AE6105" w:rsidRPr="00556719" w:rsidRDefault="00AE6105" w:rsidP="00AE6105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Ayat (3)</w:t>
            </w:r>
          </w:p>
          <w:p w14:paraId="701AEEBC" w14:textId="4DEBD424" w:rsidR="00AE6105" w:rsidRPr="00556719" w:rsidRDefault="00AE6105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Standar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permodalan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berbasis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central counterparty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mengacu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dokumen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Capital Requirements for Bank Exposures to Central Counterparties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diterbitkan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Basel Committee on Banking Supervision. </w:t>
            </w:r>
          </w:p>
        </w:tc>
      </w:tr>
      <w:tr w:rsidR="00556719" w:rsidRPr="00556719" w14:paraId="3D68A6AC" w14:textId="77777777" w:rsidTr="00384609">
        <w:tc>
          <w:tcPr>
            <w:tcW w:w="2500" w:type="pct"/>
          </w:tcPr>
          <w:p w14:paraId="0BD54014" w14:textId="131AECFB" w:rsidR="00AE6105" w:rsidRPr="00556719" w:rsidRDefault="00AE6105" w:rsidP="00976DB7">
            <w:pPr>
              <w:pStyle w:val="Default"/>
              <w:numPr>
                <w:ilvl w:val="0"/>
                <w:numId w:val="9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central counterparty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kegiatan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nonkliring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3</w:t>
            </w:r>
            <w:r w:rsidR="00D21692">
              <w:rPr>
                <w:rFonts w:cstheme="majorHAnsi"/>
                <w:color w:val="auto"/>
                <w:sz w:val="20"/>
                <w:szCs w:val="20"/>
              </w:rPr>
              <w:t>6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dihitung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jenis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diatur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6D541FB1" w14:textId="77777777" w:rsidR="00AE6105" w:rsidRPr="00556719" w:rsidRDefault="00AE6105" w:rsidP="00AE6105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(4) </w:t>
            </w:r>
          </w:p>
          <w:p w14:paraId="0F07E854" w14:textId="0630BB36" w:rsidR="00AE6105" w:rsidRPr="00556719" w:rsidRDefault="00AE6105" w:rsidP="00AE6105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378C3139" w14:textId="77777777" w:rsidTr="00384609">
        <w:tc>
          <w:tcPr>
            <w:tcW w:w="2500" w:type="pct"/>
          </w:tcPr>
          <w:p w14:paraId="05E6FD9A" w14:textId="77777777" w:rsidR="00AE6105" w:rsidRPr="00556719" w:rsidRDefault="00AE6105" w:rsidP="00AE6105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99BC2C8" w14:textId="77777777" w:rsidR="00AE6105" w:rsidRPr="00556719" w:rsidRDefault="00AE6105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283D6D9" w14:textId="77777777" w:rsidTr="00384609">
        <w:tc>
          <w:tcPr>
            <w:tcW w:w="2500" w:type="pct"/>
          </w:tcPr>
          <w:p w14:paraId="75559848" w14:textId="5C7BC81D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BAB V</w:t>
            </w:r>
          </w:p>
          <w:p w14:paraId="6B082AB8" w14:textId="6FBFEF66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PENYEDIAAN DANA KEPADA BUMN</w:t>
            </w:r>
          </w:p>
        </w:tc>
        <w:tc>
          <w:tcPr>
            <w:tcW w:w="2500" w:type="pct"/>
          </w:tcPr>
          <w:p w14:paraId="22E7F6FB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2E5BF12" w14:textId="77777777" w:rsidTr="00384609">
        <w:tc>
          <w:tcPr>
            <w:tcW w:w="2500" w:type="pct"/>
          </w:tcPr>
          <w:p w14:paraId="645C86DD" w14:textId="751F7BD0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39</w:t>
            </w:r>
          </w:p>
        </w:tc>
        <w:tc>
          <w:tcPr>
            <w:tcW w:w="2500" w:type="pct"/>
          </w:tcPr>
          <w:p w14:paraId="2C0D6163" w14:textId="77777777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2C132F8" w14:textId="0339612D" w:rsidTr="00384609">
        <w:tc>
          <w:tcPr>
            <w:tcW w:w="2500" w:type="pct"/>
          </w:tcPr>
          <w:p w14:paraId="66B1628F" w14:textId="704A24EF" w:rsidR="000E5C2A" w:rsidRPr="00556719" w:rsidRDefault="000E5C2A" w:rsidP="00976DB7">
            <w:pPr>
              <w:pStyle w:val="Default"/>
              <w:numPr>
                <w:ilvl w:val="0"/>
                <w:numId w:val="9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BUMN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tujuan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pembangunan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tinggi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30%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Bank.</w:t>
            </w:r>
          </w:p>
        </w:tc>
        <w:tc>
          <w:tcPr>
            <w:tcW w:w="2500" w:type="pct"/>
          </w:tcPr>
          <w:p w14:paraId="1E8CCA10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1A309391" w14:textId="5AE797C3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BUMN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tujuan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pembangunan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: </w:t>
            </w:r>
          </w:p>
          <w:p w14:paraId="5499EDA7" w14:textId="77777777" w:rsidR="000E5C2A" w:rsidRPr="00556719" w:rsidRDefault="000E5C2A" w:rsidP="00976DB7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pengadaan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303F008D" w14:textId="77777777" w:rsidR="000E5C2A" w:rsidRPr="00556719" w:rsidRDefault="000E5C2A" w:rsidP="00976DB7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pengadaan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rumah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sangat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sederhana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7C04F5BD" w14:textId="77777777" w:rsidR="000E5C2A" w:rsidRPr="00556719" w:rsidRDefault="000E5C2A" w:rsidP="00976DB7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pengadaan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penyediaan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pengelolaan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minyak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 gas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bumi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serta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sumber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pengganti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energi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setara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65544FAA" w14:textId="77777777" w:rsidR="000E5C2A" w:rsidRPr="00556719" w:rsidRDefault="000E5C2A" w:rsidP="00976DB7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pengadaan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penyediaan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pengelolaan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air; </w:t>
            </w:r>
          </w:p>
          <w:p w14:paraId="6E811E46" w14:textId="77777777" w:rsidR="000E5C2A" w:rsidRPr="00556719" w:rsidRDefault="000E5C2A" w:rsidP="00976DB7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pengadaan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penyediaan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pengelolaan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listrik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6A734462" w14:textId="77777777" w:rsidR="000E5C2A" w:rsidRPr="00556719" w:rsidRDefault="000E5C2A" w:rsidP="00976DB7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pengadaan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pengolahan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komoditas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berorientasi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ekspor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6313659A" w14:textId="77777777" w:rsidR="000E5C2A" w:rsidRPr="00556719" w:rsidRDefault="000E5C2A" w:rsidP="00976DB7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pengadaan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infrastruktur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penunjang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transportasi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laut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udara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pembangunan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jalan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jembatan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rel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kereta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api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pelabuhan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laut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 bandar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udara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;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</w:p>
          <w:p w14:paraId="7A2DA467" w14:textId="77777777" w:rsidR="000E5C2A" w:rsidRPr="00556719" w:rsidRDefault="000E5C2A" w:rsidP="00976DB7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pembangunan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Kawasan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Strategis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Pariwisata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Nasional (KSPN)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diprioritaskan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pusat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perudang-undangan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percepatan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pelaksanaan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proyek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strategis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nasional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66C56755" w14:textId="5A27DE43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BUMN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didasarkan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keseluruhan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telah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BUMN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tujuan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sampai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h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</w:t>
            </w:r>
            <w:r w:rsidR="009535E1" w:rsidRPr="00556719">
              <w:rPr>
                <w:rFonts w:ascii="Bookman Old Style" w:hAnsi="Bookman Old Style" w:cstheme="majorHAnsi"/>
                <w:sz w:val="20"/>
                <w:szCs w:val="20"/>
              </w:rPr>
              <w:t>tuk</w:t>
            </w:r>
            <w:proofErr w:type="spellEnd"/>
            <w:r w:rsidR="009535E1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="009535E1" w:rsidRPr="00556719">
              <w:rPr>
                <w:rFonts w:ascii="Bookman Old Style" w:hAnsi="Bookman Old Style" w:cstheme="majorHAnsi"/>
                <w:sz w:val="20"/>
                <w:szCs w:val="20"/>
              </w:rPr>
              <w:t>tujuan</w:t>
            </w:r>
            <w:proofErr w:type="spellEnd"/>
            <w:r w:rsidR="009535E1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="009535E1" w:rsidRPr="00556719">
              <w:rPr>
                <w:rFonts w:ascii="Bookman Old Style" w:hAnsi="Bookman Old Style" w:cstheme="majorHAnsi"/>
                <w:sz w:val="20"/>
                <w:szCs w:val="20"/>
              </w:rPr>
              <w:t>lain</w:t>
            </w:r>
            <w:proofErr w:type="spellEnd"/>
            <w:r w:rsidR="009535E1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2605CEC8" w14:textId="77777777" w:rsidTr="00384609">
        <w:tc>
          <w:tcPr>
            <w:tcW w:w="2500" w:type="pct"/>
          </w:tcPr>
          <w:p w14:paraId="28D2EBBC" w14:textId="77AB73A3" w:rsidR="009535E1" w:rsidRPr="00556719" w:rsidRDefault="009535E1" w:rsidP="00976DB7">
            <w:pPr>
              <w:pStyle w:val="Default"/>
              <w:numPr>
                <w:ilvl w:val="0"/>
                <w:numId w:val="9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berbentuk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BUMN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Badan Usaha Milik Daerah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Peminjam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berbentuk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BUMN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Badan Usaha Milik Daerah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dikecualikan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pengertian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9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sepanjang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semata-mata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disebabkan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karena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kepemilikan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langsung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pusat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daerah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106C7E79" w14:textId="77777777" w:rsidR="009535E1" w:rsidRPr="00556719" w:rsidRDefault="009535E1" w:rsidP="009535E1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2D3CB3B6" w14:textId="77777777" w:rsidR="009535E1" w:rsidRPr="00556719" w:rsidRDefault="009535E1" w:rsidP="009535E1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BUMD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seluruh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besar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modalnya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daerah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perundang-undangan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pemerintahan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daerah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3EAA4AD6" w14:textId="77777777" w:rsidR="009535E1" w:rsidRPr="00556719" w:rsidRDefault="009535E1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A5EE272" w14:textId="77777777" w:rsidTr="00384609">
        <w:tc>
          <w:tcPr>
            <w:tcW w:w="2500" w:type="pct"/>
          </w:tcPr>
          <w:p w14:paraId="3F7AAAC1" w14:textId="6364D51D" w:rsidR="009535E1" w:rsidRPr="00556719" w:rsidRDefault="009535E1" w:rsidP="00976DB7">
            <w:pPr>
              <w:pStyle w:val="Default"/>
              <w:numPr>
                <w:ilvl w:val="0"/>
                <w:numId w:val="9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 xml:space="preserve">Antar BUMN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antar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Badan Usaha Milik Daerah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diperlakukan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Peminjam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</w:t>
            </w:r>
            <w:r w:rsidR="00D21692">
              <w:rPr>
                <w:rFonts w:cstheme="majorHAnsi"/>
                <w:color w:val="auto"/>
                <w:sz w:val="20"/>
                <w:szCs w:val="20"/>
              </w:rPr>
              <w:t>6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sepanjang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semata-mata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disebabkan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karena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kepemilikan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langsung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pusat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daerah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0EDD7E78" w14:textId="77777777" w:rsidR="009535E1" w:rsidRPr="00556719" w:rsidRDefault="009535E1" w:rsidP="009535E1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(3) </w:t>
            </w:r>
          </w:p>
          <w:p w14:paraId="624970DF" w14:textId="77777777" w:rsidR="009535E1" w:rsidRPr="00556719" w:rsidRDefault="009535E1" w:rsidP="009535E1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5FF58E3F" w14:textId="77777777" w:rsidR="009535E1" w:rsidRPr="00556719" w:rsidRDefault="009535E1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DD69C0B" w14:textId="77777777" w:rsidTr="00384609">
        <w:tc>
          <w:tcPr>
            <w:tcW w:w="2500" w:type="pct"/>
          </w:tcPr>
          <w:p w14:paraId="46C223E6" w14:textId="58259563" w:rsidR="009535E1" w:rsidRPr="00556719" w:rsidRDefault="009535E1" w:rsidP="00976DB7">
            <w:pPr>
              <w:pStyle w:val="Default"/>
              <w:numPr>
                <w:ilvl w:val="0"/>
                <w:numId w:val="9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Dalam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BUMN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Badan Usaha Milik Daerah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pengendalian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9,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selain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kepemilikan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langsung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pusat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daerah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BUMN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Badan Usaha Milik Daerah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diperhitungkan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14A98231" w14:textId="77777777" w:rsidR="009535E1" w:rsidRPr="00556719" w:rsidRDefault="009535E1" w:rsidP="009535E1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(4) </w:t>
            </w:r>
          </w:p>
          <w:p w14:paraId="20E7F60A" w14:textId="45F45011" w:rsidR="009535E1" w:rsidRPr="00556719" w:rsidRDefault="009535E1" w:rsidP="009535E1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76EB0444" w14:textId="77777777" w:rsidTr="00384609">
        <w:tc>
          <w:tcPr>
            <w:tcW w:w="2500" w:type="pct"/>
          </w:tcPr>
          <w:p w14:paraId="3855AEC0" w14:textId="77777777" w:rsidR="009535E1" w:rsidRPr="00556719" w:rsidRDefault="009535E1" w:rsidP="009535E1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A1DDE6E" w14:textId="77777777" w:rsidR="009535E1" w:rsidRPr="00556719" w:rsidRDefault="009535E1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6B949CC" w14:textId="77777777" w:rsidTr="00384609">
        <w:tc>
          <w:tcPr>
            <w:tcW w:w="2500" w:type="pct"/>
          </w:tcPr>
          <w:p w14:paraId="53FAE544" w14:textId="6A8CBD42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BAB VI</w:t>
            </w:r>
          </w:p>
          <w:p w14:paraId="42A62A19" w14:textId="5B3A3F4A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TEKNIK MITIGASI RISIKO KREDIT</w:t>
            </w:r>
          </w:p>
        </w:tc>
        <w:tc>
          <w:tcPr>
            <w:tcW w:w="2500" w:type="pct"/>
          </w:tcPr>
          <w:p w14:paraId="0ABA53BD" w14:textId="77777777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</w:tr>
      <w:tr w:rsidR="00556719" w:rsidRPr="00556719" w14:paraId="7BBBB68F" w14:textId="77777777" w:rsidTr="00384609">
        <w:tc>
          <w:tcPr>
            <w:tcW w:w="2500" w:type="pct"/>
          </w:tcPr>
          <w:p w14:paraId="3C9F9429" w14:textId="697F5E81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4</w:t>
            </w:r>
            <w:r w:rsidR="00D21692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2500" w:type="pct"/>
          </w:tcPr>
          <w:p w14:paraId="7835EBF8" w14:textId="77777777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2F9A05A" w14:textId="1A33693B" w:rsidTr="00384609">
        <w:tc>
          <w:tcPr>
            <w:tcW w:w="2500" w:type="pct"/>
          </w:tcPr>
          <w:p w14:paraId="15D454AF" w14:textId="2C3F84A0" w:rsidR="000E5C2A" w:rsidRPr="00556719" w:rsidRDefault="000E5C2A" w:rsidP="00976DB7">
            <w:pPr>
              <w:pStyle w:val="Default"/>
              <w:numPr>
                <w:ilvl w:val="0"/>
                <w:numId w:val="9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menerapkan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Teknik MRK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memenuhi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mengakui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keberadaaan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garansi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asuransi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pembiayaan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UMKM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Teknik MRK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menghitung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tertimbang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menurut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pendekatan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standar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7D723A02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2228508B" w14:textId="3D64A8CF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penerapan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Teknik MRK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mengacu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ketentuan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pedoman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tertimbang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menurut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menggunakan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pendekatan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standar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  <w:p w14:paraId="752B314D" w14:textId="1EB2353C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Dalam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mengakui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keberadaan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garansi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penjaminan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asuransi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Teknik MRK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menghitung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aset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tertimbang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menurut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pendekatan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standar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perlu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menerapkan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Tekn</w:t>
            </w:r>
            <w:r w:rsidR="009535E1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ik MRK </w:t>
            </w:r>
            <w:proofErr w:type="spellStart"/>
            <w:r w:rsidR="009535E1"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="009535E1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="009535E1" w:rsidRPr="00556719">
              <w:rPr>
                <w:rFonts w:ascii="Bookman Old Style" w:hAnsi="Bookman Old Style" w:cstheme="majorHAnsi"/>
                <w:sz w:val="20"/>
                <w:szCs w:val="20"/>
              </w:rPr>
              <w:t>perhitungan</w:t>
            </w:r>
            <w:proofErr w:type="spellEnd"/>
            <w:r w:rsidR="009535E1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BMPD. </w:t>
            </w:r>
          </w:p>
        </w:tc>
      </w:tr>
      <w:tr w:rsidR="00556719" w:rsidRPr="00556719" w14:paraId="5BA02AD7" w14:textId="77777777" w:rsidTr="00384609">
        <w:tc>
          <w:tcPr>
            <w:tcW w:w="2500" w:type="pct"/>
          </w:tcPr>
          <w:p w14:paraId="6A0E80F6" w14:textId="5B399400" w:rsidR="009535E1" w:rsidRPr="00556719" w:rsidRDefault="009535E1" w:rsidP="00976DB7">
            <w:pPr>
              <w:pStyle w:val="Default"/>
              <w:numPr>
                <w:ilvl w:val="0"/>
                <w:numId w:val="9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Penerapan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Teknik MRK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berlaku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penjamin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penerbit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selain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3CB0048B" w14:textId="77777777" w:rsidR="009535E1" w:rsidRPr="00556719" w:rsidRDefault="009535E1" w:rsidP="009535E1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497654CD" w14:textId="47AB1BAB" w:rsidR="009535E1" w:rsidRPr="00556719" w:rsidRDefault="009535E1" w:rsidP="009535E1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38C6F96F" w14:textId="77777777" w:rsidTr="00384609">
        <w:tc>
          <w:tcPr>
            <w:tcW w:w="2500" w:type="pct"/>
          </w:tcPr>
          <w:p w14:paraId="5D5A02B8" w14:textId="77777777" w:rsidR="009535E1" w:rsidRPr="00556719" w:rsidRDefault="009535E1" w:rsidP="009535E1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127391D" w14:textId="77777777" w:rsidR="009535E1" w:rsidRPr="00556719" w:rsidRDefault="009535E1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567220F" w14:textId="77777777" w:rsidTr="00384609">
        <w:tc>
          <w:tcPr>
            <w:tcW w:w="2500" w:type="pct"/>
          </w:tcPr>
          <w:p w14:paraId="50295C42" w14:textId="6B9EB4D5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4</w:t>
            </w:r>
            <w:r w:rsidR="00D21692">
              <w:rPr>
                <w:rFonts w:cstheme="maj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2500" w:type="pct"/>
          </w:tcPr>
          <w:p w14:paraId="068DA22C" w14:textId="35B11112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</w:tr>
      <w:tr w:rsidR="00556719" w:rsidRPr="00556719" w14:paraId="26ADB94C" w14:textId="04C873A5" w:rsidTr="00384609">
        <w:tc>
          <w:tcPr>
            <w:tcW w:w="2500" w:type="pct"/>
          </w:tcPr>
          <w:p w14:paraId="6FF347D2" w14:textId="006BFD4E" w:rsidR="000E5C2A" w:rsidRPr="00556719" w:rsidRDefault="000E5C2A" w:rsidP="00976DB7">
            <w:pPr>
              <w:pStyle w:val="Default"/>
              <w:numPr>
                <w:ilvl w:val="0"/>
                <w:numId w:val="9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Bagian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proteksi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instrumen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mitigasi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dijamin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penjamin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penerbit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6350032F" w14:textId="7162B930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31D9125C" w14:textId="77777777" w:rsidTr="00384609">
        <w:tc>
          <w:tcPr>
            <w:tcW w:w="2500" w:type="pct"/>
          </w:tcPr>
          <w:p w14:paraId="631F6A4D" w14:textId="5529E67E" w:rsidR="009535E1" w:rsidRPr="00556719" w:rsidRDefault="009535E1" w:rsidP="00976DB7">
            <w:pPr>
              <w:pStyle w:val="Default"/>
              <w:numPr>
                <w:ilvl w:val="0"/>
                <w:numId w:val="9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Bagian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proteksi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instrumen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mitigasi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risiko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dijamin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Fasilitas.</w:t>
            </w:r>
          </w:p>
        </w:tc>
        <w:tc>
          <w:tcPr>
            <w:tcW w:w="2500" w:type="pct"/>
          </w:tcPr>
          <w:p w14:paraId="473E0881" w14:textId="77777777" w:rsidR="009535E1" w:rsidRPr="00556719" w:rsidRDefault="009535E1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9756AF7" w14:textId="77777777" w:rsidTr="00384609">
        <w:tc>
          <w:tcPr>
            <w:tcW w:w="2500" w:type="pct"/>
          </w:tcPr>
          <w:p w14:paraId="3DA76EAE" w14:textId="77777777" w:rsidR="009535E1" w:rsidRPr="00556719" w:rsidRDefault="009535E1" w:rsidP="00976DB7">
            <w:pPr>
              <w:pStyle w:val="Default"/>
              <w:numPr>
                <w:ilvl w:val="0"/>
                <w:numId w:val="9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 xml:space="preserve">Bagian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dijamin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diperhitungkan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sebesar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diakui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Teknik MRK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  <w:p w14:paraId="5B4DF050" w14:textId="77777777" w:rsidR="009535E1" w:rsidRPr="00556719" w:rsidRDefault="009535E1" w:rsidP="00976DB7">
            <w:pPr>
              <w:pStyle w:val="Default"/>
              <w:numPr>
                <w:ilvl w:val="0"/>
                <w:numId w:val="4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perlindungan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Teknik MRK-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pendekatan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sederhana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  <w:p w14:paraId="58090481" w14:textId="77777777" w:rsidR="009535E1" w:rsidRPr="00556719" w:rsidRDefault="009535E1" w:rsidP="00976DB7">
            <w:pPr>
              <w:pStyle w:val="Default"/>
              <w:numPr>
                <w:ilvl w:val="0"/>
                <w:numId w:val="4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setelah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memperhitungkan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pengurangan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(haircut)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masing-masing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Teknik MRK-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pendekatan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komprehensif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  <w:p w14:paraId="6CFEA1BA" w14:textId="77777777" w:rsidR="009535E1" w:rsidRPr="00556719" w:rsidRDefault="009535E1" w:rsidP="00976DB7">
            <w:pPr>
              <w:pStyle w:val="Default"/>
              <w:numPr>
                <w:ilvl w:val="0"/>
                <w:numId w:val="4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dijamin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garansi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Teknik MRK-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garansi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 dan</w:t>
            </w:r>
          </w:p>
          <w:p w14:paraId="5039216E" w14:textId="36CE4F64" w:rsidR="009535E1" w:rsidRPr="00556719" w:rsidRDefault="009535E1" w:rsidP="00976DB7">
            <w:pPr>
              <w:pStyle w:val="Default"/>
              <w:numPr>
                <w:ilvl w:val="0"/>
                <w:numId w:val="4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perlindungan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lembaga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penjamin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asuransi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Teknik MRK-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asuransi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pembiayaan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UMKM.</w:t>
            </w:r>
          </w:p>
        </w:tc>
        <w:tc>
          <w:tcPr>
            <w:tcW w:w="2500" w:type="pct"/>
          </w:tcPr>
          <w:p w14:paraId="3AC4581F" w14:textId="77777777" w:rsidR="009535E1" w:rsidRPr="00556719" w:rsidRDefault="009535E1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F87F93B" w14:textId="77777777" w:rsidTr="00384609">
        <w:tc>
          <w:tcPr>
            <w:tcW w:w="2500" w:type="pct"/>
          </w:tcPr>
          <w:p w14:paraId="66A81E42" w14:textId="78939CF6" w:rsidR="009535E1" w:rsidRPr="00556719" w:rsidRDefault="009535E1" w:rsidP="00976DB7">
            <w:pPr>
              <w:pStyle w:val="Default"/>
              <w:numPr>
                <w:ilvl w:val="0"/>
                <w:numId w:val="9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Seluruh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portofolio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penjamin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penerbit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tinggi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25%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dua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lima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Inti (</w:t>
            </w:r>
            <w:r w:rsidRPr="00556719">
              <w:rPr>
                <w:rFonts w:cstheme="majorHAnsi"/>
                <w:i/>
                <w:color w:val="auto"/>
                <w:sz w:val="20"/>
                <w:szCs w:val="20"/>
              </w:rPr>
              <w:t>tier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1) Bank.</w:t>
            </w:r>
          </w:p>
        </w:tc>
        <w:tc>
          <w:tcPr>
            <w:tcW w:w="2500" w:type="pct"/>
          </w:tcPr>
          <w:p w14:paraId="5A9DB725" w14:textId="77777777" w:rsidR="009535E1" w:rsidRPr="00556719" w:rsidRDefault="009535E1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01CCFB5" w14:textId="77777777" w:rsidTr="00384609">
        <w:tc>
          <w:tcPr>
            <w:tcW w:w="2500" w:type="pct"/>
          </w:tcPr>
          <w:p w14:paraId="30AC1066" w14:textId="601323EF" w:rsidR="009535E1" w:rsidRPr="00556719" w:rsidRDefault="009535E1" w:rsidP="00976DB7">
            <w:pPr>
              <w:pStyle w:val="Default"/>
              <w:numPr>
                <w:ilvl w:val="0"/>
                <w:numId w:val="9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Bagian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mendukung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program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dijamin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lembaga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bergerak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di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bidang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asuransi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BUMN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Badan Usaha Milik Daerah,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dikecualikan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BMPD.</w:t>
            </w:r>
          </w:p>
        </w:tc>
        <w:tc>
          <w:tcPr>
            <w:tcW w:w="2500" w:type="pct"/>
          </w:tcPr>
          <w:p w14:paraId="53FDF13F" w14:textId="77777777" w:rsidR="009535E1" w:rsidRPr="00556719" w:rsidRDefault="009535E1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AB720FE" w14:textId="77777777" w:rsidTr="00384609">
        <w:tc>
          <w:tcPr>
            <w:tcW w:w="2500" w:type="pct"/>
          </w:tcPr>
          <w:p w14:paraId="14AF3CB1" w14:textId="77777777" w:rsidR="009535E1" w:rsidRPr="00556719" w:rsidRDefault="009535E1" w:rsidP="009535E1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1B7FECF" w14:textId="77777777" w:rsidR="009535E1" w:rsidRPr="00556719" w:rsidRDefault="009535E1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7997B8F" w14:textId="77777777" w:rsidTr="00384609">
        <w:tc>
          <w:tcPr>
            <w:tcW w:w="2500" w:type="pct"/>
          </w:tcPr>
          <w:p w14:paraId="6BF0E400" w14:textId="71BB715F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BAB VII</w:t>
            </w:r>
          </w:p>
          <w:p w14:paraId="0ABF35FA" w14:textId="0B3A7FFE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PERLAKUAN BMPD TERTENTU</w:t>
            </w:r>
          </w:p>
        </w:tc>
        <w:tc>
          <w:tcPr>
            <w:tcW w:w="2500" w:type="pct"/>
          </w:tcPr>
          <w:p w14:paraId="2EAA046B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  <w:highlight w:val="yellow"/>
              </w:rPr>
            </w:pPr>
          </w:p>
        </w:tc>
      </w:tr>
      <w:tr w:rsidR="00556719" w:rsidRPr="00556719" w14:paraId="54932F2A" w14:textId="77777777" w:rsidTr="00384609">
        <w:tc>
          <w:tcPr>
            <w:tcW w:w="2500" w:type="pct"/>
          </w:tcPr>
          <w:p w14:paraId="155322D3" w14:textId="7188A19F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4</w:t>
            </w:r>
            <w:r w:rsidR="00D21692">
              <w:rPr>
                <w:rFonts w:cstheme="maj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2500" w:type="pct"/>
          </w:tcPr>
          <w:p w14:paraId="5E144A4B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66E17D8" w14:textId="112CBE8C" w:rsidTr="00384609">
        <w:tc>
          <w:tcPr>
            <w:tcW w:w="2500" w:type="pct"/>
          </w:tcPr>
          <w:p w14:paraId="0D82FF76" w14:textId="1C823B99" w:rsidR="000E5C2A" w:rsidRPr="00556719" w:rsidRDefault="000E5C2A" w:rsidP="009535E1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</w:t>
            </w:r>
            <w:r w:rsidR="009535E1" w:rsidRPr="00556719">
              <w:rPr>
                <w:rFonts w:cstheme="majorHAnsi"/>
                <w:color w:val="auto"/>
                <w:sz w:val="20"/>
                <w:szCs w:val="20"/>
              </w:rPr>
              <w:t>tungan</w:t>
            </w:r>
            <w:proofErr w:type="spellEnd"/>
            <w:r w:rsidR="009535E1"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="009535E1" w:rsidRPr="00556719">
              <w:rPr>
                <w:rFonts w:cstheme="majorHAnsi"/>
                <w:color w:val="auto"/>
                <w:sz w:val="20"/>
                <w:szCs w:val="20"/>
              </w:rPr>
              <w:t>dikecualikan</w:t>
            </w:r>
            <w:proofErr w:type="spellEnd"/>
            <w:r w:rsidR="009535E1"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535E1"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="009535E1"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313C28C8" w14:textId="7C501AC8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  <w:p w14:paraId="183FEAD6" w14:textId="0C03F09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314BC9E" w14:textId="77777777" w:rsidTr="00384609">
        <w:tc>
          <w:tcPr>
            <w:tcW w:w="2500" w:type="pct"/>
          </w:tcPr>
          <w:p w14:paraId="1CED1F01" w14:textId="5BF42F20" w:rsidR="009535E1" w:rsidRPr="00556719" w:rsidRDefault="009535E1" w:rsidP="00976DB7">
            <w:pPr>
              <w:pStyle w:val="Default"/>
              <w:numPr>
                <w:ilvl w:val="0"/>
                <w:numId w:val="4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pusat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</w:tc>
        <w:tc>
          <w:tcPr>
            <w:tcW w:w="2500" w:type="pct"/>
          </w:tcPr>
          <w:p w14:paraId="605D6F1A" w14:textId="77777777" w:rsidR="009535E1" w:rsidRPr="00556719" w:rsidRDefault="009535E1" w:rsidP="009535E1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a </w:t>
            </w:r>
          </w:p>
          <w:p w14:paraId="4FCB3DF5" w14:textId="76A03CF9" w:rsidR="009535E1" w:rsidRPr="00556719" w:rsidRDefault="009535E1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pusat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undang-undang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pemerintahan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daerah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4F9E4D83" w14:textId="77777777" w:rsidTr="00384609">
        <w:tc>
          <w:tcPr>
            <w:tcW w:w="2500" w:type="pct"/>
          </w:tcPr>
          <w:p w14:paraId="1DD53453" w14:textId="1B2BC113" w:rsidR="009535E1" w:rsidRPr="00556719" w:rsidRDefault="009535E1" w:rsidP="00976DB7">
            <w:pPr>
              <w:pStyle w:val="Default"/>
              <w:numPr>
                <w:ilvl w:val="0"/>
                <w:numId w:val="4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Penempatan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Bank Indonesia; dan</w:t>
            </w:r>
          </w:p>
        </w:tc>
        <w:tc>
          <w:tcPr>
            <w:tcW w:w="2500" w:type="pct"/>
          </w:tcPr>
          <w:p w14:paraId="3610F514" w14:textId="77777777" w:rsidR="009535E1" w:rsidRPr="00556719" w:rsidRDefault="009535E1" w:rsidP="009535E1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b </w:t>
            </w:r>
          </w:p>
          <w:p w14:paraId="174510B2" w14:textId="4AA8687D" w:rsidR="009535E1" w:rsidRPr="00556719" w:rsidRDefault="009535E1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Penempatan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pada Bank Indonesia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Penempatan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baik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rupiah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maupun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valuta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asing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pada Bank Indonesia,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giro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transaksi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rangka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operasi pasar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terbuka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fine tune operation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), dan Fasilitas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Simpanan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Indonesia Syariah (FASBIS).</w:t>
            </w:r>
          </w:p>
        </w:tc>
      </w:tr>
      <w:tr w:rsidR="00556719" w:rsidRPr="00556719" w14:paraId="773769A8" w14:textId="77777777" w:rsidTr="00384609">
        <w:tc>
          <w:tcPr>
            <w:tcW w:w="2500" w:type="pct"/>
          </w:tcPr>
          <w:p w14:paraId="64671BC9" w14:textId="22A24E6E" w:rsidR="009535E1" w:rsidRPr="00556719" w:rsidRDefault="009535E1" w:rsidP="00976DB7">
            <w:pPr>
              <w:pStyle w:val="Default"/>
              <w:numPr>
                <w:ilvl w:val="0"/>
                <w:numId w:val="4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pembelian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Syariah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diterbitkan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Republik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Indonesia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Indonesia.</w:t>
            </w:r>
          </w:p>
        </w:tc>
        <w:tc>
          <w:tcPr>
            <w:tcW w:w="2500" w:type="pct"/>
          </w:tcPr>
          <w:p w14:paraId="0E318E52" w14:textId="77777777" w:rsidR="009535E1" w:rsidRPr="00556719" w:rsidRDefault="009535E1" w:rsidP="009535E1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c </w:t>
            </w:r>
          </w:p>
          <w:p w14:paraId="62A1E0BC" w14:textId="1E2D8952" w:rsidR="009535E1" w:rsidRPr="00556719" w:rsidRDefault="009535E1" w:rsidP="009535E1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0783D037" w14:textId="77777777" w:rsidTr="00384609">
        <w:tc>
          <w:tcPr>
            <w:tcW w:w="2500" w:type="pct"/>
          </w:tcPr>
          <w:p w14:paraId="5FEC2BAF" w14:textId="77777777" w:rsidR="009535E1" w:rsidRPr="00556719" w:rsidRDefault="009535E1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254BA82" w14:textId="77777777" w:rsidR="009535E1" w:rsidRPr="00556719" w:rsidRDefault="009535E1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901CF30" w14:textId="77777777" w:rsidTr="00384609">
        <w:tc>
          <w:tcPr>
            <w:tcW w:w="2500" w:type="pct"/>
          </w:tcPr>
          <w:p w14:paraId="0C2E62BD" w14:textId="0E7B62C3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4</w:t>
            </w:r>
            <w:r w:rsidR="00D21692">
              <w:rPr>
                <w:rFonts w:cstheme="maj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2500" w:type="pct"/>
          </w:tcPr>
          <w:p w14:paraId="6EF7C77B" w14:textId="77777777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</w:tr>
      <w:tr w:rsidR="00556719" w:rsidRPr="00556719" w14:paraId="643098D9" w14:textId="3C7FD9B1" w:rsidTr="00384609">
        <w:tc>
          <w:tcPr>
            <w:tcW w:w="2500" w:type="pct"/>
          </w:tcPr>
          <w:p w14:paraId="7B5A7F20" w14:textId="6853C958" w:rsidR="000E5C2A" w:rsidRPr="00556719" w:rsidRDefault="000E5C2A" w:rsidP="00976DB7">
            <w:pPr>
              <w:pStyle w:val="Default"/>
              <w:numPr>
                <w:ilvl w:val="0"/>
                <w:numId w:val="9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Bagian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memperoleh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pusat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dikecualikan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BMPD. </w:t>
            </w:r>
          </w:p>
        </w:tc>
        <w:tc>
          <w:tcPr>
            <w:tcW w:w="2500" w:type="pct"/>
          </w:tcPr>
          <w:p w14:paraId="7453EAC1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23B535A2" w14:textId="53399B21" w:rsidR="000E5C2A" w:rsidRPr="00556719" w:rsidRDefault="009535E1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2B021E34" w14:textId="77777777" w:rsidTr="00384609">
        <w:tc>
          <w:tcPr>
            <w:tcW w:w="2500" w:type="pct"/>
          </w:tcPr>
          <w:p w14:paraId="6F88B17B" w14:textId="1DECE09E" w:rsidR="009535E1" w:rsidRPr="00556719" w:rsidRDefault="009535E1" w:rsidP="00976DB7">
            <w:pPr>
              <w:pStyle w:val="Default"/>
              <w:numPr>
                <w:ilvl w:val="0"/>
                <w:numId w:val="9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harus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memenuhi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500" w:type="pct"/>
          </w:tcPr>
          <w:p w14:paraId="42C045F4" w14:textId="77777777" w:rsidR="009535E1" w:rsidRPr="00556719" w:rsidRDefault="009535E1" w:rsidP="009535E1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6A0DB5BE" w14:textId="77777777" w:rsidR="009535E1" w:rsidRPr="00556719" w:rsidRDefault="009535E1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934B5B1" w14:textId="77777777" w:rsidTr="00384609">
        <w:tc>
          <w:tcPr>
            <w:tcW w:w="2500" w:type="pct"/>
          </w:tcPr>
          <w:p w14:paraId="4F0682E6" w14:textId="4713E9CE" w:rsidR="009535E1" w:rsidRPr="00556719" w:rsidRDefault="009535E1" w:rsidP="00976DB7">
            <w:pPr>
              <w:pStyle w:val="Default"/>
              <w:numPr>
                <w:ilvl w:val="0"/>
                <w:numId w:val="12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bersifat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tanpa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syarat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dibatalkan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</w:tc>
        <w:tc>
          <w:tcPr>
            <w:tcW w:w="2500" w:type="pct"/>
          </w:tcPr>
          <w:p w14:paraId="57A72A11" w14:textId="77777777" w:rsidR="009535E1" w:rsidRPr="00556719" w:rsidRDefault="009535E1" w:rsidP="009535E1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a </w:t>
            </w:r>
          </w:p>
          <w:p w14:paraId="4305BE6B" w14:textId="77777777" w:rsidR="009535E1" w:rsidRPr="00556719" w:rsidRDefault="009535E1" w:rsidP="009535E1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Tanpa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syarat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: </w:t>
            </w:r>
          </w:p>
          <w:p w14:paraId="4E66EC75" w14:textId="77777777" w:rsidR="009535E1" w:rsidRPr="00556719" w:rsidRDefault="009535E1" w:rsidP="00976DB7">
            <w:pPr>
              <w:pStyle w:val="ListParagraph"/>
              <w:numPr>
                <w:ilvl w:val="0"/>
                <w:numId w:val="49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manfaat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diperoleh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penyedia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berkurang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substansi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walaupun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terjadi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kerugian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disebabkan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faktor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di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luar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kendali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Bank; dan </w:t>
            </w:r>
          </w:p>
          <w:p w14:paraId="5D8A1952" w14:textId="77777777" w:rsidR="009535E1" w:rsidRPr="00556719" w:rsidRDefault="009535E1" w:rsidP="00976DB7">
            <w:pPr>
              <w:pStyle w:val="ListParagraph"/>
              <w:numPr>
                <w:ilvl w:val="0"/>
                <w:numId w:val="49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memuat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prosedural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seperti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: </w:t>
            </w:r>
          </w:p>
          <w:p w14:paraId="15FA504F" w14:textId="77777777" w:rsidR="009535E1" w:rsidRPr="00556719" w:rsidRDefault="009535E1" w:rsidP="00976DB7">
            <w:pPr>
              <w:pStyle w:val="ListParagraph"/>
              <w:numPr>
                <w:ilvl w:val="0"/>
                <w:numId w:val="50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mempersyaratkan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pengajuan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pemberitahuan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wanprestasi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; </w:t>
            </w:r>
          </w:p>
          <w:p w14:paraId="3EE7A14B" w14:textId="77777777" w:rsidR="009535E1" w:rsidRPr="00556719" w:rsidRDefault="009535E1" w:rsidP="00976DB7">
            <w:pPr>
              <w:pStyle w:val="ListParagraph"/>
              <w:numPr>
                <w:ilvl w:val="0"/>
                <w:numId w:val="50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mempersyaratkan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pembuktian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itikad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baik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dana;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</w:p>
          <w:p w14:paraId="47D88A0B" w14:textId="7EE6F984" w:rsidR="009535E1" w:rsidRPr="00556719" w:rsidRDefault="009535E1" w:rsidP="00976DB7">
            <w:pPr>
              <w:pStyle w:val="ListParagraph"/>
              <w:numPr>
                <w:ilvl w:val="0"/>
                <w:numId w:val="50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mempersyaratkan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pencairan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dilakukan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saling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hapus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terlebih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dahulu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penjamin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613E3254" w14:textId="77777777" w:rsidTr="00384609">
        <w:tc>
          <w:tcPr>
            <w:tcW w:w="2500" w:type="pct"/>
          </w:tcPr>
          <w:p w14:paraId="08049A84" w14:textId="041BEEE4" w:rsidR="009535E1" w:rsidRPr="00556719" w:rsidRDefault="009535E1" w:rsidP="00976DB7">
            <w:pPr>
              <w:pStyle w:val="Default"/>
              <w:numPr>
                <w:ilvl w:val="0"/>
                <w:numId w:val="12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pencairan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sesuai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dokumen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</w:tc>
        <w:tc>
          <w:tcPr>
            <w:tcW w:w="2500" w:type="pct"/>
          </w:tcPr>
          <w:p w14:paraId="5E79D371" w14:textId="77777777" w:rsidR="009535E1" w:rsidRPr="00556719" w:rsidRDefault="009535E1" w:rsidP="009535E1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b </w:t>
            </w:r>
          </w:p>
          <w:p w14:paraId="33A87932" w14:textId="6F518AA4" w:rsidR="009535E1" w:rsidRPr="00556719" w:rsidRDefault="009535E1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0E0EF03E" w14:textId="77777777" w:rsidTr="00384609">
        <w:tc>
          <w:tcPr>
            <w:tcW w:w="2500" w:type="pct"/>
          </w:tcPr>
          <w:p w14:paraId="5640FC6F" w14:textId="7F3788EC" w:rsidR="009535E1" w:rsidRPr="00556719" w:rsidRDefault="009535E1" w:rsidP="00976DB7">
            <w:pPr>
              <w:pStyle w:val="Default"/>
              <w:numPr>
                <w:ilvl w:val="0"/>
                <w:numId w:val="12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mempunyai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singkat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; dan </w:t>
            </w:r>
          </w:p>
        </w:tc>
        <w:tc>
          <w:tcPr>
            <w:tcW w:w="2500" w:type="pct"/>
          </w:tcPr>
          <w:p w14:paraId="69FDB005" w14:textId="77777777" w:rsidR="009535E1" w:rsidRPr="00556719" w:rsidRDefault="009535E1" w:rsidP="009535E1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c </w:t>
            </w:r>
          </w:p>
          <w:p w14:paraId="16211428" w14:textId="4827F57A" w:rsidR="009535E1" w:rsidRPr="00556719" w:rsidRDefault="009535E1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4E790D0F" w14:textId="77777777" w:rsidTr="00384609">
        <w:tc>
          <w:tcPr>
            <w:tcW w:w="2500" w:type="pct"/>
          </w:tcPr>
          <w:p w14:paraId="2A5B7A07" w14:textId="0C4E1E69" w:rsidR="009535E1" w:rsidRPr="00556719" w:rsidRDefault="009535E1" w:rsidP="00976DB7">
            <w:pPr>
              <w:pStyle w:val="Default"/>
              <w:numPr>
                <w:ilvl w:val="0"/>
                <w:numId w:val="12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dijamin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kembali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500" w:type="pct"/>
          </w:tcPr>
          <w:p w14:paraId="27514443" w14:textId="77777777" w:rsidR="009535E1" w:rsidRPr="00556719" w:rsidRDefault="009535E1" w:rsidP="009535E1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d </w:t>
            </w:r>
          </w:p>
          <w:p w14:paraId="12652CEC" w14:textId="6E427C4A" w:rsidR="009535E1" w:rsidRPr="00556719" w:rsidRDefault="009535E1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09085230" w14:textId="77777777" w:rsidTr="00384609">
        <w:tc>
          <w:tcPr>
            <w:tcW w:w="2500" w:type="pct"/>
          </w:tcPr>
          <w:p w14:paraId="55C60D40" w14:textId="73939923" w:rsidR="009535E1" w:rsidRPr="00556719" w:rsidRDefault="009535E1" w:rsidP="00976DB7">
            <w:pPr>
              <w:pStyle w:val="Default"/>
              <w:numPr>
                <w:ilvl w:val="0"/>
                <w:numId w:val="9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harus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mengajukan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klaim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lambat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7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tujuh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kerja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sejak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wanprestasi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500" w:type="pct"/>
          </w:tcPr>
          <w:p w14:paraId="663E3FD4" w14:textId="77777777" w:rsidR="009535E1" w:rsidRPr="00556719" w:rsidRDefault="009535E1" w:rsidP="009535E1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(3) </w:t>
            </w:r>
          </w:p>
          <w:p w14:paraId="29F7230C" w14:textId="590DDFA4" w:rsidR="009535E1" w:rsidRPr="00556719" w:rsidRDefault="009535E1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1B8349DE" w14:textId="77777777" w:rsidTr="00384609">
        <w:tc>
          <w:tcPr>
            <w:tcW w:w="2500" w:type="pct"/>
          </w:tcPr>
          <w:p w14:paraId="04F19427" w14:textId="77777777" w:rsidR="009535E1" w:rsidRPr="00556719" w:rsidRDefault="009535E1" w:rsidP="00976DB7">
            <w:pPr>
              <w:pStyle w:val="Default"/>
              <w:numPr>
                <w:ilvl w:val="0"/>
                <w:numId w:val="9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dinyatakan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wanprestasi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(3)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: </w:t>
            </w:r>
          </w:p>
          <w:p w14:paraId="42CD54F7" w14:textId="77777777" w:rsidR="009535E1" w:rsidRPr="00556719" w:rsidRDefault="009535E1" w:rsidP="00976DB7">
            <w:pPr>
              <w:pStyle w:val="Default"/>
              <w:numPr>
                <w:ilvl w:val="0"/>
                <w:numId w:val="4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terjadi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tunggakan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pokok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, margin/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hasil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ujrah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/bonus,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90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sembilan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meskipun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belum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jatuh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tempo; </w:t>
            </w:r>
          </w:p>
          <w:p w14:paraId="2DB48F29" w14:textId="77777777" w:rsidR="009535E1" w:rsidRPr="00556719" w:rsidRDefault="009535E1" w:rsidP="00976DB7">
            <w:pPr>
              <w:pStyle w:val="Default"/>
              <w:numPr>
                <w:ilvl w:val="0"/>
                <w:numId w:val="4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diterimanya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pembayaran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pokok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, margin/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hasil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ujrah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/bonus,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jatuh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tempo;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</w:p>
          <w:p w14:paraId="63E6761C" w14:textId="451ABC3F" w:rsidR="009535E1" w:rsidRPr="00556719" w:rsidRDefault="009535E1" w:rsidP="00976DB7">
            <w:pPr>
              <w:pStyle w:val="Default"/>
              <w:numPr>
                <w:ilvl w:val="0"/>
                <w:numId w:val="4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dipenuhinya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selain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pembayaran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pokok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margin/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hasil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ujrah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/bonus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mengakibatkan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terjadi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wanprestasi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6BC22A05" w14:textId="77777777" w:rsidR="009535E1" w:rsidRPr="00556719" w:rsidRDefault="009535E1" w:rsidP="009535E1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lastRenderedPageBreak/>
              <w:t xml:space="preserve">Ayat (4) </w:t>
            </w:r>
          </w:p>
          <w:p w14:paraId="1B4E0785" w14:textId="12D2ED1E" w:rsidR="009535E1" w:rsidRPr="00556719" w:rsidRDefault="009535E1" w:rsidP="009535E1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177D45FA" w14:textId="77777777" w:rsidTr="00384609">
        <w:tc>
          <w:tcPr>
            <w:tcW w:w="2500" w:type="pct"/>
          </w:tcPr>
          <w:p w14:paraId="5C5DD7CA" w14:textId="77777777" w:rsidR="009535E1" w:rsidRPr="00556719" w:rsidRDefault="009535E1" w:rsidP="009535E1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172C3F18" w14:textId="77777777" w:rsidR="009535E1" w:rsidRPr="00556719" w:rsidRDefault="009535E1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E499DC0" w14:textId="77777777" w:rsidTr="00384609">
        <w:tc>
          <w:tcPr>
            <w:tcW w:w="2500" w:type="pct"/>
          </w:tcPr>
          <w:p w14:paraId="00EEFD3F" w14:textId="11B408C1" w:rsidR="000E5C2A" w:rsidRPr="00556719" w:rsidRDefault="00D21692" w:rsidP="00D21692">
            <w:pPr>
              <w:pStyle w:val="Default"/>
              <w:tabs>
                <w:tab w:val="center" w:pos="3648"/>
                <w:tab w:val="left" w:pos="5520"/>
              </w:tabs>
              <w:spacing w:line="276" w:lineRule="auto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ab/>
            </w:r>
            <w:proofErr w:type="spellStart"/>
            <w:r w:rsidR="000E5C2A"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="000E5C2A" w:rsidRPr="00556719">
              <w:rPr>
                <w:rFonts w:cstheme="majorHAnsi"/>
                <w:color w:val="auto"/>
                <w:sz w:val="20"/>
                <w:szCs w:val="20"/>
              </w:rPr>
              <w:t xml:space="preserve"> 4</w:t>
            </w:r>
            <w:r>
              <w:rPr>
                <w:rFonts w:cstheme="maj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2500" w:type="pct"/>
          </w:tcPr>
          <w:p w14:paraId="535EDC6B" w14:textId="77777777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</w:tr>
      <w:tr w:rsidR="00556719" w:rsidRPr="00556719" w14:paraId="4F5C7136" w14:textId="191A1011" w:rsidTr="00384609">
        <w:tc>
          <w:tcPr>
            <w:tcW w:w="2500" w:type="pct"/>
          </w:tcPr>
          <w:p w14:paraId="2C2B2C51" w14:textId="435F7EF9" w:rsidR="000E5C2A" w:rsidRPr="00556719" w:rsidRDefault="000E5C2A" w:rsidP="00976DB7">
            <w:pPr>
              <w:pStyle w:val="Default"/>
              <w:numPr>
                <w:ilvl w:val="0"/>
                <w:numId w:val="9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berorientasi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ekspor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lembaga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memenuhi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dikecualikan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BMPD.</w:t>
            </w:r>
          </w:p>
          <w:p w14:paraId="2C8687F7" w14:textId="6A61BD83" w:rsidR="000E5C2A" w:rsidRPr="00556719" w:rsidRDefault="000E5C2A" w:rsidP="003A6FB0">
            <w:pPr>
              <w:pStyle w:val="Default"/>
              <w:spacing w:line="276" w:lineRule="auto"/>
              <w:ind w:left="72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5E23263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5EAEBE15" w14:textId="16CF774C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berorientasi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ekspor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dituangkan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perjanjian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lembaga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="003A6FB0" w:rsidRPr="00556719">
              <w:rPr>
                <w:rFonts w:ascii="Bookman Old Style" w:hAnsi="Bookman Old Style" w:cstheme="majorHAnsi"/>
                <w:sz w:val="20"/>
                <w:szCs w:val="20"/>
              </w:rPr>
              <w:t>memenuhi</w:t>
            </w:r>
            <w:proofErr w:type="spellEnd"/>
            <w:r w:rsidR="003A6FB0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="003A6FB0" w:rsidRPr="00556719">
              <w:rPr>
                <w:rFonts w:ascii="Bookman Old Style" w:hAnsi="Bookman Old Style" w:cstheme="majorHAnsi"/>
                <w:sz w:val="20"/>
                <w:szCs w:val="20"/>
              </w:rPr>
              <w:t>persyaratan</w:t>
            </w:r>
            <w:proofErr w:type="spellEnd"/>
            <w:r w:rsidR="003A6FB0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="003A6FB0" w:rsidRPr="00556719">
              <w:rPr>
                <w:rFonts w:ascii="Bookman Old Style" w:hAnsi="Bookman Old Style" w:cstheme="majorHAnsi"/>
                <w:sz w:val="20"/>
                <w:szCs w:val="20"/>
              </w:rPr>
              <w:t>tertentu</w:t>
            </w:r>
            <w:proofErr w:type="spellEnd"/>
            <w:r w:rsidR="003A6FB0"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3A624CEE" w14:textId="77777777" w:rsidTr="00384609">
        <w:tc>
          <w:tcPr>
            <w:tcW w:w="2500" w:type="pct"/>
          </w:tcPr>
          <w:p w14:paraId="2C4D0FE0" w14:textId="044413ED" w:rsidR="009535E1" w:rsidRPr="00556719" w:rsidRDefault="003A6FB0" w:rsidP="00976DB7">
            <w:pPr>
              <w:pStyle w:val="Default"/>
              <w:numPr>
                <w:ilvl w:val="0"/>
                <w:numId w:val="9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Bagian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memperoleh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lembaga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memenuhi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dikecualikan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BMPD.</w:t>
            </w:r>
          </w:p>
        </w:tc>
        <w:tc>
          <w:tcPr>
            <w:tcW w:w="2500" w:type="pct"/>
          </w:tcPr>
          <w:p w14:paraId="1F3E4862" w14:textId="77777777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2366D0BB" w14:textId="43B162AC" w:rsidR="009535E1" w:rsidRPr="00556719" w:rsidRDefault="003A6FB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71674FD0" w14:textId="77777777" w:rsidTr="00384609">
        <w:tc>
          <w:tcPr>
            <w:tcW w:w="2500" w:type="pct"/>
          </w:tcPr>
          <w:p w14:paraId="57650D7F" w14:textId="77777777" w:rsidR="003A6FB0" w:rsidRPr="00556719" w:rsidRDefault="003A6FB0" w:rsidP="00976DB7">
            <w:pPr>
              <w:pStyle w:val="Default"/>
              <w:numPr>
                <w:ilvl w:val="0"/>
                <w:numId w:val="9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  <w:p w14:paraId="5AC3A637" w14:textId="77777777" w:rsidR="003A6FB0" w:rsidRPr="00556719" w:rsidRDefault="003A6FB0" w:rsidP="00976DB7">
            <w:pPr>
              <w:pStyle w:val="Default"/>
              <w:numPr>
                <w:ilvl w:val="0"/>
                <w:numId w:val="5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pusat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  <w:p w14:paraId="1ECC6718" w14:textId="77777777" w:rsidR="003A6FB0" w:rsidRPr="00556719" w:rsidRDefault="003A6FB0" w:rsidP="00976DB7">
            <w:pPr>
              <w:pStyle w:val="Default"/>
              <w:numPr>
                <w:ilvl w:val="0"/>
                <w:numId w:val="5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kegiatan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usahanya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memberikan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pembiayaan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ekspor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nasional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 dan</w:t>
            </w:r>
          </w:p>
          <w:p w14:paraId="4C006C2E" w14:textId="34AD400F" w:rsidR="009535E1" w:rsidRPr="00556719" w:rsidRDefault="003A6FB0" w:rsidP="00976DB7">
            <w:pPr>
              <w:pStyle w:val="Default"/>
              <w:numPr>
                <w:ilvl w:val="0"/>
                <w:numId w:val="5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Undang-Undang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status sovereign.</w:t>
            </w:r>
          </w:p>
        </w:tc>
        <w:tc>
          <w:tcPr>
            <w:tcW w:w="2500" w:type="pct"/>
          </w:tcPr>
          <w:p w14:paraId="4E909670" w14:textId="77777777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(3) </w:t>
            </w:r>
          </w:p>
          <w:p w14:paraId="1BE83609" w14:textId="77777777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474306C3" w14:textId="77777777" w:rsidR="009535E1" w:rsidRPr="00556719" w:rsidRDefault="009535E1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2676930" w14:textId="77777777" w:rsidTr="00384609">
        <w:tc>
          <w:tcPr>
            <w:tcW w:w="2500" w:type="pct"/>
          </w:tcPr>
          <w:p w14:paraId="7B4904FD" w14:textId="77777777" w:rsidR="003A6FB0" w:rsidRPr="00556719" w:rsidRDefault="003A6FB0" w:rsidP="00976DB7">
            <w:pPr>
              <w:pStyle w:val="Default"/>
              <w:numPr>
                <w:ilvl w:val="0"/>
                <w:numId w:val="9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harus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memenuhi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  <w:p w14:paraId="3B5169BA" w14:textId="77777777" w:rsidR="003A6FB0" w:rsidRPr="00556719" w:rsidRDefault="003A6FB0" w:rsidP="00976DB7">
            <w:pPr>
              <w:pStyle w:val="Default"/>
              <w:numPr>
                <w:ilvl w:val="0"/>
                <w:numId w:val="5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bersifat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tanpa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syarat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(unconditional)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dibatalkan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(irrevocable);</w:t>
            </w:r>
          </w:p>
          <w:p w14:paraId="3D51DC50" w14:textId="77777777" w:rsidR="003A6FB0" w:rsidRPr="00556719" w:rsidRDefault="003A6FB0" w:rsidP="00976DB7">
            <w:pPr>
              <w:pStyle w:val="Default"/>
              <w:numPr>
                <w:ilvl w:val="0"/>
                <w:numId w:val="5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pencairan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sesuai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dokumen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  <w:p w14:paraId="71881A1E" w14:textId="77777777" w:rsidR="003A6FB0" w:rsidRPr="00556719" w:rsidRDefault="003A6FB0" w:rsidP="00976DB7">
            <w:pPr>
              <w:pStyle w:val="Default"/>
              <w:numPr>
                <w:ilvl w:val="0"/>
                <w:numId w:val="5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mempunyai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singkat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 dan</w:t>
            </w:r>
          </w:p>
          <w:p w14:paraId="495AB7F5" w14:textId="1A5CF32E" w:rsidR="009535E1" w:rsidRPr="00556719" w:rsidRDefault="003A6FB0" w:rsidP="00976DB7">
            <w:pPr>
              <w:pStyle w:val="Default"/>
              <w:numPr>
                <w:ilvl w:val="0"/>
                <w:numId w:val="5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dijamin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kembali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(counter guarantee).</w:t>
            </w:r>
          </w:p>
        </w:tc>
        <w:tc>
          <w:tcPr>
            <w:tcW w:w="2500" w:type="pct"/>
          </w:tcPr>
          <w:p w14:paraId="10F2406F" w14:textId="77777777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(4) </w:t>
            </w:r>
          </w:p>
          <w:p w14:paraId="389EA0D1" w14:textId="77777777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38500F4A" w14:textId="77777777" w:rsidR="009535E1" w:rsidRPr="00556719" w:rsidRDefault="009535E1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D884764" w14:textId="77777777" w:rsidTr="00384609">
        <w:tc>
          <w:tcPr>
            <w:tcW w:w="2500" w:type="pct"/>
          </w:tcPr>
          <w:p w14:paraId="265B74E3" w14:textId="5168A75D" w:rsidR="009535E1" w:rsidRPr="00556719" w:rsidRDefault="003A6FB0" w:rsidP="00976DB7">
            <w:pPr>
              <w:pStyle w:val="Default"/>
              <w:numPr>
                <w:ilvl w:val="0"/>
                <w:numId w:val="9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harus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mengajukan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klaim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(4)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lambat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7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tujuh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kerja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sejak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wanprestasi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4F175E69" w14:textId="77777777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(5) </w:t>
            </w:r>
          </w:p>
          <w:p w14:paraId="4E8DC161" w14:textId="77777777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1D9FFBB6" w14:textId="77777777" w:rsidR="009535E1" w:rsidRPr="00556719" w:rsidRDefault="009535E1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DB69446" w14:textId="77777777" w:rsidTr="00384609">
        <w:tc>
          <w:tcPr>
            <w:tcW w:w="2500" w:type="pct"/>
          </w:tcPr>
          <w:p w14:paraId="42B0397C" w14:textId="77777777" w:rsidR="003A6FB0" w:rsidRPr="00556719" w:rsidRDefault="003A6FB0" w:rsidP="00976DB7">
            <w:pPr>
              <w:pStyle w:val="Default"/>
              <w:numPr>
                <w:ilvl w:val="0"/>
                <w:numId w:val="9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dinyatakan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wanprestasi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(5)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  <w:p w14:paraId="7D9A1D4A" w14:textId="77777777" w:rsidR="003A6FB0" w:rsidRPr="00556719" w:rsidRDefault="003A6FB0" w:rsidP="00976DB7">
            <w:pPr>
              <w:pStyle w:val="Default"/>
              <w:numPr>
                <w:ilvl w:val="0"/>
                <w:numId w:val="5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terjadi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tunggakan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pokok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margin/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hasil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ujrah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/bonus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90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sembilan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meskipun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belum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jatuh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tempo;</w:t>
            </w:r>
          </w:p>
          <w:p w14:paraId="2E61CFA5" w14:textId="77777777" w:rsidR="003A6FB0" w:rsidRPr="00556719" w:rsidRDefault="003A6FB0" w:rsidP="00976DB7">
            <w:pPr>
              <w:pStyle w:val="Default"/>
              <w:numPr>
                <w:ilvl w:val="0"/>
                <w:numId w:val="5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diterimanya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pembayaran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pokok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margin/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hasil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ujrah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/bonus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jatuh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tempo;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</w:p>
          <w:p w14:paraId="2A5989E8" w14:textId="287F1553" w:rsidR="009535E1" w:rsidRPr="00556719" w:rsidRDefault="003A6FB0" w:rsidP="00976DB7">
            <w:pPr>
              <w:pStyle w:val="Default"/>
              <w:numPr>
                <w:ilvl w:val="0"/>
                <w:numId w:val="5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dipenuhinya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selain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pembayaran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pokok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margin/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hasil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ujrah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/bonus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mengakibatkan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terjadi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wanprestasi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4369BE00" w14:textId="77777777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lastRenderedPageBreak/>
              <w:t xml:space="preserve">Ayat (6) </w:t>
            </w:r>
          </w:p>
          <w:p w14:paraId="480C5F73" w14:textId="4AAADE91" w:rsidR="009535E1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42B43A7B" w14:textId="77777777" w:rsidTr="00384609">
        <w:tc>
          <w:tcPr>
            <w:tcW w:w="2500" w:type="pct"/>
          </w:tcPr>
          <w:p w14:paraId="6E580F03" w14:textId="77777777" w:rsidR="009535E1" w:rsidRPr="00556719" w:rsidRDefault="009535E1" w:rsidP="003A6FB0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344D535" w14:textId="77777777" w:rsidR="009535E1" w:rsidRPr="00556719" w:rsidRDefault="009535E1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4A9A352" w14:textId="77777777" w:rsidTr="00384609">
        <w:tc>
          <w:tcPr>
            <w:tcW w:w="2500" w:type="pct"/>
          </w:tcPr>
          <w:p w14:paraId="62F17F5D" w14:textId="708E6CF9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4</w:t>
            </w:r>
            <w:r w:rsidR="00D21692">
              <w:rPr>
                <w:rFonts w:cstheme="maj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2500" w:type="pct"/>
          </w:tcPr>
          <w:p w14:paraId="6E43FB9B" w14:textId="77777777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</w:tr>
      <w:tr w:rsidR="00556719" w:rsidRPr="00556719" w14:paraId="4000F651" w14:textId="175E7F30" w:rsidTr="00384609">
        <w:tc>
          <w:tcPr>
            <w:tcW w:w="2500" w:type="pct"/>
          </w:tcPr>
          <w:p w14:paraId="2E008F27" w14:textId="322CAC7D" w:rsidR="000E5C2A" w:rsidRPr="00556719" w:rsidRDefault="000E5C2A" w:rsidP="00976DB7">
            <w:pPr>
              <w:pStyle w:val="Default"/>
              <w:numPr>
                <w:ilvl w:val="0"/>
                <w:numId w:val="9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Bagian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dijamin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memenuhi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dikecualikan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BMPD.</w:t>
            </w:r>
          </w:p>
        </w:tc>
        <w:tc>
          <w:tcPr>
            <w:tcW w:w="2500" w:type="pct"/>
          </w:tcPr>
          <w:p w14:paraId="51C436F0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5BFFCD1A" w14:textId="31D0335F" w:rsidR="000E5C2A" w:rsidRPr="00556719" w:rsidRDefault="003A6FB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7224CFAC" w14:textId="77777777" w:rsidTr="00384609">
        <w:tc>
          <w:tcPr>
            <w:tcW w:w="2500" w:type="pct"/>
          </w:tcPr>
          <w:p w14:paraId="35C7B4CF" w14:textId="2D1EEB65" w:rsidR="003A6FB0" w:rsidRPr="00556719" w:rsidRDefault="003A6FB0" w:rsidP="00976DB7">
            <w:pPr>
              <w:pStyle w:val="Default"/>
              <w:numPr>
                <w:ilvl w:val="0"/>
                <w:numId w:val="9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49703EC4" w14:textId="7978C925" w:rsidR="003A6FB0" w:rsidRPr="00556719" w:rsidRDefault="003A6FB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</w:tc>
      </w:tr>
      <w:tr w:rsidR="00556719" w:rsidRPr="00556719" w14:paraId="72DAAB28" w14:textId="77777777" w:rsidTr="00384609">
        <w:tc>
          <w:tcPr>
            <w:tcW w:w="2500" w:type="pct"/>
          </w:tcPr>
          <w:p w14:paraId="1C641BD5" w14:textId="21C464DD" w:rsidR="003A6FB0" w:rsidRPr="00556719" w:rsidRDefault="003A6FB0" w:rsidP="00976DB7">
            <w:pPr>
              <w:pStyle w:val="Default"/>
              <w:numPr>
                <w:ilvl w:val="0"/>
                <w:numId w:val="12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tunai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giro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deposito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tabungan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setoran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emas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 dan</w:t>
            </w:r>
          </w:p>
        </w:tc>
        <w:tc>
          <w:tcPr>
            <w:tcW w:w="2500" w:type="pct"/>
          </w:tcPr>
          <w:p w14:paraId="276439F6" w14:textId="77777777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a </w:t>
            </w:r>
          </w:p>
          <w:p w14:paraId="478C77BF" w14:textId="75B58FCC" w:rsidR="003A6FB0" w:rsidRPr="00556719" w:rsidRDefault="003A6FB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Dalam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tunai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emas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ditentukan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wajar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52921739" w14:textId="77777777" w:rsidTr="00384609">
        <w:tc>
          <w:tcPr>
            <w:tcW w:w="2500" w:type="pct"/>
          </w:tcPr>
          <w:p w14:paraId="25FF0812" w14:textId="54E9ACBB" w:rsidR="003A6FB0" w:rsidRPr="00556719" w:rsidRDefault="003A6FB0" w:rsidP="00976DB7">
            <w:pPr>
              <w:pStyle w:val="Default"/>
              <w:numPr>
                <w:ilvl w:val="0"/>
                <w:numId w:val="12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diterbitkan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Republik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Indonesia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Indonesia.</w:t>
            </w:r>
          </w:p>
        </w:tc>
        <w:tc>
          <w:tcPr>
            <w:tcW w:w="2500" w:type="pct"/>
          </w:tcPr>
          <w:p w14:paraId="3F590799" w14:textId="77777777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b </w:t>
            </w:r>
          </w:p>
          <w:p w14:paraId="55854814" w14:textId="77777777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Termasuk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pengertian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dijamin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diterbitkan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Pemerintah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Republik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Indonesia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Indonesia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adalah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Syariah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Dibeli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Janji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Dijual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Kembali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 xml:space="preserve">Reverse 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Repo). </w:t>
            </w:r>
          </w:p>
          <w:p w14:paraId="43E5664B" w14:textId="65088FAE" w:rsidR="003A6FB0" w:rsidRPr="00556719" w:rsidRDefault="003A6FB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Dalam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Syariah Negara (SBSN),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ditentukan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pasar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market value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SBSN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tersedia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pasar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ditentukan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wajar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fair value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). </w:t>
            </w:r>
          </w:p>
        </w:tc>
      </w:tr>
      <w:tr w:rsidR="00556719" w:rsidRPr="00556719" w14:paraId="1AF4F88E" w14:textId="77777777" w:rsidTr="00384609">
        <w:tc>
          <w:tcPr>
            <w:tcW w:w="2500" w:type="pct"/>
          </w:tcPr>
          <w:p w14:paraId="704D3B9A" w14:textId="77777777" w:rsidR="003A6FB0" w:rsidRPr="00556719" w:rsidRDefault="003A6FB0" w:rsidP="00976DB7">
            <w:pPr>
              <w:pStyle w:val="Default"/>
              <w:numPr>
                <w:ilvl w:val="0"/>
                <w:numId w:val="9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  <w:p w14:paraId="5DF4774F" w14:textId="77777777" w:rsidR="003A6FB0" w:rsidRPr="00556719" w:rsidRDefault="003A6FB0" w:rsidP="00976DB7">
            <w:pPr>
              <w:pStyle w:val="Default"/>
              <w:numPr>
                <w:ilvl w:val="0"/>
                <w:numId w:val="5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diblokir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dilengkapi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surat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kuasa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pencairan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pemilik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keuntungan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termasuk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pencairan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membayar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tunggakan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angsuran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pokok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margin/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hasil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ujrah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/bonus;</w:t>
            </w:r>
          </w:p>
          <w:p w14:paraId="0691EEFD" w14:textId="77777777" w:rsidR="003A6FB0" w:rsidRPr="00556719" w:rsidRDefault="003A6FB0" w:rsidP="00976DB7">
            <w:pPr>
              <w:pStyle w:val="Default"/>
              <w:numPr>
                <w:ilvl w:val="0"/>
                <w:numId w:val="5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bersifat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tanpa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syarat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(unconditional)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dibatalkan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(irrevocable);</w:t>
            </w:r>
          </w:p>
          <w:p w14:paraId="278A18DC" w14:textId="77777777" w:rsidR="003A6FB0" w:rsidRPr="00556719" w:rsidRDefault="003A6FB0" w:rsidP="00976DB7">
            <w:pPr>
              <w:pStyle w:val="Default"/>
              <w:numPr>
                <w:ilvl w:val="0"/>
                <w:numId w:val="5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pemblokiran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a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singkat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  <w:p w14:paraId="6D68056A" w14:textId="77777777" w:rsidR="003A6FB0" w:rsidRPr="00556719" w:rsidRDefault="003A6FB0" w:rsidP="00976DB7">
            <w:pPr>
              <w:pStyle w:val="Default"/>
              <w:numPr>
                <w:ilvl w:val="0"/>
                <w:numId w:val="5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pengikatan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hukum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kuat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bebas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segala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perikatan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sengketa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sedang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dijaminkan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serta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tujuan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 dan</w:t>
            </w:r>
          </w:p>
          <w:p w14:paraId="56FD2F84" w14:textId="3037F2BD" w:rsidR="003A6FB0" w:rsidRPr="00556719" w:rsidRDefault="003A6FB0" w:rsidP="00976DB7">
            <w:pPr>
              <w:pStyle w:val="Default"/>
              <w:numPr>
                <w:ilvl w:val="0"/>
                <w:numId w:val="5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agunan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tunai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a,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disimpan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ditatausahakan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dana.</w:t>
            </w:r>
          </w:p>
        </w:tc>
        <w:tc>
          <w:tcPr>
            <w:tcW w:w="2500" w:type="pct"/>
          </w:tcPr>
          <w:p w14:paraId="7D41962D" w14:textId="77777777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lastRenderedPageBreak/>
              <w:t xml:space="preserve">Ayat (3) </w:t>
            </w:r>
          </w:p>
          <w:p w14:paraId="4A14CC78" w14:textId="582B2C11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59D1D0E1" w14:textId="77777777" w:rsidTr="00384609">
        <w:tc>
          <w:tcPr>
            <w:tcW w:w="2500" w:type="pct"/>
          </w:tcPr>
          <w:p w14:paraId="25636E08" w14:textId="77777777" w:rsidR="003A6FB0" w:rsidRPr="00556719" w:rsidRDefault="003A6FB0" w:rsidP="003A6FB0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280FF5F" w14:textId="77777777" w:rsidR="003A6FB0" w:rsidRPr="00556719" w:rsidRDefault="003A6FB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317736E" w14:textId="77777777" w:rsidTr="00384609">
        <w:tc>
          <w:tcPr>
            <w:tcW w:w="2500" w:type="pct"/>
          </w:tcPr>
          <w:p w14:paraId="6FEB1389" w14:textId="468A3352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4</w:t>
            </w:r>
            <w:r w:rsidR="00D21692">
              <w:rPr>
                <w:rFonts w:ascii="Bookman Old Style" w:hAnsi="Bookman Old Style" w:cstheme="majorHAnsi"/>
                <w:sz w:val="20"/>
                <w:szCs w:val="20"/>
              </w:rPr>
              <w:t>7</w:t>
            </w:r>
          </w:p>
        </w:tc>
        <w:tc>
          <w:tcPr>
            <w:tcW w:w="2500" w:type="pct"/>
          </w:tcPr>
          <w:p w14:paraId="75B53A51" w14:textId="77777777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A4C82F2" w14:textId="429574EC" w:rsidTr="00384609">
        <w:tc>
          <w:tcPr>
            <w:tcW w:w="2500" w:type="pct"/>
          </w:tcPr>
          <w:p w14:paraId="0EC590AC" w14:textId="6352C4C1" w:rsidR="000E5C2A" w:rsidRPr="00556719" w:rsidRDefault="000E5C2A" w:rsidP="00976DB7">
            <w:pPr>
              <w:pStyle w:val="Default"/>
              <w:numPr>
                <w:ilvl w:val="0"/>
                <w:numId w:val="9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Bagian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memperoleh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Prime Bank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dikecualikan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sepanjang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diberikan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memenuhi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: </w:t>
            </w:r>
          </w:p>
          <w:p w14:paraId="4C4BD5CC" w14:textId="77777777" w:rsidR="000E5C2A" w:rsidRPr="00556719" w:rsidRDefault="000E5C2A" w:rsidP="00976DB7">
            <w:pPr>
              <w:pStyle w:val="Default"/>
              <w:numPr>
                <w:ilvl w:val="0"/>
                <w:numId w:val="5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berbentuk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Pr="00556719">
              <w:rPr>
                <w:rFonts w:cstheme="majorHAnsi"/>
                <w:i/>
                <w:color w:val="auto"/>
                <w:sz w:val="20"/>
                <w:szCs w:val="20"/>
              </w:rPr>
              <w:t>standby letter of credit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diterbitkan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sesuai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Uniform Customs and Practice for Documentary Credits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International Standby Practices; </w:t>
            </w:r>
          </w:p>
          <w:p w14:paraId="1455DF9C" w14:textId="77777777" w:rsidR="000E5C2A" w:rsidRPr="00556719" w:rsidRDefault="000E5C2A" w:rsidP="00976DB7">
            <w:pPr>
              <w:pStyle w:val="Default"/>
              <w:numPr>
                <w:ilvl w:val="0"/>
                <w:numId w:val="5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bersifat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tanpa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syarat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dibatalkan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  <w:p w14:paraId="3D7017BF" w14:textId="77777777" w:rsidR="000E5C2A" w:rsidRPr="00556719" w:rsidRDefault="000E5C2A" w:rsidP="00976DB7">
            <w:pPr>
              <w:pStyle w:val="Default"/>
              <w:numPr>
                <w:ilvl w:val="0"/>
                <w:numId w:val="5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harus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dicairkan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lambat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7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tujuh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kerja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sejak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diajukan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klaim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termasuk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pencairan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; </w:t>
            </w:r>
          </w:p>
          <w:p w14:paraId="104BDD72" w14:textId="41119E33" w:rsidR="000E5C2A" w:rsidRPr="00556719" w:rsidRDefault="000E5C2A" w:rsidP="00976DB7">
            <w:pPr>
              <w:pStyle w:val="Default"/>
              <w:numPr>
                <w:ilvl w:val="0"/>
                <w:numId w:val="5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mempunyai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singkat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; dan </w:t>
            </w:r>
          </w:p>
          <w:p w14:paraId="06B5FE3B" w14:textId="3EC3931D" w:rsidR="000E5C2A" w:rsidRPr="00556719" w:rsidRDefault="000E5C2A" w:rsidP="00976DB7">
            <w:pPr>
              <w:pStyle w:val="Default"/>
              <w:numPr>
                <w:ilvl w:val="0"/>
                <w:numId w:val="5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dijamin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kembali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penyedia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Prime Bank. </w:t>
            </w:r>
          </w:p>
        </w:tc>
        <w:tc>
          <w:tcPr>
            <w:tcW w:w="2500" w:type="pct"/>
          </w:tcPr>
          <w:p w14:paraId="2B98961C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17C38358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42929246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  <w:p w14:paraId="6F74504E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  <w:p w14:paraId="08A12E5F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  <w:p w14:paraId="2C24ECC5" w14:textId="2D910523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8A93685" w14:textId="77777777" w:rsidTr="00384609">
        <w:tc>
          <w:tcPr>
            <w:tcW w:w="2500" w:type="pct"/>
          </w:tcPr>
          <w:p w14:paraId="2B9C897A" w14:textId="343D8846" w:rsidR="003A6FB0" w:rsidRPr="00556719" w:rsidRDefault="003A6FB0" w:rsidP="00976DB7">
            <w:pPr>
              <w:pStyle w:val="Default"/>
              <w:numPr>
                <w:ilvl w:val="0"/>
                <w:numId w:val="9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harus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mengajukan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klaim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lambat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7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tujuh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kerja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sejak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wanprestasi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1E8DCAA9" w14:textId="77777777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2F52DB06" w14:textId="02E7102E" w:rsidR="003A6FB0" w:rsidRPr="00556719" w:rsidRDefault="003A6FB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07E8523B" w14:textId="77777777" w:rsidTr="00384609">
        <w:tc>
          <w:tcPr>
            <w:tcW w:w="2500" w:type="pct"/>
          </w:tcPr>
          <w:p w14:paraId="5A4DC65C" w14:textId="77777777" w:rsidR="003A6FB0" w:rsidRPr="00556719" w:rsidRDefault="003A6FB0" w:rsidP="00976DB7">
            <w:pPr>
              <w:pStyle w:val="Default"/>
              <w:numPr>
                <w:ilvl w:val="0"/>
                <w:numId w:val="9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dianggap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wanprestasi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: </w:t>
            </w:r>
          </w:p>
          <w:p w14:paraId="74BFAE2E" w14:textId="77777777" w:rsidR="003A6FB0" w:rsidRPr="00556719" w:rsidRDefault="003A6FB0" w:rsidP="00976DB7">
            <w:pPr>
              <w:pStyle w:val="Default"/>
              <w:numPr>
                <w:ilvl w:val="0"/>
                <w:numId w:val="5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terjadi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tunggakan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pokok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, margin/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hasil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ujrah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/bonus,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90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sembilan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meskipun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belum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jatuh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tempo; </w:t>
            </w:r>
          </w:p>
          <w:p w14:paraId="788A1717" w14:textId="77777777" w:rsidR="003A6FB0" w:rsidRPr="00556719" w:rsidRDefault="003A6FB0" w:rsidP="00976DB7">
            <w:pPr>
              <w:pStyle w:val="Default"/>
              <w:numPr>
                <w:ilvl w:val="0"/>
                <w:numId w:val="5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diterimanya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pembayaran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pokok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, margin/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hasil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ujrah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/bonus,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tagihan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jatuh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tempo;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</w:p>
          <w:p w14:paraId="3DDC3C65" w14:textId="15881A0E" w:rsidR="003A6FB0" w:rsidRPr="00556719" w:rsidRDefault="003A6FB0" w:rsidP="00976DB7">
            <w:pPr>
              <w:pStyle w:val="Default"/>
              <w:numPr>
                <w:ilvl w:val="0"/>
                <w:numId w:val="5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dipenuhinya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persyaratan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selain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pembayaran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pokok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margin/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hasil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ujrah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/bonus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mengakibatkan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terjadi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wanprestasi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500" w:type="pct"/>
          </w:tcPr>
          <w:p w14:paraId="2C1781C1" w14:textId="77777777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(3) </w:t>
            </w:r>
          </w:p>
          <w:p w14:paraId="4505BB1E" w14:textId="611FC0E9" w:rsidR="003A6FB0" w:rsidRPr="00556719" w:rsidRDefault="003A6FB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</w:tc>
      </w:tr>
      <w:tr w:rsidR="00556719" w:rsidRPr="00556719" w14:paraId="09BE2BC6" w14:textId="77777777" w:rsidTr="00384609">
        <w:tc>
          <w:tcPr>
            <w:tcW w:w="2500" w:type="pct"/>
          </w:tcPr>
          <w:p w14:paraId="404526C1" w14:textId="71A745C8" w:rsidR="003A6FB0" w:rsidRPr="00556719" w:rsidRDefault="003A6FB0" w:rsidP="00976DB7">
            <w:pPr>
              <w:pStyle w:val="Default"/>
              <w:numPr>
                <w:ilvl w:val="0"/>
                <w:numId w:val="9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Pengecualian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tinggi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90%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sembilan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Bank.</w:t>
            </w:r>
          </w:p>
        </w:tc>
        <w:tc>
          <w:tcPr>
            <w:tcW w:w="2500" w:type="pct"/>
          </w:tcPr>
          <w:p w14:paraId="2F7EE0CA" w14:textId="77777777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(4) </w:t>
            </w:r>
          </w:p>
          <w:p w14:paraId="31826D64" w14:textId="77777777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lastRenderedPageBreak/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adanya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penjaminan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Prime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total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memperoleh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tinggi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sebesar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: </w:t>
            </w:r>
          </w:p>
          <w:p w14:paraId="73AB5E28" w14:textId="77777777" w:rsidR="003A6FB0" w:rsidRPr="00556719" w:rsidRDefault="003A6FB0" w:rsidP="00976DB7">
            <w:pPr>
              <w:pStyle w:val="ListParagraph"/>
              <w:numPr>
                <w:ilvl w:val="0"/>
                <w:numId w:val="57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100%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seratus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Modal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Bank;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</w:p>
          <w:p w14:paraId="104813A7" w14:textId="77777777" w:rsidR="003A6FB0" w:rsidRPr="00556719" w:rsidRDefault="003A6FB0" w:rsidP="00976DB7">
            <w:pPr>
              <w:pStyle w:val="ListParagraph"/>
              <w:numPr>
                <w:ilvl w:val="0"/>
                <w:numId w:val="57"/>
              </w:num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100%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seratus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Modal Inti (</w:t>
            </w:r>
            <w:r w:rsidRPr="00556719">
              <w:rPr>
                <w:rFonts w:ascii="Bookman Old Style" w:hAnsi="Bookman Old Style" w:cstheme="majorHAnsi"/>
                <w:i/>
                <w:sz w:val="20"/>
                <w:szCs w:val="20"/>
              </w:rPr>
              <w:t xml:space="preserve">tier 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1)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selain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  <w:p w14:paraId="3826AF88" w14:textId="77777777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Contoh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1: </w:t>
            </w:r>
          </w:p>
          <w:p w14:paraId="3F28C148" w14:textId="77777777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“A”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“B”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PT Bank “X”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memperoleh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standby letter of credit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diterbitkan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induk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PT Bank “X”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Prime Bank. Bagian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PT Bank “X”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“A”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“B”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memperoleh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dikecualikan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BMPD paling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tinggi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90%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sembilan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Modal Bank. Batas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keseluruhan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Bagian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“A”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“B”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memperoleh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tersebut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diperhitungkan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keseluruhan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tinggi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10%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sepuluh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Modal Bank. </w:t>
            </w:r>
          </w:p>
          <w:p w14:paraId="198BCEEF" w14:textId="77777777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Contoh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2: </w:t>
            </w:r>
          </w:p>
          <w:p w14:paraId="37EC9288" w14:textId="238E7042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“C”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“D”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selain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PT Bank “Y”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memperoleh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standby letter of credit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diterbitkan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perusahaan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induk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PT Bank “Y”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Prime Bank. Total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PT Bank “Y”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masing-masing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“C”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“D” paling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banyak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sebesar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100%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seratus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Modal Inti (</w:t>
            </w:r>
            <w:r w:rsidRPr="00556719">
              <w:rPr>
                <w:rFonts w:ascii="Bookman Old Style" w:hAnsi="Bookman Old Style" w:cstheme="majorHAnsi"/>
                <w:i/>
                <w:sz w:val="20"/>
                <w:szCs w:val="20"/>
              </w:rPr>
              <w:t>tier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memperhatikan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limit BMPD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bagian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memperoleh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jaminan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tinggi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25%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dua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lima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persen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Modal Inti (</w:t>
            </w:r>
            <w:r w:rsidRPr="00556719">
              <w:rPr>
                <w:rFonts w:ascii="Bookman Old Style" w:hAnsi="Bookman Old Style" w:cstheme="majorHAnsi"/>
                <w:i/>
                <w:sz w:val="20"/>
                <w:szCs w:val="20"/>
              </w:rPr>
              <w:t xml:space="preserve">tier 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1)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masing-masing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“C”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“D”.</w:t>
            </w:r>
          </w:p>
        </w:tc>
      </w:tr>
      <w:tr w:rsidR="00556719" w:rsidRPr="00556719" w14:paraId="055D7825" w14:textId="77777777" w:rsidTr="00384609">
        <w:tc>
          <w:tcPr>
            <w:tcW w:w="2500" w:type="pct"/>
          </w:tcPr>
          <w:p w14:paraId="529048E4" w14:textId="77777777" w:rsidR="003A6FB0" w:rsidRPr="00556719" w:rsidRDefault="003A6FB0" w:rsidP="003A6FB0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44926AD" w14:textId="77777777" w:rsidR="003A6FB0" w:rsidRPr="00556719" w:rsidRDefault="003A6FB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D1AC6DE" w14:textId="77777777" w:rsidTr="00384609">
        <w:tc>
          <w:tcPr>
            <w:tcW w:w="2500" w:type="pct"/>
          </w:tcPr>
          <w:p w14:paraId="467C3CBE" w14:textId="62550FC9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4</w:t>
            </w:r>
            <w:r w:rsidR="00D21692">
              <w:rPr>
                <w:rFonts w:cstheme="maj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2500" w:type="pct"/>
          </w:tcPr>
          <w:p w14:paraId="41AC23C6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F8DCD9A" w14:textId="4DD2A7D1" w:rsidTr="00384609">
        <w:tc>
          <w:tcPr>
            <w:tcW w:w="2500" w:type="pct"/>
          </w:tcPr>
          <w:p w14:paraId="6D148E66" w14:textId="4EA11D58" w:rsidR="000E5C2A" w:rsidRPr="00556719" w:rsidRDefault="000E5C2A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26" w:name="_Hlk64550747"/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menjadi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faktor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pengurang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mengatur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pemenuhan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minimum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dikecualikan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BMPD.</w:t>
            </w:r>
            <w:bookmarkEnd w:id="26"/>
          </w:p>
        </w:tc>
        <w:tc>
          <w:tcPr>
            <w:tcW w:w="2500" w:type="pct"/>
          </w:tcPr>
          <w:p w14:paraId="0CA6BFC0" w14:textId="17AE5DF8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4E83968F" w14:textId="77777777" w:rsidTr="00384609">
        <w:tc>
          <w:tcPr>
            <w:tcW w:w="2500" w:type="pct"/>
          </w:tcPr>
          <w:p w14:paraId="08A30682" w14:textId="660B220D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E1DDBCB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9A2E519" w14:textId="77777777" w:rsidTr="00384609">
        <w:tc>
          <w:tcPr>
            <w:tcW w:w="2500" w:type="pct"/>
          </w:tcPr>
          <w:p w14:paraId="004DECDC" w14:textId="5D92E2C4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  <w:highlight w:val="cyan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  <w:highlight w:val="cyan"/>
              </w:rPr>
              <w:t xml:space="preserve"> 4</w:t>
            </w:r>
            <w:r w:rsidR="00D21692">
              <w:rPr>
                <w:rFonts w:cstheme="maj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2500" w:type="pct"/>
          </w:tcPr>
          <w:p w14:paraId="48847496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E1802D7" w14:textId="77777777" w:rsidTr="00384609">
        <w:tc>
          <w:tcPr>
            <w:tcW w:w="2500" w:type="pct"/>
          </w:tcPr>
          <w:p w14:paraId="71691DCC" w14:textId="33118A49" w:rsidR="000E5C2A" w:rsidRPr="00556719" w:rsidRDefault="000E5C2A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  <w:lang w:val="en-ID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  <w:lang w:val="fi-FI"/>
              </w:rPr>
              <w:t>Penyaluran dana yang risikonya ditanggung oleh Nasabah Investor dikecualikan dari perhitungan BMPD.</w:t>
            </w:r>
          </w:p>
        </w:tc>
        <w:tc>
          <w:tcPr>
            <w:tcW w:w="2500" w:type="pct"/>
          </w:tcPr>
          <w:p w14:paraId="68A90BF3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0919B10" w14:textId="77777777" w:rsidTr="00384609">
        <w:tc>
          <w:tcPr>
            <w:tcW w:w="2500" w:type="pct"/>
          </w:tcPr>
          <w:p w14:paraId="03354CA7" w14:textId="77777777" w:rsidR="003A6FB0" w:rsidRPr="00556719" w:rsidRDefault="003A6FB0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  <w:lang w:val="fi-FI"/>
              </w:rPr>
            </w:pPr>
          </w:p>
        </w:tc>
        <w:tc>
          <w:tcPr>
            <w:tcW w:w="2500" w:type="pct"/>
          </w:tcPr>
          <w:p w14:paraId="2ECA43A3" w14:textId="77777777" w:rsidR="003A6FB0" w:rsidRPr="00556719" w:rsidRDefault="003A6FB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E37A852" w14:textId="77777777" w:rsidTr="00384609">
        <w:tc>
          <w:tcPr>
            <w:tcW w:w="2500" w:type="pct"/>
          </w:tcPr>
          <w:p w14:paraId="0832ED3D" w14:textId="19C555F5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BAB VIII</w:t>
            </w:r>
          </w:p>
          <w:p w14:paraId="1A47C2D3" w14:textId="0D2E8E13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PELAMPAUAN BMPD</w:t>
            </w:r>
          </w:p>
        </w:tc>
        <w:tc>
          <w:tcPr>
            <w:tcW w:w="2500" w:type="pct"/>
          </w:tcPr>
          <w:p w14:paraId="08155A34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840EE1B" w14:textId="77777777" w:rsidTr="00384609">
        <w:tc>
          <w:tcPr>
            <w:tcW w:w="2500" w:type="pct"/>
          </w:tcPr>
          <w:p w14:paraId="6A393087" w14:textId="6F88E534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50</w:t>
            </w:r>
          </w:p>
        </w:tc>
        <w:tc>
          <w:tcPr>
            <w:tcW w:w="2500" w:type="pct"/>
          </w:tcPr>
          <w:p w14:paraId="3F8A4B68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15EAB0B" w14:textId="3FFA7DE1" w:rsidTr="00384609">
        <w:tc>
          <w:tcPr>
            <w:tcW w:w="2500" w:type="pct"/>
          </w:tcPr>
          <w:p w14:paraId="50EBA7F8" w14:textId="5E645C76" w:rsidR="000E5C2A" w:rsidRPr="00556719" w:rsidRDefault="000E5C2A" w:rsidP="00976DB7">
            <w:pPr>
              <w:pStyle w:val="Default"/>
              <w:numPr>
                <w:ilvl w:val="0"/>
                <w:numId w:val="10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oleh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dikategorikan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Pelampauan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disebabkan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oleh: </w:t>
            </w:r>
          </w:p>
        </w:tc>
        <w:tc>
          <w:tcPr>
            <w:tcW w:w="2500" w:type="pct"/>
          </w:tcPr>
          <w:p w14:paraId="1D09B0E7" w14:textId="578BE72C" w:rsidR="000E5C2A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</w:tc>
      </w:tr>
      <w:tr w:rsidR="00556719" w:rsidRPr="00556719" w14:paraId="12A961FE" w14:textId="77777777" w:rsidTr="00384609">
        <w:tc>
          <w:tcPr>
            <w:tcW w:w="2500" w:type="pct"/>
          </w:tcPr>
          <w:p w14:paraId="648EB632" w14:textId="1D6E158B" w:rsidR="003A6FB0" w:rsidRPr="00556719" w:rsidRDefault="003A6FB0" w:rsidP="00976DB7">
            <w:pPr>
              <w:pStyle w:val="Default"/>
              <w:numPr>
                <w:ilvl w:val="0"/>
                <w:numId w:val="12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27" w:name="_Hlk64554054"/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penurunan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Modal Inti (</w:t>
            </w:r>
            <w:r w:rsidRPr="00556719">
              <w:rPr>
                <w:rFonts w:cstheme="majorHAnsi"/>
                <w:i/>
                <w:iCs/>
                <w:color w:val="auto"/>
                <w:sz w:val="20"/>
                <w:szCs w:val="20"/>
              </w:rPr>
              <w:t xml:space="preserve">tier 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1) Bank; </w:t>
            </w:r>
            <w:bookmarkEnd w:id="27"/>
          </w:p>
        </w:tc>
        <w:tc>
          <w:tcPr>
            <w:tcW w:w="2500" w:type="pct"/>
          </w:tcPr>
          <w:p w14:paraId="67ABE4A5" w14:textId="77777777" w:rsidR="00367080" w:rsidRPr="00556719" w:rsidRDefault="00367080" w:rsidP="0036708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a </w:t>
            </w:r>
          </w:p>
          <w:p w14:paraId="51F0819E" w14:textId="30774EC8" w:rsidR="003A6FB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bookmarkStart w:id="28" w:name="_Hlk64554235"/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Penurunan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Modal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Modal Inti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 xml:space="preserve">tier 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1)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penurunan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mengakibatkan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Modal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Modal Inti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 xml:space="preserve">tier 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1) Bank,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faktor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penyebut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BMPD,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menjadi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kecil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  <w:bookmarkEnd w:id="28"/>
          </w:p>
        </w:tc>
      </w:tr>
      <w:tr w:rsidR="00556719" w:rsidRPr="00556719" w14:paraId="2C44B649" w14:textId="77777777" w:rsidTr="00384609">
        <w:tc>
          <w:tcPr>
            <w:tcW w:w="2500" w:type="pct"/>
          </w:tcPr>
          <w:p w14:paraId="212172B6" w14:textId="7A193C7E" w:rsidR="003A6FB0" w:rsidRPr="00556719" w:rsidRDefault="003A6FB0" w:rsidP="00976DB7">
            <w:pPr>
              <w:pStyle w:val="Default"/>
              <w:numPr>
                <w:ilvl w:val="0"/>
                <w:numId w:val="12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perubahan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tukar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; </w:t>
            </w:r>
          </w:p>
        </w:tc>
        <w:tc>
          <w:tcPr>
            <w:tcW w:w="2500" w:type="pct"/>
          </w:tcPr>
          <w:p w14:paraId="1E856F32" w14:textId="77777777" w:rsidR="00367080" w:rsidRPr="00556719" w:rsidRDefault="00367080" w:rsidP="0036708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b </w:t>
            </w:r>
          </w:p>
          <w:p w14:paraId="1B3A726E" w14:textId="3AF55EE8" w:rsidR="003A6FB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bookmarkStart w:id="29" w:name="_Hlk64554280"/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Perubahan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tukar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mengakibatkan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terjadi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peningkatan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tercatat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valuta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asing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sehingga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mengakibatkan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Pelampauan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BMPD.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Sesuai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standar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akuntansi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penyesuaian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tukar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hanya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dilakukan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akun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instrument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demikian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Penyertaan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Modal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valuta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asing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disesuaikan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kurs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tanggal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  <w:bookmarkEnd w:id="29"/>
          </w:p>
        </w:tc>
      </w:tr>
      <w:tr w:rsidR="00556719" w:rsidRPr="00556719" w14:paraId="5576E0AC" w14:textId="77777777" w:rsidTr="00384609">
        <w:tc>
          <w:tcPr>
            <w:tcW w:w="2500" w:type="pct"/>
          </w:tcPr>
          <w:p w14:paraId="787858D9" w14:textId="022B29AA" w:rsidR="003A6FB0" w:rsidRPr="00556719" w:rsidRDefault="003A6FB0" w:rsidP="00976DB7">
            <w:pPr>
              <w:pStyle w:val="Default"/>
              <w:numPr>
                <w:ilvl w:val="0"/>
                <w:numId w:val="12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perubahan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; </w:t>
            </w:r>
          </w:p>
        </w:tc>
        <w:tc>
          <w:tcPr>
            <w:tcW w:w="2500" w:type="pct"/>
          </w:tcPr>
          <w:p w14:paraId="64BA1441" w14:textId="77777777" w:rsidR="00367080" w:rsidRPr="00556719" w:rsidRDefault="00367080" w:rsidP="0036708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c </w:t>
            </w:r>
          </w:p>
          <w:p w14:paraId="3BF58833" w14:textId="46F2F680" w:rsidR="003A6FB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bookmarkStart w:id="30" w:name="_Hlk64554389"/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Termasuk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perubahan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wajar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perubahan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pencatatan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penyertaan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metode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ekuitas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equity method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telah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lebih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tahun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pencatatan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Surat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Berharga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diukur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wajar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melalui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laba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rugi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melalui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ekuitas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mark to market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). </w:t>
            </w:r>
            <w:bookmarkEnd w:id="30"/>
          </w:p>
        </w:tc>
      </w:tr>
      <w:tr w:rsidR="00556719" w:rsidRPr="00556719" w14:paraId="41246524" w14:textId="77777777" w:rsidTr="00384609">
        <w:tc>
          <w:tcPr>
            <w:tcW w:w="2500" w:type="pct"/>
          </w:tcPr>
          <w:p w14:paraId="324B5C07" w14:textId="11562A1A" w:rsidR="003A6FB0" w:rsidRPr="00556719" w:rsidRDefault="003A6FB0" w:rsidP="00976DB7">
            <w:pPr>
              <w:pStyle w:val="Default"/>
              <w:numPr>
                <w:ilvl w:val="0"/>
                <w:numId w:val="12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penggabungan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perubahan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struktur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kepemilikan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perubahan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struktur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kepengurusan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menyebabkan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perubahan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Fasilitas;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14:paraId="4910D311" w14:textId="77777777" w:rsidR="00367080" w:rsidRPr="00556719" w:rsidRDefault="00367080" w:rsidP="0036708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d </w:t>
            </w:r>
          </w:p>
          <w:p w14:paraId="10164366" w14:textId="4EBDA4C9" w:rsidR="003A6FB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bookmarkStart w:id="31" w:name="_Hlk64554475"/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Penggabungan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baik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akuisisi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merger,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perubahan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struktur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kepemilikan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lain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,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perubahan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struktur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kepengurusan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baik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dilakukan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Penyedia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maupun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mengakibatkan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perubahan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lastRenderedPageBreak/>
              <w:t xml:space="preserve">Fasilitas.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demikian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akibat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penggabungan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perubahan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struktur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kepengurusan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harus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mengevaluasi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ulang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jumlah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eksposur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dimiliki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berkaitan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batasan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5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16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b. </w:t>
            </w:r>
            <w:bookmarkEnd w:id="31"/>
          </w:p>
        </w:tc>
      </w:tr>
      <w:tr w:rsidR="00556719" w:rsidRPr="00556719" w14:paraId="1DA4ABEE" w14:textId="77777777" w:rsidTr="00384609">
        <w:tc>
          <w:tcPr>
            <w:tcW w:w="2500" w:type="pct"/>
          </w:tcPr>
          <w:p w14:paraId="3D4ABCE8" w14:textId="241EC2CD" w:rsidR="003A6FB0" w:rsidRPr="00556719" w:rsidRDefault="003A6FB0" w:rsidP="00976DB7">
            <w:pPr>
              <w:pStyle w:val="Default"/>
              <w:numPr>
                <w:ilvl w:val="0"/>
                <w:numId w:val="12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perubahan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ketentuan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500" w:type="pct"/>
          </w:tcPr>
          <w:p w14:paraId="4CADD776" w14:textId="77777777" w:rsidR="00367080" w:rsidRPr="00556719" w:rsidRDefault="00367080" w:rsidP="0036708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Huruf e </w:t>
            </w:r>
          </w:p>
          <w:p w14:paraId="773DEC71" w14:textId="2019E327" w:rsidR="003A6FB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bookmarkStart w:id="32" w:name="_Hlk64554697"/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Termasuk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perubahan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ketentuan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perubahan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dikategorikan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Fasilitas.</w:t>
            </w:r>
            <w:bookmarkEnd w:id="32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</w:p>
        </w:tc>
      </w:tr>
      <w:tr w:rsidR="00556719" w:rsidRPr="00556719" w14:paraId="2F589657" w14:textId="77777777" w:rsidTr="00384609">
        <w:tc>
          <w:tcPr>
            <w:tcW w:w="2500" w:type="pct"/>
          </w:tcPr>
          <w:p w14:paraId="60712DB1" w14:textId="3EEC8027" w:rsidR="003A6FB0" w:rsidRPr="00556719" w:rsidRDefault="003A6FB0" w:rsidP="00976DB7">
            <w:pPr>
              <w:pStyle w:val="Default"/>
              <w:numPr>
                <w:ilvl w:val="0"/>
                <w:numId w:val="10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Penentuan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Fasilitas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Pelampauan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sesuai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ketentuan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21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sampai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3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9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500" w:type="pct"/>
          </w:tcPr>
          <w:p w14:paraId="3C0F3C6A" w14:textId="77777777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2F8D8FC4" w14:textId="77777777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70F2D815" w14:textId="77777777" w:rsidR="003A6FB0" w:rsidRPr="00556719" w:rsidRDefault="003A6FB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D5007B4" w14:textId="77777777" w:rsidTr="00384609">
        <w:tc>
          <w:tcPr>
            <w:tcW w:w="2500" w:type="pct"/>
          </w:tcPr>
          <w:p w14:paraId="353CCE86" w14:textId="10291F68" w:rsidR="003A6FB0" w:rsidRPr="00556719" w:rsidRDefault="003A6FB0" w:rsidP="00976DB7">
            <w:pPr>
              <w:pStyle w:val="Default"/>
              <w:numPr>
                <w:ilvl w:val="0"/>
                <w:numId w:val="10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Pelampauan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dihitung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tercatat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tanggal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500" w:type="pct"/>
          </w:tcPr>
          <w:p w14:paraId="41EDB21E" w14:textId="77777777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(3) </w:t>
            </w:r>
          </w:p>
          <w:p w14:paraId="78CBCBA2" w14:textId="56D6FC4B" w:rsidR="003A6FB0" w:rsidRPr="00556719" w:rsidRDefault="003A6FB0" w:rsidP="003A6FB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Nilai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tercatat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tanggal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yaitu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diatur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standar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akuntansi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berlaku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masing-masing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instrumen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4FD26F47" w14:textId="77777777" w:rsidTr="00384609">
        <w:tc>
          <w:tcPr>
            <w:tcW w:w="2500" w:type="pct"/>
          </w:tcPr>
          <w:p w14:paraId="69D79839" w14:textId="77777777" w:rsidR="003A6FB0" w:rsidRPr="00556719" w:rsidRDefault="003A6FB0" w:rsidP="003A6FB0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EF7B474" w14:textId="77777777" w:rsidR="003A6FB0" w:rsidRPr="00556719" w:rsidRDefault="003A6FB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9F66EB2" w14:textId="77777777" w:rsidTr="00384609">
        <w:tc>
          <w:tcPr>
            <w:tcW w:w="2500" w:type="pct"/>
          </w:tcPr>
          <w:p w14:paraId="4FE01C36" w14:textId="46C08653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BAB IX</w:t>
            </w:r>
          </w:p>
          <w:p w14:paraId="0480BF9D" w14:textId="7290AA4C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PENYELESAIAN PELANGGARAN DAN PELAMPAUAN BMPD</w:t>
            </w:r>
          </w:p>
        </w:tc>
        <w:tc>
          <w:tcPr>
            <w:tcW w:w="2500" w:type="pct"/>
          </w:tcPr>
          <w:p w14:paraId="4994DB0C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41414E0" w14:textId="77777777" w:rsidTr="00384609">
        <w:tc>
          <w:tcPr>
            <w:tcW w:w="2500" w:type="pct"/>
          </w:tcPr>
          <w:p w14:paraId="6E6902FC" w14:textId="4D527EDC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r w:rsidR="00860EB1">
              <w:rPr>
                <w:rFonts w:ascii="Bookman Old Style" w:hAnsi="Bookman Old Style" w:cstheme="majorHAnsi"/>
                <w:sz w:val="20"/>
                <w:szCs w:val="20"/>
              </w:rPr>
              <w:t>51</w:t>
            </w:r>
          </w:p>
        </w:tc>
        <w:tc>
          <w:tcPr>
            <w:tcW w:w="2500" w:type="pct"/>
          </w:tcPr>
          <w:p w14:paraId="2BDBFFBC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C57B83C" w14:textId="4E5E35E8" w:rsidTr="00384609">
        <w:tc>
          <w:tcPr>
            <w:tcW w:w="2500" w:type="pct"/>
          </w:tcPr>
          <w:p w14:paraId="38065CB1" w14:textId="7451DCEB" w:rsidR="000E5C2A" w:rsidRPr="00556719" w:rsidRDefault="000E5C2A" w:rsidP="00976DB7">
            <w:pPr>
              <w:pStyle w:val="Default"/>
              <w:numPr>
                <w:ilvl w:val="0"/>
                <w:numId w:val="10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Dalam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bookmarkStart w:id="33" w:name="_Hlk64555777"/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Pelanggaran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Pelampauan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BMPD,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menyusun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rencana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penyelesaian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Pelanggaran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Pelampauan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BMPD. </w:t>
            </w:r>
            <w:bookmarkEnd w:id="33"/>
          </w:p>
        </w:tc>
        <w:tc>
          <w:tcPr>
            <w:tcW w:w="2500" w:type="pct"/>
          </w:tcPr>
          <w:p w14:paraId="58569B54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0D91DA7B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  <w:p w14:paraId="2C4E7037" w14:textId="25C84F05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BA99381" w14:textId="77777777" w:rsidTr="00384609">
        <w:tc>
          <w:tcPr>
            <w:tcW w:w="2500" w:type="pct"/>
          </w:tcPr>
          <w:p w14:paraId="47A65E32" w14:textId="5CC0A89C" w:rsidR="00367080" w:rsidRPr="00556719" w:rsidRDefault="00367080" w:rsidP="00976DB7">
            <w:pPr>
              <w:pStyle w:val="Default"/>
              <w:numPr>
                <w:ilvl w:val="0"/>
                <w:numId w:val="10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Rencana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memuat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sedikit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langkah-langkah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perbaikan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dilaksanakan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penyelesaian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Pelanggaran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Pelampauan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serta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target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penyelesaian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37819E33" w14:textId="77777777" w:rsidR="00367080" w:rsidRPr="00556719" w:rsidRDefault="00367080" w:rsidP="0036708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54787190" w14:textId="029EEBCA" w:rsidR="00367080" w:rsidRPr="00556719" w:rsidRDefault="00367080" w:rsidP="0036708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Rencana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tindak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disampaikan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komitmen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45088CB4" w14:textId="77777777" w:rsidTr="00384609">
        <w:tc>
          <w:tcPr>
            <w:tcW w:w="2500" w:type="pct"/>
          </w:tcPr>
          <w:p w14:paraId="1DB9ED43" w14:textId="77777777" w:rsidR="00367080" w:rsidRPr="00556719" w:rsidRDefault="00367080" w:rsidP="00367080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0CFF577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ADCFC55" w14:textId="77777777" w:rsidTr="00384609">
        <w:tc>
          <w:tcPr>
            <w:tcW w:w="2500" w:type="pct"/>
          </w:tcPr>
          <w:p w14:paraId="212BCE0A" w14:textId="0346E5BB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52</w:t>
            </w:r>
          </w:p>
        </w:tc>
        <w:tc>
          <w:tcPr>
            <w:tcW w:w="2500" w:type="pct"/>
          </w:tcPr>
          <w:p w14:paraId="53BF696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ECD7415" w14:textId="2E886750" w:rsidTr="00384609">
        <w:tc>
          <w:tcPr>
            <w:tcW w:w="2500" w:type="pct"/>
          </w:tcPr>
          <w:p w14:paraId="1FD99B05" w14:textId="6268592C" w:rsidR="000E5C2A" w:rsidRPr="00556719" w:rsidRDefault="000E5C2A" w:rsidP="00976DB7">
            <w:pPr>
              <w:pStyle w:val="Default"/>
              <w:numPr>
                <w:ilvl w:val="0"/>
                <w:numId w:val="10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penyelesaian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Pelanggaran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Pelampauan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segera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target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penyelesaian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51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  <w:p w14:paraId="7A1CDA7E" w14:textId="47DE3E87" w:rsidR="000E5C2A" w:rsidRPr="00556719" w:rsidRDefault="000E5C2A" w:rsidP="00976DB7">
            <w:pPr>
              <w:pStyle w:val="Default"/>
              <w:numPr>
                <w:ilvl w:val="0"/>
                <w:numId w:val="5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34" w:name="_Hlk64556471"/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Pelanggaran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lambat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jangka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  <w:p w14:paraId="3FF6FF25" w14:textId="4B3AD2FB" w:rsidR="000E5C2A" w:rsidRPr="00556719" w:rsidRDefault="000E5C2A" w:rsidP="00976DB7">
            <w:pPr>
              <w:pStyle w:val="Default"/>
              <w:numPr>
                <w:ilvl w:val="0"/>
                <w:numId w:val="5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Pelampauan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disebabkan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hal-hal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50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a,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b,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c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lambat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9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sembilan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  <w:p w14:paraId="01A71386" w14:textId="0A9FF99B" w:rsidR="000E5C2A" w:rsidRPr="00556719" w:rsidRDefault="000E5C2A" w:rsidP="00976DB7">
            <w:pPr>
              <w:pStyle w:val="Default"/>
              <w:numPr>
                <w:ilvl w:val="0"/>
                <w:numId w:val="5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Pelampauan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disebabkan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hal-hal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50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lambat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12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dua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belas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</w:p>
          <w:p w14:paraId="01A4B06F" w14:textId="2701DBAB" w:rsidR="000E5C2A" w:rsidRPr="00556719" w:rsidRDefault="000E5C2A" w:rsidP="00976DB7">
            <w:pPr>
              <w:pStyle w:val="Default"/>
              <w:numPr>
                <w:ilvl w:val="0"/>
                <w:numId w:val="5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Pelampauan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disebabkan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hal-hal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50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e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lambat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18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delapan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belas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,</w:t>
            </w:r>
          </w:p>
          <w:p w14:paraId="23093D86" w14:textId="3937D326" w:rsidR="000E5C2A" w:rsidRPr="00556719" w:rsidRDefault="000E5C2A" w:rsidP="00367080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sejak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penyampaian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rencana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  <w:bookmarkEnd w:id="34"/>
          </w:p>
        </w:tc>
        <w:tc>
          <w:tcPr>
            <w:tcW w:w="2500" w:type="pct"/>
          </w:tcPr>
          <w:p w14:paraId="0448B2AB" w14:textId="7EFE5FF8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lastRenderedPageBreak/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214712D7" w14:textId="77777777" w:rsidTr="00384609">
        <w:tc>
          <w:tcPr>
            <w:tcW w:w="2500" w:type="pct"/>
          </w:tcPr>
          <w:p w14:paraId="50545344" w14:textId="2E26F790" w:rsidR="00367080" w:rsidRPr="00556719" w:rsidRDefault="00367080" w:rsidP="00976DB7">
            <w:pPr>
              <w:pStyle w:val="Default"/>
              <w:numPr>
                <w:ilvl w:val="0"/>
                <w:numId w:val="10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Dalam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target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penyelesaian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rencana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dinilai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mungkin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dicapai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persetujuan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target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penyelesaian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rencana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berbeda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target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penyelesaian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rencana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(1).</w:t>
            </w:r>
          </w:p>
        </w:tc>
        <w:tc>
          <w:tcPr>
            <w:tcW w:w="2500" w:type="pct"/>
          </w:tcPr>
          <w:p w14:paraId="4E0B4446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6A67570" w14:textId="77777777" w:rsidTr="00384609">
        <w:tc>
          <w:tcPr>
            <w:tcW w:w="2500" w:type="pct"/>
          </w:tcPr>
          <w:p w14:paraId="5059006D" w14:textId="77777777" w:rsidR="00367080" w:rsidRPr="00556719" w:rsidRDefault="00367080" w:rsidP="00367080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1723D4D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1814C6E" w14:textId="77777777" w:rsidTr="00384609">
        <w:tc>
          <w:tcPr>
            <w:tcW w:w="2500" w:type="pct"/>
          </w:tcPr>
          <w:p w14:paraId="735B4C74" w14:textId="487B3416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BAB X</w:t>
            </w:r>
          </w:p>
          <w:p w14:paraId="2AF83D13" w14:textId="1090FD39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PELAPORAN</w:t>
            </w:r>
          </w:p>
        </w:tc>
        <w:tc>
          <w:tcPr>
            <w:tcW w:w="2500" w:type="pct"/>
          </w:tcPr>
          <w:p w14:paraId="7FAE9EF0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F277374" w14:textId="77777777" w:rsidTr="00384609">
        <w:tc>
          <w:tcPr>
            <w:tcW w:w="2500" w:type="pct"/>
          </w:tcPr>
          <w:p w14:paraId="488A8195" w14:textId="4A8278EF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2500" w:type="pct"/>
          </w:tcPr>
          <w:p w14:paraId="4ECB0601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77D7808" w14:textId="3659EC68" w:rsidTr="00384609">
        <w:tc>
          <w:tcPr>
            <w:tcW w:w="2500" w:type="pct"/>
          </w:tcPr>
          <w:p w14:paraId="27BFD9F2" w14:textId="0DC49413" w:rsidR="000E5C2A" w:rsidRPr="00556719" w:rsidRDefault="000E5C2A" w:rsidP="00976DB7">
            <w:pPr>
              <w:pStyle w:val="Default"/>
              <w:numPr>
                <w:ilvl w:val="0"/>
                <w:numId w:val="10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35" w:name="_Hlk64558854"/>
            <w:bookmarkStart w:id="36" w:name="_Hlk64557591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menyampaikan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rencana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penyelesaian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Pelanggaran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Pelampauan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51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luring</w:t>
            </w:r>
            <w:bookmarkEnd w:id="35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  <w:bookmarkEnd w:id="36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14:paraId="541EDCFE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3F10CC13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0271B98A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  <w:p w14:paraId="1794F336" w14:textId="4746D2DC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E90A6D0" w14:textId="77777777" w:rsidTr="00384609">
        <w:tc>
          <w:tcPr>
            <w:tcW w:w="2500" w:type="pct"/>
          </w:tcPr>
          <w:p w14:paraId="72D0914B" w14:textId="7244421E" w:rsidR="00367080" w:rsidRPr="00556719" w:rsidRDefault="00367080" w:rsidP="00976DB7">
            <w:pPr>
              <w:pStyle w:val="Default"/>
              <w:numPr>
                <w:ilvl w:val="0"/>
                <w:numId w:val="10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37" w:name="_Hlk64987345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menyampaikan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rencana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51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lambat</w:t>
            </w:r>
            <w:bookmarkEnd w:id="37"/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: </w:t>
            </w:r>
          </w:p>
          <w:p w14:paraId="4662EE0B" w14:textId="77777777" w:rsidR="00367080" w:rsidRPr="00556719" w:rsidRDefault="00367080" w:rsidP="00976DB7">
            <w:pPr>
              <w:pStyle w:val="ListParagraph"/>
              <w:numPr>
                <w:ilvl w:val="0"/>
                <w:numId w:val="59"/>
              </w:numPr>
              <w:spacing w:line="276" w:lineRule="auto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1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sejak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menetapkan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telah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terjadi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Pelanggaran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BMPK; </w:t>
            </w:r>
          </w:p>
          <w:p w14:paraId="064A5422" w14:textId="07649178" w:rsidR="00367080" w:rsidRPr="00556719" w:rsidRDefault="00367080" w:rsidP="00976DB7">
            <w:pPr>
              <w:pStyle w:val="Default"/>
              <w:numPr>
                <w:ilvl w:val="0"/>
                <w:numId w:val="5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1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setelah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akhir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Pelampauan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disebabkan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hal-hal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50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a,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c,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d;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</w:p>
          <w:p w14:paraId="03CE7028" w14:textId="62E32C52" w:rsidR="00367080" w:rsidRPr="00556719" w:rsidRDefault="00367080" w:rsidP="00976DB7">
            <w:pPr>
              <w:pStyle w:val="Default"/>
              <w:numPr>
                <w:ilvl w:val="0"/>
                <w:numId w:val="5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3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sejak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pemberlakuan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ketentuan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baru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Pelampauan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disebabkan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hal-hal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50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e.</w:t>
            </w:r>
          </w:p>
        </w:tc>
        <w:tc>
          <w:tcPr>
            <w:tcW w:w="2500" w:type="pct"/>
          </w:tcPr>
          <w:p w14:paraId="03142595" w14:textId="77777777" w:rsidR="00367080" w:rsidRPr="00556719" w:rsidRDefault="00367080" w:rsidP="0036708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21B16C33" w14:textId="36F26892" w:rsidR="00367080" w:rsidRPr="00556719" w:rsidRDefault="00367080" w:rsidP="0036708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Pelampauan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BMPD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disebabkan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penggabungan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jangka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penyampaian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rencana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tindak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lambat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1 (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setelah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akhir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sejak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tanggal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pengesahan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penggabungan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instansi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berwenang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7BD74F98" w14:textId="77777777" w:rsidTr="00384609">
        <w:tc>
          <w:tcPr>
            <w:tcW w:w="2500" w:type="pct"/>
          </w:tcPr>
          <w:p w14:paraId="77468A83" w14:textId="77777777" w:rsidR="00367080" w:rsidRPr="00556719" w:rsidRDefault="00367080" w:rsidP="00367080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83CB421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F57C416" w14:textId="77777777" w:rsidTr="00384609">
        <w:tc>
          <w:tcPr>
            <w:tcW w:w="2500" w:type="pct"/>
          </w:tcPr>
          <w:p w14:paraId="01BBFA9D" w14:textId="642AE3CA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2500" w:type="pct"/>
          </w:tcPr>
          <w:p w14:paraId="531F319A" w14:textId="77777777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</w:tr>
      <w:tr w:rsidR="00556719" w:rsidRPr="00556719" w14:paraId="108349F5" w14:textId="4D6AEB3B" w:rsidTr="00384609">
        <w:tc>
          <w:tcPr>
            <w:tcW w:w="2500" w:type="pct"/>
          </w:tcPr>
          <w:p w14:paraId="033CA1B0" w14:textId="7EEF8320" w:rsidR="000E5C2A" w:rsidRPr="00556719" w:rsidRDefault="000E5C2A" w:rsidP="00976DB7">
            <w:pPr>
              <w:pStyle w:val="Default"/>
              <w:numPr>
                <w:ilvl w:val="0"/>
                <w:numId w:val="6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menyampaikan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pelaksanaan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rencana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masing-masing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Pelanggaran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Pelampauan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BMPD. </w:t>
            </w:r>
          </w:p>
        </w:tc>
        <w:tc>
          <w:tcPr>
            <w:tcW w:w="2500" w:type="pct"/>
          </w:tcPr>
          <w:p w14:paraId="26979C9D" w14:textId="26DA1AD2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0FC9B0C6" w14:textId="77777777" w:rsidTr="00384609">
        <w:tc>
          <w:tcPr>
            <w:tcW w:w="2500" w:type="pct"/>
          </w:tcPr>
          <w:p w14:paraId="448B1B88" w14:textId="2A17B204" w:rsidR="00367080" w:rsidRPr="00556719" w:rsidRDefault="00367080" w:rsidP="00976DB7">
            <w:pPr>
              <w:pStyle w:val="Default"/>
              <w:numPr>
                <w:ilvl w:val="0"/>
                <w:numId w:val="6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menyampaikan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pelaksanaan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rencana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luring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lambat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7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tujuh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kerja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setelah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target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penyelesaian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rencana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27AC15B6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D9150B3" w14:textId="77777777" w:rsidTr="00384609">
        <w:tc>
          <w:tcPr>
            <w:tcW w:w="2500" w:type="pct"/>
          </w:tcPr>
          <w:p w14:paraId="335E2FC0" w14:textId="549B5959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C8482EC" w14:textId="77777777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DA6D28C" w14:textId="77777777" w:rsidTr="00384609">
        <w:tc>
          <w:tcPr>
            <w:tcW w:w="2500" w:type="pct"/>
          </w:tcPr>
          <w:p w14:paraId="134BD602" w14:textId="1103A7B0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5</w:t>
            </w:r>
            <w:r w:rsidR="00860EB1">
              <w:rPr>
                <w:rFonts w:ascii="Bookman Old Style" w:hAnsi="Bookman Old Style" w:cstheme="majorHAnsi"/>
                <w:sz w:val="20"/>
                <w:szCs w:val="20"/>
              </w:rPr>
              <w:t>5</w:t>
            </w:r>
          </w:p>
        </w:tc>
        <w:tc>
          <w:tcPr>
            <w:tcW w:w="2500" w:type="pct"/>
          </w:tcPr>
          <w:p w14:paraId="40CB15F8" w14:textId="77777777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768BD53" w14:textId="38EC50E0" w:rsidTr="00384609">
        <w:tc>
          <w:tcPr>
            <w:tcW w:w="2500" w:type="pct"/>
          </w:tcPr>
          <w:p w14:paraId="1029DBA8" w14:textId="557A7718" w:rsidR="000E5C2A" w:rsidRPr="00556719" w:rsidRDefault="000E5C2A" w:rsidP="00976DB7">
            <w:pPr>
              <w:pStyle w:val="Default"/>
              <w:numPr>
                <w:ilvl w:val="0"/>
                <w:numId w:val="10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menyampaikan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:</w:t>
            </w:r>
          </w:p>
          <w:p w14:paraId="078530C2" w14:textId="77777777" w:rsidR="000E5C2A" w:rsidRPr="00556719" w:rsidRDefault="000E5C2A" w:rsidP="00976DB7">
            <w:pPr>
              <w:pStyle w:val="Default"/>
              <w:numPr>
                <w:ilvl w:val="0"/>
                <w:numId w:val="6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Dana;</w:t>
            </w:r>
          </w:p>
          <w:p w14:paraId="3D9870DC" w14:textId="77777777" w:rsidR="000E5C2A" w:rsidRPr="00556719" w:rsidRDefault="000E5C2A" w:rsidP="00976DB7">
            <w:pPr>
              <w:pStyle w:val="Default"/>
              <w:numPr>
                <w:ilvl w:val="0"/>
                <w:numId w:val="6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Besar;</w:t>
            </w:r>
          </w:p>
          <w:p w14:paraId="28862DE5" w14:textId="0135E4E8" w:rsidR="000E5C2A" w:rsidRPr="00556719" w:rsidRDefault="000E5C2A" w:rsidP="00976DB7">
            <w:pPr>
              <w:pStyle w:val="Default"/>
              <w:numPr>
                <w:ilvl w:val="0"/>
                <w:numId w:val="6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pengecualian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Besar; dan</w:t>
            </w:r>
          </w:p>
          <w:p w14:paraId="50306C3F" w14:textId="6CB57D6F" w:rsidR="000E5C2A" w:rsidRPr="00556719" w:rsidRDefault="000E5C2A" w:rsidP="00976DB7">
            <w:pPr>
              <w:pStyle w:val="Default"/>
              <w:numPr>
                <w:ilvl w:val="0"/>
                <w:numId w:val="6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Pelanggaran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Pelampauan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BMPD;</w:t>
            </w:r>
          </w:p>
          <w:p w14:paraId="2B33F89B" w14:textId="0E20746B" w:rsidR="000E5C2A" w:rsidRPr="00556719" w:rsidRDefault="000E5C2A" w:rsidP="00367080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</w:t>
            </w:r>
            <w:r w:rsidR="00367080" w:rsidRPr="00556719">
              <w:rPr>
                <w:rFonts w:cstheme="majorHAnsi"/>
                <w:color w:val="auto"/>
                <w:sz w:val="20"/>
                <w:szCs w:val="20"/>
              </w:rPr>
              <w:t>dividu</w:t>
            </w:r>
            <w:proofErr w:type="spellEnd"/>
            <w:r w:rsidR="00367080"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="00367080"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="00367080"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67080" w:rsidRPr="00556719">
              <w:rPr>
                <w:rFonts w:cstheme="majorHAnsi"/>
                <w:color w:val="auto"/>
                <w:sz w:val="20"/>
                <w:szCs w:val="20"/>
              </w:rPr>
              <w:t>konsolidasi</w:t>
            </w:r>
            <w:proofErr w:type="spellEnd"/>
            <w:r w:rsidR="00367080" w:rsidRPr="00556719">
              <w:rPr>
                <w:rFonts w:cstheme="majorHAns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500" w:type="pct"/>
          </w:tcPr>
          <w:p w14:paraId="5F470A14" w14:textId="1B6A33E9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3A727E9F" w14:textId="77777777" w:rsidTr="00384609">
        <w:tc>
          <w:tcPr>
            <w:tcW w:w="2500" w:type="pct"/>
          </w:tcPr>
          <w:p w14:paraId="2ADABAC8" w14:textId="4848F05B" w:rsidR="00367080" w:rsidRPr="00556719" w:rsidRDefault="00367080" w:rsidP="00976DB7">
            <w:pPr>
              <w:pStyle w:val="Default"/>
              <w:numPr>
                <w:ilvl w:val="0"/>
                <w:numId w:val="10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individu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disampaikan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setiap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akhir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500" w:type="pct"/>
          </w:tcPr>
          <w:p w14:paraId="243C5AC2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0D17492" w14:textId="77777777" w:rsidTr="00384609">
        <w:tc>
          <w:tcPr>
            <w:tcW w:w="2500" w:type="pct"/>
          </w:tcPr>
          <w:p w14:paraId="5BC41569" w14:textId="01069EE5" w:rsidR="00367080" w:rsidRPr="00556719" w:rsidRDefault="00367080" w:rsidP="00976DB7">
            <w:pPr>
              <w:pStyle w:val="Default"/>
              <w:numPr>
                <w:ilvl w:val="0"/>
                <w:numId w:val="10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konsolidasi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disampaikan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setiap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triwulan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akhir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Maret,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Juni,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September,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Desember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500" w:type="pct"/>
          </w:tcPr>
          <w:p w14:paraId="0C7648BF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173755A" w14:textId="77777777" w:rsidTr="00384609">
        <w:tc>
          <w:tcPr>
            <w:tcW w:w="2500" w:type="pct"/>
          </w:tcPr>
          <w:p w14:paraId="7D5DF8F5" w14:textId="57691451" w:rsidR="00367080" w:rsidRPr="00556719" w:rsidRDefault="00367080" w:rsidP="00976DB7">
            <w:pPr>
              <w:pStyle w:val="Default"/>
              <w:numPr>
                <w:ilvl w:val="0"/>
                <w:numId w:val="10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Ketentuan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format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mengacu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Lampiran II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merupakan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terpisahkan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500" w:type="pct"/>
          </w:tcPr>
          <w:p w14:paraId="1924BD00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69CEEE4" w14:textId="77777777" w:rsidTr="00384609">
        <w:tc>
          <w:tcPr>
            <w:tcW w:w="2500" w:type="pct"/>
          </w:tcPr>
          <w:p w14:paraId="25335D4E" w14:textId="77777777" w:rsidR="00367080" w:rsidRPr="00556719" w:rsidRDefault="00367080" w:rsidP="00367080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E8F32CE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7CBBE62" w14:textId="77777777" w:rsidTr="00384609">
        <w:tc>
          <w:tcPr>
            <w:tcW w:w="2500" w:type="pct"/>
          </w:tcPr>
          <w:p w14:paraId="226AB23B" w14:textId="4D2A572C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2500" w:type="pct"/>
          </w:tcPr>
          <w:p w14:paraId="0405EBE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8FED74A" w14:textId="386BB346" w:rsidTr="00384609">
        <w:tc>
          <w:tcPr>
            <w:tcW w:w="2500" w:type="pct"/>
          </w:tcPr>
          <w:p w14:paraId="40ED5AF1" w14:textId="0BF1C952" w:rsidR="000E5C2A" w:rsidRPr="00556719" w:rsidRDefault="000E5C2A" w:rsidP="00976DB7">
            <w:pPr>
              <w:pStyle w:val="Default"/>
              <w:numPr>
                <w:ilvl w:val="0"/>
                <w:numId w:val="10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menyampaikan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5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daring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melalui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sistem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500" w:type="pct"/>
          </w:tcPr>
          <w:p w14:paraId="73E0A193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54 </w:t>
            </w:r>
          </w:p>
          <w:p w14:paraId="517EAE39" w14:textId="0BA37326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72F75EC9" w14:textId="77777777" w:rsidTr="00384609">
        <w:tc>
          <w:tcPr>
            <w:tcW w:w="2500" w:type="pct"/>
          </w:tcPr>
          <w:p w14:paraId="02685E72" w14:textId="3A159863" w:rsidR="00367080" w:rsidRPr="00556719" w:rsidRDefault="00367080" w:rsidP="00976DB7">
            <w:pPr>
              <w:pStyle w:val="Default"/>
              <w:numPr>
                <w:ilvl w:val="0"/>
                <w:numId w:val="10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Dalam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penyampaian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daring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belum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menyampaikan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luring.</w:t>
            </w:r>
          </w:p>
        </w:tc>
        <w:tc>
          <w:tcPr>
            <w:tcW w:w="2500" w:type="pct"/>
          </w:tcPr>
          <w:p w14:paraId="78FBE7C5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475E452" w14:textId="77777777" w:rsidTr="00384609">
        <w:tc>
          <w:tcPr>
            <w:tcW w:w="2500" w:type="pct"/>
          </w:tcPr>
          <w:p w14:paraId="3A640317" w14:textId="77777777" w:rsidR="00367080" w:rsidRPr="00556719" w:rsidRDefault="00367080" w:rsidP="00367080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9D7521D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A7C685B" w14:textId="77777777" w:rsidTr="00384609">
        <w:tc>
          <w:tcPr>
            <w:tcW w:w="2500" w:type="pct"/>
          </w:tcPr>
          <w:p w14:paraId="1C0CB6A0" w14:textId="35699A02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2500" w:type="pct"/>
          </w:tcPr>
          <w:p w14:paraId="768B9D6C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F8CD560" w14:textId="43862D85" w:rsidTr="00384609">
        <w:tc>
          <w:tcPr>
            <w:tcW w:w="2500" w:type="pct"/>
          </w:tcPr>
          <w:p w14:paraId="237A58F8" w14:textId="6E6434AE" w:rsidR="000E5C2A" w:rsidRPr="00556719" w:rsidRDefault="000E5C2A" w:rsidP="00976DB7">
            <w:pPr>
              <w:pStyle w:val="Default"/>
              <w:numPr>
                <w:ilvl w:val="0"/>
                <w:numId w:val="10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menyampaikan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5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lambat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: </w:t>
            </w:r>
          </w:p>
          <w:p w14:paraId="27B3F797" w14:textId="77777777" w:rsidR="000E5C2A" w:rsidRPr="00556719" w:rsidRDefault="000E5C2A" w:rsidP="00976DB7">
            <w:pPr>
              <w:pStyle w:val="Default"/>
              <w:numPr>
                <w:ilvl w:val="0"/>
                <w:numId w:val="6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tanggal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15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setelah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akhir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individu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; dan </w:t>
            </w:r>
          </w:p>
          <w:p w14:paraId="1B7DA49F" w14:textId="3461D1AB" w:rsidR="000E5C2A" w:rsidRPr="00556719" w:rsidRDefault="000E5C2A" w:rsidP="00976DB7">
            <w:pPr>
              <w:pStyle w:val="Default"/>
              <w:numPr>
                <w:ilvl w:val="0"/>
                <w:numId w:val="61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akhir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setelah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akhir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konsolidasi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500" w:type="pct"/>
          </w:tcPr>
          <w:p w14:paraId="1047D452" w14:textId="51915A6B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lastRenderedPageBreak/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0A52D2B4" w14:textId="77777777" w:rsidTr="00384609">
        <w:tc>
          <w:tcPr>
            <w:tcW w:w="2500" w:type="pct"/>
          </w:tcPr>
          <w:p w14:paraId="4E6D480A" w14:textId="65753BDD" w:rsidR="00367080" w:rsidRPr="00556719" w:rsidRDefault="00367080" w:rsidP="00976DB7">
            <w:pPr>
              <w:pStyle w:val="Default"/>
              <w:numPr>
                <w:ilvl w:val="0"/>
                <w:numId w:val="10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Apabila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penyampaian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Besar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jatuh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Sabtu,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Minggu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,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libur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nasional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disampaikan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kerja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berikutnya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500" w:type="pct"/>
          </w:tcPr>
          <w:p w14:paraId="51718046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7ABFA97" w14:textId="77777777" w:rsidTr="00384609">
        <w:tc>
          <w:tcPr>
            <w:tcW w:w="2500" w:type="pct"/>
          </w:tcPr>
          <w:p w14:paraId="22A93B95" w14:textId="341DFE20" w:rsidR="00367080" w:rsidRPr="00556719" w:rsidRDefault="00367080" w:rsidP="00976DB7">
            <w:pPr>
              <w:pStyle w:val="Default"/>
              <w:numPr>
                <w:ilvl w:val="0"/>
                <w:numId w:val="10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Dalam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sistem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tersedia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5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disampaikan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sesuai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mengatur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umum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melalui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sistem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515F7F85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5F649A6" w14:textId="77777777" w:rsidTr="00384609">
        <w:tc>
          <w:tcPr>
            <w:tcW w:w="2500" w:type="pct"/>
          </w:tcPr>
          <w:p w14:paraId="35A09D3A" w14:textId="77777777" w:rsidR="00367080" w:rsidRPr="00556719" w:rsidRDefault="00367080" w:rsidP="00367080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DBC903C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A0B6A9D" w14:textId="77777777" w:rsidTr="00384609">
        <w:tc>
          <w:tcPr>
            <w:tcW w:w="2500" w:type="pct"/>
          </w:tcPr>
          <w:p w14:paraId="170D859C" w14:textId="5393279E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2500" w:type="pct"/>
          </w:tcPr>
          <w:p w14:paraId="26712A8E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CD6076E" w14:textId="77AE6AB0" w:rsidTr="00384609">
        <w:tc>
          <w:tcPr>
            <w:tcW w:w="2500" w:type="pct"/>
          </w:tcPr>
          <w:p w14:paraId="25978A94" w14:textId="14CA62A4" w:rsidR="000E5C2A" w:rsidRPr="00556719" w:rsidRDefault="000E5C2A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Kewajiban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penyampaian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6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pertama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kali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akhir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Januari 2022.</w:t>
            </w:r>
          </w:p>
        </w:tc>
        <w:tc>
          <w:tcPr>
            <w:tcW w:w="2500" w:type="pct"/>
          </w:tcPr>
          <w:p w14:paraId="1681D294" w14:textId="416F3CB1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48E4BCCC" w14:textId="77777777" w:rsidTr="00384609">
        <w:tc>
          <w:tcPr>
            <w:tcW w:w="2500" w:type="pct"/>
          </w:tcPr>
          <w:p w14:paraId="1BCC079F" w14:textId="421FA64B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D4D1036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700B64F" w14:textId="77777777" w:rsidTr="00384609">
        <w:tc>
          <w:tcPr>
            <w:tcW w:w="2500" w:type="pct"/>
          </w:tcPr>
          <w:p w14:paraId="001926C9" w14:textId="2CB6B7F9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2500" w:type="pct"/>
          </w:tcPr>
          <w:p w14:paraId="554824E5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0939C8A" w14:textId="1FD6B33A" w:rsidTr="00384609">
        <w:tc>
          <w:tcPr>
            <w:tcW w:w="2500" w:type="pct"/>
          </w:tcPr>
          <w:p w14:paraId="51C9CF47" w14:textId="15D3664D" w:rsidR="000E5C2A" w:rsidRPr="00556719" w:rsidRDefault="000E5C2A" w:rsidP="00976DB7">
            <w:pPr>
              <w:pStyle w:val="Default"/>
              <w:numPr>
                <w:ilvl w:val="0"/>
                <w:numId w:val="6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38" w:name="_Hlk66190092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koreksi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Pelanggaran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Pelampauan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Bank,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publikasi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triwulanan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mengatur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transparansi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publikasi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terjadi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pelanggaran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pelaksanaan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belum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dilaporkan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periode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terjadinya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pelanggaran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. </w:t>
            </w:r>
            <w:bookmarkEnd w:id="38"/>
          </w:p>
        </w:tc>
        <w:tc>
          <w:tcPr>
            <w:tcW w:w="2500" w:type="pct"/>
          </w:tcPr>
          <w:p w14:paraId="100D049B" w14:textId="7E3A9E41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6936528E" w14:textId="77777777" w:rsidTr="00384609">
        <w:tc>
          <w:tcPr>
            <w:tcW w:w="2500" w:type="pct"/>
          </w:tcPr>
          <w:p w14:paraId="31B9A180" w14:textId="2F2582CE" w:rsidR="00367080" w:rsidRPr="00556719" w:rsidRDefault="00367080" w:rsidP="00976DB7">
            <w:pPr>
              <w:pStyle w:val="Default"/>
              <w:numPr>
                <w:ilvl w:val="0"/>
                <w:numId w:val="62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39" w:name="_Hlk66190275"/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Koreksi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Pelanggaran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Pelampauan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Bank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publikasi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triwulanan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disampaikan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luring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lambat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periode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berikutnya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sejak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koreksi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bookmarkEnd w:id="39"/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39756F29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EDB6FE5" w14:textId="77777777" w:rsidTr="00384609">
        <w:tc>
          <w:tcPr>
            <w:tcW w:w="2500" w:type="pct"/>
          </w:tcPr>
          <w:p w14:paraId="26532681" w14:textId="77777777" w:rsidR="00367080" w:rsidRPr="00556719" w:rsidRDefault="00367080" w:rsidP="00367080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5EF8EE51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8EC9EAC" w14:textId="77777777" w:rsidTr="00384609">
        <w:tc>
          <w:tcPr>
            <w:tcW w:w="2500" w:type="pct"/>
          </w:tcPr>
          <w:p w14:paraId="1684BCE3" w14:textId="46F207EF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60</w:t>
            </w:r>
          </w:p>
        </w:tc>
        <w:tc>
          <w:tcPr>
            <w:tcW w:w="2500" w:type="pct"/>
          </w:tcPr>
          <w:p w14:paraId="018BEB6D" w14:textId="77777777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</w:tr>
      <w:tr w:rsidR="00556719" w:rsidRPr="00556719" w14:paraId="6326A87D" w14:textId="31C2BA21" w:rsidTr="00384609">
        <w:tc>
          <w:tcPr>
            <w:tcW w:w="2500" w:type="pct"/>
          </w:tcPr>
          <w:p w14:paraId="5D2E7103" w14:textId="461B82EE" w:rsidR="000E5C2A" w:rsidRPr="00556719" w:rsidRDefault="000E5C2A" w:rsidP="00976DB7">
            <w:pPr>
              <w:pStyle w:val="Default"/>
              <w:numPr>
                <w:ilvl w:val="0"/>
                <w:numId w:val="10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memiliki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menatausahakan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daftar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rincian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Bank. </w:t>
            </w:r>
          </w:p>
        </w:tc>
        <w:tc>
          <w:tcPr>
            <w:tcW w:w="2500" w:type="pct"/>
          </w:tcPr>
          <w:p w14:paraId="3541BB16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(1) </w:t>
            </w:r>
          </w:p>
          <w:p w14:paraId="198C3243" w14:textId="10AF0AD3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bookmarkStart w:id="40" w:name="_Hlk66191003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Daftar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rincian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sedikit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memuat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rincian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pemegang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pengurus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sektor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bisnis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/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serta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hubungan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pengendalian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antara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masing-masing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Dalam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memungkinkan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penyusunan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daftar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rincian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memuat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diagram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struktur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kelompok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(</w:t>
            </w:r>
            <w:r w:rsidRPr="00556719">
              <w:rPr>
                <w:rFonts w:ascii="Bookman Old Style" w:hAnsi="Bookman Old Style" w:cstheme="majorHAnsi"/>
                <w:i/>
                <w:iCs/>
                <w:sz w:val="20"/>
                <w:szCs w:val="20"/>
              </w:rPr>
              <w:t>corporate tree</w:t>
            </w: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). </w:t>
            </w:r>
            <w:bookmarkEnd w:id="40"/>
          </w:p>
        </w:tc>
      </w:tr>
      <w:tr w:rsidR="00556719" w:rsidRPr="00556719" w14:paraId="0D49BEFD" w14:textId="77777777" w:rsidTr="00384609">
        <w:tc>
          <w:tcPr>
            <w:tcW w:w="2500" w:type="pct"/>
          </w:tcPr>
          <w:p w14:paraId="36A65295" w14:textId="3F56FF8D" w:rsidR="00367080" w:rsidRPr="00556719" w:rsidRDefault="00367080" w:rsidP="00976DB7">
            <w:pPr>
              <w:pStyle w:val="Default"/>
              <w:numPr>
                <w:ilvl w:val="0"/>
                <w:numId w:val="10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41" w:name="_Hlk66191599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 xml:space="preserve">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menyampaikan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daftar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rincian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luring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apabila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perubahan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akhir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Juni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Desember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  <w:bookmarkEnd w:id="41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14:paraId="42E0784F" w14:textId="77777777" w:rsidR="00367080" w:rsidRPr="00556719" w:rsidRDefault="00367080" w:rsidP="0036708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(2) </w:t>
            </w:r>
          </w:p>
          <w:p w14:paraId="3874452B" w14:textId="77777777" w:rsidR="00367080" w:rsidRPr="00556719" w:rsidRDefault="00367080" w:rsidP="0036708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25BAE0AB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2314F6E" w14:textId="77777777" w:rsidTr="00384609">
        <w:tc>
          <w:tcPr>
            <w:tcW w:w="2500" w:type="pct"/>
          </w:tcPr>
          <w:p w14:paraId="5557E468" w14:textId="0E717449" w:rsidR="00367080" w:rsidRPr="00556719" w:rsidRDefault="00367080" w:rsidP="00976DB7">
            <w:pPr>
              <w:pStyle w:val="Default"/>
              <w:numPr>
                <w:ilvl w:val="0"/>
                <w:numId w:val="10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42" w:name="_Hlk66191997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Daftar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rincian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perubahan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wajib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disampaikan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lambat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akhir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setelah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posisi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akhir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bulan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. </w:t>
            </w:r>
            <w:bookmarkEnd w:id="42"/>
          </w:p>
        </w:tc>
        <w:tc>
          <w:tcPr>
            <w:tcW w:w="2500" w:type="pct"/>
          </w:tcPr>
          <w:p w14:paraId="65193B0F" w14:textId="77777777" w:rsidR="00367080" w:rsidRPr="00556719" w:rsidRDefault="00367080" w:rsidP="0036708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(3) </w:t>
            </w:r>
          </w:p>
          <w:p w14:paraId="13FB8F69" w14:textId="77777777" w:rsidR="00367080" w:rsidRPr="00556719" w:rsidRDefault="00367080" w:rsidP="0036708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. </w:t>
            </w:r>
          </w:p>
          <w:p w14:paraId="27E25DB2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DAD0887" w14:textId="77777777" w:rsidTr="00384609">
        <w:tc>
          <w:tcPr>
            <w:tcW w:w="2500" w:type="pct"/>
          </w:tcPr>
          <w:p w14:paraId="674740EA" w14:textId="137683D0" w:rsidR="00367080" w:rsidRPr="00556719" w:rsidRDefault="00367080" w:rsidP="00976DB7">
            <w:pPr>
              <w:pStyle w:val="Default"/>
              <w:numPr>
                <w:ilvl w:val="0"/>
                <w:numId w:val="107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43" w:name="_Hlk66192239"/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sewaktu-waktu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meminta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menyampaikan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daftar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rincian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perubahan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bookmarkEnd w:id="43"/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(2).</w:t>
            </w:r>
          </w:p>
        </w:tc>
        <w:tc>
          <w:tcPr>
            <w:tcW w:w="2500" w:type="pct"/>
          </w:tcPr>
          <w:p w14:paraId="416457D7" w14:textId="77777777" w:rsidR="00367080" w:rsidRPr="00556719" w:rsidRDefault="00367080" w:rsidP="0036708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Ayat (4) </w:t>
            </w:r>
          </w:p>
          <w:p w14:paraId="339246A5" w14:textId="418ABA82" w:rsidR="00367080" w:rsidRPr="00556719" w:rsidRDefault="00367080" w:rsidP="00367080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05B900BF" w14:textId="77777777" w:rsidTr="00384609">
        <w:tc>
          <w:tcPr>
            <w:tcW w:w="2500" w:type="pct"/>
          </w:tcPr>
          <w:p w14:paraId="449EB6C1" w14:textId="77777777" w:rsidR="00367080" w:rsidRPr="00556719" w:rsidRDefault="00367080" w:rsidP="00367080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17D5F231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7283E8B" w14:textId="77777777" w:rsidTr="00384609">
        <w:tc>
          <w:tcPr>
            <w:tcW w:w="2500" w:type="pct"/>
          </w:tcPr>
          <w:p w14:paraId="2C58B84E" w14:textId="7C53B259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61</w:t>
            </w:r>
          </w:p>
        </w:tc>
        <w:tc>
          <w:tcPr>
            <w:tcW w:w="2500" w:type="pct"/>
          </w:tcPr>
          <w:p w14:paraId="33FAE640" w14:textId="5A2C2825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</w:tr>
      <w:tr w:rsidR="00556719" w:rsidRPr="00556719" w14:paraId="1CF4E4E6" w14:textId="2FB662CB" w:rsidTr="00384609">
        <w:tc>
          <w:tcPr>
            <w:tcW w:w="2500" w:type="pct"/>
          </w:tcPr>
          <w:p w14:paraId="7DCFC6AA" w14:textId="29953A57" w:rsidR="000E5C2A" w:rsidRPr="00556719" w:rsidRDefault="000E5C2A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Penyampaian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secara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luring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3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5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6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9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(2),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60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disampaikan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kepada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: </w:t>
            </w:r>
          </w:p>
          <w:p w14:paraId="27057599" w14:textId="3637E9E3" w:rsidR="000E5C2A" w:rsidRPr="00556719" w:rsidRDefault="000E5C2A" w:rsidP="00976DB7">
            <w:pPr>
              <w:pStyle w:val="Default"/>
              <w:numPr>
                <w:ilvl w:val="0"/>
                <w:numId w:val="6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bookmarkStart w:id="44" w:name="_Hlk66192937"/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Departemen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Pengawasan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Syariah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Kantor Regional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di Jakarta,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berkantor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pusat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kantor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cabang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berkedudukan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di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luar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negeri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berada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di wilayah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Provinsi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Daerah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Khusus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Ibukota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Jakarta;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</w:p>
          <w:p w14:paraId="2D51142E" w14:textId="28C7CE6C" w:rsidR="000E5C2A" w:rsidRPr="00556719" w:rsidRDefault="000E5C2A" w:rsidP="00976DB7">
            <w:pPr>
              <w:pStyle w:val="Default"/>
              <w:numPr>
                <w:ilvl w:val="0"/>
                <w:numId w:val="63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Kantor Regional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Kantor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setempat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sesuai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wilayah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tempat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kedudukan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kantor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pusat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Bank. </w:t>
            </w:r>
            <w:bookmarkEnd w:id="44"/>
          </w:p>
        </w:tc>
        <w:tc>
          <w:tcPr>
            <w:tcW w:w="2500" w:type="pct"/>
          </w:tcPr>
          <w:p w14:paraId="69C1C9F1" w14:textId="55455FF0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68377B71" w14:textId="77777777" w:rsidTr="00384609">
        <w:tc>
          <w:tcPr>
            <w:tcW w:w="2500" w:type="pct"/>
          </w:tcPr>
          <w:p w14:paraId="0EF899AB" w14:textId="487B6A6A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FDEF98C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4F9D9E05" w14:textId="77777777" w:rsidTr="00384609">
        <w:tc>
          <w:tcPr>
            <w:tcW w:w="2500" w:type="pct"/>
          </w:tcPr>
          <w:p w14:paraId="1A617D6E" w14:textId="2799085D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917AF73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7F85DC1" w14:textId="77777777" w:rsidTr="00384609">
        <w:tc>
          <w:tcPr>
            <w:tcW w:w="2500" w:type="pct"/>
          </w:tcPr>
          <w:p w14:paraId="2878539F" w14:textId="5F55237F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BAB XI</w:t>
            </w:r>
          </w:p>
          <w:p w14:paraId="3B88DDBE" w14:textId="2B2CC684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SANKSI ADMINISTRATIF</w:t>
            </w:r>
          </w:p>
        </w:tc>
        <w:tc>
          <w:tcPr>
            <w:tcW w:w="2500" w:type="pct"/>
          </w:tcPr>
          <w:p w14:paraId="18471D43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5F583B2" w14:textId="77777777" w:rsidTr="00384609">
        <w:tc>
          <w:tcPr>
            <w:tcW w:w="2500" w:type="pct"/>
          </w:tcPr>
          <w:p w14:paraId="44C523F2" w14:textId="2652F4B0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6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2500" w:type="pct"/>
          </w:tcPr>
          <w:p w14:paraId="05BB919A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466787D" w14:textId="1E282BE0" w:rsidTr="00384609">
        <w:tc>
          <w:tcPr>
            <w:tcW w:w="2500" w:type="pct"/>
          </w:tcPr>
          <w:p w14:paraId="7A2D6857" w14:textId="17DB8788" w:rsidR="000E5C2A" w:rsidRPr="00556719" w:rsidRDefault="000E5C2A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melaksanakan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ketentuan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(3),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3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3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3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(5),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4,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6,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7,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8,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6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22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29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(9),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3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6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(3),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3</w:t>
            </w:r>
            <w:r w:rsidR="00860EB1">
              <w:rPr>
                <w:rFonts w:cstheme="majorHAnsi"/>
                <w:color w:val="auto"/>
                <w:sz w:val="20"/>
                <w:szCs w:val="20"/>
              </w:rPr>
              <w:t>6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(4),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4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1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51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2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3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4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5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6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7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9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60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60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(2),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60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(3)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dikenai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sanksi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administratif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: </w:t>
            </w:r>
          </w:p>
          <w:p w14:paraId="3B08CC90" w14:textId="77777777" w:rsidR="000E5C2A" w:rsidRPr="00556719" w:rsidRDefault="000E5C2A" w:rsidP="00976DB7">
            <w:pPr>
              <w:pStyle w:val="Default"/>
              <w:numPr>
                <w:ilvl w:val="0"/>
                <w:numId w:val="6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teguran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tertulis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; </w:t>
            </w:r>
          </w:p>
          <w:p w14:paraId="5B9C8CFF" w14:textId="77777777" w:rsidR="000E5C2A" w:rsidRPr="00556719" w:rsidRDefault="000E5C2A" w:rsidP="00976DB7">
            <w:pPr>
              <w:pStyle w:val="Default"/>
              <w:numPr>
                <w:ilvl w:val="0"/>
                <w:numId w:val="6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penurunan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tingkat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kesehatan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Bank; </w:t>
            </w:r>
          </w:p>
          <w:p w14:paraId="1FDA06ED" w14:textId="77777777" w:rsidR="000E5C2A" w:rsidRPr="00556719" w:rsidRDefault="000E5C2A" w:rsidP="00976DB7">
            <w:pPr>
              <w:pStyle w:val="Default"/>
              <w:numPr>
                <w:ilvl w:val="0"/>
                <w:numId w:val="6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larangan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melakukan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ekspansi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kegiatan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; </w:t>
            </w:r>
          </w:p>
          <w:p w14:paraId="0A488858" w14:textId="77777777" w:rsidR="000E5C2A" w:rsidRPr="00556719" w:rsidRDefault="000E5C2A" w:rsidP="00976DB7">
            <w:pPr>
              <w:pStyle w:val="Default"/>
              <w:numPr>
                <w:ilvl w:val="0"/>
                <w:numId w:val="6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larangan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pembukaan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jaringan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kantor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</w:t>
            </w:r>
          </w:p>
          <w:p w14:paraId="1BA34E12" w14:textId="77777777" w:rsidR="000E5C2A" w:rsidRPr="00556719" w:rsidRDefault="000E5C2A" w:rsidP="00976DB7">
            <w:pPr>
              <w:pStyle w:val="Default"/>
              <w:numPr>
                <w:ilvl w:val="0"/>
                <w:numId w:val="6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pembekuan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kegiatan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usaha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;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</w:p>
          <w:p w14:paraId="6B4554EC" w14:textId="62F6C18F" w:rsidR="000E5C2A" w:rsidRPr="00556719" w:rsidRDefault="000E5C2A" w:rsidP="00976DB7">
            <w:pPr>
              <w:pStyle w:val="Default"/>
              <w:numPr>
                <w:ilvl w:val="0"/>
                <w:numId w:val="64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larangan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utama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lembaga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jasa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sesuai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mengenai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penilaian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kembali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bagi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utama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lembaga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jasa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14:paraId="6FECA56C" w14:textId="6DB3BBEC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lastRenderedPageBreak/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7C946738" w14:textId="77777777" w:rsidTr="00384609">
        <w:tc>
          <w:tcPr>
            <w:tcW w:w="2500" w:type="pct"/>
          </w:tcPr>
          <w:p w14:paraId="3BF395E2" w14:textId="77777777" w:rsidR="00367080" w:rsidRPr="00556719" w:rsidRDefault="00367080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AC9D8F2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C71C760" w14:textId="77777777" w:rsidTr="00384609">
        <w:tc>
          <w:tcPr>
            <w:tcW w:w="2500" w:type="pct"/>
          </w:tcPr>
          <w:p w14:paraId="3D5CCD70" w14:textId="717A3A61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6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2500" w:type="pct"/>
          </w:tcPr>
          <w:p w14:paraId="77F7A0F8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D1FFA2E" w14:textId="482B5385" w:rsidTr="00384609">
        <w:tc>
          <w:tcPr>
            <w:tcW w:w="2500" w:type="pct"/>
          </w:tcPr>
          <w:p w14:paraId="7BB4636A" w14:textId="2397AE52" w:rsidR="000E5C2A" w:rsidRPr="00556719" w:rsidRDefault="000E5C2A" w:rsidP="00976DB7">
            <w:pPr>
              <w:pStyle w:val="Default"/>
              <w:numPr>
                <w:ilvl w:val="0"/>
                <w:numId w:val="10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dinyatakan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terlambat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menyampaikan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rencana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Pelanggaran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setelah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akhir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3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dikenakan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sanksi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administratif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sebesar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Rp35.000.000,00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lima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juta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rupiah) per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per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kerja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keterlambatan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banyak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sebesar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Rp500.000.000,00 (lima ratus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juta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rupiah). </w:t>
            </w:r>
          </w:p>
        </w:tc>
        <w:tc>
          <w:tcPr>
            <w:tcW w:w="2500" w:type="pct"/>
          </w:tcPr>
          <w:p w14:paraId="52256B41" w14:textId="2F0F4812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7E4E57FB" w14:textId="77777777" w:rsidTr="00384609">
        <w:tc>
          <w:tcPr>
            <w:tcW w:w="2500" w:type="pct"/>
          </w:tcPr>
          <w:p w14:paraId="7F32CA37" w14:textId="77777777" w:rsidR="00367080" w:rsidRPr="00556719" w:rsidRDefault="00367080" w:rsidP="00976DB7">
            <w:pPr>
              <w:pStyle w:val="Default"/>
              <w:numPr>
                <w:ilvl w:val="0"/>
                <w:numId w:val="10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dinyatakan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terlambat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menyampaikan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: </w:t>
            </w:r>
          </w:p>
          <w:p w14:paraId="5A84970A" w14:textId="0C38CFC7" w:rsidR="00367080" w:rsidRPr="00556719" w:rsidRDefault="00367080" w:rsidP="00976DB7">
            <w:pPr>
              <w:pStyle w:val="Default"/>
              <w:numPr>
                <w:ilvl w:val="0"/>
                <w:numId w:val="6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rencana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Pelampauan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setelah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akhir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3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c;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</w:p>
          <w:p w14:paraId="2BA34C9A" w14:textId="45633CBF" w:rsidR="00367080" w:rsidRPr="00556719" w:rsidRDefault="00367080" w:rsidP="00976DB7">
            <w:pPr>
              <w:pStyle w:val="Default"/>
              <w:numPr>
                <w:ilvl w:val="0"/>
                <w:numId w:val="65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pelaksanaan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rencana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setelah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akhir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4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(2),</w:t>
            </w:r>
          </w:p>
          <w:p w14:paraId="540A4252" w14:textId="32BE6DFD" w:rsidR="00367080" w:rsidRPr="00556719" w:rsidRDefault="00367080" w:rsidP="00976DB7">
            <w:pPr>
              <w:pStyle w:val="Default"/>
              <w:numPr>
                <w:ilvl w:val="0"/>
                <w:numId w:val="108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dikenakan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sanksi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administratif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sebesar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Rp3.500.000,00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tiga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juta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lima ratus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ribu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rupiah) per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per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kerja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keterlambatan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banyak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sebesar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Rp50.000.000,00 (lima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juta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rupiah).</w:t>
            </w:r>
          </w:p>
        </w:tc>
        <w:tc>
          <w:tcPr>
            <w:tcW w:w="2500" w:type="pct"/>
          </w:tcPr>
          <w:p w14:paraId="289F3203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56D3742" w14:textId="77777777" w:rsidTr="00384609">
        <w:tc>
          <w:tcPr>
            <w:tcW w:w="2500" w:type="pct"/>
          </w:tcPr>
          <w:p w14:paraId="76AEFA60" w14:textId="77777777" w:rsidR="00367080" w:rsidRPr="00556719" w:rsidRDefault="00367080" w:rsidP="00367080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1C81F80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BAF921F" w14:textId="77777777" w:rsidTr="00384609">
        <w:tc>
          <w:tcPr>
            <w:tcW w:w="2500" w:type="pct"/>
          </w:tcPr>
          <w:p w14:paraId="68BA0F23" w14:textId="1DF9AEA7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6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2500" w:type="pct"/>
          </w:tcPr>
          <w:p w14:paraId="411D11D0" w14:textId="77777777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</w:tr>
      <w:tr w:rsidR="00556719" w:rsidRPr="00556719" w14:paraId="1383EE91" w14:textId="65AC1213" w:rsidTr="00384609">
        <w:tc>
          <w:tcPr>
            <w:tcW w:w="2500" w:type="pct"/>
          </w:tcPr>
          <w:p w14:paraId="69732C7D" w14:textId="6EBEFB79" w:rsidR="000E5C2A" w:rsidRPr="00556719" w:rsidRDefault="000E5C2A" w:rsidP="00976DB7">
            <w:pPr>
              <w:pStyle w:val="Default"/>
              <w:numPr>
                <w:ilvl w:val="0"/>
                <w:numId w:val="10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terlambat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menyampaikan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laporan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7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dikenakan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sanksi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administratif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sebesar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Rp1.000.000,00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juta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rupiah) per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kerja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keterlambatan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banyak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sebesar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Rp50.000.000,00 (lima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puluh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juta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rupiah). </w:t>
            </w:r>
          </w:p>
        </w:tc>
        <w:tc>
          <w:tcPr>
            <w:tcW w:w="2500" w:type="pct"/>
          </w:tcPr>
          <w:p w14:paraId="47263754" w14:textId="196807B0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4811A562" w14:textId="77777777" w:rsidTr="00384609">
        <w:tc>
          <w:tcPr>
            <w:tcW w:w="2500" w:type="pct"/>
          </w:tcPr>
          <w:p w14:paraId="38819C00" w14:textId="3523398F" w:rsidR="00367080" w:rsidRPr="00556719" w:rsidRDefault="00367080" w:rsidP="00976DB7">
            <w:pPr>
              <w:pStyle w:val="Default"/>
              <w:numPr>
                <w:ilvl w:val="0"/>
                <w:numId w:val="109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menyampaikan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daftar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rincian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setelah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akhir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60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(3)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dikenakan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sanksi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administratif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berupa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denda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sebesar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Rp1.000.000,00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juta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rupiah) per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kerja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keterlambatan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paling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banyak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sebesar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Rp100.000.000,00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seratus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juta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rupiah).</w:t>
            </w:r>
          </w:p>
        </w:tc>
        <w:tc>
          <w:tcPr>
            <w:tcW w:w="2500" w:type="pct"/>
          </w:tcPr>
          <w:p w14:paraId="5F4A7FB1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A383CDD" w14:textId="77777777" w:rsidTr="00384609">
        <w:tc>
          <w:tcPr>
            <w:tcW w:w="2500" w:type="pct"/>
          </w:tcPr>
          <w:p w14:paraId="03FF8003" w14:textId="77777777" w:rsidR="00367080" w:rsidRPr="00556719" w:rsidRDefault="00367080" w:rsidP="00367080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BDEB7A5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216D73F4" w14:textId="77777777" w:rsidTr="00384609">
        <w:tc>
          <w:tcPr>
            <w:tcW w:w="2500" w:type="pct"/>
          </w:tcPr>
          <w:p w14:paraId="5D859B74" w14:textId="43A8B8AE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6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2500" w:type="pct"/>
          </w:tcPr>
          <w:p w14:paraId="69A98FC6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76670E3" w14:textId="11A42011" w:rsidTr="00384609">
        <w:tc>
          <w:tcPr>
            <w:tcW w:w="2500" w:type="pct"/>
          </w:tcPr>
          <w:p w14:paraId="4DD067D3" w14:textId="69259DB5" w:rsidR="000E5C2A" w:rsidRPr="00556719" w:rsidRDefault="000E5C2A" w:rsidP="00976DB7">
            <w:pPr>
              <w:pStyle w:val="Default"/>
              <w:numPr>
                <w:ilvl w:val="0"/>
                <w:numId w:val="11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menyelesaikan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Pelanggaran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Pelampauan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sesuai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rencana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tindak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melaksanakan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langkah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penyelesaian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sesuai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koreksi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ditetapkan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oleh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9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setelah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diberi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peringatan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sebanyak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dua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kali oleh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tenggang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waktu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satu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minggu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setiap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peringatan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dikenakan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sanksi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administratif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6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2</w:t>
            </w: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e dan/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f. </w:t>
            </w:r>
          </w:p>
        </w:tc>
        <w:tc>
          <w:tcPr>
            <w:tcW w:w="2500" w:type="pct"/>
          </w:tcPr>
          <w:p w14:paraId="590417AA" w14:textId="60381EBF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6CF8EE5C" w14:textId="77777777" w:rsidTr="00384609">
        <w:tc>
          <w:tcPr>
            <w:tcW w:w="2500" w:type="pct"/>
          </w:tcPr>
          <w:p w14:paraId="4C8B45FD" w14:textId="6B39DDB1" w:rsidR="00367080" w:rsidRPr="00556719" w:rsidRDefault="00367080" w:rsidP="00976DB7">
            <w:pPr>
              <w:pStyle w:val="Default"/>
              <w:numPr>
                <w:ilvl w:val="0"/>
                <w:numId w:val="11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Bank yang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menyelesaikan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Pelanggaran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BMPD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selain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dikenakan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sanksi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(1),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terhadap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Dewan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Komisaris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Direksi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pegawai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pemegang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saham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terafiliasi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lain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diberikan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tertulis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9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huruf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Undang-Undang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Nomor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21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Tahun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2011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tentang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500" w:type="pct"/>
          </w:tcPr>
          <w:p w14:paraId="1608DC52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D143F01" w14:textId="77777777" w:rsidTr="00384609">
        <w:tc>
          <w:tcPr>
            <w:tcW w:w="2500" w:type="pct"/>
          </w:tcPr>
          <w:p w14:paraId="409DF775" w14:textId="567A267B" w:rsidR="00367080" w:rsidRPr="00556719" w:rsidRDefault="00367080" w:rsidP="00976DB7">
            <w:pPr>
              <w:pStyle w:val="Default"/>
              <w:numPr>
                <w:ilvl w:val="0"/>
                <w:numId w:val="110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Dalam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hal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melaksanakan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perintah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tertulis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ayat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(2),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dapat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dikenakan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sanksi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pidana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dimaksud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54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Undang-Undang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Nomor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21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Tahun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2011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tentang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072B2417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0AE3F3BE" w14:textId="77777777" w:rsidTr="00384609">
        <w:tc>
          <w:tcPr>
            <w:tcW w:w="2500" w:type="pct"/>
          </w:tcPr>
          <w:p w14:paraId="3EE162C0" w14:textId="77777777" w:rsidR="00367080" w:rsidRPr="00556719" w:rsidRDefault="00367080" w:rsidP="00367080">
            <w:pPr>
              <w:pStyle w:val="Default"/>
              <w:spacing w:line="276" w:lineRule="auto"/>
              <w:ind w:left="360"/>
              <w:jc w:val="both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796450D" w14:textId="77777777" w:rsidR="00367080" w:rsidRPr="00556719" w:rsidRDefault="00367080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375A56" w:rsidRPr="00556719" w14:paraId="0AD0946B" w14:textId="77777777" w:rsidTr="00384609">
        <w:tc>
          <w:tcPr>
            <w:tcW w:w="2500" w:type="pct"/>
          </w:tcPr>
          <w:p w14:paraId="6AACCB58" w14:textId="77777777" w:rsidR="00375A56" w:rsidRPr="00556719" w:rsidRDefault="00375A56" w:rsidP="00375A56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BAB XII</w:t>
            </w:r>
          </w:p>
          <w:p w14:paraId="2031F922" w14:textId="2B2C5C5C" w:rsidR="00375A56" w:rsidRPr="00556719" w:rsidRDefault="00375A56" w:rsidP="00375A56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KETENTUAN </w:t>
            </w:r>
            <w:r>
              <w:rPr>
                <w:rFonts w:cstheme="majorHAnsi"/>
                <w:color w:val="auto"/>
                <w:sz w:val="20"/>
                <w:szCs w:val="20"/>
              </w:rPr>
              <w:t>LAIN-LAIN</w:t>
            </w:r>
          </w:p>
        </w:tc>
        <w:tc>
          <w:tcPr>
            <w:tcW w:w="2500" w:type="pct"/>
          </w:tcPr>
          <w:p w14:paraId="382F54AF" w14:textId="77777777" w:rsidR="00375A56" w:rsidRPr="00556719" w:rsidRDefault="00375A56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375A56" w:rsidRPr="00556719" w14:paraId="098186C6" w14:textId="77777777" w:rsidTr="00384609">
        <w:tc>
          <w:tcPr>
            <w:tcW w:w="2500" w:type="pct"/>
          </w:tcPr>
          <w:p w14:paraId="3E703B24" w14:textId="2E3A85FB" w:rsidR="00375A56" w:rsidRPr="00375A56" w:rsidRDefault="00375A56" w:rsidP="00375A56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>
              <w:rPr>
                <w:rFonts w:cstheme="majorHAnsi"/>
                <w:color w:val="auto"/>
                <w:sz w:val="20"/>
                <w:szCs w:val="20"/>
              </w:rPr>
              <w:t xml:space="preserve"> 66</w:t>
            </w:r>
          </w:p>
        </w:tc>
        <w:tc>
          <w:tcPr>
            <w:tcW w:w="2500" w:type="pct"/>
          </w:tcPr>
          <w:p w14:paraId="729998A2" w14:textId="77777777" w:rsidR="00375A56" w:rsidRPr="00556719" w:rsidRDefault="00375A56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375A56" w:rsidRPr="00556719" w14:paraId="608E51BA" w14:textId="77777777" w:rsidTr="00384609">
        <w:tc>
          <w:tcPr>
            <w:tcW w:w="2500" w:type="pct"/>
          </w:tcPr>
          <w:p w14:paraId="4A000108" w14:textId="0A09F49C" w:rsidR="00375A56" w:rsidRPr="00556719" w:rsidRDefault="00375A56" w:rsidP="00375A56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dapat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menetapkan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kebijakan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berbeda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berdasarkan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pertimbangan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tertentu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mengenai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batas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maksimum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dana,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cakupan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pihak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terkait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kriteria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kelompok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nasabah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penerima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fasilitas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>, dan/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jenis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perhitungan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dana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diatur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Peraturan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375A56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5A56">
              <w:rPr>
                <w:rFonts w:cstheme="majorHAnsi"/>
                <w:color w:val="auto"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2500" w:type="pct"/>
          </w:tcPr>
          <w:p w14:paraId="7D34758B" w14:textId="77777777" w:rsidR="00375A56" w:rsidRPr="00556719" w:rsidRDefault="00375A56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375A56" w:rsidRPr="00556719" w14:paraId="3A76FAE3" w14:textId="77777777" w:rsidTr="00384609">
        <w:tc>
          <w:tcPr>
            <w:tcW w:w="2500" w:type="pct"/>
          </w:tcPr>
          <w:p w14:paraId="7554E02B" w14:textId="77777777" w:rsidR="00375A56" w:rsidRPr="00556719" w:rsidRDefault="00375A56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</w:tcPr>
          <w:p w14:paraId="5428C0BD" w14:textId="77777777" w:rsidR="00375A56" w:rsidRPr="00556719" w:rsidRDefault="00375A56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DF3D0EA" w14:textId="77777777" w:rsidTr="00384609">
        <w:tc>
          <w:tcPr>
            <w:tcW w:w="2500" w:type="pct"/>
          </w:tcPr>
          <w:p w14:paraId="3BDA99AD" w14:textId="675F8B2F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BAB XII</w:t>
            </w:r>
          </w:p>
          <w:p w14:paraId="635E4EF4" w14:textId="4C466294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KETENTUAN PERALIHAN</w:t>
            </w:r>
          </w:p>
        </w:tc>
        <w:tc>
          <w:tcPr>
            <w:tcW w:w="2500" w:type="pct"/>
          </w:tcPr>
          <w:p w14:paraId="3E786861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78C975F2" w14:textId="77777777" w:rsidTr="00384609">
        <w:tc>
          <w:tcPr>
            <w:tcW w:w="2500" w:type="pct"/>
          </w:tcPr>
          <w:p w14:paraId="2AAEE67E" w14:textId="34F40292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6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2500" w:type="pct"/>
          </w:tcPr>
          <w:p w14:paraId="0C5FE2F4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39E5E97A" w14:textId="199DAECC" w:rsidTr="00384609">
        <w:tc>
          <w:tcPr>
            <w:tcW w:w="2500" w:type="pct"/>
          </w:tcPr>
          <w:p w14:paraId="24618801" w14:textId="7AD6EBD9" w:rsidR="000E5C2A" w:rsidRPr="00556719" w:rsidRDefault="000E5C2A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Pada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saat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mulai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berlaku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ketentuan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dalam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: </w:t>
            </w:r>
          </w:p>
          <w:p w14:paraId="4CAB58B1" w14:textId="77777777" w:rsidR="000E5C2A" w:rsidRPr="00556719" w:rsidRDefault="000E5C2A" w:rsidP="00976DB7">
            <w:pPr>
              <w:pStyle w:val="Default"/>
              <w:numPr>
                <w:ilvl w:val="0"/>
                <w:numId w:val="6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lastRenderedPageBreak/>
              <w:t>Peraturan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Indonesia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Nomor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7/3/PBI/2005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tentang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Maksimum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Pemberian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Umum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Lembaran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Negara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Republik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Indonesia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Tahun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2005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Nomor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13,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Tambahan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Lembaran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Negara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Republik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Indonesia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Nomor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4472)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sebagaimana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telah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diubah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dengan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Indonesia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Nomor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8/13/PBI/2006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tentang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Perubahan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Indonesia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Nomor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7/3/PBI/2005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tentang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Maksimum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Pemberian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Bank Umum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Lembaran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Negara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Republik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Indonesia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Tahun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2006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Nomor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70,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Tambahan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Lembaran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Negara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Republik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Indonesia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Nomor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4639); dan </w:t>
            </w:r>
          </w:p>
          <w:p w14:paraId="64765F55" w14:textId="77777777" w:rsidR="000E5C2A" w:rsidRPr="00556719" w:rsidRDefault="000E5C2A" w:rsidP="00976DB7">
            <w:pPr>
              <w:pStyle w:val="Default"/>
              <w:numPr>
                <w:ilvl w:val="0"/>
                <w:numId w:val="66"/>
              </w:numPr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Nomor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15/POJK.03/2018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tentang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Maksimum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Pemberian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Kredit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atau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Batas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Maksimum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Penyaluran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Dana Bank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untuk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Mendorong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Pertumbuhan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Sektor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Pariwisata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Peningkatan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Devisa (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Lembaran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Negara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Republik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Indonesia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Tahun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2018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Nomor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137,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Tambahan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Lembaran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Negara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Republik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Indonesia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Nomor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6240), </w:t>
            </w:r>
          </w:p>
          <w:p w14:paraId="65B3BE8E" w14:textId="37E049D8" w:rsidR="000E5C2A" w:rsidRPr="00556719" w:rsidRDefault="00375A56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cstheme="majorHAnsi"/>
                <w:color w:val="auto"/>
                <w:sz w:val="20"/>
                <w:szCs w:val="20"/>
              </w:rPr>
              <w:t>dicabut</w:t>
            </w:r>
            <w:proofErr w:type="spellEnd"/>
            <w:r>
              <w:rPr>
                <w:rFonts w:cstheme="majorHAnsi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cstheme="majorHAnsi"/>
                <w:color w:val="auto"/>
                <w:sz w:val="20"/>
                <w:szCs w:val="20"/>
              </w:rPr>
              <w:t>dinyatakan</w:t>
            </w:r>
            <w:proofErr w:type="spellEnd"/>
            <w:r w:rsidR="000E5C2A"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ajorHAnsi"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ajorHAnsi"/>
                <w:color w:val="auto"/>
                <w:sz w:val="20"/>
                <w:szCs w:val="20"/>
              </w:rPr>
              <w:t>berlaku</w:t>
            </w:r>
            <w:proofErr w:type="spellEnd"/>
            <w:r w:rsidR="00B032D1">
              <w:rPr>
                <w:rFonts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69ECA52F" w14:textId="67160AA4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lastRenderedPageBreak/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6D31D5C0" w14:textId="41A17588" w:rsidTr="00384609">
        <w:tc>
          <w:tcPr>
            <w:tcW w:w="2500" w:type="pct"/>
          </w:tcPr>
          <w:p w14:paraId="17B8051E" w14:textId="21322134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43B965A" w14:textId="5A15809B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5842A867" w14:textId="77777777" w:rsidTr="00384609">
        <w:tc>
          <w:tcPr>
            <w:tcW w:w="2500" w:type="pct"/>
          </w:tcPr>
          <w:p w14:paraId="1EADB991" w14:textId="33035E08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BAB XII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I</w:t>
            </w:r>
          </w:p>
          <w:p w14:paraId="387117D1" w14:textId="09B4B73C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556719">
              <w:rPr>
                <w:rFonts w:cstheme="majorHAnsi"/>
                <w:color w:val="auto"/>
                <w:sz w:val="20"/>
                <w:szCs w:val="20"/>
              </w:rPr>
              <w:t>KETENTUAN PENUTUP</w:t>
            </w:r>
          </w:p>
        </w:tc>
        <w:tc>
          <w:tcPr>
            <w:tcW w:w="2500" w:type="pct"/>
          </w:tcPr>
          <w:p w14:paraId="4511D38E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1B3D1E14" w14:textId="77777777" w:rsidTr="00384609">
        <w:tc>
          <w:tcPr>
            <w:tcW w:w="2500" w:type="pct"/>
          </w:tcPr>
          <w:p w14:paraId="79F7F492" w14:textId="3EF40D86" w:rsidR="000E5C2A" w:rsidRPr="00556719" w:rsidRDefault="000E5C2A" w:rsidP="000E5C2A">
            <w:pPr>
              <w:pStyle w:val="Default"/>
              <w:spacing w:line="276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Pasal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6</w:t>
            </w:r>
            <w:r w:rsidR="00375A56">
              <w:rPr>
                <w:rFonts w:cstheme="maj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2500" w:type="pct"/>
          </w:tcPr>
          <w:p w14:paraId="595F8F80" w14:textId="77777777" w:rsidR="000E5C2A" w:rsidRPr="00556719" w:rsidRDefault="000E5C2A" w:rsidP="000E5C2A">
            <w:pPr>
              <w:spacing w:line="276" w:lineRule="auto"/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  <w:tr w:rsidR="00556719" w:rsidRPr="00556719" w14:paraId="60AF4C83" w14:textId="69810088" w:rsidTr="00384609">
        <w:tc>
          <w:tcPr>
            <w:tcW w:w="2500" w:type="pct"/>
          </w:tcPr>
          <w:p w14:paraId="03258B69" w14:textId="0D2139AA" w:rsidR="000E5C2A" w:rsidRPr="00556719" w:rsidRDefault="000E5C2A" w:rsidP="000E5C2A">
            <w:pPr>
              <w:pStyle w:val="Default"/>
              <w:spacing w:line="276" w:lineRule="auto"/>
              <w:jc w:val="both"/>
              <w:rPr>
                <w:rFonts w:cstheme="majorHAnsi"/>
                <w:color w:val="auto"/>
                <w:sz w:val="20"/>
                <w:szCs w:val="20"/>
              </w:rPr>
            </w:pP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Peraturan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Otoritas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Jasa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Keuangan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ini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mulai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berlaku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sejak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cstheme="majorHAnsi"/>
                <w:color w:val="auto"/>
                <w:sz w:val="20"/>
                <w:szCs w:val="20"/>
              </w:rPr>
              <w:t>tanggal</w:t>
            </w:r>
            <w:proofErr w:type="spellEnd"/>
            <w:r w:rsidRPr="00556719">
              <w:rPr>
                <w:rFonts w:cstheme="majorHAnsi"/>
                <w:color w:val="auto"/>
                <w:sz w:val="20"/>
                <w:szCs w:val="20"/>
              </w:rPr>
              <w:t xml:space="preserve"> 1 Januari 2022.</w:t>
            </w:r>
          </w:p>
        </w:tc>
        <w:tc>
          <w:tcPr>
            <w:tcW w:w="2500" w:type="pct"/>
          </w:tcPr>
          <w:p w14:paraId="22B79110" w14:textId="588A63DE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Cukup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proofErr w:type="spellStart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jelas</w:t>
            </w:r>
            <w:proofErr w:type="spellEnd"/>
            <w:r w:rsidRPr="00556719">
              <w:rPr>
                <w:rFonts w:ascii="Bookman Old Style" w:hAnsi="Bookman Old Style" w:cstheme="majorHAnsi"/>
                <w:sz w:val="20"/>
                <w:szCs w:val="20"/>
              </w:rPr>
              <w:t>.</w:t>
            </w:r>
          </w:p>
        </w:tc>
      </w:tr>
      <w:tr w:rsidR="00556719" w:rsidRPr="00556719" w14:paraId="7F893DE6" w14:textId="77777777" w:rsidTr="00384609">
        <w:tc>
          <w:tcPr>
            <w:tcW w:w="2500" w:type="pct"/>
          </w:tcPr>
          <w:p w14:paraId="108DCCA4" w14:textId="2BE1CA3A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4B433D7" w14:textId="77777777" w:rsidR="000E5C2A" w:rsidRPr="00556719" w:rsidRDefault="000E5C2A" w:rsidP="000E5C2A">
            <w:pPr>
              <w:spacing w:line="276" w:lineRule="auto"/>
              <w:jc w:val="both"/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</w:tbl>
    <w:p w14:paraId="7F983A33" w14:textId="5233424B" w:rsidR="00D42243" w:rsidRPr="00556719" w:rsidRDefault="00D42243">
      <w:pPr>
        <w:rPr>
          <w:rFonts w:ascii="Bookman Old Style" w:hAnsi="Bookman Old Style" w:cstheme="majorHAnsi"/>
          <w:sz w:val="18"/>
          <w:szCs w:val="18"/>
        </w:rPr>
      </w:pPr>
    </w:p>
    <w:p w14:paraId="13830972" w14:textId="77777777" w:rsidR="007C5007" w:rsidRPr="00556719" w:rsidRDefault="007C5007">
      <w:pPr>
        <w:rPr>
          <w:rFonts w:ascii="Bookman Old Style" w:hAnsi="Bookman Old Style" w:cstheme="majorHAnsi"/>
          <w:sz w:val="18"/>
          <w:szCs w:val="18"/>
        </w:rPr>
      </w:pPr>
    </w:p>
    <w:sectPr w:rsidR="007C5007" w:rsidRPr="00556719" w:rsidSect="00384609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39EE" w14:textId="77777777" w:rsidR="00726A6A" w:rsidRDefault="00726A6A" w:rsidP="009F1E04">
      <w:pPr>
        <w:spacing w:after="0" w:line="240" w:lineRule="auto"/>
      </w:pPr>
      <w:r>
        <w:separator/>
      </w:r>
    </w:p>
  </w:endnote>
  <w:endnote w:type="continuationSeparator" w:id="0">
    <w:p w14:paraId="18013D23" w14:textId="77777777" w:rsidR="00726A6A" w:rsidRDefault="00726A6A" w:rsidP="009F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9C1E" w14:textId="77777777" w:rsidR="00726A6A" w:rsidRDefault="00726A6A" w:rsidP="009F1E04">
      <w:pPr>
        <w:spacing w:after="0" w:line="240" w:lineRule="auto"/>
      </w:pPr>
      <w:r>
        <w:separator/>
      </w:r>
    </w:p>
  </w:footnote>
  <w:footnote w:type="continuationSeparator" w:id="0">
    <w:p w14:paraId="0BA64354" w14:textId="77777777" w:rsidR="00726A6A" w:rsidRDefault="00726A6A" w:rsidP="009F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34F"/>
    <w:multiLevelType w:val="hybridMultilevel"/>
    <w:tmpl w:val="1D22148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100E9"/>
    <w:multiLevelType w:val="hybridMultilevel"/>
    <w:tmpl w:val="F70627B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B6522"/>
    <w:multiLevelType w:val="hybridMultilevel"/>
    <w:tmpl w:val="07049A20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4D7621"/>
    <w:multiLevelType w:val="hybridMultilevel"/>
    <w:tmpl w:val="E29E693A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AC4018"/>
    <w:multiLevelType w:val="hybridMultilevel"/>
    <w:tmpl w:val="8734741E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C26626"/>
    <w:multiLevelType w:val="hybridMultilevel"/>
    <w:tmpl w:val="380CA618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D3555B"/>
    <w:multiLevelType w:val="hybridMultilevel"/>
    <w:tmpl w:val="EA460CF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5738B"/>
    <w:multiLevelType w:val="hybridMultilevel"/>
    <w:tmpl w:val="BF1C4D5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F460D"/>
    <w:multiLevelType w:val="hybridMultilevel"/>
    <w:tmpl w:val="4D9AA648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8738E0"/>
    <w:multiLevelType w:val="hybridMultilevel"/>
    <w:tmpl w:val="013A639E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9A68F1"/>
    <w:multiLevelType w:val="hybridMultilevel"/>
    <w:tmpl w:val="2F7ABAF6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7D37FB"/>
    <w:multiLevelType w:val="hybridMultilevel"/>
    <w:tmpl w:val="3C1AFC3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70EAF"/>
    <w:multiLevelType w:val="hybridMultilevel"/>
    <w:tmpl w:val="6D107780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8D0038"/>
    <w:multiLevelType w:val="hybridMultilevel"/>
    <w:tmpl w:val="881E8DD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BC5BCD"/>
    <w:multiLevelType w:val="hybridMultilevel"/>
    <w:tmpl w:val="1E063E32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1F7399"/>
    <w:multiLevelType w:val="hybridMultilevel"/>
    <w:tmpl w:val="4A8429D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4639B"/>
    <w:multiLevelType w:val="hybridMultilevel"/>
    <w:tmpl w:val="23F0F5A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D17F29"/>
    <w:multiLevelType w:val="hybridMultilevel"/>
    <w:tmpl w:val="482C4DC0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001AC9"/>
    <w:multiLevelType w:val="hybridMultilevel"/>
    <w:tmpl w:val="8E2EF63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32136B"/>
    <w:multiLevelType w:val="hybridMultilevel"/>
    <w:tmpl w:val="86747FDE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1329E4"/>
    <w:multiLevelType w:val="hybridMultilevel"/>
    <w:tmpl w:val="A208A8F4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6E5121D"/>
    <w:multiLevelType w:val="hybridMultilevel"/>
    <w:tmpl w:val="E3C229D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0B32F9"/>
    <w:multiLevelType w:val="hybridMultilevel"/>
    <w:tmpl w:val="C66CDADE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8B646D"/>
    <w:multiLevelType w:val="hybridMultilevel"/>
    <w:tmpl w:val="092AE9AA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8040997"/>
    <w:multiLevelType w:val="hybridMultilevel"/>
    <w:tmpl w:val="31248BD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175760"/>
    <w:multiLevelType w:val="hybridMultilevel"/>
    <w:tmpl w:val="691E065E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786B9A"/>
    <w:multiLevelType w:val="hybridMultilevel"/>
    <w:tmpl w:val="17C4169A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99F29C4"/>
    <w:multiLevelType w:val="hybridMultilevel"/>
    <w:tmpl w:val="9014F99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F25ED7"/>
    <w:multiLevelType w:val="hybridMultilevel"/>
    <w:tmpl w:val="544AF780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2B6F44"/>
    <w:multiLevelType w:val="hybridMultilevel"/>
    <w:tmpl w:val="238C1AF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9C6026"/>
    <w:multiLevelType w:val="hybridMultilevel"/>
    <w:tmpl w:val="E36897E4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2781E81"/>
    <w:multiLevelType w:val="hybridMultilevel"/>
    <w:tmpl w:val="8646914C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F06192"/>
    <w:multiLevelType w:val="hybridMultilevel"/>
    <w:tmpl w:val="B646448C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F521BA"/>
    <w:multiLevelType w:val="hybridMultilevel"/>
    <w:tmpl w:val="3D06869E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587F49"/>
    <w:multiLevelType w:val="hybridMultilevel"/>
    <w:tmpl w:val="78B2A10A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7CA3D95"/>
    <w:multiLevelType w:val="hybridMultilevel"/>
    <w:tmpl w:val="D84EC596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96C435C"/>
    <w:multiLevelType w:val="hybridMultilevel"/>
    <w:tmpl w:val="E8BC16C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D03EC7"/>
    <w:multiLevelType w:val="hybridMultilevel"/>
    <w:tmpl w:val="5262EF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B214055"/>
    <w:multiLevelType w:val="hybridMultilevel"/>
    <w:tmpl w:val="D3804BA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4240A5"/>
    <w:multiLevelType w:val="hybridMultilevel"/>
    <w:tmpl w:val="97D8E79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6B70DD"/>
    <w:multiLevelType w:val="hybridMultilevel"/>
    <w:tmpl w:val="1E9EDFE0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CE620FB"/>
    <w:multiLevelType w:val="hybridMultilevel"/>
    <w:tmpl w:val="DD12B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CD3BF9"/>
    <w:multiLevelType w:val="hybridMultilevel"/>
    <w:tmpl w:val="4C32B3A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E63D6"/>
    <w:multiLevelType w:val="hybridMultilevel"/>
    <w:tmpl w:val="52608978"/>
    <w:lvl w:ilvl="0" w:tplc="3210E6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95EA38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0641727"/>
    <w:multiLevelType w:val="hybridMultilevel"/>
    <w:tmpl w:val="BEAE89F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933521"/>
    <w:multiLevelType w:val="hybridMultilevel"/>
    <w:tmpl w:val="44EC981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E50A7F"/>
    <w:multiLevelType w:val="hybridMultilevel"/>
    <w:tmpl w:val="8646914C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0EE544C"/>
    <w:multiLevelType w:val="hybridMultilevel"/>
    <w:tmpl w:val="C060A64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9144F5"/>
    <w:multiLevelType w:val="hybridMultilevel"/>
    <w:tmpl w:val="07049A20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1AC6023"/>
    <w:multiLevelType w:val="hybridMultilevel"/>
    <w:tmpl w:val="A784094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A92C4C"/>
    <w:multiLevelType w:val="hybridMultilevel"/>
    <w:tmpl w:val="A2FE608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EE2495"/>
    <w:multiLevelType w:val="hybridMultilevel"/>
    <w:tmpl w:val="AEB021D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3F23D5"/>
    <w:multiLevelType w:val="hybridMultilevel"/>
    <w:tmpl w:val="BB3C9A1C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3F159C8"/>
    <w:multiLevelType w:val="hybridMultilevel"/>
    <w:tmpl w:val="BF360832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321C0B"/>
    <w:multiLevelType w:val="hybridMultilevel"/>
    <w:tmpl w:val="905483C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CC252C"/>
    <w:multiLevelType w:val="hybridMultilevel"/>
    <w:tmpl w:val="56E29E9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8064E0"/>
    <w:multiLevelType w:val="hybridMultilevel"/>
    <w:tmpl w:val="5B949B5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85162E"/>
    <w:multiLevelType w:val="hybridMultilevel"/>
    <w:tmpl w:val="2D7C716A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7CE2B0D"/>
    <w:multiLevelType w:val="hybridMultilevel"/>
    <w:tmpl w:val="11647C0E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92C176A"/>
    <w:multiLevelType w:val="hybridMultilevel"/>
    <w:tmpl w:val="55200B7E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A1C08CC"/>
    <w:multiLevelType w:val="hybridMultilevel"/>
    <w:tmpl w:val="04905572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A33087E"/>
    <w:multiLevelType w:val="hybridMultilevel"/>
    <w:tmpl w:val="5BE49FC4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B0C6E5F"/>
    <w:multiLevelType w:val="hybridMultilevel"/>
    <w:tmpl w:val="E87EF0D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460EB0"/>
    <w:multiLevelType w:val="hybridMultilevel"/>
    <w:tmpl w:val="DF5A20F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CA11D6"/>
    <w:multiLevelType w:val="hybridMultilevel"/>
    <w:tmpl w:val="B44EB2A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DD20D0"/>
    <w:multiLevelType w:val="hybridMultilevel"/>
    <w:tmpl w:val="49047A96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120207E"/>
    <w:multiLevelType w:val="hybridMultilevel"/>
    <w:tmpl w:val="28EC5E1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2172DD8"/>
    <w:multiLevelType w:val="hybridMultilevel"/>
    <w:tmpl w:val="56EAC8D2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2707C62"/>
    <w:multiLevelType w:val="hybridMultilevel"/>
    <w:tmpl w:val="E0F0EDAC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2DE747C"/>
    <w:multiLevelType w:val="hybridMultilevel"/>
    <w:tmpl w:val="FEF25174"/>
    <w:lvl w:ilvl="0" w:tplc="3544C6CA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iCs w:val="0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3F96B21"/>
    <w:multiLevelType w:val="hybridMultilevel"/>
    <w:tmpl w:val="8DE4D62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D3C23"/>
    <w:multiLevelType w:val="hybridMultilevel"/>
    <w:tmpl w:val="674ADE9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B47635"/>
    <w:multiLevelType w:val="hybridMultilevel"/>
    <w:tmpl w:val="C3CE5A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9016303"/>
    <w:multiLevelType w:val="hybridMultilevel"/>
    <w:tmpl w:val="394C60B2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A5E33F0"/>
    <w:multiLevelType w:val="hybridMultilevel"/>
    <w:tmpl w:val="3ABA6B5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C220114"/>
    <w:multiLevelType w:val="hybridMultilevel"/>
    <w:tmpl w:val="C82E2A9C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DA74EE0"/>
    <w:multiLevelType w:val="hybridMultilevel"/>
    <w:tmpl w:val="C5CE11F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E17024B"/>
    <w:multiLevelType w:val="hybridMultilevel"/>
    <w:tmpl w:val="F12CDB54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E4D1A59"/>
    <w:multiLevelType w:val="hybridMultilevel"/>
    <w:tmpl w:val="8EE44C9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4D30FB"/>
    <w:multiLevelType w:val="hybridMultilevel"/>
    <w:tmpl w:val="22D6CD7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DE585F"/>
    <w:multiLevelType w:val="hybridMultilevel"/>
    <w:tmpl w:val="DC64652C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FA94362"/>
    <w:multiLevelType w:val="hybridMultilevel"/>
    <w:tmpl w:val="0AFEFDC0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03C6421"/>
    <w:multiLevelType w:val="hybridMultilevel"/>
    <w:tmpl w:val="4CA23A64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17942FD"/>
    <w:multiLevelType w:val="hybridMultilevel"/>
    <w:tmpl w:val="42D2C6F8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4A61E9C"/>
    <w:multiLevelType w:val="hybridMultilevel"/>
    <w:tmpl w:val="E7A2B32C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4C001E9"/>
    <w:multiLevelType w:val="hybridMultilevel"/>
    <w:tmpl w:val="8B70D82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BF3BD5"/>
    <w:multiLevelType w:val="hybridMultilevel"/>
    <w:tmpl w:val="996644CA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6694C4F"/>
    <w:multiLevelType w:val="hybridMultilevel"/>
    <w:tmpl w:val="90FED1FC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6F23BBA"/>
    <w:multiLevelType w:val="hybridMultilevel"/>
    <w:tmpl w:val="4B50D06E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8A86DC2"/>
    <w:multiLevelType w:val="hybridMultilevel"/>
    <w:tmpl w:val="FB40756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93C09C6"/>
    <w:multiLevelType w:val="hybridMultilevel"/>
    <w:tmpl w:val="639E3BC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5A73C5"/>
    <w:multiLevelType w:val="hybridMultilevel"/>
    <w:tmpl w:val="8B20F444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B0F1343"/>
    <w:multiLevelType w:val="hybridMultilevel"/>
    <w:tmpl w:val="40184CC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6F6E1B"/>
    <w:multiLevelType w:val="hybridMultilevel"/>
    <w:tmpl w:val="E4C611CE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B76099B"/>
    <w:multiLevelType w:val="hybridMultilevel"/>
    <w:tmpl w:val="499C575C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C6F609C"/>
    <w:multiLevelType w:val="hybridMultilevel"/>
    <w:tmpl w:val="3F2259E6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098054D"/>
    <w:multiLevelType w:val="hybridMultilevel"/>
    <w:tmpl w:val="62607D4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17D461F"/>
    <w:multiLevelType w:val="hybridMultilevel"/>
    <w:tmpl w:val="85B02070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3CD74A8"/>
    <w:multiLevelType w:val="hybridMultilevel"/>
    <w:tmpl w:val="93B64C8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AC688D"/>
    <w:multiLevelType w:val="hybridMultilevel"/>
    <w:tmpl w:val="D17866B2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4DB7310"/>
    <w:multiLevelType w:val="hybridMultilevel"/>
    <w:tmpl w:val="08225008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50E069C"/>
    <w:multiLevelType w:val="hybridMultilevel"/>
    <w:tmpl w:val="E048C0B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68D735F"/>
    <w:multiLevelType w:val="hybridMultilevel"/>
    <w:tmpl w:val="4546179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D36E3C"/>
    <w:multiLevelType w:val="hybridMultilevel"/>
    <w:tmpl w:val="26B076B0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BB12D8B"/>
    <w:multiLevelType w:val="hybridMultilevel"/>
    <w:tmpl w:val="A5AE9A70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D6C0EF5"/>
    <w:multiLevelType w:val="hybridMultilevel"/>
    <w:tmpl w:val="8AAA19C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4E3A5874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E58722F"/>
    <w:multiLevelType w:val="hybridMultilevel"/>
    <w:tmpl w:val="A150109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BF527F"/>
    <w:multiLevelType w:val="hybridMultilevel"/>
    <w:tmpl w:val="AAAAD01A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1052E00"/>
    <w:multiLevelType w:val="hybridMultilevel"/>
    <w:tmpl w:val="0ED6A83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16C7A75"/>
    <w:multiLevelType w:val="hybridMultilevel"/>
    <w:tmpl w:val="CE82DFD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422BE1"/>
    <w:multiLevelType w:val="hybridMultilevel"/>
    <w:tmpl w:val="D5C6B73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481003"/>
    <w:multiLevelType w:val="hybridMultilevel"/>
    <w:tmpl w:val="60AAF832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2A44E0E"/>
    <w:multiLevelType w:val="hybridMultilevel"/>
    <w:tmpl w:val="B52E2DE0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2A57BDF"/>
    <w:multiLevelType w:val="hybridMultilevel"/>
    <w:tmpl w:val="BB98477C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3B70B99"/>
    <w:multiLevelType w:val="hybridMultilevel"/>
    <w:tmpl w:val="150A77E2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53D7D9D"/>
    <w:multiLevelType w:val="hybridMultilevel"/>
    <w:tmpl w:val="F1EC80F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A20AF1"/>
    <w:multiLevelType w:val="hybridMultilevel"/>
    <w:tmpl w:val="E0C0A6C4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5E21F53"/>
    <w:multiLevelType w:val="hybridMultilevel"/>
    <w:tmpl w:val="71C03938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5F628E9"/>
    <w:multiLevelType w:val="hybridMultilevel"/>
    <w:tmpl w:val="A01AAF9A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69806CD"/>
    <w:multiLevelType w:val="hybridMultilevel"/>
    <w:tmpl w:val="ED8CC6C4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6F269EA"/>
    <w:multiLevelType w:val="hybridMultilevel"/>
    <w:tmpl w:val="5784E3EC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88B3201"/>
    <w:multiLevelType w:val="hybridMultilevel"/>
    <w:tmpl w:val="6D502F7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5C0797"/>
    <w:multiLevelType w:val="hybridMultilevel"/>
    <w:tmpl w:val="3EB2B81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B847B2"/>
    <w:multiLevelType w:val="hybridMultilevel"/>
    <w:tmpl w:val="036CBEF4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9C12DE3"/>
    <w:multiLevelType w:val="hybridMultilevel"/>
    <w:tmpl w:val="25B28094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AA14A57"/>
    <w:multiLevelType w:val="hybridMultilevel"/>
    <w:tmpl w:val="21345258"/>
    <w:lvl w:ilvl="0" w:tplc="D0CCA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B3A276B"/>
    <w:multiLevelType w:val="hybridMultilevel"/>
    <w:tmpl w:val="86FCE71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8E554E"/>
    <w:multiLevelType w:val="hybridMultilevel"/>
    <w:tmpl w:val="C6E607F6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7DC12F78"/>
    <w:multiLevelType w:val="hybridMultilevel"/>
    <w:tmpl w:val="349CB22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E0E33E6"/>
    <w:multiLevelType w:val="hybridMultilevel"/>
    <w:tmpl w:val="B2C0F09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43"/>
  </w:num>
  <w:num w:numId="3">
    <w:abstractNumId w:val="122"/>
  </w:num>
  <w:num w:numId="4">
    <w:abstractNumId w:val="55"/>
  </w:num>
  <w:num w:numId="5">
    <w:abstractNumId w:val="7"/>
  </w:num>
  <w:num w:numId="6">
    <w:abstractNumId w:val="49"/>
  </w:num>
  <w:num w:numId="7">
    <w:abstractNumId w:val="44"/>
  </w:num>
  <w:num w:numId="8">
    <w:abstractNumId w:val="54"/>
  </w:num>
  <w:num w:numId="9">
    <w:abstractNumId w:val="9"/>
  </w:num>
  <w:num w:numId="10">
    <w:abstractNumId w:val="60"/>
  </w:num>
  <w:num w:numId="11">
    <w:abstractNumId w:val="0"/>
  </w:num>
  <w:num w:numId="12">
    <w:abstractNumId w:val="74"/>
  </w:num>
  <w:num w:numId="13">
    <w:abstractNumId w:val="72"/>
  </w:num>
  <w:num w:numId="14">
    <w:abstractNumId w:val="32"/>
  </w:num>
  <w:num w:numId="15">
    <w:abstractNumId w:val="40"/>
  </w:num>
  <w:num w:numId="16">
    <w:abstractNumId w:val="127"/>
  </w:num>
  <w:num w:numId="17">
    <w:abstractNumId w:val="77"/>
  </w:num>
  <w:num w:numId="18">
    <w:abstractNumId w:val="21"/>
  </w:num>
  <w:num w:numId="19">
    <w:abstractNumId w:val="13"/>
  </w:num>
  <w:num w:numId="20">
    <w:abstractNumId w:val="41"/>
  </w:num>
  <w:num w:numId="21">
    <w:abstractNumId w:val="115"/>
  </w:num>
  <w:num w:numId="22">
    <w:abstractNumId w:val="83"/>
  </w:num>
  <w:num w:numId="23">
    <w:abstractNumId w:val="108"/>
  </w:num>
  <w:num w:numId="24">
    <w:abstractNumId w:val="73"/>
  </w:num>
  <w:num w:numId="25">
    <w:abstractNumId w:val="63"/>
  </w:num>
  <w:num w:numId="26">
    <w:abstractNumId w:val="15"/>
  </w:num>
  <w:num w:numId="27">
    <w:abstractNumId w:val="119"/>
  </w:num>
  <w:num w:numId="28">
    <w:abstractNumId w:val="75"/>
  </w:num>
  <w:num w:numId="29">
    <w:abstractNumId w:val="81"/>
  </w:num>
  <w:num w:numId="30">
    <w:abstractNumId w:val="79"/>
  </w:num>
  <w:num w:numId="31">
    <w:abstractNumId w:val="50"/>
  </w:num>
  <w:num w:numId="32">
    <w:abstractNumId w:val="12"/>
  </w:num>
  <w:num w:numId="33">
    <w:abstractNumId w:val="88"/>
  </w:num>
  <w:num w:numId="34">
    <w:abstractNumId w:val="69"/>
  </w:num>
  <w:num w:numId="35">
    <w:abstractNumId w:val="121"/>
  </w:num>
  <w:num w:numId="36">
    <w:abstractNumId w:val="66"/>
  </w:num>
  <w:num w:numId="37">
    <w:abstractNumId w:val="70"/>
  </w:num>
  <w:num w:numId="38">
    <w:abstractNumId w:val="92"/>
  </w:num>
  <w:num w:numId="39">
    <w:abstractNumId w:val="96"/>
  </w:num>
  <w:num w:numId="40">
    <w:abstractNumId w:val="4"/>
  </w:num>
  <w:num w:numId="41">
    <w:abstractNumId w:val="99"/>
  </w:num>
  <w:num w:numId="42">
    <w:abstractNumId w:val="109"/>
  </w:num>
  <w:num w:numId="43">
    <w:abstractNumId w:val="62"/>
  </w:num>
  <w:num w:numId="44">
    <w:abstractNumId w:val="14"/>
  </w:num>
  <w:num w:numId="45">
    <w:abstractNumId w:val="19"/>
  </w:num>
  <w:num w:numId="46">
    <w:abstractNumId w:val="110"/>
  </w:num>
  <w:num w:numId="47">
    <w:abstractNumId w:val="37"/>
  </w:num>
  <w:num w:numId="48">
    <w:abstractNumId w:val="6"/>
  </w:num>
  <w:num w:numId="49">
    <w:abstractNumId w:val="52"/>
  </w:num>
  <w:num w:numId="50">
    <w:abstractNumId w:val="85"/>
  </w:num>
  <w:num w:numId="51">
    <w:abstractNumId w:val="39"/>
  </w:num>
  <w:num w:numId="52">
    <w:abstractNumId w:val="71"/>
  </w:num>
  <w:num w:numId="53">
    <w:abstractNumId w:val="98"/>
  </w:num>
  <w:num w:numId="54">
    <w:abstractNumId w:val="42"/>
  </w:num>
  <w:num w:numId="55">
    <w:abstractNumId w:val="16"/>
  </w:num>
  <w:num w:numId="56">
    <w:abstractNumId w:val="64"/>
  </w:num>
  <w:num w:numId="57">
    <w:abstractNumId w:val="65"/>
  </w:num>
  <w:num w:numId="58">
    <w:abstractNumId w:val="51"/>
  </w:num>
  <w:num w:numId="59">
    <w:abstractNumId w:val="128"/>
  </w:num>
  <w:num w:numId="60">
    <w:abstractNumId w:val="116"/>
  </w:num>
  <w:num w:numId="61">
    <w:abstractNumId w:val="106"/>
  </w:num>
  <w:num w:numId="62">
    <w:abstractNumId w:val="26"/>
  </w:num>
  <w:num w:numId="63">
    <w:abstractNumId w:val="97"/>
  </w:num>
  <w:num w:numId="64">
    <w:abstractNumId w:val="123"/>
  </w:num>
  <w:num w:numId="65">
    <w:abstractNumId w:val="18"/>
  </w:num>
  <w:num w:numId="66">
    <w:abstractNumId w:val="22"/>
  </w:num>
  <w:num w:numId="67">
    <w:abstractNumId w:val="36"/>
  </w:num>
  <w:num w:numId="68">
    <w:abstractNumId w:val="33"/>
  </w:num>
  <w:num w:numId="69">
    <w:abstractNumId w:val="100"/>
  </w:num>
  <w:num w:numId="70">
    <w:abstractNumId w:val="56"/>
  </w:num>
  <w:num w:numId="71">
    <w:abstractNumId w:val="120"/>
  </w:num>
  <w:num w:numId="72">
    <w:abstractNumId w:val="113"/>
  </w:num>
  <w:num w:numId="73">
    <w:abstractNumId w:val="101"/>
  </w:num>
  <w:num w:numId="74">
    <w:abstractNumId w:val="10"/>
  </w:num>
  <w:num w:numId="75">
    <w:abstractNumId w:val="117"/>
  </w:num>
  <w:num w:numId="76">
    <w:abstractNumId w:val="102"/>
  </w:num>
  <w:num w:numId="77">
    <w:abstractNumId w:val="94"/>
  </w:num>
  <w:num w:numId="78">
    <w:abstractNumId w:val="107"/>
  </w:num>
  <w:num w:numId="79">
    <w:abstractNumId w:val="84"/>
  </w:num>
  <w:num w:numId="80">
    <w:abstractNumId w:val="53"/>
  </w:num>
  <w:num w:numId="81">
    <w:abstractNumId w:val="103"/>
  </w:num>
  <w:num w:numId="82">
    <w:abstractNumId w:val="124"/>
  </w:num>
  <w:num w:numId="83">
    <w:abstractNumId w:val="3"/>
  </w:num>
  <w:num w:numId="84">
    <w:abstractNumId w:val="57"/>
  </w:num>
  <w:num w:numId="85">
    <w:abstractNumId w:val="118"/>
  </w:num>
  <w:num w:numId="86">
    <w:abstractNumId w:val="35"/>
  </w:num>
  <w:num w:numId="87">
    <w:abstractNumId w:val="91"/>
  </w:num>
  <w:num w:numId="88">
    <w:abstractNumId w:val="61"/>
  </w:num>
  <w:num w:numId="89">
    <w:abstractNumId w:val="20"/>
  </w:num>
  <w:num w:numId="90">
    <w:abstractNumId w:val="34"/>
  </w:num>
  <w:num w:numId="91">
    <w:abstractNumId w:val="112"/>
  </w:num>
  <w:num w:numId="92">
    <w:abstractNumId w:val="68"/>
  </w:num>
  <w:num w:numId="93">
    <w:abstractNumId w:val="87"/>
  </w:num>
  <w:num w:numId="94">
    <w:abstractNumId w:val="59"/>
  </w:num>
  <w:num w:numId="95">
    <w:abstractNumId w:val="8"/>
  </w:num>
  <w:num w:numId="96">
    <w:abstractNumId w:val="17"/>
  </w:num>
  <w:num w:numId="97">
    <w:abstractNumId w:val="28"/>
  </w:num>
  <w:num w:numId="98">
    <w:abstractNumId w:val="95"/>
  </w:num>
  <w:num w:numId="99">
    <w:abstractNumId w:val="48"/>
  </w:num>
  <w:num w:numId="100">
    <w:abstractNumId w:val="2"/>
  </w:num>
  <w:num w:numId="101">
    <w:abstractNumId w:val="111"/>
  </w:num>
  <w:num w:numId="102">
    <w:abstractNumId w:val="23"/>
  </w:num>
  <w:num w:numId="103">
    <w:abstractNumId w:val="125"/>
  </w:num>
  <w:num w:numId="104">
    <w:abstractNumId w:val="67"/>
  </w:num>
  <w:num w:numId="105">
    <w:abstractNumId w:val="58"/>
  </w:num>
  <w:num w:numId="106">
    <w:abstractNumId w:val="86"/>
  </w:num>
  <w:num w:numId="107">
    <w:abstractNumId w:val="82"/>
  </w:num>
  <w:num w:numId="108">
    <w:abstractNumId w:val="25"/>
  </w:num>
  <w:num w:numId="109">
    <w:abstractNumId w:val="5"/>
  </w:num>
  <w:num w:numId="110">
    <w:abstractNumId w:val="46"/>
  </w:num>
  <w:num w:numId="111">
    <w:abstractNumId w:val="30"/>
  </w:num>
  <w:num w:numId="112">
    <w:abstractNumId w:val="38"/>
  </w:num>
  <w:num w:numId="113">
    <w:abstractNumId w:val="104"/>
  </w:num>
  <w:num w:numId="114">
    <w:abstractNumId w:val="93"/>
  </w:num>
  <w:num w:numId="115">
    <w:abstractNumId w:val="80"/>
  </w:num>
  <w:num w:numId="116">
    <w:abstractNumId w:val="114"/>
  </w:num>
  <w:num w:numId="117">
    <w:abstractNumId w:val="90"/>
  </w:num>
  <w:num w:numId="118">
    <w:abstractNumId w:val="11"/>
  </w:num>
  <w:num w:numId="119">
    <w:abstractNumId w:val="24"/>
  </w:num>
  <w:num w:numId="120">
    <w:abstractNumId w:val="105"/>
  </w:num>
  <w:num w:numId="121">
    <w:abstractNumId w:val="129"/>
  </w:num>
  <w:num w:numId="122">
    <w:abstractNumId w:val="29"/>
  </w:num>
  <w:num w:numId="123">
    <w:abstractNumId w:val="126"/>
  </w:num>
  <w:num w:numId="124">
    <w:abstractNumId w:val="47"/>
  </w:num>
  <w:num w:numId="125">
    <w:abstractNumId w:val="78"/>
  </w:num>
  <w:num w:numId="126">
    <w:abstractNumId w:val="45"/>
  </w:num>
  <w:num w:numId="127">
    <w:abstractNumId w:val="27"/>
  </w:num>
  <w:num w:numId="128">
    <w:abstractNumId w:val="89"/>
  </w:num>
  <w:num w:numId="129">
    <w:abstractNumId w:val="1"/>
  </w:num>
  <w:num w:numId="130">
    <w:abstractNumId w:val="31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43"/>
    <w:rsid w:val="0001483D"/>
    <w:rsid w:val="0001708B"/>
    <w:rsid w:val="00017F0A"/>
    <w:rsid w:val="00021B1A"/>
    <w:rsid w:val="00036ED8"/>
    <w:rsid w:val="000434B9"/>
    <w:rsid w:val="00045A90"/>
    <w:rsid w:val="00053ECE"/>
    <w:rsid w:val="00064ACD"/>
    <w:rsid w:val="000773F9"/>
    <w:rsid w:val="000779FC"/>
    <w:rsid w:val="00091EE8"/>
    <w:rsid w:val="00092F84"/>
    <w:rsid w:val="0009409F"/>
    <w:rsid w:val="00094248"/>
    <w:rsid w:val="000A03AA"/>
    <w:rsid w:val="000A12ED"/>
    <w:rsid w:val="000A2989"/>
    <w:rsid w:val="000A3BEA"/>
    <w:rsid w:val="000A6686"/>
    <w:rsid w:val="000B368B"/>
    <w:rsid w:val="000C4033"/>
    <w:rsid w:val="000E5C2A"/>
    <w:rsid w:val="000E6C0B"/>
    <w:rsid w:val="000F41C7"/>
    <w:rsid w:val="00104C00"/>
    <w:rsid w:val="0011186B"/>
    <w:rsid w:val="00115379"/>
    <w:rsid w:val="00122A52"/>
    <w:rsid w:val="00126D7F"/>
    <w:rsid w:val="0015372B"/>
    <w:rsid w:val="00154A32"/>
    <w:rsid w:val="001716F6"/>
    <w:rsid w:val="00172E93"/>
    <w:rsid w:val="00174E78"/>
    <w:rsid w:val="0017573B"/>
    <w:rsid w:val="0017725A"/>
    <w:rsid w:val="00177BBA"/>
    <w:rsid w:val="001906CE"/>
    <w:rsid w:val="00195CF8"/>
    <w:rsid w:val="001A3FEE"/>
    <w:rsid w:val="001B32A7"/>
    <w:rsid w:val="001C2FD7"/>
    <w:rsid w:val="001C4B7C"/>
    <w:rsid w:val="001D0313"/>
    <w:rsid w:val="001D1FFB"/>
    <w:rsid w:val="001D4E38"/>
    <w:rsid w:val="001D692D"/>
    <w:rsid w:val="001D7546"/>
    <w:rsid w:val="001E2256"/>
    <w:rsid w:val="001E6D6F"/>
    <w:rsid w:val="001F1928"/>
    <w:rsid w:val="002009D3"/>
    <w:rsid w:val="0021393A"/>
    <w:rsid w:val="002171C1"/>
    <w:rsid w:val="00221AB7"/>
    <w:rsid w:val="00223246"/>
    <w:rsid w:val="0022414C"/>
    <w:rsid w:val="0023352E"/>
    <w:rsid w:val="00236239"/>
    <w:rsid w:val="002367A9"/>
    <w:rsid w:val="00237D02"/>
    <w:rsid w:val="00240EFA"/>
    <w:rsid w:val="00245A7A"/>
    <w:rsid w:val="00254AD3"/>
    <w:rsid w:val="0025665A"/>
    <w:rsid w:val="00262FEE"/>
    <w:rsid w:val="002635B0"/>
    <w:rsid w:val="00274DE0"/>
    <w:rsid w:val="002867DC"/>
    <w:rsid w:val="0029110E"/>
    <w:rsid w:val="0029315F"/>
    <w:rsid w:val="0029553E"/>
    <w:rsid w:val="0029663D"/>
    <w:rsid w:val="002A27C8"/>
    <w:rsid w:val="002A3BC4"/>
    <w:rsid w:val="002A4AB9"/>
    <w:rsid w:val="002B0A6B"/>
    <w:rsid w:val="002B4E98"/>
    <w:rsid w:val="002C245F"/>
    <w:rsid w:val="002D31A6"/>
    <w:rsid w:val="002D4E84"/>
    <w:rsid w:val="002D5260"/>
    <w:rsid w:val="002D6727"/>
    <w:rsid w:val="002E086A"/>
    <w:rsid w:val="002E24D4"/>
    <w:rsid w:val="002E2D39"/>
    <w:rsid w:val="002F4F43"/>
    <w:rsid w:val="00304BDE"/>
    <w:rsid w:val="0031796D"/>
    <w:rsid w:val="00317AA1"/>
    <w:rsid w:val="00343183"/>
    <w:rsid w:val="0034503F"/>
    <w:rsid w:val="00360DB9"/>
    <w:rsid w:val="00363549"/>
    <w:rsid w:val="0036564C"/>
    <w:rsid w:val="00367080"/>
    <w:rsid w:val="00374430"/>
    <w:rsid w:val="00375A56"/>
    <w:rsid w:val="00383B97"/>
    <w:rsid w:val="00384609"/>
    <w:rsid w:val="003954C7"/>
    <w:rsid w:val="003A53D6"/>
    <w:rsid w:val="003A6FB0"/>
    <w:rsid w:val="003B2008"/>
    <w:rsid w:val="003B5F37"/>
    <w:rsid w:val="003C514E"/>
    <w:rsid w:val="003C5E34"/>
    <w:rsid w:val="003D1771"/>
    <w:rsid w:val="003D727F"/>
    <w:rsid w:val="003E5CEF"/>
    <w:rsid w:val="003F09C3"/>
    <w:rsid w:val="003F639F"/>
    <w:rsid w:val="00401BEB"/>
    <w:rsid w:val="00411FB8"/>
    <w:rsid w:val="0041205E"/>
    <w:rsid w:val="00413720"/>
    <w:rsid w:val="0041461E"/>
    <w:rsid w:val="00436C34"/>
    <w:rsid w:val="004429A1"/>
    <w:rsid w:val="004463B1"/>
    <w:rsid w:val="004560FB"/>
    <w:rsid w:val="00460DA7"/>
    <w:rsid w:val="004763CB"/>
    <w:rsid w:val="0047675B"/>
    <w:rsid w:val="00484BA1"/>
    <w:rsid w:val="00491517"/>
    <w:rsid w:val="0049169B"/>
    <w:rsid w:val="00495B23"/>
    <w:rsid w:val="004A520A"/>
    <w:rsid w:val="004A78FB"/>
    <w:rsid w:val="004C0B87"/>
    <w:rsid w:val="004C5DE6"/>
    <w:rsid w:val="004E710B"/>
    <w:rsid w:val="004F06F0"/>
    <w:rsid w:val="004F6253"/>
    <w:rsid w:val="00503895"/>
    <w:rsid w:val="00507910"/>
    <w:rsid w:val="0051254E"/>
    <w:rsid w:val="00515250"/>
    <w:rsid w:val="00517D2F"/>
    <w:rsid w:val="005264C3"/>
    <w:rsid w:val="00534B54"/>
    <w:rsid w:val="00556719"/>
    <w:rsid w:val="00556B49"/>
    <w:rsid w:val="005616F7"/>
    <w:rsid w:val="0056391D"/>
    <w:rsid w:val="00563D8B"/>
    <w:rsid w:val="00570E29"/>
    <w:rsid w:val="00573DE3"/>
    <w:rsid w:val="005745C3"/>
    <w:rsid w:val="00591142"/>
    <w:rsid w:val="00591FA8"/>
    <w:rsid w:val="005A4C71"/>
    <w:rsid w:val="005A5570"/>
    <w:rsid w:val="005A721B"/>
    <w:rsid w:val="005B0536"/>
    <w:rsid w:val="005B19D1"/>
    <w:rsid w:val="005B48BD"/>
    <w:rsid w:val="005B7BF6"/>
    <w:rsid w:val="005C009B"/>
    <w:rsid w:val="005C7E58"/>
    <w:rsid w:val="005D15CD"/>
    <w:rsid w:val="005E2490"/>
    <w:rsid w:val="005E72A5"/>
    <w:rsid w:val="005F7C94"/>
    <w:rsid w:val="006021BC"/>
    <w:rsid w:val="00607BD6"/>
    <w:rsid w:val="00610502"/>
    <w:rsid w:val="006112EF"/>
    <w:rsid w:val="00612AA3"/>
    <w:rsid w:val="00614C61"/>
    <w:rsid w:val="00621C55"/>
    <w:rsid w:val="00622B92"/>
    <w:rsid w:val="006244E0"/>
    <w:rsid w:val="0063448A"/>
    <w:rsid w:val="006512FC"/>
    <w:rsid w:val="00661704"/>
    <w:rsid w:val="006677AD"/>
    <w:rsid w:val="00670AF4"/>
    <w:rsid w:val="0067144C"/>
    <w:rsid w:val="00673A4F"/>
    <w:rsid w:val="006840BF"/>
    <w:rsid w:val="00684B0D"/>
    <w:rsid w:val="006918FB"/>
    <w:rsid w:val="0069274E"/>
    <w:rsid w:val="006979D2"/>
    <w:rsid w:val="006B3DD8"/>
    <w:rsid w:val="006D496C"/>
    <w:rsid w:val="006D5FD9"/>
    <w:rsid w:val="006E0654"/>
    <w:rsid w:val="006E1460"/>
    <w:rsid w:val="006F77ED"/>
    <w:rsid w:val="00704194"/>
    <w:rsid w:val="0070604B"/>
    <w:rsid w:val="00712121"/>
    <w:rsid w:val="00715E4B"/>
    <w:rsid w:val="00716A91"/>
    <w:rsid w:val="007247BF"/>
    <w:rsid w:val="00726A6A"/>
    <w:rsid w:val="00727FAA"/>
    <w:rsid w:val="007314E5"/>
    <w:rsid w:val="00732D0A"/>
    <w:rsid w:val="00735398"/>
    <w:rsid w:val="0074069B"/>
    <w:rsid w:val="00741B3D"/>
    <w:rsid w:val="00751B8F"/>
    <w:rsid w:val="00760EB9"/>
    <w:rsid w:val="0076583B"/>
    <w:rsid w:val="00773B8C"/>
    <w:rsid w:val="007756EF"/>
    <w:rsid w:val="00784298"/>
    <w:rsid w:val="00791FED"/>
    <w:rsid w:val="007921EC"/>
    <w:rsid w:val="007930DC"/>
    <w:rsid w:val="007A2EDC"/>
    <w:rsid w:val="007A647D"/>
    <w:rsid w:val="007B1FBE"/>
    <w:rsid w:val="007B4558"/>
    <w:rsid w:val="007B7817"/>
    <w:rsid w:val="007C0066"/>
    <w:rsid w:val="007C1313"/>
    <w:rsid w:val="007C5007"/>
    <w:rsid w:val="007D251C"/>
    <w:rsid w:val="007E2577"/>
    <w:rsid w:val="007E4768"/>
    <w:rsid w:val="007E6AF0"/>
    <w:rsid w:val="007F4532"/>
    <w:rsid w:val="00800C25"/>
    <w:rsid w:val="00807316"/>
    <w:rsid w:val="008076D4"/>
    <w:rsid w:val="0081135B"/>
    <w:rsid w:val="00811526"/>
    <w:rsid w:val="00826675"/>
    <w:rsid w:val="00837F4E"/>
    <w:rsid w:val="0084288F"/>
    <w:rsid w:val="00842B0C"/>
    <w:rsid w:val="00845764"/>
    <w:rsid w:val="00852899"/>
    <w:rsid w:val="00856D02"/>
    <w:rsid w:val="00857513"/>
    <w:rsid w:val="00860EB1"/>
    <w:rsid w:val="00887370"/>
    <w:rsid w:val="00890282"/>
    <w:rsid w:val="00896FFC"/>
    <w:rsid w:val="008A1AB1"/>
    <w:rsid w:val="008A6BA9"/>
    <w:rsid w:val="008B34C0"/>
    <w:rsid w:val="008C0E4F"/>
    <w:rsid w:val="008C1F7B"/>
    <w:rsid w:val="008C51F3"/>
    <w:rsid w:val="008E17F2"/>
    <w:rsid w:val="008E48A7"/>
    <w:rsid w:val="008F5B9A"/>
    <w:rsid w:val="00905102"/>
    <w:rsid w:val="00906CFA"/>
    <w:rsid w:val="00912F06"/>
    <w:rsid w:val="00942822"/>
    <w:rsid w:val="009535E1"/>
    <w:rsid w:val="00963969"/>
    <w:rsid w:val="00965934"/>
    <w:rsid w:val="0097214C"/>
    <w:rsid w:val="00972BE1"/>
    <w:rsid w:val="00976A74"/>
    <w:rsid w:val="00976DB7"/>
    <w:rsid w:val="00983815"/>
    <w:rsid w:val="00995F03"/>
    <w:rsid w:val="009A4CCC"/>
    <w:rsid w:val="009B4ED3"/>
    <w:rsid w:val="009B6791"/>
    <w:rsid w:val="009C793E"/>
    <w:rsid w:val="009D1303"/>
    <w:rsid w:val="009D5EAE"/>
    <w:rsid w:val="009E01F6"/>
    <w:rsid w:val="009E6BA1"/>
    <w:rsid w:val="009F1E04"/>
    <w:rsid w:val="009F3113"/>
    <w:rsid w:val="009F421C"/>
    <w:rsid w:val="009F4901"/>
    <w:rsid w:val="00A1019E"/>
    <w:rsid w:val="00A24A63"/>
    <w:rsid w:val="00A26CA8"/>
    <w:rsid w:val="00A309EE"/>
    <w:rsid w:val="00A32B3E"/>
    <w:rsid w:val="00A4314D"/>
    <w:rsid w:val="00A45787"/>
    <w:rsid w:val="00A521CA"/>
    <w:rsid w:val="00A532C2"/>
    <w:rsid w:val="00A56B8A"/>
    <w:rsid w:val="00A6168F"/>
    <w:rsid w:val="00A63BAF"/>
    <w:rsid w:val="00A6441E"/>
    <w:rsid w:val="00A65BF7"/>
    <w:rsid w:val="00A853E3"/>
    <w:rsid w:val="00A90AA9"/>
    <w:rsid w:val="00A970DC"/>
    <w:rsid w:val="00AA6978"/>
    <w:rsid w:val="00AB00EB"/>
    <w:rsid w:val="00AB7948"/>
    <w:rsid w:val="00AC0789"/>
    <w:rsid w:val="00AC0978"/>
    <w:rsid w:val="00AC7181"/>
    <w:rsid w:val="00AD106C"/>
    <w:rsid w:val="00AD1B77"/>
    <w:rsid w:val="00AD2277"/>
    <w:rsid w:val="00AD4499"/>
    <w:rsid w:val="00AE0906"/>
    <w:rsid w:val="00AE0A91"/>
    <w:rsid w:val="00AE6105"/>
    <w:rsid w:val="00AE7EEB"/>
    <w:rsid w:val="00AF43D2"/>
    <w:rsid w:val="00B02E15"/>
    <w:rsid w:val="00B0318B"/>
    <w:rsid w:val="00B032D1"/>
    <w:rsid w:val="00B07861"/>
    <w:rsid w:val="00B14AAE"/>
    <w:rsid w:val="00B23D54"/>
    <w:rsid w:val="00B26BB3"/>
    <w:rsid w:val="00B27BCD"/>
    <w:rsid w:val="00B3150A"/>
    <w:rsid w:val="00B32A67"/>
    <w:rsid w:val="00B409EF"/>
    <w:rsid w:val="00B50E44"/>
    <w:rsid w:val="00B56C30"/>
    <w:rsid w:val="00B62E68"/>
    <w:rsid w:val="00B6304A"/>
    <w:rsid w:val="00B6600B"/>
    <w:rsid w:val="00B67D16"/>
    <w:rsid w:val="00B72FBA"/>
    <w:rsid w:val="00B863F3"/>
    <w:rsid w:val="00BA0A0B"/>
    <w:rsid w:val="00BA11CE"/>
    <w:rsid w:val="00BA3DB9"/>
    <w:rsid w:val="00BA4C90"/>
    <w:rsid w:val="00BB18D8"/>
    <w:rsid w:val="00BC0947"/>
    <w:rsid w:val="00BC74EA"/>
    <w:rsid w:val="00BE2EF5"/>
    <w:rsid w:val="00BF0FCF"/>
    <w:rsid w:val="00BF7FA8"/>
    <w:rsid w:val="00C0177E"/>
    <w:rsid w:val="00C12451"/>
    <w:rsid w:val="00C169A6"/>
    <w:rsid w:val="00C22F69"/>
    <w:rsid w:val="00C255B1"/>
    <w:rsid w:val="00C33929"/>
    <w:rsid w:val="00C56C0B"/>
    <w:rsid w:val="00C5728E"/>
    <w:rsid w:val="00C6169C"/>
    <w:rsid w:val="00C6281E"/>
    <w:rsid w:val="00C71F36"/>
    <w:rsid w:val="00C806CD"/>
    <w:rsid w:val="00C85B7F"/>
    <w:rsid w:val="00CA5EE7"/>
    <w:rsid w:val="00CB1EB9"/>
    <w:rsid w:val="00CC4772"/>
    <w:rsid w:val="00CD1C29"/>
    <w:rsid w:val="00CE1654"/>
    <w:rsid w:val="00CE3F5D"/>
    <w:rsid w:val="00D02C61"/>
    <w:rsid w:val="00D21692"/>
    <w:rsid w:val="00D21A26"/>
    <w:rsid w:val="00D21C15"/>
    <w:rsid w:val="00D23192"/>
    <w:rsid w:val="00D27260"/>
    <w:rsid w:val="00D2778C"/>
    <w:rsid w:val="00D3268F"/>
    <w:rsid w:val="00D328FC"/>
    <w:rsid w:val="00D42243"/>
    <w:rsid w:val="00D50263"/>
    <w:rsid w:val="00D50FB5"/>
    <w:rsid w:val="00D7731A"/>
    <w:rsid w:val="00D77334"/>
    <w:rsid w:val="00D773BC"/>
    <w:rsid w:val="00D81C6F"/>
    <w:rsid w:val="00D85C43"/>
    <w:rsid w:val="00D86B08"/>
    <w:rsid w:val="00D926DE"/>
    <w:rsid w:val="00D93A01"/>
    <w:rsid w:val="00D9517D"/>
    <w:rsid w:val="00DA0283"/>
    <w:rsid w:val="00DA15DA"/>
    <w:rsid w:val="00DC2616"/>
    <w:rsid w:val="00DC2E60"/>
    <w:rsid w:val="00DC5D06"/>
    <w:rsid w:val="00DC688D"/>
    <w:rsid w:val="00DC7D04"/>
    <w:rsid w:val="00DF250D"/>
    <w:rsid w:val="00DF51AA"/>
    <w:rsid w:val="00E04763"/>
    <w:rsid w:val="00E20F8A"/>
    <w:rsid w:val="00E23557"/>
    <w:rsid w:val="00E35C5B"/>
    <w:rsid w:val="00E45470"/>
    <w:rsid w:val="00E533D0"/>
    <w:rsid w:val="00E55BFD"/>
    <w:rsid w:val="00E5733F"/>
    <w:rsid w:val="00E660B8"/>
    <w:rsid w:val="00E67686"/>
    <w:rsid w:val="00E731CA"/>
    <w:rsid w:val="00E87BA3"/>
    <w:rsid w:val="00E92884"/>
    <w:rsid w:val="00EB261A"/>
    <w:rsid w:val="00EB2782"/>
    <w:rsid w:val="00EC1F4E"/>
    <w:rsid w:val="00EC6F53"/>
    <w:rsid w:val="00ED3218"/>
    <w:rsid w:val="00EF1BC0"/>
    <w:rsid w:val="00EF7955"/>
    <w:rsid w:val="00EF7FEA"/>
    <w:rsid w:val="00F0105A"/>
    <w:rsid w:val="00F11578"/>
    <w:rsid w:val="00F1542D"/>
    <w:rsid w:val="00F2138F"/>
    <w:rsid w:val="00F3358D"/>
    <w:rsid w:val="00F402E0"/>
    <w:rsid w:val="00F452D4"/>
    <w:rsid w:val="00F5017B"/>
    <w:rsid w:val="00F53261"/>
    <w:rsid w:val="00F57BA1"/>
    <w:rsid w:val="00F66C43"/>
    <w:rsid w:val="00F73292"/>
    <w:rsid w:val="00F83AC1"/>
    <w:rsid w:val="00F85A79"/>
    <w:rsid w:val="00F87928"/>
    <w:rsid w:val="00F91A53"/>
    <w:rsid w:val="00F97F60"/>
    <w:rsid w:val="00FA15A0"/>
    <w:rsid w:val="00FB09CE"/>
    <w:rsid w:val="00FB5699"/>
    <w:rsid w:val="00FC7EE4"/>
    <w:rsid w:val="00FD4BB3"/>
    <w:rsid w:val="00FD5067"/>
    <w:rsid w:val="00FD6DBD"/>
    <w:rsid w:val="00FE066E"/>
    <w:rsid w:val="00FE097A"/>
    <w:rsid w:val="00FE304A"/>
    <w:rsid w:val="00FE4C40"/>
    <w:rsid w:val="00FE768F"/>
    <w:rsid w:val="00FF202B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BFDE1"/>
  <w15:docId w15:val="{2B1AD307-DF02-4590-B0FB-3E364D3A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224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3FE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07BD6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BD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07BD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EDC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E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E04"/>
  </w:style>
  <w:style w:type="paragraph" w:styleId="Footer">
    <w:name w:val="footer"/>
    <w:basedOn w:val="Normal"/>
    <w:link w:val="FooterChar"/>
    <w:uiPriority w:val="99"/>
    <w:unhideWhenUsed/>
    <w:rsid w:val="009F1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E04"/>
  </w:style>
  <w:style w:type="character" w:styleId="Hyperlink">
    <w:name w:val="Hyperlink"/>
    <w:basedOn w:val="DefaultParagraphFont"/>
    <w:uiPriority w:val="99"/>
    <w:semiHidden/>
    <w:unhideWhenUsed/>
    <w:rsid w:val="008C1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310296-E49F-4A80-B627-F6EF49A19C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D98E59-19A1-4085-9258-D7288D0B8DAD}"/>
</file>

<file path=customXml/itemProps3.xml><?xml version="1.0" encoding="utf-8"?>
<ds:datastoreItem xmlns:ds="http://schemas.openxmlformats.org/officeDocument/2006/customXml" ds:itemID="{5FFED6C7-C25E-4C75-A2BA-BF6920D8B9DF}"/>
</file>

<file path=customXml/itemProps4.xml><?xml version="1.0" encoding="utf-8"?>
<ds:datastoreItem xmlns:ds="http://schemas.openxmlformats.org/officeDocument/2006/customXml" ds:itemID="{DFA1873D-B5E0-461F-BE8A-15DBB8278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14776</Words>
  <Characters>84226</Characters>
  <Application>Microsoft Office Word</Application>
  <DocSecurity>0</DocSecurity>
  <Lines>701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Arif</dc:creator>
  <cp:keywords/>
  <dc:description/>
  <cp:lastModifiedBy>Muhammad Arif</cp:lastModifiedBy>
  <cp:revision>3</cp:revision>
  <dcterms:created xsi:type="dcterms:W3CDTF">2021-06-25T08:07:00Z</dcterms:created>
  <dcterms:modified xsi:type="dcterms:W3CDTF">2021-06-25T08:07:00Z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